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month of August, 2024.</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001-40673</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Cybin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King Street West, Suite 5600, Toronto, Ontario, M5X 1C9</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18"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16"/>
          <w:szCs w:val="16"/>
          <w:color w:val="auto"/>
        </w:rPr>
        <w:t xml:space="preserve">Form 20-F </w:t>
      </w: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8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Exhibits 99.1 - 99.2 of this Form 6-K of Cybin Inc. (the "Company") are hereby incorporated by reference into the Registration Statement on Form F-10 (File No.</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84" w:lineRule="exact"/>
        <w:rPr>
          <w:sz w:val="20"/>
          <w:szCs w:val="20"/>
          <w:color w:val="auto"/>
        </w:rPr>
      </w:pPr>
    </w:p>
    <w:p>
      <w:pPr>
        <w:ind w:firstLine="580"/>
        <w:spacing w:after="0" w:line="26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CYBIN INC.</w:t>
            </w:r>
          </w:p>
        </w:tc>
      </w:tr>
      <w:tr>
        <w:trPr>
          <w:trHeight w:val="230"/>
        </w:trPr>
        <w:tc>
          <w:tcPr>
            <w:tcW w:w="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(Registrant)</w:t>
            </w:r>
          </w:p>
        </w:tc>
      </w:tr>
      <w:tr>
        <w:trPr>
          <w:trHeight w:val="46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August 8, 2024</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By:</w:t>
            </w:r>
          </w:p>
        </w:tc>
        <w:tc>
          <w:tcPr>
            <w:tcW w:w="4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i w:val="1"/>
                <w:iCs w:val="1"/>
                <w:color w:val="auto"/>
              </w:rPr>
              <w:t>/s/ Doug Drysdale</w:t>
            </w:r>
          </w:p>
        </w:tc>
      </w:tr>
      <w:tr>
        <w:trPr>
          <w:trHeight w:val="216"/>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Doug Drysdale</w:t>
            </w:r>
          </w:p>
        </w:tc>
      </w:tr>
      <w:tr>
        <w:trPr>
          <w:trHeight w:val="230"/>
        </w:trPr>
        <w:tc>
          <w:tcPr>
            <w:tcW w:w="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0640"/>
          </w:cols>
          <w:pgMar w:left="320" w:top="1282" w:right="9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20"/>
        </w:trPr>
        <w:tc>
          <w:tcPr>
            <w:tcW w:w="1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2"/>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99.1</w:t>
            </w:r>
          </w:p>
        </w:tc>
        <w:tc>
          <w:tcPr>
            <w:tcW w:w="5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Interim Consolidated Financial Statements for the three months ended June 30, 2024</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99.2</w:t>
            </w:r>
          </w:p>
        </w:tc>
        <w:tc>
          <w:tcPr>
            <w:tcW w:w="5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Management’s Discussion and Analysis for the three months ended June 30, 2024</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99.3</w:t>
            </w:r>
          </w:p>
        </w:tc>
        <w:tc>
          <w:tcPr>
            <w:tcW w:w="40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Interim Filings by CEO dated August 8, 2024</w:t>
            </w:r>
          </w:p>
        </w:tc>
        <w:tc>
          <w:tcPr>
            <w:tcW w:w="128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99.4</w:t>
            </w:r>
          </w:p>
        </w:tc>
        <w:tc>
          <w:tcPr>
            <w:tcW w:w="3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Interim Filings by CFO dated August 8, 2024</w:t>
            </w:r>
          </w:p>
        </w:tc>
        <w:tc>
          <w:tcPr>
            <w:tcW w:w="1480" w:type="dxa"/>
            <w:vAlign w:val="bottom"/>
            <w:gridSpan w:val="4"/>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99.5</w:t>
            </w:r>
          </w:p>
        </w:tc>
        <w:tc>
          <w:tcPr>
            <w:tcW w:w="2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News Release dated August 8, 2024</w:t>
            </w:r>
          </w:p>
        </w:tc>
        <w:tc>
          <w:tcPr>
            <w:tcW w:w="3120" w:type="dxa"/>
            <w:vAlign w:val="bottom"/>
            <w:gridSpan w:val="6"/>
          </w:tcPr>
          <w:p>
            <w:pPr>
              <w:spacing w:after="0"/>
              <w:rPr>
                <w:sz w:val="18"/>
                <w:szCs w:val="18"/>
                <w:color w:val="auto"/>
              </w:rPr>
            </w:pPr>
          </w:p>
        </w:tc>
      </w:tr>
    </w:tbl>
    <w:p>
      <w:pPr>
        <w:sectPr>
          <w:pgSz w:w="11900" w:h="16838" w:orient="portrait"/>
          <w:cols w:equalWidth="0" w:num="1">
            <w:col w:w="10119"/>
          </w:cols>
          <w:pgMar w:left="340" w:top="127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3087370</wp:posOffset>
            </wp:positionH>
            <wp:positionV relativeFrom="page">
              <wp:posOffset>2583815</wp:posOffset>
            </wp:positionV>
            <wp:extent cx="138176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17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39"/>
          <w:szCs w:val="39"/>
          <w:b w:val="1"/>
          <w:bCs w:val="1"/>
          <w:color w:val="auto"/>
        </w:rPr>
        <w:t>CYBIN INC.</w:t>
      </w: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CONDENSED INTERIM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JUNE 30, 2024</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TO OUR SHAREHOLDERS</w:t>
      </w:r>
    </w:p>
    <w:p>
      <w:pPr>
        <w:spacing w:after="0" w:line="196" w:lineRule="exact"/>
        <w:rPr>
          <w:sz w:val="20"/>
          <w:szCs w:val="20"/>
          <w:color w:val="auto"/>
        </w:rPr>
      </w:pPr>
    </w:p>
    <w:p>
      <w:pPr>
        <w:jc w:val="both"/>
        <w:spacing w:after="0" w:line="277" w:lineRule="auto"/>
        <w:rPr>
          <w:sz w:val="20"/>
          <w:szCs w:val="20"/>
          <w:color w:val="auto"/>
        </w:rPr>
      </w:pPr>
      <w:r>
        <w:rPr>
          <w:rFonts w:ascii="Calibri" w:cs="Calibri" w:eastAsia="Calibri" w:hAnsi="Calibri"/>
          <w:sz w:val="19"/>
          <w:szCs w:val="19"/>
          <w:color w:val="auto"/>
        </w:rPr>
        <w:t xml:space="preserve">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2024, which are available on SEDAR+ at </w:t>
      </w:r>
      <w:r>
        <w:rPr>
          <w:rFonts w:ascii="Calibri" w:cs="Calibri" w:eastAsia="Calibri" w:hAnsi="Calibri"/>
          <w:sz w:val="19"/>
          <w:szCs w:val="19"/>
          <w:u w:val="single" w:color="auto"/>
          <w:color w:val="0000E1"/>
        </w:rPr>
        <w:t>www.sedarplus.com</w:t>
      </w:r>
      <w:r>
        <w:rPr>
          <w:rFonts w:ascii="Calibri" w:cs="Calibri" w:eastAsia="Calibri" w:hAnsi="Calibri"/>
          <w:sz w:val="19"/>
          <w:szCs w:val="19"/>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0"/>
        <w:spacing w:after="0"/>
        <w:rPr>
          <w:sz w:val="20"/>
          <w:szCs w:val="20"/>
          <w:color w:val="auto"/>
        </w:rPr>
      </w:pPr>
      <w:r>
        <w:rPr>
          <w:rFonts w:ascii="Calibri" w:cs="Calibri" w:eastAsia="Calibri" w:hAnsi="Calibri"/>
          <w:sz w:val="19"/>
          <w:szCs w:val="19"/>
          <w:b w:val="1"/>
          <w:bCs w:val="1"/>
          <w:color w:val="auto"/>
        </w:rPr>
        <w:t>CYBIN INC.</w:t>
      </w:r>
    </w:p>
    <w:p>
      <w:pPr>
        <w:ind w:left="60" w:right="5080"/>
        <w:spacing w:after="0"/>
        <w:rPr>
          <w:sz w:val="20"/>
          <w:szCs w:val="20"/>
          <w:color w:val="auto"/>
        </w:rPr>
      </w:pPr>
      <w:r>
        <w:rPr>
          <w:rFonts w:ascii="Calibri" w:cs="Calibri" w:eastAsia="Calibri" w:hAnsi="Calibri"/>
          <w:sz w:val="19"/>
          <w:szCs w:val="19"/>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As at</w:t>
      </w:r>
    </w:p>
    <w:p>
      <w:pPr>
        <w:spacing w:after="0" w:line="261" w:lineRule="exact"/>
        <w:rPr>
          <w:sz w:val="20"/>
          <w:szCs w:val="20"/>
          <w:color w:val="auto"/>
        </w:rPr>
      </w:pPr>
    </w:p>
    <w:p>
      <w:pPr>
        <w:ind w:left="60"/>
        <w:spacing w:after="0"/>
        <w:rPr>
          <w:sz w:val="20"/>
          <w:szCs w:val="20"/>
          <w:color w:val="auto"/>
        </w:rPr>
      </w:pPr>
      <w:r>
        <w:rPr>
          <w:rFonts w:ascii="Calibri" w:cs="Calibri" w:eastAsia="Calibri" w:hAnsi="Calibri"/>
          <w:sz w:val="15"/>
          <w:szCs w:val="15"/>
          <w:b w:val="1"/>
          <w:bCs w:val="1"/>
          <w:color w:val="auto"/>
        </w:rPr>
        <w:t>ASSETS</w:t>
      </w:r>
    </w:p>
    <w:p>
      <w:pPr>
        <w:spacing w:after="0" w:line="83" w:lineRule="exact"/>
        <w:rPr>
          <w:sz w:val="20"/>
          <w:szCs w:val="20"/>
          <w:color w:val="auto"/>
        </w:rPr>
      </w:pPr>
    </w:p>
    <w:p>
      <w:pPr>
        <w:ind w:left="200"/>
        <w:spacing w:after="0"/>
        <w:rPr>
          <w:sz w:val="20"/>
          <w:szCs w:val="20"/>
          <w:color w:val="auto"/>
        </w:rPr>
      </w:pPr>
      <w:r>
        <w:rPr>
          <w:rFonts w:ascii="Calibri" w:cs="Calibri" w:eastAsia="Calibri" w:hAnsi="Calibri"/>
          <w:sz w:val="15"/>
          <w:szCs w:val="15"/>
          <w:b w:val="1"/>
          <w:bCs w:val="1"/>
          <w:color w:val="auto"/>
        </w:rPr>
        <w:t>Current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Cash</w:t>
      </w:r>
    </w:p>
    <w:p>
      <w:pPr>
        <w:spacing w:after="0" w:line="142" w:lineRule="exact"/>
        <w:rPr>
          <w:sz w:val="20"/>
          <w:szCs w:val="20"/>
          <w:color w:val="auto"/>
        </w:rPr>
      </w:pPr>
    </w:p>
    <w:p>
      <w:pPr>
        <w:ind w:left="500"/>
        <w:spacing w:after="0"/>
        <w:rPr>
          <w:sz w:val="20"/>
          <w:szCs w:val="20"/>
          <w:color w:val="auto"/>
        </w:rPr>
      </w:pPr>
      <w:r>
        <w:rPr>
          <w:rFonts w:ascii="Calibri" w:cs="Calibri" w:eastAsia="Calibri" w:hAnsi="Calibri"/>
          <w:sz w:val="13"/>
          <w:szCs w:val="13"/>
          <w:color w:val="auto"/>
        </w:rPr>
        <w:t>Accounts receivable</w:t>
      </w:r>
    </w:p>
    <w:p>
      <w:pPr>
        <w:spacing w:after="0" w:line="14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Prepaid expenses</w:t>
      </w:r>
    </w:p>
    <w:p>
      <w:pPr>
        <w:spacing w:after="0" w:line="131" w:lineRule="exact"/>
        <w:rPr>
          <w:sz w:val="20"/>
          <w:szCs w:val="20"/>
          <w:color w:val="auto"/>
        </w:rPr>
      </w:pPr>
    </w:p>
    <w:p>
      <w:pPr>
        <w:jc w:val="right"/>
        <w:ind w:right="4320"/>
        <w:spacing w:after="0"/>
        <w:rPr>
          <w:sz w:val="20"/>
          <w:szCs w:val="20"/>
          <w:color w:val="auto"/>
        </w:rPr>
      </w:pPr>
      <w:r>
        <w:rPr>
          <w:rFonts w:ascii="Calibri" w:cs="Calibri" w:eastAsia="Calibri" w:hAnsi="Calibri"/>
          <w:sz w:val="15"/>
          <w:szCs w:val="15"/>
          <w:color w:val="auto"/>
        </w:rPr>
        <w:t>Other current assets</w:t>
      </w:r>
    </w:p>
    <w:p>
      <w:pPr>
        <w:spacing w:after="0" w:line="252" w:lineRule="exact"/>
        <w:rPr>
          <w:sz w:val="20"/>
          <w:szCs w:val="20"/>
          <w:color w:val="auto"/>
        </w:rPr>
      </w:pPr>
    </w:p>
    <w:p>
      <w:pPr>
        <w:ind w:left="60"/>
        <w:spacing w:after="0"/>
        <w:rPr>
          <w:sz w:val="20"/>
          <w:szCs w:val="20"/>
          <w:color w:val="auto"/>
        </w:rPr>
      </w:pPr>
      <w:r>
        <w:rPr>
          <w:rFonts w:ascii="Calibri" w:cs="Calibri" w:eastAsia="Calibri" w:hAnsi="Calibri"/>
          <w:sz w:val="15"/>
          <w:szCs w:val="15"/>
          <w:b w:val="1"/>
          <w:bCs w:val="1"/>
          <w:color w:val="auto"/>
        </w:rPr>
        <w:t>Total Current Assets</w:t>
      </w:r>
    </w:p>
    <w:p>
      <w:pPr>
        <w:spacing w:after="0" w:line="252" w:lineRule="exact"/>
        <w:rPr>
          <w:sz w:val="20"/>
          <w:szCs w:val="20"/>
          <w:color w:val="auto"/>
        </w:rPr>
      </w:pPr>
    </w:p>
    <w:p>
      <w:pPr>
        <w:ind w:left="200"/>
        <w:spacing w:after="0"/>
        <w:rPr>
          <w:sz w:val="20"/>
          <w:szCs w:val="20"/>
          <w:color w:val="auto"/>
        </w:rPr>
      </w:pPr>
      <w:r>
        <w:rPr>
          <w:rFonts w:ascii="Calibri" w:cs="Calibri" w:eastAsia="Calibri" w:hAnsi="Calibri"/>
          <w:sz w:val="15"/>
          <w:szCs w:val="15"/>
          <w:b w:val="1"/>
          <w:bCs w:val="1"/>
          <w:color w:val="auto"/>
        </w:rPr>
        <w:t>Non-current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Equipment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Intangible assets</w:t>
      </w:r>
    </w:p>
    <w:p>
      <w:pPr>
        <w:spacing w:after="0" w:line="59" w:lineRule="exact"/>
        <w:rPr>
          <w:sz w:val="20"/>
          <w:szCs w:val="20"/>
          <w:color w:val="auto"/>
        </w:rPr>
      </w:pPr>
    </w:p>
    <w:p>
      <w:pPr>
        <w:ind w:left="480"/>
        <w:spacing w:after="0"/>
        <w:rPr>
          <w:sz w:val="20"/>
          <w:szCs w:val="20"/>
          <w:color w:val="auto"/>
        </w:rPr>
      </w:pPr>
      <w:r>
        <w:rPr>
          <w:rFonts w:ascii="Calibri" w:cs="Calibri" w:eastAsia="Calibri" w:hAnsi="Calibri"/>
          <w:sz w:val="15"/>
          <w:szCs w:val="15"/>
          <w:color w:val="auto"/>
        </w:rPr>
        <w:t>Right-of-use asset</w:t>
      </w:r>
    </w:p>
    <w:p>
      <w:pPr>
        <w:spacing w:after="0" w:line="83"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020" w:type="dxa"/>
            <w:vAlign w:val="bottom"/>
          </w:tcPr>
          <w:p>
            <w:pPr>
              <w:spacing w:after="0"/>
              <w:rPr>
                <w:sz w:val="20"/>
                <w:szCs w:val="20"/>
                <w:color w:val="auto"/>
              </w:rPr>
            </w:pPr>
            <w:r>
              <w:rPr>
                <w:rFonts w:ascii="Calibri" w:cs="Calibri" w:eastAsia="Calibri" w:hAnsi="Calibri"/>
                <w:sz w:val="15"/>
                <w:szCs w:val="15"/>
                <w:i w:val="1"/>
                <w:iCs w:val="1"/>
                <w:color w:val="auto"/>
              </w:rPr>
              <w:t>Notes</w:t>
            </w:r>
          </w:p>
        </w:tc>
        <w:tc>
          <w:tcPr>
            <w:tcW w:w="2000" w:type="dxa"/>
            <w:vAlign w:val="bottom"/>
            <w:vMerge w:val="restart"/>
          </w:tcPr>
          <w:p>
            <w:pPr>
              <w:ind w:left="680"/>
              <w:spacing w:after="0"/>
              <w:rPr>
                <w:sz w:val="20"/>
                <w:szCs w:val="20"/>
                <w:color w:val="auto"/>
              </w:rPr>
            </w:pPr>
            <w:r>
              <w:rPr>
                <w:rFonts w:ascii="Calibri" w:cs="Calibri" w:eastAsia="Calibri" w:hAnsi="Calibri"/>
                <w:sz w:val="15"/>
                <w:szCs w:val="15"/>
                <w:b w:val="1"/>
                <w:bCs w:val="1"/>
                <w:color w:val="auto"/>
              </w:rPr>
              <w:t>June 30, 2024</w:t>
            </w:r>
          </w:p>
        </w:tc>
        <w:tc>
          <w:tcPr>
            <w:tcW w:w="1440" w:type="dxa"/>
            <w:vAlign w:val="bottom"/>
            <w:vMerge w:val="restart"/>
          </w:tcPr>
          <w:p>
            <w:pPr>
              <w:ind w:left="500"/>
              <w:spacing w:after="0"/>
              <w:rPr>
                <w:sz w:val="20"/>
                <w:szCs w:val="20"/>
                <w:color w:val="auto"/>
              </w:rPr>
            </w:pPr>
            <w:r>
              <w:rPr>
                <w:rFonts w:ascii="Calibri" w:cs="Calibri" w:eastAsia="Calibri" w:hAnsi="Calibri"/>
                <w:sz w:val="15"/>
                <w:szCs w:val="15"/>
                <w:b w:val="1"/>
                <w:bCs w:val="1"/>
                <w:color w:val="auto"/>
                <w:w w:val="95"/>
              </w:rPr>
              <w:t>March 31, 2024</w:t>
            </w:r>
          </w:p>
        </w:tc>
        <w:tc>
          <w:tcPr>
            <w:tcW w:w="0" w:type="dxa"/>
            <w:vAlign w:val="bottom"/>
          </w:tcPr>
          <w:p>
            <w:pPr>
              <w:spacing w:after="0"/>
              <w:rPr>
                <w:sz w:val="1"/>
                <w:szCs w:val="1"/>
                <w:color w:val="auto"/>
              </w:rPr>
            </w:pPr>
          </w:p>
        </w:tc>
      </w:tr>
      <w:tr>
        <w:trPr>
          <w:trHeight w:val="85"/>
        </w:trPr>
        <w:tc>
          <w:tcPr>
            <w:tcW w:w="102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38735</wp:posOffset>
            </wp:positionV>
            <wp:extent cx="7146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212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183,275</w:t>
            </w:r>
          </w:p>
        </w:tc>
        <w:tc>
          <w:tcPr>
            <w:tcW w:w="1220" w:type="dxa"/>
            <w:vAlign w:val="bottom"/>
          </w:tcPr>
          <w:p>
            <w:pPr>
              <w:jc w:val="right"/>
              <w:spacing w:after="0"/>
              <w:rPr>
                <w:sz w:val="20"/>
                <w:szCs w:val="20"/>
                <w:color w:val="auto"/>
              </w:rPr>
            </w:pPr>
            <w:r>
              <w:rPr>
                <w:rFonts w:ascii="Calibri" w:cs="Calibri" w:eastAsia="Calibri" w:hAnsi="Calibri"/>
                <w:sz w:val="15"/>
                <w:szCs w:val="15"/>
                <w:color w:val="auto"/>
              </w:rPr>
              <w:t>208,992</w:t>
            </w:r>
          </w:p>
        </w:tc>
        <w:tc>
          <w:tcPr>
            <w:tcW w:w="0" w:type="dxa"/>
            <w:vAlign w:val="bottom"/>
          </w:tcPr>
          <w:p>
            <w:pPr>
              <w:spacing w:after="0"/>
              <w:rPr>
                <w:sz w:val="1"/>
                <w:szCs w:val="1"/>
                <w:color w:val="auto"/>
              </w:rPr>
            </w:pPr>
          </w:p>
        </w:tc>
      </w:tr>
      <w:tr>
        <w:trPr>
          <w:trHeight w:val="314"/>
        </w:trPr>
        <w:tc>
          <w:tcPr>
            <w:tcW w:w="1000" w:type="dxa"/>
            <w:vAlign w:val="bottom"/>
          </w:tcPr>
          <w:p>
            <w:pPr>
              <w:spacing w:after="0"/>
              <w:rPr>
                <w:sz w:val="24"/>
                <w:szCs w:val="24"/>
                <w:color w:val="auto"/>
              </w:rPr>
            </w:pPr>
          </w:p>
        </w:tc>
        <w:tc>
          <w:tcPr>
            <w:tcW w:w="212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4,619</w:t>
            </w:r>
          </w:p>
        </w:tc>
        <w:tc>
          <w:tcPr>
            <w:tcW w:w="1220" w:type="dxa"/>
            <w:vAlign w:val="bottom"/>
          </w:tcPr>
          <w:p>
            <w:pPr>
              <w:jc w:val="right"/>
              <w:spacing w:after="0"/>
              <w:rPr>
                <w:sz w:val="20"/>
                <w:szCs w:val="20"/>
                <w:color w:val="auto"/>
              </w:rPr>
            </w:pPr>
            <w:r>
              <w:rPr>
                <w:rFonts w:ascii="Calibri" w:cs="Calibri" w:eastAsia="Calibri" w:hAnsi="Calibri"/>
                <w:sz w:val="15"/>
                <w:szCs w:val="15"/>
                <w:color w:val="auto"/>
              </w:rPr>
              <w:t>4,476</w:t>
            </w:r>
          </w:p>
        </w:tc>
        <w:tc>
          <w:tcPr>
            <w:tcW w:w="0" w:type="dxa"/>
            <w:vAlign w:val="bottom"/>
          </w:tcPr>
          <w:p>
            <w:pPr>
              <w:spacing w:after="0"/>
              <w:rPr>
                <w:sz w:val="1"/>
                <w:szCs w:val="1"/>
                <w:color w:val="auto"/>
              </w:rPr>
            </w:pPr>
          </w:p>
        </w:tc>
      </w:tr>
      <w:tr>
        <w:trPr>
          <w:trHeight w:val="314"/>
        </w:trPr>
        <w:tc>
          <w:tcPr>
            <w:tcW w:w="1000" w:type="dxa"/>
            <w:vAlign w:val="bottom"/>
          </w:tcPr>
          <w:p>
            <w:pPr>
              <w:spacing w:after="0"/>
              <w:rPr>
                <w:sz w:val="24"/>
                <w:szCs w:val="24"/>
                <w:color w:val="auto"/>
              </w:rPr>
            </w:pPr>
          </w:p>
        </w:tc>
        <w:tc>
          <w:tcPr>
            <w:tcW w:w="212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10,856</w:t>
            </w:r>
          </w:p>
        </w:tc>
        <w:tc>
          <w:tcPr>
            <w:tcW w:w="1220" w:type="dxa"/>
            <w:vAlign w:val="bottom"/>
          </w:tcPr>
          <w:p>
            <w:pPr>
              <w:jc w:val="right"/>
              <w:spacing w:after="0"/>
              <w:rPr>
                <w:sz w:val="20"/>
                <w:szCs w:val="20"/>
                <w:color w:val="auto"/>
              </w:rPr>
            </w:pPr>
            <w:r>
              <w:rPr>
                <w:rFonts w:ascii="Calibri" w:cs="Calibri" w:eastAsia="Calibri" w:hAnsi="Calibri"/>
                <w:sz w:val="15"/>
                <w:szCs w:val="15"/>
                <w:color w:val="auto"/>
              </w:rPr>
              <w:t>2,891</w:t>
            </w:r>
          </w:p>
        </w:tc>
        <w:tc>
          <w:tcPr>
            <w:tcW w:w="0" w:type="dxa"/>
            <w:vAlign w:val="bottom"/>
          </w:tcPr>
          <w:p>
            <w:pPr>
              <w:spacing w:after="0"/>
              <w:rPr>
                <w:sz w:val="1"/>
                <w:szCs w:val="1"/>
                <w:color w:val="auto"/>
              </w:rPr>
            </w:pPr>
          </w:p>
        </w:tc>
      </w:tr>
      <w:tr>
        <w:trPr>
          <w:trHeight w:val="314"/>
        </w:trPr>
        <w:tc>
          <w:tcPr>
            <w:tcW w:w="1000" w:type="dxa"/>
            <w:vAlign w:val="bottom"/>
          </w:tcPr>
          <w:p>
            <w:pPr>
              <w:spacing w:after="0"/>
              <w:rPr>
                <w:sz w:val="24"/>
                <w:szCs w:val="24"/>
                <w:color w:val="auto"/>
              </w:rPr>
            </w:pPr>
          </w:p>
        </w:tc>
        <w:tc>
          <w:tcPr>
            <w:tcW w:w="212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2,019</w:t>
            </w:r>
          </w:p>
        </w:tc>
        <w:tc>
          <w:tcPr>
            <w:tcW w:w="1220" w:type="dxa"/>
            <w:vAlign w:val="bottom"/>
          </w:tcPr>
          <w:p>
            <w:pPr>
              <w:jc w:val="right"/>
              <w:spacing w:after="0"/>
              <w:rPr>
                <w:sz w:val="20"/>
                <w:szCs w:val="20"/>
                <w:color w:val="auto"/>
              </w:rPr>
            </w:pPr>
            <w:r>
              <w:rPr>
                <w:rFonts w:ascii="Calibri" w:cs="Calibri" w:eastAsia="Calibri" w:hAnsi="Calibri"/>
                <w:sz w:val="15"/>
                <w:szCs w:val="15"/>
                <w:color w:val="auto"/>
              </w:rPr>
              <w:t>2,177</w:t>
            </w:r>
          </w:p>
        </w:tc>
        <w:tc>
          <w:tcPr>
            <w:tcW w:w="0" w:type="dxa"/>
            <w:vAlign w:val="bottom"/>
          </w:tcPr>
          <w:p>
            <w:pPr>
              <w:spacing w:after="0"/>
              <w:rPr>
                <w:sz w:val="1"/>
                <w:szCs w:val="1"/>
                <w:color w:val="auto"/>
              </w:rPr>
            </w:pPr>
          </w:p>
        </w:tc>
      </w:tr>
      <w:tr>
        <w:trPr>
          <w:trHeight w:val="387"/>
        </w:trPr>
        <w:tc>
          <w:tcPr>
            <w:tcW w:w="1000" w:type="dxa"/>
            <w:vAlign w:val="bottom"/>
          </w:tcPr>
          <w:p>
            <w:pPr>
              <w:spacing w:after="0"/>
              <w:rPr>
                <w:sz w:val="24"/>
                <w:szCs w:val="24"/>
                <w:color w:val="auto"/>
              </w:rPr>
            </w:pPr>
          </w:p>
        </w:tc>
        <w:tc>
          <w:tcPr>
            <w:tcW w:w="212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200,769</w:t>
            </w:r>
          </w:p>
        </w:tc>
        <w:tc>
          <w:tcPr>
            <w:tcW w:w="1220" w:type="dxa"/>
            <w:vAlign w:val="bottom"/>
          </w:tcPr>
          <w:p>
            <w:pPr>
              <w:jc w:val="right"/>
              <w:spacing w:after="0"/>
              <w:rPr>
                <w:sz w:val="20"/>
                <w:szCs w:val="20"/>
                <w:color w:val="auto"/>
              </w:rPr>
            </w:pPr>
            <w:r>
              <w:rPr>
                <w:rFonts w:ascii="Calibri" w:cs="Calibri" w:eastAsia="Calibri" w:hAnsi="Calibri"/>
                <w:sz w:val="15"/>
                <w:szCs w:val="15"/>
                <w:color w:val="auto"/>
              </w:rPr>
              <w:t>218,536</w:t>
            </w:r>
          </w:p>
        </w:tc>
        <w:tc>
          <w:tcPr>
            <w:tcW w:w="0" w:type="dxa"/>
            <w:vAlign w:val="bottom"/>
          </w:tcPr>
          <w:p>
            <w:pPr>
              <w:spacing w:after="0"/>
              <w:rPr>
                <w:sz w:val="1"/>
                <w:szCs w:val="1"/>
                <w:color w:val="auto"/>
              </w:rPr>
            </w:pPr>
          </w:p>
        </w:tc>
      </w:tr>
      <w:tr>
        <w:trPr>
          <w:trHeight w:val="677"/>
        </w:trPr>
        <w:tc>
          <w:tcPr>
            <w:tcW w:w="1000" w:type="dxa"/>
            <w:vAlign w:val="bottom"/>
          </w:tcPr>
          <w:p>
            <w:pPr>
              <w:jc w:val="right"/>
              <w:ind w:right="847"/>
              <w:spacing w:after="0"/>
              <w:rPr>
                <w:sz w:val="20"/>
                <w:szCs w:val="20"/>
                <w:color w:val="auto"/>
              </w:rPr>
            </w:pPr>
            <w:r>
              <w:rPr>
                <w:rFonts w:ascii="Calibri" w:cs="Calibri" w:eastAsia="Calibri" w:hAnsi="Calibri"/>
                <w:sz w:val="15"/>
                <w:szCs w:val="15"/>
                <w:i w:val="1"/>
                <w:iCs w:val="1"/>
                <w:color w:val="auto"/>
                <w:w w:val="78"/>
              </w:rPr>
              <w:t>3</w:t>
            </w:r>
          </w:p>
        </w:tc>
        <w:tc>
          <w:tcPr>
            <w:tcW w:w="2120" w:type="dxa"/>
            <w:vAlign w:val="bottom"/>
            <w:vMerge w:val="restart"/>
          </w:tcPr>
          <w:p>
            <w:pPr>
              <w:jc w:val="right"/>
              <w:ind w:right="647"/>
              <w:spacing w:after="0"/>
              <w:rPr>
                <w:sz w:val="20"/>
                <w:szCs w:val="20"/>
                <w:color w:val="auto"/>
              </w:rPr>
            </w:pPr>
            <w:r>
              <w:rPr>
                <w:rFonts w:ascii="Calibri" w:cs="Calibri" w:eastAsia="Calibri" w:hAnsi="Calibri"/>
                <w:sz w:val="15"/>
                <w:szCs w:val="15"/>
                <w:b w:val="1"/>
                <w:bCs w:val="1"/>
                <w:color w:val="auto"/>
              </w:rPr>
              <w:t>227</w:t>
            </w:r>
          </w:p>
        </w:tc>
        <w:tc>
          <w:tcPr>
            <w:tcW w:w="1220" w:type="dxa"/>
            <w:vAlign w:val="bottom"/>
            <w:vMerge w:val="restart"/>
          </w:tcPr>
          <w:p>
            <w:pPr>
              <w:jc w:val="right"/>
              <w:spacing w:after="0"/>
              <w:rPr>
                <w:sz w:val="20"/>
                <w:szCs w:val="20"/>
                <w:color w:val="auto"/>
              </w:rPr>
            </w:pPr>
            <w:r>
              <w:rPr>
                <w:rFonts w:ascii="Calibri" w:cs="Calibri" w:eastAsia="Calibri" w:hAnsi="Calibri"/>
                <w:sz w:val="15"/>
                <w:szCs w:val="15"/>
                <w:color w:val="auto"/>
              </w:rPr>
              <w:t>266</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00" w:type="dxa"/>
            <w:vAlign w:val="bottom"/>
          </w:tcPr>
          <w:p>
            <w:pPr>
              <w:jc w:val="right"/>
              <w:ind w:right="847"/>
              <w:spacing w:after="0"/>
              <w:rPr>
                <w:sz w:val="20"/>
                <w:szCs w:val="20"/>
                <w:color w:val="auto"/>
              </w:rPr>
            </w:pPr>
            <w:r>
              <w:rPr>
                <w:rFonts w:ascii="Calibri" w:cs="Calibri" w:eastAsia="Calibri" w:hAnsi="Calibri"/>
                <w:sz w:val="15"/>
                <w:szCs w:val="15"/>
                <w:i w:val="1"/>
                <w:iCs w:val="1"/>
                <w:color w:val="auto"/>
                <w:w w:val="78"/>
              </w:rPr>
              <w:t>4</w:t>
            </w:r>
          </w:p>
        </w:tc>
        <w:tc>
          <w:tcPr>
            <w:tcW w:w="2120" w:type="dxa"/>
            <w:vAlign w:val="bottom"/>
            <w:vMerge w:val="restart"/>
          </w:tcPr>
          <w:p>
            <w:pPr>
              <w:jc w:val="right"/>
              <w:ind w:right="647"/>
              <w:spacing w:after="0"/>
              <w:rPr>
                <w:sz w:val="20"/>
                <w:szCs w:val="20"/>
                <w:color w:val="auto"/>
              </w:rPr>
            </w:pPr>
            <w:r>
              <w:rPr>
                <w:rFonts w:ascii="Calibri" w:cs="Calibri" w:eastAsia="Calibri" w:hAnsi="Calibri"/>
                <w:sz w:val="15"/>
                <w:szCs w:val="15"/>
                <w:b w:val="1"/>
                <w:bCs w:val="1"/>
                <w:color w:val="auto"/>
              </w:rPr>
              <w:t>35,722</w:t>
            </w:r>
          </w:p>
        </w:tc>
        <w:tc>
          <w:tcPr>
            <w:tcW w:w="1220" w:type="dxa"/>
            <w:vAlign w:val="bottom"/>
            <w:vMerge w:val="restart"/>
          </w:tcPr>
          <w:p>
            <w:pPr>
              <w:jc w:val="right"/>
              <w:spacing w:after="0"/>
              <w:rPr>
                <w:sz w:val="20"/>
                <w:szCs w:val="20"/>
                <w:color w:val="auto"/>
              </w:rPr>
            </w:pPr>
            <w:r>
              <w:rPr>
                <w:rFonts w:ascii="Calibri" w:cs="Calibri" w:eastAsia="Calibri" w:hAnsi="Calibri"/>
                <w:sz w:val="15"/>
                <w:szCs w:val="15"/>
                <w:color w:val="auto"/>
              </w:rPr>
              <w:t>35,465</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00" w:type="dxa"/>
            <w:vAlign w:val="bottom"/>
          </w:tcPr>
          <w:p>
            <w:pPr>
              <w:jc w:val="right"/>
              <w:ind w:right="847"/>
              <w:spacing w:after="0"/>
              <w:rPr>
                <w:sz w:val="20"/>
                <w:szCs w:val="20"/>
                <w:color w:val="auto"/>
              </w:rPr>
            </w:pPr>
            <w:r>
              <w:rPr>
                <w:rFonts w:ascii="Calibri" w:cs="Calibri" w:eastAsia="Calibri" w:hAnsi="Calibri"/>
                <w:sz w:val="15"/>
                <w:szCs w:val="15"/>
                <w:i w:val="1"/>
                <w:iCs w:val="1"/>
                <w:color w:val="auto"/>
                <w:w w:val="78"/>
              </w:rPr>
              <w:t>5</w:t>
            </w:r>
          </w:p>
        </w:tc>
        <w:tc>
          <w:tcPr>
            <w:tcW w:w="212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203</w:t>
            </w:r>
          </w:p>
        </w:tc>
        <w:tc>
          <w:tcPr>
            <w:tcW w:w="1220" w:type="dxa"/>
            <w:vAlign w:val="bottom"/>
          </w:tcPr>
          <w:p>
            <w:pPr>
              <w:jc w:val="right"/>
              <w:spacing w:after="0"/>
              <w:rPr>
                <w:sz w:val="20"/>
                <w:szCs w:val="20"/>
                <w:color w:val="auto"/>
              </w:rPr>
            </w:pPr>
            <w:r>
              <w:rPr>
                <w:rFonts w:ascii="Calibri" w:cs="Calibri" w:eastAsia="Calibri" w:hAnsi="Calibri"/>
                <w:sz w:val="15"/>
                <w:szCs w:val="15"/>
                <w:color w:val="auto"/>
              </w:rPr>
              <w:t>281</w:t>
            </w:r>
          </w:p>
        </w:tc>
        <w:tc>
          <w:tcPr>
            <w:tcW w:w="0" w:type="dxa"/>
            <w:vAlign w:val="bottom"/>
          </w:tcPr>
          <w:p>
            <w:pPr>
              <w:spacing w:after="0"/>
              <w:rPr>
                <w:sz w:val="1"/>
                <w:szCs w:val="1"/>
                <w:color w:val="auto"/>
              </w:rPr>
            </w:pPr>
          </w:p>
        </w:tc>
      </w:tr>
      <w:tr>
        <w:trPr>
          <w:trHeight w:val="193"/>
        </w:trPr>
        <w:tc>
          <w:tcPr>
            <w:tcW w:w="1000" w:type="dxa"/>
            <w:vAlign w:val="bottom"/>
          </w:tcPr>
          <w:p>
            <w:pPr>
              <w:jc w:val="right"/>
              <w:ind w:right="847"/>
              <w:spacing w:after="0"/>
              <w:rPr>
                <w:sz w:val="20"/>
                <w:szCs w:val="20"/>
                <w:color w:val="auto"/>
              </w:rPr>
            </w:pPr>
            <w:r>
              <w:rPr>
                <w:rFonts w:ascii="Calibri" w:cs="Calibri" w:eastAsia="Calibri" w:hAnsi="Calibri"/>
                <w:sz w:val="15"/>
                <w:szCs w:val="15"/>
                <w:i w:val="1"/>
                <w:iCs w:val="1"/>
                <w:color w:val="auto"/>
                <w:w w:val="78"/>
              </w:rPr>
              <w:t>6</w:t>
            </w:r>
          </w:p>
        </w:tc>
        <w:tc>
          <w:tcPr>
            <w:tcW w:w="2120" w:type="dxa"/>
            <w:vAlign w:val="bottom"/>
            <w:vMerge w:val="restart"/>
          </w:tcPr>
          <w:p>
            <w:pPr>
              <w:jc w:val="right"/>
              <w:ind w:right="647"/>
              <w:spacing w:after="0"/>
              <w:rPr>
                <w:sz w:val="20"/>
                <w:szCs w:val="20"/>
                <w:color w:val="auto"/>
              </w:rPr>
            </w:pPr>
            <w:r>
              <w:rPr>
                <w:rFonts w:ascii="Calibri" w:cs="Calibri" w:eastAsia="Calibri" w:hAnsi="Calibri"/>
                <w:sz w:val="15"/>
                <w:szCs w:val="15"/>
                <w:b w:val="1"/>
                <w:bCs w:val="1"/>
                <w:color w:val="auto"/>
              </w:rPr>
              <w:t>47,726</w:t>
            </w:r>
          </w:p>
        </w:tc>
        <w:tc>
          <w:tcPr>
            <w:tcW w:w="1220" w:type="dxa"/>
            <w:vAlign w:val="bottom"/>
            <w:vMerge w:val="restart"/>
          </w:tcPr>
          <w:p>
            <w:pPr>
              <w:jc w:val="right"/>
              <w:spacing w:after="0"/>
              <w:rPr>
                <w:sz w:val="20"/>
                <w:szCs w:val="20"/>
                <w:color w:val="auto"/>
              </w:rPr>
            </w:pPr>
            <w:r>
              <w:rPr>
                <w:rFonts w:ascii="Calibri" w:cs="Calibri" w:eastAsia="Calibri" w:hAnsi="Calibri"/>
                <w:sz w:val="15"/>
                <w:szCs w:val="15"/>
                <w:color w:val="auto"/>
              </w:rPr>
              <w:t>47,475</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130810</wp:posOffset>
            </wp:positionV>
            <wp:extent cx="7146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-1012190</wp:posOffset>
            </wp:positionV>
            <wp:extent cx="7146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-1143000</wp:posOffset>
            </wp:positionV>
            <wp:extent cx="7146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20"/>
          </w:cols>
          <w:pgMar w:left="320" w:top="209" w:right="31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ind w:left="60"/>
              <w:spacing w:after="0"/>
              <w:rPr>
                <w:sz w:val="20"/>
                <w:szCs w:val="20"/>
                <w:color w:val="auto"/>
              </w:rPr>
            </w:pPr>
            <w:r>
              <w:rPr>
                <w:rFonts w:ascii="Calibri" w:cs="Calibri" w:eastAsia="Calibri" w:hAnsi="Calibri"/>
                <w:sz w:val="15"/>
                <w:szCs w:val="15"/>
                <w:b w:val="1"/>
                <w:bCs w:val="1"/>
                <w:color w:val="auto"/>
              </w:rPr>
              <w:t>Total Non-Current Assets</w:t>
            </w:r>
          </w:p>
        </w:tc>
        <w:tc>
          <w:tcPr>
            <w:tcW w:w="2940" w:type="dxa"/>
            <w:vAlign w:val="bottom"/>
          </w:tcPr>
          <w:p>
            <w:pPr>
              <w:spacing w:after="0"/>
              <w:rPr>
                <w:sz w:val="15"/>
                <w:szCs w:val="15"/>
                <w:color w:val="auto"/>
              </w:rPr>
            </w:pPr>
          </w:p>
        </w:tc>
        <w:tc>
          <w:tcPr>
            <w:tcW w:w="2140" w:type="dxa"/>
            <w:vAlign w:val="bottom"/>
          </w:tcPr>
          <w:p>
            <w:pPr>
              <w:jc w:val="right"/>
              <w:ind w:right="651"/>
              <w:spacing w:after="0"/>
              <w:rPr>
                <w:sz w:val="20"/>
                <w:szCs w:val="20"/>
                <w:color w:val="auto"/>
              </w:rPr>
            </w:pPr>
            <w:r>
              <w:rPr>
                <w:rFonts w:ascii="Calibri" w:cs="Calibri" w:eastAsia="Calibri" w:hAnsi="Calibri"/>
                <w:sz w:val="15"/>
                <w:szCs w:val="15"/>
                <w:b w:val="1"/>
                <w:bCs w:val="1"/>
                <w:color w:val="auto"/>
              </w:rPr>
              <w:t>83,878</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83,487</w:t>
            </w:r>
          </w:p>
        </w:tc>
        <w:tc>
          <w:tcPr>
            <w:tcW w:w="0" w:type="dxa"/>
            <w:vAlign w:val="bottom"/>
          </w:tcPr>
          <w:p>
            <w:pPr>
              <w:spacing w:after="0"/>
              <w:rPr>
                <w:sz w:val="1"/>
                <w:szCs w:val="1"/>
                <w:color w:val="auto"/>
              </w:rPr>
            </w:pPr>
          </w:p>
        </w:tc>
      </w:tr>
      <w:tr>
        <w:trPr>
          <w:trHeight w:val="24"/>
        </w:trPr>
        <w:tc>
          <w:tcPr>
            <w:tcW w:w="49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
        </w:trPr>
        <w:tc>
          <w:tcPr>
            <w:tcW w:w="4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ASSETS</w:t>
            </w:r>
          </w:p>
        </w:tc>
        <w:tc>
          <w:tcPr>
            <w:tcW w:w="2940" w:type="dxa"/>
            <w:vAlign w:val="bottom"/>
            <w:tcBorders>
              <w:bottom w:val="single" w:sz="8" w:color="D9D9D9"/>
            </w:tcBorders>
            <w:shd w:val="clear" w:color="auto" w:fill="D9D9D9"/>
          </w:tcPr>
          <w:p>
            <w:pPr>
              <w:spacing w:after="0"/>
              <w:rPr>
                <w:sz w:val="16"/>
                <w:szCs w:val="16"/>
                <w:color w:val="auto"/>
              </w:rPr>
            </w:pPr>
          </w:p>
        </w:tc>
        <w:tc>
          <w:tcPr>
            <w:tcW w:w="2140" w:type="dxa"/>
            <w:vAlign w:val="bottom"/>
            <w:tcBorders>
              <w:bottom w:val="single" w:sz="8" w:color="D9D9D9"/>
            </w:tcBorders>
            <w:shd w:val="clear" w:color="auto" w:fill="D9D9D9"/>
          </w:tcPr>
          <w:p>
            <w:pPr>
              <w:jc w:val="right"/>
              <w:ind w:right="651"/>
              <w:spacing w:after="0" w:line="173" w:lineRule="exact"/>
              <w:rPr>
                <w:sz w:val="20"/>
                <w:szCs w:val="20"/>
                <w:color w:val="auto"/>
              </w:rPr>
            </w:pPr>
            <w:r>
              <w:rPr>
                <w:rFonts w:ascii="Calibri" w:cs="Calibri" w:eastAsia="Calibri" w:hAnsi="Calibri"/>
                <w:sz w:val="15"/>
                <w:szCs w:val="15"/>
                <w:b w:val="1"/>
                <w:bCs w:val="1"/>
                <w:color w:val="auto"/>
              </w:rPr>
              <w:t>284,647</w:t>
            </w:r>
          </w:p>
        </w:tc>
        <w:tc>
          <w:tcPr>
            <w:tcW w:w="128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302,023</w:t>
            </w:r>
          </w:p>
        </w:tc>
        <w:tc>
          <w:tcPr>
            <w:tcW w:w="0" w:type="dxa"/>
            <w:vAlign w:val="bottom"/>
          </w:tcPr>
          <w:p>
            <w:pPr>
              <w:spacing w:after="0"/>
              <w:rPr>
                <w:sz w:val="1"/>
                <w:szCs w:val="1"/>
                <w:color w:val="auto"/>
              </w:rPr>
            </w:pPr>
          </w:p>
        </w:tc>
      </w:tr>
      <w:tr>
        <w:trPr>
          <w:trHeight w:val="197"/>
        </w:trPr>
        <w:tc>
          <w:tcPr>
            <w:tcW w:w="49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294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90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9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490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2940" w:type="dxa"/>
            <w:vAlign w:val="bottom"/>
          </w:tcPr>
          <w:p>
            <w:pPr>
              <w:spacing w:after="0"/>
              <w:rPr>
                <w:sz w:val="24"/>
                <w:szCs w:val="24"/>
                <w:color w:val="auto"/>
              </w:rPr>
            </w:pPr>
          </w:p>
        </w:tc>
        <w:tc>
          <w:tcPr>
            <w:tcW w:w="2140" w:type="dxa"/>
            <w:vAlign w:val="bottom"/>
          </w:tcPr>
          <w:p>
            <w:pPr>
              <w:jc w:val="right"/>
              <w:ind w:right="651"/>
              <w:spacing w:after="0"/>
              <w:rPr>
                <w:sz w:val="20"/>
                <w:szCs w:val="20"/>
                <w:color w:val="auto"/>
              </w:rPr>
            </w:pPr>
            <w:r>
              <w:rPr>
                <w:rFonts w:ascii="Calibri" w:cs="Calibri" w:eastAsia="Calibri" w:hAnsi="Calibri"/>
                <w:sz w:val="15"/>
                <w:szCs w:val="15"/>
                <w:b w:val="1"/>
                <w:bCs w:val="1"/>
                <w:color w:val="auto"/>
              </w:rPr>
              <w:t>4,603</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9,805</w:t>
            </w:r>
          </w:p>
        </w:tc>
        <w:tc>
          <w:tcPr>
            <w:tcW w:w="0" w:type="dxa"/>
            <w:vAlign w:val="bottom"/>
          </w:tcPr>
          <w:p>
            <w:pPr>
              <w:spacing w:after="0"/>
              <w:rPr>
                <w:sz w:val="1"/>
                <w:szCs w:val="1"/>
                <w:color w:val="auto"/>
              </w:rPr>
            </w:pPr>
          </w:p>
        </w:tc>
      </w:tr>
      <w:tr>
        <w:trPr>
          <w:trHeight w:val="193"/>
        </w:trPr>
        <w:tc>
          <w:tcPr>
            <w:tcW w:w="4900" w:type="dxa"/>
            <w:vAlign w:val="bottom"/>
          </w:tcPr>
          <w:p>
            <w:pPr>
              <w:ind w:left="500"/>
              <w:spacing w:after="0"/>
              <w:rPr>
                <w:sz w:val="20"/>
                <w:szCs w:val="20"/>
                <w:color w:val="auto"/>
              </w:rPr>
            </w:pPr>
            <w:r>
              <w:rPr>
                <w:rFonts w:ascii="Calibri" w:cs="Calibri" w:eastAsia="Calibri" w:hAnsi="Calibri"/>
                <w:sz w:val="15"/>
                <w:szCs w:val="15"/>
                <w:color w:val="auto"/>
              </w:rPr>
              <w:t>Lease liabilites</w:t>
            </w:r>
          </w:p>
        </w:tc>
        <w:tc>
          <w:tcPr>
            <w:tcW w:w="2940" w:type="dxa"/>
            <w:vAlign w:val="bottom"/>
          </w:tcPr>
          <w:p>
            <w:pPr>
              <w:jc w:val="right"/>
              <w:ind w:right="827"/>
              <w:spacing w:after="0"/>
              <w:rPr>
                <w:sz w:val="20"/>
                <w:szCs w:val="20"/>
                <w:color w:val="auto"/>
              </w:rPr>
            </w:pPr>
            <w:r>
              <w:rPr>
                <w:rFonts w:ascii="Calibri" w:cs="Calibri" w:eastAsia="Calibri" w:hAnsi="Calibri"/>
                <w:sz w:val="15"/>
                <w:szCs w:val="15"/>
                <w:i w:val="1"/>
                <w:iCs w:val="1"/>
                <w:color w:val="auto"/>
              </w:rPr>
              <w:t>5</w:t>
            </w:r>
          </w:p>
        </w:tc>
        <w:tc>
          <w:tcPr>
            <w:tcW w:w="2140" w:type="dxa"/>
            <w:vAlign w:val="bottom"/>
          </w:tcPr>
          <w:p>
            <w:pPr>
              <w:jc w:val="right"/>
              <w:ind w:right="651"/>
              <w:spacing w:after="0"/>
              <w:rPr>
                <w:sz w:val="20"/>
                <w:szCs w:val="20"/>
                <w:color w:val="auto"/>
              </w:rPr>
            </w:pPr>
            <w:r>
              <w:rPr>
                <w:rFonts w:ascii="Calibri" w:cs="Calibri" w:eastAsia="Calibri" w:hAnsi="Calibri"/>
                <w:sz w:val="15"/>
                <w:szCs w:val="15"/>
                <w:b w:val="1"/>
                <w:bCs w:val="1"/>
                <w:color w:val="auto"/>
              </w:rPr>
              <w:t>212</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291</w:t>
            </w:r>
          </w:p>
        </w:tc>
        <w:tc>
          <w:tcPr>
            <w:tcW w:w="0" w:type="dxa"/>
            <w:vAlign w:val="bottom"/>
          </w:tcPr>
          <w:p>
            <w:pPr>
              <w:spacing w:after="0"/>
              <w:rPr>
                <w:sz w:val="1"/>
                <w:szCs w:val="1"/>
                <w:color w:val="auto"/>
              </w:rPr>
            </w:pPr>
          </w:p>
        </w:tc>
      </w:tr>
      <w:tr>
        <w:trPr>
          <w:trHeight w:val="157"/>
        </w:trPr>
        <w:tc>
          <w:tcPr>
            <w:tcW w:w="49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900" w:type="dxa"/>
            <w:vAlign w:val="bottom"/>
            <w:tcBorders>
              <w:bottom w:val="single" w:sz="8" w:color="DBDBDB"/>
            </w:tcBorders>
            <w:shd w:val="clear" w:color="auto" w:fill="DBDBDB"/>
          </w:tcPr>
          <w:p>
            <w:pPr>
              <w:ind w:left="60"/>
              <w:spacing w:after="0" w:line="165" w:lineRule="exact"/>
              <w:rPr>
                <w:sz w:val="20"/>
                <w:szCs w:val="20"/>
                <w:color w:val="auto"/>
              </w:rPr>
            </w:pPr>
            <w:r>
              <w:rPr>
                <w:rFonts w:ascii="Calibri" w:cs="Calibri" w:eastAsia="Calibri" w:hAnsi="Calibri"/>
                <w:sz w:val="15"/>
                <w:szCs w:val="15"/>
                <w:b w:val="1"/>
                <w:bCs w:val="1"/>
                <w:color w:val="auto"/>
              </w:rPr>
              <w:t>Total Liabilites</w:t>
            </w:r>
          </w:p>
        </w:tc>
        <w:tc>
          <w:tcPr>
            <w:tcW w:w="2940" w:type="dxa"/>
            <w:vAlign w:val="bottom"/>
            <w:tcBorders>
              <w:bottom w:val="single" w:sz="8" w:color="DBDBDB"/>
            </w:tcBorders>
            <w:shd w:val="clear" w:color="auto" w:fill="DBDBDB"/>
          </w:tcPr>
          <w:p>
            <w:pPr>
              <w:spacing w:after="0"/>
              <w:rPr>
                <w:sz w:val="16"/>
                <w:szCs w:val="16"/>
                <w:color w:val="auto"/>
              </w:rPr>
            </w:pPr>
          </w:p>
        </w:tc>
        <w:tc>
          <w:tcPr>
            <w:tcW w:w="2140" w:type="dxa"/>
            <w:vAlign w:val="bottom"/>
            <w:tcBorders>
              <w:bottom w:val="single" w:sz="8" w:color="DBDBDB"/>
            </w:tcBorders>
            <w:shd w:val="clear" w:color="auto" w:fill="DBDBDB"/>
          </w:tcPr>
          <w:p>
            <w:pPr>
              <w:jc w:val="right"/>
              <w:ind w:right="651"/>
              <w:spacing w:after="0" w:line="165" w:lineRule="exact"/>
              <w:rPr>
                <w:sz w:val="20"/>
                <w:szCs w:val="20"/>
                <w:color w:val="auto"/>
              </w:rPr>
            </w:pPr>
            <w:r>
              <w:rPr>
                <w:rFonts w:ascii="Calibri" w:cs="Calibri" w:eastAsia="Calibri" w:hAnsi="Calibri"/>
                <w:sz w:val="15"/>
                <w:szCs w:val="15"/>
                <w:b w:val="1"/>
                <w:bCs w:val="1"/>
                <w:color w:val="auto"/>
              </w:rPr>
              <w:t>4,815</w:t>
            </w:r>
          </w:p>
        </w:tc>
        <w:tc>
          <w:tcPr>
            <w:tcW w:w="128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10,096</w:t>
            </w:r>
          </w:p>
        </w:tc>
        <w:tc>
          <w:tcPr>
            <w:tcW w:w="0" w:type="dxa"/>
            <w:vAlign w:val="bottom"/>
          </w:tcPr>
          <w:p>
            <w:pPr>
              <w:spacing w:after="0"/>
              <w:rPr>
                <w:sz w:val="1"/>
                <w:szCs w:val="1"/>
                <w:color w:val="auto"/>
              </w:rPr>
            </w:pPr>
          </w:p>
        </w:tc>
      </w:tr>
      <w:tr>
        <w:trPr>
          <w:trHeight w:val="197"/>
        </w:trPr>
        <w:tc>
          <w:tcPr>
            <w:tcW w:w="49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294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vMerge w:val="restart"/>
          </w:tcPr>
          <w:p>
            <w:pPr>
              <w:ind w:left="500"/>
              <w:spacing w:after="0"/>
              <w:rPr>
                <w:sz w:val="20"/>
                <w:szCs w:val="20"/>
                <w:color w:val="auto"/>
              </w:rPr>
            </w:pPr>
            <w:r>
              <w:rPr>
                <w:rFonts w:ascii="Calibri" w:cs="Calibri" w:eastAsia="Calibri" w:hAnsi="Calibri"/>
                <w:sz w:val="15"/>
                <w:szCs w:val="15"/>
                <w:color w:val="auto"/>
              </w:rPr>
              <w:t>Share capital</w:t>
            </w:r>
          </w:p>
        </w:tc>
        <w:tc>
          <w:tcPr>
            <w:tcW w:w="2940" w:type="dxa"/>
            <w:vAlign w:val="bottom"/>
          </w:tcPr>
          <w:p>
            <w:pPr>
              <w:jc w:val="right"/>
              <w:ind w:right="827"/>
              <w:spacing w:after="0"/>
              <w:rPr>
                <w:sz w:val="20"/>
                <w:szCs w:val="20"/>
                <w:color w:val="auto"/>
              </w:rPr>
            </w:pPr>
            <w:r>
              <w:rPr>
                <w:rFonts w:ascii="Calibri" w:cs="Calibri" w:eastAsia="Calibri" w:hAnsi="Calibri"/>
                <w:sz w:val="15"/>
                <w:szCs w:val="15"/>
                <w:i w:val="1"/>
                <w:iCs w:val="1"/>
                <w:color w:val="auto"/>
              </w:rPr>
              <w:t>7</w:t>
            </w:r>
          </w:p>
        </w:tc>
        <w:tc>
          <w:tcPr>
            <w:tcW w:w="2140" w:type="dxa"/>
            <w:vAlign w:val="bottom"/>
            <w:vMerge w:val="restart"/>
          </w:tcPr>
          <w:p>
            <w:pPr>
              <w:jc w:val="right"/>
              <w:ind w:right="651"/>
              <w:spacing w:after="0"/>
              <w:rPr>
                <w:sz w:val="20"/>
                <w:szCs w:val="20"/>
                <w:color w:val="auto"/>
              </w:rPr>
            </w:pPr>
            <w:r>
              <w:rPr>
                <w:rFonts w:ascii="Arial" w:cs="Arial" w:eastAsia="Arial" w:hAnsi="Arial"/>
                <w:sz w:val="13"/>
                <w:szCs w:val="13"/>
                <w:b w:val="1"/>
                <w:bCs w:val="1"/>
                <w:color w:val="auto"/>
              </w:rPr>
              <w:t>443,728</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443,877</w:t>
            </w:r>
          </w:p>
        </w:tc>
        <w:tc>
          <w:tcPr>
            <w:tcW w:w="0" w:type="dxa"/>
            <w:vAlign w:val="bottom"/>
          </w:tcPr>
          <w:p>
            <w:pPr>
              <w:spacing w:after="0"/>
              <w:rPr>
                <w:sz w:val="1"/>
                <w:szCs w:val="1"/>
                <w:color w:val="auto"/>
              </w:rPr>
            </w:pPr>
          </w:p>
        </w:tc>
      </w:tr>
      <w:tr>
        <w:trPr>
          <w:trHeight w:val="73"/>
        </w:trPr>
        <w:tc>
          <w:tcPr>
            <w:tcW w:w="490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9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90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2940" w:type="dxa"/>
            <w:vAlign w:val="bottom"/>
          </w:tcPr>
          <w:p>
            <w:pPr>
              <w:spacing w:after="0"/>
              <w:rPr>
                <w:sz w:val="21"/>
                <w:szCs w:val="21"/>
                <w:color w:val="auto"/>
              </w:rPr>
            </w:pPr>
          </w:p>
        </w:tc>
        <w:tc>
          <w:tcPr>
            <w:tcW w:w="2140" w:type="dxa"/>
            <w:vAlign w:val="bottom"/>
            <w:vMerge w:val="restart"/>
          </w:tcPr>
          <w:p>
            <w:pPr>
              <w:jc w:val="right"/>
              <w:ind w:right="651"/>
              <w:spacing w:after="0"/>
              <w:rPr>
                <w:sz w:val="20"/>
                <w:szCs w:val="20"/>
                <w:color w:val="auto"/>
              </w:rPr>
            </w:pPr>
            <w:r>
              <w:rPr>
                <w:rFonts w:ascii="Arial" w:cs="Arial" w:eastAsia="Arial" w:hAnsi="Arial"/>
                <w:sz w:val="13"/>
                <w:szCs w:val="13"/>
                <w:b w:val="1"/>
                <w:bCs w:val="1"/>
                <w:color w:val="auto"/>
              </w:rPr>
              <w:t>43,791</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11,750</w:t>
            </w:r>
          </w:p>
        </w:tc>
        <w:tc>
          <w:tcPr>
            <w:tcW w:w="0" w:type="dxa"/>
            <w:vAlign w:val="bottom"/>
          </w:tcPr>
          <w:p>
            <w:pPr>
              <w:spacing w:after="0"/>
              <w:rPr>
                <w:sz w:val="1"/>
                <w:szCs w:val="1"/>
                <w:color w:val="auto"/>
              </w:rPr>
            </w:pPr>
          </w:p>
        </w:tc>
      </w:tr>
      <w:tr>
        <w:trPr>
          <w:trHeight w:val="72"/>
        </w:trPr>
        <w:tc>
          <w:tcPr>
            <w:tcW w:w="4900" w:type="dxa"/>
            <w:vAlign w:val="bottom"/>
          </w:tcPr>
          <w:p>
            <w:pPr>
              <w:spacing w:after="0"/>
              <w:rPr>
                <w:sz w:val="6"/>
                <w:szCs w:val="6"/>
                <w:color w:val="auto"/>
              </w:rPr>
            </w:pPr>
          </w:p>
        </w:tc>
        <w:tc>
          <w:tcPr>
            <w:tcW w:w="2940" w:type="dxa"/>
            <w:vAlign w:val="bottom"/>
            <w:vMerge w:val="restart"/>
          </w:tcPr>
          <w:p>
            <w:pPr>
              <w:jc w:val="right"/>
              <w:ind w:right="827"/>
              <w:spacing w:after="0"/>
              <w:rPr>
                <w:sz w:val="20"/>
                <w:szCs w:val="20"/>
                <w:color w:val="auto"/>
              </w:rPr>
            </w:pPr>
            <w:r>
              <w:rPr>
                <w:rFonts w:ascii="Calibri" w:cs="Calibri" w:eastAsia="Calibri" w:hAnsi="Calibri"/>
                <w:sz w:val="15"/>
                <w:szCs w:val="15"/>
                <w:i w:val="1"/>
                <w:iCs w:val="1"/>
                <w:color w:val="auto"/>
              </w:rPr>
              <w:t>7</w:t>
            </w: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900" w:type="dxa"/>
            <w:vAlign w:val="bottom"/>
            <w:vMerge w:val="restart"/>
          </w:tcPr>
          <w:p>
            <w:pPr>
              <w:ind w:left="500"/>
              <w:spacing w:after="0"/>
              <w:rPr>
                <w:sz w:val="20"/>
                <w:szCs w:val="20"/>
                <w:color w:val="auto"/>
              </w:rPr>
            </w:pPr>
            <w:r>
              <w:rPr>
                <w:rFonts w:ascii="Calibri" w:cs="Calibri" w:eastAsia="Calibri" w:hAnsi="Calibri"/>
                <w:sz w:val="15"/>
                <w:szCs w:val="15"/>
                <w:color w:val="auto"/>
              </w:rPr>
              <w:t>Optons reserve</w:t>
            </w:r>
          </w:p>
        </w:tc>
        <w:tc>
          <w:tcPr>
            <w:tcW w:w="2940" w:type="dxa"/>
            <w:vAlign w:val="bottom"/>
            <w:vMerge w:val="continue"/>
          </w:tcPr>
          <w:p>
            <w:pPr>
              <w:spacing w:after="0"/>
              <w:rPr>
                <w:sz w:val="14"/>
                <w:szCs w:val="14"/>
                <w:color w:val="auto"/>
              </w:rPr>
            </w:pPr>
          </w:p>
        </w:tc>
        <w:tc>
          <w:tcPr>
            <w:tcW w:w="2140" w:type="dxa"/>
            <w:vAlign w:val="bottom"/>
            <w:vMerge w:val="restart"/>
          </w:tcPr>
          <w:p>
            <w:pPr>
              <w:jc w:val="right"/>
              <w:ind w:right="651"/>
              <w:spacing w:after="0"/>
              <w:rPr>
                <w:sz w:val="20"/>
                <w:szCs w:val="20"/>
                <w:color w:val="auto"/>
              </w:rPr>
            </w:pPr>
            <w:r>
              <w:rPr>
                <w:rFonts w:ascii="Arial" w:cs="Arial" w:eastAsia="Arial" w:hAnsi="Arial"/>
                <w:sz w:val="13"/>
                <w:szCs w:val="13"/>
                <w:b w:val="1"/>
                <w:bCs w:val="1"/>
                <w:color w:val="auto"/>
              </w:rPr>
              <w:t>11,109</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39,177</w:t>
            </w:r>
          </w:p>
        </w:tc>
        <w:tc>
          <w:tcPr>
            <w:tcW w:w="0" w:type="dxa"/>
            <w:vAlign w:val="bottom"/>
          </w:tcPr>
          <w:p>
            <w:pPr>
              <w:spacing w:after="0"/>
              <w:rPr>
                <w:sz w:val="1"/>
                <w:szCs w:val="1"/>
                <w:color w:val="auto"/>
              </w:rPr>
            </w:pPr>
          </w:p>
        </w:tc>
      </w:tr>
      <w:tr>
        <w:trPr>
          <w:trHeight w:val="73"/>
        </w:trPr>
        <w:tc>
          <w:tcPr>
            <w:tcW w:w="490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900" w:type="dxa"/>
            <w:vAlign w:val="bottom"/>
          </w:tcPr>
          <w:p>
            <w:pPr>
              <w:spacing w:after="0"/>
              <w:rPr>
                <w:sz w:val="6"/>
                <w:szCs w:val="6"/>
                <w:color w:val="auto"/>
              </w:rPr>
            </w:pPr>
          </w:p>
        </w:tc>
        <w:tc>
          <w:tcPr>
            <w:tcW w:w="2940" w:type="dxa"/>
            <w:vAlign w:val="bottom"/>
            <w:vMerge w:val="restart"/>
          </w:tcPr>
          <w:p>
            <w:pPr>
              <w:jc w:val="right"/>
              <w:ind w:right="827"/>
              <w:spacing w:after="0"/>
              <w:rPr>
                <w:sz w:val="20"/>
                <w:szCs w:val="20"/>
                <w:color w:val="auto"/>
              </w:rPr>
            </w:pPr>
            <w:r>
              <w:rPr>
                <w:rFonts w:ascii="Calibri" w:cs="Calibri" w:eastAsia="Calibri" w:hAnsi="Calibri"/>
                <w:sz w:val="15"/>
                <w:szCs w:val="15"/>
                <w:i w:val="1"/>
                <w:iCs w:val="1"/>
                <w:color w:val="auto"/>
              </w:rPr>
              <w:t>7</w:t>
            </w: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900" w:type="dxa"/>
            <w:vAlign w:val="bottom"/>
            <w:vMerge w:val="restart"/>
          </w:tcPr>
          <w:p>
            <w:pPr>
              <w:ind w:left="500"/>
              <w:spacing w:after="0"/>
              <w:rPr>
                <w:sz w:val="20"/>
                <w:szCs w:val="20"/>
                <w:color w:val="auto"/>
              </w:rPr>
            </w:pPr>
            <w:r>
              <w:rPr>
                <w:rFonts w:ascii="Calibri" w:cs="Calibri" w:eastAsia="Calibri" w:hAnsi="Calibri"/>
                <w:sz w:val="15"/>
                <w:szCs w:val="15"/>
                <w:color w:val="auto"/>
              </w:rPr>
              <w:t>Warrants reserve</w:t>
            </w:r>
          </w:p>
        </w:tc>
        <w:tc>
          <w:tcPr>
            <w:tcW w:w="2940" w:type="dxa"/>
            <w:vAlign w:val="bottom"/>
            <w:vMerge w:val="continue"/>
          </w:tcPr>
          <w:p>
            <w:pPr>
              <w:spacing w:after="0"/>
              <w:rPr>
                <w:sz w:val="14"/>
                <w:szCs w:val="14"/>
                <w:color w:val="auto"/>
              </w:rPr>
            </w:pPr>
          </w:p>
        </w:tc>
        <w:tc>
          <w:tcPr>
            <w:tcW w:w="2140" w:type="dxa"/>
            <w:vAlign w:val="bottom"/>
            <w:vMerge w:val="restart"/>
          </w:tcPr>
          <w:p>
            <w:pPr>
              <w:jc w:val="right"/>
              <w:ind w:right="651"/>
              <w:spacing w:after="0"/>
              <w:rPr>
                <w:sz w:val="20"/>
                <w:szCs w:val="20"/>
                <w:color w:val="auto"/>
              </w:rPr>
            </w:pPr>
            <w:r>
              <w:rPr>
                <w:rFonts w:ascii="Arial" w:cs="Arial" w:eastAsia="Arial" w:hAnsi="Arial"/>
                <w:sz w:val="13"/>
                <w:szCs w:val="13"/>
                <w:b w:val="1"/>
                <w:bCs w:val="1"/>
                <w:color w:val="auto"/>
              </w:rPr>
              <w:t>25,639</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25,639</w:t>
            </w:r>
          </w:p>
        </w:tc>
        <w:tc>
          <w:tcPr>
            <w:tcW w:w="0" w:type="dxa"/>
            <w:vAlign w:val="bottom"/>
          </w:tcPr>
          <w:p>
            <w:pPr>
              <w:spacing w:after="0"/>
              <w:rPr>
                <w:sz w:val="1"/>
                <w:szCs w:val="1"/>
                <w:color w:val="auto"/>
              </w:rPr>
            </w:pPr>
          </w:p>
        </w:tc>
      </w:tr>
      <w:tr>
        <w:trPr>
          <w:trHeight w:val="73"/>
        </w:trPr>
        <w:tc>
          <w:tcPr>
            <w:tcW w:w="490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9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900" w:type="dxa"/>
            <w:vAlign w:val="bottom"/>
          </w:tcPr>
          <w:p>
            <w:pPr>
              <w:ind w:left="500"/>
              <w:spacing w:after="0"/>
              <w:rPr>
                <w:sz w:val="20"/>
                <w:szCs w:val="20"/>
                <w:color w:val="auto"/>
              </w:rPr>
            </w:pPr>
            <w:r>
              <w:rPr>
                <w:rFonts w:ascii="Calibri" w:cs="Calibri" w:eastAsia="Calibri" w:hAnsi="Calibri"/>
                <w:sz w:val="15"/>
                <w:szCs w:val="15"/>
                <w:color w:val="auto"/>
              </w:rPr>
              <w:t>Accumulated other comprehensive loss</w:t>
            </w:r>
          </w:p>
        </w:tc>
        <w:tc>
          <w:tcPr>
            <w:tcW w:w="2940" w:type="dxa"/>
            <w:vAlign w:val="bottom"/>
          </w:tcPr>
          <w:p>
            <w:pPr>
              <w:spacing w:after="0"/>
              <w:rPr>
                <w:sz w:val="21"/>
                <w:szCs w:val="21"/>
                <w:color w:val="auto"/>
              </w:rPr>
            </w:pPr>
          </w:p>
        </w:tc>
        <w:tc>
          <w:tcPr>
            <w:tcW w:w="214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(3,380)</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(2,285)</w:t>
            </w:r>
          </w:p>
        </w:tc>
        <w:tc>
          <w:tcPr>
            <w:tcW w:w="0" w:type="dxa"/>
            <w:vAlign w:val="bottom"/>
          </w:tcPr>
          <w:p>
            <w:pPr>
              <w:spacing w:after="0"/>
              <w:rPr>
                <w:sz w:val="1"/>
                <w:szCs w:val="1"/>
                <w:color w:val="auto"/>
              </w:rPr>
            </w:pPr>
          </w:p>
        </w:tc>
      </w:tr>
      <w:tr>
        <w:trPr>
          <w:trHeight w:val="72"/>
        </w:trPr>
        <w:tc>
          <w:tcPr>
            <w:tcW w:w="49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90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2940" w:type="dxa"/>
            <w:vAlign w:val="bottom"/>
          </w:tcPr>
          <w:p>
            <w:pPr>
              <w:spacing w:after="0"/>
              <w:rPr>
                <w:sz w:val="21"/>
                <w:szCs w:val="21"/>
                <w:color w:val="auto"/>
              </w:rPr>
            </w:pPr>
          </w:p>
        </w:tc>
        <w:tc>
          <w:tcPr>
            <w:tcW w:w="214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(241,055)</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(226,231)</w:t>
            </w:r>
          </w:p>
        </w:tc>
        <w:tc>
          <w:tcPr>
            <w:tcW w:w="0" w:type="dxa"/>
            <w:vAlign w:val="bottom"/>
          </w:tcPr>
          <w:p>
            <w:pPr>
              <w:spacing w:after="0"/>
              <w:rPr>
                <w:sz w:val="1"/>
                <w:szCs w:val="1"/>
                <w:color w:val="auto"/>
              </w:rPr>
            </w:pPr>
          </w:p>
        </w:tc>
      </w:tr>
      <w:tr>
        <w:trPr>
          <w:trHeight w:val="72"/>
        </w:trPr>
        <w:tc>
          <w:tcPr>
            <w:tcW w:w="49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9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SHAREHOLDERS' EQUITY</w:t>
            </w:r>
          </w:p>
        </w:tc>
        <w:tc>
          <w:tcPr>
            <w:tcW w:w="2940" w:type="dxa"/>
            <w:vAlign w:val="bottom"/>
            <w:tcBorders>
              <w:bottom w:val="single" w:sz="8" w:color="D9D9D9"/>
            </w:tcBorders>
            <w:shd w:val="clear" w:color="auto" w:fill="D9D9D9"/>
          </w:tcPr>
          <w:p>
            <w:pPr>
              <w:spacing w:after="0"/>
              <w:rPr>
                <w:sz w:val="16"/>
                <w:szCs w:val="16"/>
                <w:color w:val="auto"/>
              </w:rPr>
            </w:pPr>
          </w:p>
        </w:tc>
        <w:tc>
          <w:tcPr>
            <w:tcW w:w="2140" w:type="dxa"/>
            <w:vAlign w:val="bottom"/>
            <w:tcBorders>
              <w:bottom w:val="single" w:sz="8" w:color="D9D9D9"/>
            </w:tcBorders>
            <w:shd w:val="clear" w:color="auto" w:fill="D9D9D9"/>
          </w:tcPr>
          <w:p>
            <w:pPr>
              <w:jc w:val="right"/>
              <w:ind w:right="651"/>
              <w:spacing w:after="0" w:line="165" w:lineRule="exact"/>
              <w:rPr>
                <w:sz w:val="20"/>
                <w:szCs w:val="20"/>
                <w:color w:val="auto"/>
              </w:rPr>
            </w:pPr>
            <w:r>
              <w:rPr>
                <w:rFonts w:ascii="Calibri" w:cs="Calibri" w:eastAsia="Calibri" w:hAnsi="Calibri"/>
                <w:sz w:val="15"/>
                <w:szCs w:val="15"/>
                <w:b w:val="1"/>
                <w:bCs w:val="1"/>
                <w:color w:val="auto"/>
              </w:rPr>
              <w:t>279,832</w:t>
            </w:r>
          </w:p>
        </w:tc>
        <w:tc>
          <w:tcPr>
            <w:tcW w:w="128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291,927</w:t>
            </w:r>
          </w:p>
        </w:tc>
        <w:tc>
          <w:tcPr>
            <w:tcW w:w="0" w:type="dxa"/>
            <w:vAlign w:val="bottom"/>
          </w:tcPr>
          <w:p>
            <w:pPr>
              <w:spacing w:after="0"/>
              <w:rPr>
                <w:sz w:val="1"/>
                <w:szCs w:val="1"/>
                <w:color w:val="auto"/>
              </w:rPr>
            </w:pPr>
          </w:p>
        </w:tc>
      </w:tr>
      <w:tr>
        <w:trPr>
          <w:trHeight w:val="28"/>
        </w:trPr>
        <w:tc>
          <w:tcPr>
            <w:tcW w:w="4900" w:type="dxa"/>
            <w:vAlign w:val="bottom"/>
            <w:tcBorders>
              <w:top w:val="single" w:sz="8" w:color="auto"/>
            </w:tcBorders>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9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2940" w:type="dxa"/>
            <w:vAlign w:val="bottom"/>
            <w:tcBorders>
              <w:bottom w:val="single" w:sz="8" w:color="D9D9D9"/>
            </w:tcBorders>
            <w:shd w:val="clear" w:color="auto" w:fill="D9D9D9"/>
          </w:tcPr>
          <w:p>
            <w:pPr>
              <w:spacing w:after="0"/>
              <w:rPr>
                <w:sz w:val="15"/>
                <w:szCs w:val="15"/>
                <w:color w:val="auto"/>
              </w:rPr>
            </w:pPr>
          </w:p>
        </w:tc>
        <w:tc>
          <w:tcPr>
            <w:tcW w:w="2140" w:type="dxa"/>
            <w:vAlign w:val="bottom"/>
            <w:tcBorders>
              <w:bottom w:val="single" w:sz="8" w:color="D9D9D9"/>
            </w:tcBorders>
            <w:shd w:val="clear" w:color="auto" w:fill="D9D9D9"/>
          </w:tcPr>
          <w:p>
            <w:pPr>
              <w:jc w:val="right"/>
              <w:ind w:right="651"/>
              <w:spacing w:after="0" w:line="173" w:lineRule="exact"/>
              <w:rPr>
                <w:sz w:val="20"/>
                <w:szCs w:val="20"/>
                <w:color w:val="auto"/>
              </w:rPr>
            </w:pPr>
            <w:r>
              <w:rPr>
                <w:rFonts w:ascii="Calibri" w:cs="Calibri" w:eastAsia="Calibri" w:hAnsi="Calibri"/>
                <w:sz w:val="15"/>
                <w:szCs w:val="15"/>
                <w:b w:val="1"/>
                <w:bCs w:val="1"/>
                <w:color w:val="auto"/>
              </w:rPr>
              <w:t>284,647</w:t>
            </w:r>
          </w:p>
        </w:tc>
        <w:tc>
          <w:tcPr>
            <w:tcW w:w="128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302,023</w:t>
            </w:r>
          </w:p>
        </w:tc>
        <w:tc>
          <w:tcPr>
            <w:tcW w:w="0" w:type="dxa"/>
            <w:vAlign w:val="bottom"/>
          </w:tcPr>
          <w:p>
            <w:pPr>
              <w:spacing w:after="0"/>
              <w:rPr>
                <w:sz w:val="1"/>
                <w:szCs w:val="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 Contracts, commitments and contngencies (note 11)</w:t>
      </w:r>
    </w:p>
    <w:p>
      <w:pPr>
        <w:spacing w:after="0" w:line="18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pacing w:after="0" w:line="143" w:lineRule="exact"/>
        <w:rPr>
          <w:sz w:val="20"/>
          <w:szCs w:val="20"/>
          <w:color w:val="auto"/>
        </w:rPr>
      </w:pPr>
    </w:p>
    <w:p>
      <w:pPr>
        <w:spacing w:after="0"/>
        <w:rPr>
          <w:sz w:val="20"/>
          <w:szCs w:val="20"/>
          <w:color w:val="auto"/>
        </w:rPr>
      </w:pPr>
      <w:r>
        <w:rPr>
          <w:rFonts w:ascii="Calibri" w:cs="Calibri" w:eastAsia="Calibri" w:hAnsi="Calibri"/>
          <w:sz w:val="16"/>
          <w:szCs w:val="16"/>
          <w:color w:val="auto"/>
        </w:rPr>
        <w:t>These condensed interim consolidated fnancial statements were approved for issue on August 7, 2024 by the board of directors and signed on its behalf by:</w:t>
      </w:r>
    </w:p>
    <w:p>
      <w:pPr>
        <w:spacing w:after="0" w:line="131" w:lineRule="exact"/>
        <w:rPr>
          <w:sz w:val="20"/>
          <w:szCs w:val="20"/>
          <w:color w:val="auto"/>
        </w:rPr>
      </w:pPr>
    </w:p>
    <w:p>
      <w:pPr>
        <w:spacing w:after="0"/>
        <w:tabs>
          <w:tab w:leader="none" w:pos="270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ectPr>
          <w:pgSz w:w="11900" w:h="16838" w:orient="portrait"/>
          <w:cols w:equalWidth="0" w:num="1">
            <w:col w:w="11260"/>
          </w:cols>
          <w:pgMar w:left="320" w:top="209" w:right="319" w:bottom="1440" w:gutter="0" w:footer="0" w:header="0"/>
          <w:type w:val="continuous"/>
        </w:sectPr>
      </w:pPr>
    </w:p>
    <w:bookmarkStart w:id="6" w:name="page7"/>
    <w:bookmarkEnd w:id="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25" w:lineRule="auto"/>
        <w:rPr>
          <w:sz w:val="20"/>
          <w:szCs w:val="20"/>
          <w:color w:val="auto"/>
        </w:rPr>
      </w:pPr>
      <w:r>
        <w:rPr>
          <w:rFonts w:ascii="Calibri" w:cs="Calibri" w:eastAsia="Calibri" w:hAnsi="Calibri"/>
          <w:sz w:val="19"/>
          <w:szCs w:val="19"/>
          <w:b w:val="1"/>
          <w:bCs w:val="1"/>
          <w:color w:val="auto"/>
        </w:rPr>
        <w:t>CONDENSED INTERIM CONSOLIDATED STATEMENTS OF LOSS AND COMPREHENSIVE LOSS</w:t>
      </w:r>
    </w:p>
    <w:p>
      <w:pPr>
        <w:ind w:left="60"/>
        <w:spacing w:after="0" w:line="225" w:lineRule="auto"/>
        <w:rPr>
          <w:sz w:val="20"/>
          <w:szCs w:val="20"/>
          <w:color w:val="auto"/>
        </w:rPr>
      </w:pPr>
      <w:r>
        <w:rPr>
          <w:rFonts w:ascii="Calibri" w:cs="Calibri" w:eastAsia="Calibri" w:hAnsi="Calibri"/>
          <w:sz w:val="19"/>
          <w:szCs w:val="19"/>
          <w:b w:val="1"/>
          <w:bCs w:val="1"/>
          <w:color w:val="auto"/>
        </w:rPr>
        <w:t>(All amounts expressed in thousands of Canadian dollars, except share and per share amounts)</w:t>
      </w:r>
    </w:p>
    <w:p>
      <w:pPr>
        <w:ind w:left="60"/>
        <w:spacing w:after="0" w:line="237" w:lineRule="auto"/>
        <w:rPr>
          <w:sz w:val="20"/>
          <w:szCs w:val="20"/>
          <w:color w:val="auto"/>
        </w:rPr>
      </w:pPr>
      <w:r>
        <w:rPr>
          <w:rFonts w:ascii="Calibri" w:cs="Calibri" w:eastAsia="Calibri" w:hAnsi="Calibri"/>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7146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840"/>
        <w:spacing w:after="0"/>
        <w:rPr>
          <w:sz w:val="20"/>
          <w:szCs w:val="20"/>
          <w:color w:val="auto"/>
        </w:rPr>
      </w:pPr>
      <w:r>
        <w:rPr>
          <w:rFonts w:ascii="Calibri" w:cs="Calibri" w:eastAsia="Calibri" w:hAnsi="Calibri"/>
          <w:sz w:val="15"/>
          <w:szCs w:val="15"/>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6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spacing w:after="0"/>
              <w:rPr>
                <w:sz w:val="15"/>
                <w:szCs w:val="15"/>
                <w:color w:val="auto"/>
              </w:rPr>
            </w:pPr>
          </w:p>
        </w:tc>
        <w:tc>
          <w:tcPr>
            <w:tcW w:w="700" w:type="dxa"/>
            <w:vAlign w:val="bottom"/>
          </w:tcPr>
          <w:p>
            <w:pPr>
              <w:ind w:left="300"/>
              <w:spacing w:after="0"/>
              <w:rPr>
                <w:sz w:val="20"/>
                <w:szCs w:val="20"/>
                <w:color w:val="auto"/>
              </w:rPr>
            </w:pPr>
            <w:r>
              <w:rPr>
                <w:rFonts w:ascii="Calibri" w:cs="Calibri" w:eastAsia="Calibri" w:hAnsi="Calibri"/>
                <w:sz w:val="15"/>
                <w:szCs w:val="15"/>
                <w:i w:val="1"/>
                <w:iCs w:val="1"/>
                <w:color w:val="auto"/>
              </w:rPr>
              <w:t>Notes</w:t>
            </w:r>
          </w:p>
        </w:tc>
        <w:tc>
          <w:tcPr>
            <w:tcW w:w="188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2024</w:t>
            </w: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2023</w:t>
            </w:r>
          </w:p>
        </w:tc>
        <w:tc>
          <w:tcPr>
            <w:tcW w:w="0" w:type="dxa"/>
            <w:vAlign w:val="bottom"/>
          </w:tcPr>
          <w:p>
            <w:pPr>
              <w:spacing w:after="0"/>
              <w:rPr>
                <w:sz w:val="1"/>
                <w:szCs w:val="1"/>
                <w:color w:val="auto"/>
              </w:rPr>
            </w:pPr>
          </w:p>
        </w:tc>
      </w:tr>
      <w:tr>
        <w:trPr>
          <w:trHeight w:val="73"/>
        </w:trPr>
        <w:tc>
          <w:tcPr>
            <w:tcW w:w="7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9"/>
        </w:trPr>
        <w:tc>
          <w:tcPr>
            <w:tcW w:w="748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480" w:type="dxa"/>
            <w:vAlign w:val="bottom"/>
            <w:vMerge w:val="restart"/>
          </w:tcPr>
          <w:p>
            <w:pPr>
              <w:ind w:left="200"/>
              <w:spacing w:after="0"/>
              <w:rPr>
                <w:sz w:val="20"/>
                <w:szCs w:val="20"/>
                <w:color w:val="auto"/>
              </w:rPr>
            </w:pPr>
            <w:r>
              <w:rPr>
                <w:rFonts w:ascii="Calibri" w:cs="Calibri" w:eastAsia="Calibri" w:hAnsi="Calibri"/>
                <w:sz w:val="15"/>
                <w:szCs w:val="15"/>
                <w:color w:val="auto"/>
              </w:rPr>
              <w:t>Research</w:t>
            </w:r>
          </w:p>
        </w:tc>
        <w:tc>
          <w:tcPr>
            <w:tcW w:w="70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10</w:t>
            </w:r>
          </w:p>
        </w:tc>
        <w:tc>
          <w:tcPr>
            <w:tcW w:w="1880" w:type="dxa"/>
            <w:vAlign w:val="bottom"/>
            <w:vMerge w:val="restart"/>
          </w:tcPr>
          <w:p>
            <w:pPr>
              <w:jc w:val="right"/>
              <w:ind w:right="487"/>
              <w:spacing w:after="0"/>
              <w:rPr>
                <w:sz w:val="20"/>
                <w:szCs w:val="20"/>
                <w:color w:val="auto"/>
              </w:rPr>
            </w:pPr>
            <w:r>
              <w:rPr>
                <w:rFonts w:ascii="Calibri" w:cs="Calibri" w:eastAsia="Calibri" w:hAnsi="Calibri"/>
                <w:sz w:val="15"/>
                <w:szCs w:val="15"/>
                <w:b w:val="1"/>
                <w:bCs w:val="1"/>
                <w:color w:val="auto"/>
              </w:rPr>
              <w:t>8,041</w:t>
            </w:r>
          </w:p>
        </w:tc>
        <w:tc>
          <w:tcPr>
            <w:tcW w:w="1200" w:type="dxa"/>
            <w:vAlign w:val="bottom"/>
            <w:vMerge w:val="restart"/>
          </w:tcPr>
          <w:p>
            <w:pPr>
              <w:jc w:val="right"/>
              <w:spacing w:after="0"/>
              <w:rPr>
                <w:sz w:val="20"/>
                <w:szCs w:val="20"/>
                <w:color w:val="auto"/>
              </w:rPr>
            </w:pPr>
            <w:r>
              <w:rPr>
                <w:rFonts w:ascii="Calibri" w:cs="Calibri" w:eastAsia="Calibri" w:hAnsi="Calibri"/>
                <w:sz w:val="15"/>
                <w:szCs w:val="15"/>
                <w:color w:val="auto"/>
              </w:rPr>
              <w:t>6,384</w:t>
            </w:r>
          </w:p>
        </w:tc>
        <w:tc>
          <w:tcPr>
            <w:tcW w:w="0" w:type="dxa"/>
            <w:vAlign w:val="bottom"/>
          </w:tcPr>
          <w:p>
            <w:pPr>
              <w:spacing w:after="0"/>
              <w:rPr>
                <w:sz w:val="1"/>
                <w:szCs w:val="1"/>
                <w:color w:val="auto"/>
              </w:rPr>
            </w:pPr>
          </w:p>
        </w:tc>
      </w:tr>
      <w:tr>
        <w:trPr>
          <w:trHeight w:val="85"/>
        </w:trPr>
        <w:tc>
          <w:tcPr>
            <w:tcW w:w="7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480" w:type="dxa"/>
            <w:vAlign w:val="bottom"/>
            <w:vMerge w:val="restart"/>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700" w:type="dxa"/>
            <w:vAlign w:val="bottom"/>
          </w:tcPr>
          <w:p>
            <w:pPr>
              <w:jc w:val="center"/>
              <w:spacing w:after="0"/>
              <w:rPr>
                <w:sz w:val="20"/>
                <w:szCs w:val="20"/>
                <w:color w:val="auto"/>
              </w:rPr>
            </w:pPr>
            <w:r>
              <w:rPr>
                <w:rFonts w:ascii="Calibri" w:cs="Calibri" w:eastAsia="Calibri" w:hAnsi="Calibri"/>
                <w:sz w:val="15"/>
                <w:szCs w:val="15"/>
                <w:i w:val="1"/>
                <w:iCs w:val="1"/>
                <w:color w:val="auto"/>
                <w:w w:val="78"/>
              </w:rPr>
              <w:t>9</w:t>
            </w:r>
          </w:p>
        </w:tc>
        <w:tc>
          <w:tcPr>
            <w:tcW w:w="1880" w:type="dxa"/>
            <w:vAlign w:val="bottom"/>
            <w:vMerge w:val="restart"/>
          </w:tcPr>
          <w:p>
            <w:pPr>
              <w:jc w:val="right"/>
              <w:ind w:right="487"/>
              <w:spacing w:after="0"/>
              <w:rPr>
                <w:sz w:val="20"/>
                <w:szCs w:val="20"/>
                <w:color w:val="auto"/>
              </w:rPr>
            </w:pPr>
            <w:r>
              <w:rPr>
                <w:rFonts w:ascii="Calibri" w:cs="Calibri" w:eastAsia="Calibri" w:hAnsi="Calibri"/>
                <w:sz w:val="15"/>
                <w:szCs w:val="15"/>
                <w:b w:val="1"/>
                <w:bCs w:val="1"/>
                <w:color w:val="auto"/>
              </w:rPr>
              <w:t>8,303</w:t>
            </w:r>
          </w:p>
        </w:tc>
        <w:tc>
          <w:tcPr>
            <w:tcW w:w="1200" w:type="dxa"/>
            <w:vAlign w:val="bottom"/>
            <w:vMerge w:val="restart"/>
          </w:tcPr>
          <w:p>
            <w:pPr>
              <w:jc w:val="right"/>
              <w:spacing w:after="0"/>
              <w:rPr>
                <w:sz w:val="20"/>
                <w:szCs w:val="20"/>
                <w:color w:val="auto"/>
              </w:rPr>
            </w:pPr>
            <w:r>
              <w:rPr>
                <w:rFonts w:ascii="Calibri" w:cs="Calibri" w:eastAsia="Calibri" w:hAnsi="Calibri"/>
                <w:sz w:val="15"/>
                <w:szCs w:val="15"/>
                <w:color w:val="auto"/>
              </w:rPr>
              <w:t>5,048</w:t>
            </w:r>
          </w:p>
        </w:tc>
        <w:tc>
          <w:tcPr>
            <w:tcW w:w="0" w:type="dxa"/>
            <w:vAlign w:val="bottom"/>
          </w:tcPr>
          <w:p>
            <w:pPr>
              <w:spacing w:after="0"/>
              <w:rPr>
                <w:sz w:val="1"/>
                <w:szCs w:val="1"/>
                <w:color w:val="auto"/>
              </w:rPr>
            </w:pPr>
          </w:p>
        </w:tc>
      </w:tr>
      <w:tr>
        <w:trPr>
          <w:trHeight w:val="85"/>
        </w:trPr>
        <w:tc>
          <w:tcPr>
            <w:tcW w:w="7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480" w:type="dxa"/>
            <w:vAlign w:val="bottom"/>
            <w:vMerge w:val="restart"/>
          </w:tcPr>
          <w:p>
            <w:pPr>
              <w:ind w:left="200"/>
              <w:spacing w:after="0"/>
              <w:rPr>
                <w:sz w:val="20"/>
                <w:szCs w:val="20"/>
                <w:color w:val="auto"/>
              </w:rPr>
            </w:pPr>
            <w:r>
              <w:rPr>
                <w:rFonts w:ascii="Calibri" w:cs="Calibri" w:eastAsia="Calibri" w:hAnsi="Calibri"/>
                <w:sz w:val="15"/>
                <w:szCs w:val="15"/>
                <w:color w:val="auto"/>
              </w:rPr>
              <w:t>Share-based compensaton</w:t>
            </w:r>
          </w:p>
        </w:tc>
        <w:tc>
          <w:tcPr>
            <w:tcW w:w="700" w:type="dxa"/>
            <w:vAlign w:val="bottom"/>
          </w:tcPr>
          <w:p>
            <w:pPr>
              <w:jc w:val="center"/>
              <w:spacing w:after="0"/>
              <w:rPr>
                <w:sz w:val="20"/>
                <w:szCs w:val="20"/>
                <w:color w:val="auto"/>
              </w:rPr>
            </w:pPr>
            <w:r>
              <w:rPr>
                <w:rFonts w:ascii="Calibri" w:cs="Calibri" w:eastAsia="Calibri" w:hAnsi="Calibri"/>
                <w:sz w:val="15"/>
                <w:szCs w:val="15"/>
                <w:i w:val="1"/>
                <w:iCs w:val="1"/>
                <w:color w:val="auto"/>
                <w:w w:val="78"/>
              </w:rPr>
              <w:t>7</w:t>
            </w:r>
          </w:p>
        </w:tc>
        <w:tc>
          <w:tcPr>
            <w:tcW w:w="1880" w:type="dxa"/>
            <w:vAlign w:val="bottom"/>
            <w:vMerge w:val="restart"/>
          </w:tcPr>
          <w:p>
            <w:pPr>
              <w:jc w:val="right"/>
              <w:ind w:right="487"/>
              <w:spacing w:after="0"/>
              <w:rPr>
                <w:sz w:val="20"/>
                <w:szCs w:val="20"/>
                <w:color w:val="auto"/>
              </w:rPr>
            </w:pPr>
            <w:r>
              <w:rPr>
                <w:rFonts w:ascii="Calibri" w:cs="Calibri" w:eastAsia="Calibri" w:hAnsi="Calibri"/>
                <w:sz w:val="15"/>
                <w:szCs w:val="15"/>
                <w:b w:val="1"/>
                <w:bCs w:val="1"/>
                <w:color w:val="auto"/>
              </w:rPr>
              <w:t>3,973</w:t>
            </w:r>
          </w:p>
        </w:tc>
        <w:tc>
          <w:tcPr>
            <w:tcW w:w="1200" w:type="dxa"/>
            <w:vAlign w:val="bottom"/>
            <w:vMerge w:val="restart"/>
          </w:tcPr>
          <w:p>
            <w:pPr>
              <w:jc w:val="right"/>
              <w:spacing w:after="0"/>
              <w:rPr>
                <w:sz w:val="20"/>
                <w:szCs w:val="20"/>
                <w:color w:val="auto"/>
              </w:rPr>
            </w:pPr>
            <w:r>
              <w:rPr>
                <w:rFonts w:ascii="Calibri" w:cs="Calibri" w:eastAsia="Calibri" w:hAnsi="Calibri"/>
                <w:sz w:val="15"/>
                <w:szCs w:val="15"/>
                <w:color w:val="auto"/>
              </w:rPr>
              <w:t>1,275</w:t>
            </w:r>
          </w:p>
        </w:tc>
        <w:tc>
          <w:tcPr>
            <w:tcW w:w="0" w:type="dxa"/>
            <w:vAlign w:val="bottom"/>
          </w:tcPr>
          <w:p>
            <w:pPr>
              <w:spacing w:after="0"/>
              <w:rPr>
                <w:sz w:val="1"/>
                <w:szCs w:val="1"/>
                <w:color w:val="auto"/>
              </w:rPr>
            </w:pPr>
          </w:p>
        </w:tc>
      </w:tr>
      <w:tr>
        <w:trPr>
          <w:trHeight w:val="85"/>
        </w:trPr>
        <w:tc>
          <w:tcPr>
            <w:tcW w:w="7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7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EXPENSES</w:t>
            </w:r>
          </w:p>
        </w:tc>
        <w:tc>
          <w:tcPr>
            <w:tcW w:w="700" w:type="dxa"/>
            <w:vAlign w:val="bottom"/>
          </w:tcPr>
          <w:p>
            <w:pPr>
              <w:spacing w:after="0"/>
              <w:rPr>
                <w:sz w:val="14"/>
                <w:szCs w:val="14"/>
                <w:color w:val="auto"/>
              </w:rPr>
            </w:pPr>
          </w:p>
        </w:tc>
        <w:tc>
          <w:tcPr>
            <w:tcW w:w="1880" w:type="dxa"/>
            <w:vAlign w:val="bottom"/>
          </w:tcPr>
          <w:p>
            <w:pPr>
              <w:jc w:val="right"/>
              <w:ind w:right="487"/>
              <w:spacing w:after="0" w:line="165" w:lineRule="exact"/>
              <w:rPr>
                <w:sz w:val="20"/>
                <w:szCs w:val="20"/>
                <w:color w:val="auto"/>
              </w:rPr>
            </w:pPr>
            <w:r>
              <w:rPr>
                <w:rFonts w:ascii="Calibri" w:cs="Calibri" w:eastAsia="Calibri" w:hAnsi="Calibri"/>
                <w:sz w:val="15"/>
                <w:szCs w:val="15"/>
                <w:b w:val="1"/>
                <w:bCs w:val="1"/>
                <w:color w:val="auto"/>
              </w:rPr>
              <w:t>20,317</w:t>
            </w:r>
          </w:p>
        </w:tc>
        <w:tc>
          <w:tcPr>
            <w:tcW w:w="1200" w:type="dxa"/>
            <w:vAlign w:val="bottom"/>
          </w:tcPr>
          <w:p>
            <w:pPr>
              <w:jc w:val="right"/>
              <w:ind w:right="87"/>
              <w:spacing w:after="0" w:line="165" w:lineRule="exact"/>
              <w:rPr>
                <w:sz w:val="20"/>
                <w:szCs w:val="20"/>
                <w:color w:val="auto"/>
              </w:rPr>
            </w:pPr>
            <w:r>
              <w:rPr>
                <w:rFonts w:ascii="Calibri" w:cs="Calibri" w:eastAsia="Calibri" w:hAnsi="Calibri"/>
                <w:sz w:val="15"/>
                <w:szCs w:val="15"/>
                <w:color w:val="auto"/>
              </w:rPr>
              <w:t>12,707</w:t>
            </w:r>
          </w:p>
        </w:tc>
        <w:tc>
          <w:tcPr>
            <w:tcW w:w="0" w:type="dxa"/>
            <w:vAlign w:val="bottom"/>
          </w:tcPr>
          <w:p>
            <w:pPr>
              <w:spacing w:after="0"/>
              <w:rPr>
                <w:sz w:val="1"/>
                <w:szCs w:val="1"/>
                <w:color w:val="auto"/>
              </w:rPr>
            </w:pPr>
          </w:p>
        </w:tc>
      </w:tr>
      <w:tr>
        <w:trPr>
          <w:trHeight w:val="21"/>
        </w:trPr>
        <w:tc>
          <w:tcPr>
            <w:tcW w:w="7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748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48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700" w:type="dxa"/>
            <w:vAlign w:val="bottom"/>
          </w:tcPr>
          <w:p>
            <w:pPr>
              <w:spacing w:after="0"/>
              <w:rPr>
                <w:sz w:val="24"/>
                <w:szCs w:val="24"/>
                <w:color w:val="auto"/>
              </w:rPr>
            </w:pPr>
          </w:p>
        </w:tc>
        <w:tc>
          <w:tcPr>
            <w:tcW w:w="188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3,352</w:t>
            </w:r>
          </w:p>
        </w:tc>
        <w:tc>
          <w:tcPr>
            <w:tcW w:w="1200" w:type="dxa"/>
            <w:vAlign w:val="bottom"/>
          </w:tcPr>
          <w:p>
            <w:pPr>
              <w:jc w:val="right"/>
              <w:spacing w:after="0"/>
              <w:rPr>
                <w:sz w:val="20"/>
                <w:szCs w:val="20"/>
                <w:color w:val="auto"/>
              </w:rPr>
            </w:pPr>
            <w:r>
              <w:rPr>
                <w:rFonts w:ascii="Calibri" w:cs="Calibri" w:eastAsia="Calibri" w:hAnsi="Calibri"/>
                <w:sz w:val="15"/>
                <w:szCs w:val="15"/>
                <w:color w:val="auto"/>
              </w:rPr>
              <w:t>(1,891)</w:t>
            </w:r>
          </w:p>
        </w:tc>
        <w:tc>
          <w:tcPr>
            <w:tcW w:w="0" w:type="dxa"/>
            <w:vAlign w:val="bottom"/>
          </w:tcPr>
          <w:p>
            <w:pPr>
              <w:spacing w:after="0"/>
              <w:rPr>
                <w:sz w:val="1"/>
                <w:szCs w:val="1"/>
                <w:color w:val="auto"/>
              </w:rPr>
            </w:pPr>
          </w:p>
        </w:tc>
      </w:tr>
      <w:tr>
        <w:trPr>
          <w:trHeight w:val="314"/>
        </w:trPr>
        <w:tc>
          <w:tcPr>
            <w:tcW w:w="748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700" w:type="dxa"/>
            <w:vAlign w:val="bottom"/>
          </w:tcPr>
          <w:p>
            <w:pPr>
              <w:spacing w:after="0"/>
              <w:rPr>
                <w:sz w:val="24"/>
                <w:szCs w:val="24"/>
                <w:color w:val="auto"/>
              </w:rPr>
            </w:pPr>
          </w:p>
        </w:tc>
        <w:tc>
          <w:tcPr>
            <w:tcW w:w="188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2,141</w:t>
            </w:r>
          </w:p>
        </w:tc>
        <w:tc>
          <w:tcPr>
            <w:tcW w:w="1200" w:type="dxa"/>
            <w:vAlign w:val="bottom"/>
          </w:tcPr>
          <w:p>
            <w:pPr>
              <w:jc w:val="right"/>
              <w:spacing w:after="0"/>
              <w:rPr>
                <w:sz w:val="20"/>
                <w:szCs w:val="20"/>
                <w:color w:val="auto"/>
              </w:rPr>
            </w:pPr>
            <w:r>
              <w:rPr>
                <w:rFonts w:ascii="Calibri" w:cs="Calibri" w:eastAsia="Calibri" w:hAnsi="Calibri"/>
                <w:sz w:val="15"/>
                <w:szCs w:val="15"/>
                <w:color w:val="auto"/>
              </w:rPr>
              <w:t>84</w:t>
            </w:r>
          </w:p>
        </w:tc>
        <w:tc>
          <w:tcPr>
            <w:tcW w:w="0" w:type="dxa"/>
            <w:vAlign w:val="bottom"/>
          </w:tcPr>
          <w:p>
            <w:pPr>
              <w:spacing w:after="0"/>
              <w:rPr>
                <w:sz w:val="1"/>
                <w:szCs w:val="1"/>
                <w:color w:val="auto"/>
              </w:rPr>
            </w:pPr>
          </w:p>
        </w:tc>
      </w:tr>
      <w:tr>
        <w:trPr>
          <w:trHeight w:val="290"/>
        </w:trPr>
        <w:tc>
          <w:tcPr>
            <w:tcW w:w="7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OTHER INCOME (EXPENSES)</w:t>
            </w:r>
          </w:p>
        </w:tc>
        <w:tc>
          <w:tcPr>
            <w:tcW w:w="700" w:type="dxa"/>
            <w:vAlign w:val="bottom"/>
          </w:tcPr>
          <w:p>
            <w:pPr>
              <w:spacing w:after="0"/>
              <w:rPr>
                <w:sz w:val="14"/>
                <w:szCs w:val="14"/>
                <w:color w:val="auto"/>
              </w:rPr>
            </w:pPr>
          </w:p>
        </w:tc>
        <w:tc>
          <w:tcPr>
            <w:tcW w:w="1880" w:type="dxa"/>
            <w:vAlign w:val="bottom"/>
          </w:tcPr>
          <w:p>
            <w:pPr>
              <w:jc w:val="right"/>
              <w:ind w:right="487"/>
              <w:spacing w:after="0" w:line="165" w:lineRule="exact"/>
              <w:rPr>
                <w:sz w:val="20"/>
                <w:szCs w:val="20"/>
                <w:color w:val="auto"/>
              </w:rPr>
            </w:pPr>
            <w:r>
              <w:rPr>
                <w:rFonts w:ascii="Calibri" w:cs="Calibri" w:eastAsia="Calibri" w:hAnsi="Calibri"/>
                <w:sz w:val="15"/>
                <w:szCs w:val="15"/>
                <w:b w:val="1"/>
                <w:bCs w:val="1"/>
                <w:color w:val="auto"/>
              </w:rPr>
              <w:t>5,493</w:t>
            </w:r>
          </w:p>
        </w:tc>
        <w:tc>
          <w:tcPr>
            <w:tcW w:w="1200" w:type="dxa"/>
            <w:vAlign w:val="bottom"/>
          </w:tcPr>
          <w:p>
            <w:pPr>
              <w:jc w:val="right"/>
              <w:spacing w:after="0" w:line="165" w:lineRule="exact"/>
              <w:rPr>
                <w:sz w:val="20"/>
                <w:szCs w:val="20"/>
                <w:color w:val="auto"/>
              </w:rPr>
            </w:pPr>
            <w:r>
              <w:rPr>
                <w:rFonts w:ascii="Calibri" w:cs="Calibri" w:eastAsia="Calibri" w:hAnsi="Calibri"/>
                <w:sz w:val="15"/>
                <w:szCs w:val="15"/>
                <w:color w:val="auto"/>
              </w:rPr>
              <w:t>(1,807)</w:t>
            </w:r>
          </w:p>
        </w:tc>
        <w:tc>
          <w:tcPr>
            <w:tcW w:w="0" w:type="dxa"/>
            <w:vAlign w:val="bottom"/>
          </w:tcPr>
          <w:p>
            <w:pPr>
              <w:spacing w:after="0"/>
              <w:rPr>
                <w:sz w:val="1"/>
                <w:szCs w:val="1"/>
                <w:color w:val="auto"/>
              </w:rPr>
            </w:pPr>
          </w:p>
        </w:tc>
      </w:tr>
      <w:tr>
        <w:trPr>
          <w:trHeight w:val="21"/>
        </w:trPr>
        <w:tc>
          <w:tcPr>
            <w:tcW w:w="7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48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NET LOSS FOR THE PERIOD</w:t>
            </w:r>
          </w:p>
        </w:tc>
        <w:tc>
          <w:tcPr>
            <w:tcW w:w="700" w:type="dxa"/>
            <w:vAlign w:val="bottom"/>
            <w:tcBorders>
              <w:bottom w:val="single" w:sz="8" w:color="DBDBDB"/>
            </w:tcBorders>
            <w:shd w:val="clear" w:color="auto" w:fill="DBDBDB"/>
          </w:tcPr>
          <w:p>
            <w:pPr>
              <w:spacing w:after="0"/>
              <w:rPr>
                <w:sz w:val="16"/>
                <w:szCs w:val="16"/>
                <w:color w:val="auto"/>
              </w:rPr>
            </w:pPr>
          </w:p>
        </w:tc>
        <w:tc>
          <w:tcPr>
            <w:tcW w:w="1880" w:type="dxa"/>
            <w:vAlign w:val="bottom"/>
            <w:tcBorders>
              <w:bottom w:val="single" w:sz="8" w:color="DBDBDB"/>
            </w:tcBorders>
            <w:shd w:val="clear" w:color="auto" w:fill="DBDBDB"/>
          </w:tcPr>
          <w:p>
            <w:pPr>
              <w:jc w:val="right"/>
              <w:ind w:right="367"/>
              <w:spacing w:after="0" w:line="165" w:lineRule="exact"/>
              <w:rPr>
                <w:sz w:val="20"/>
                <w:szCs w:val="20"/>
                <w:color w:val="auto"/>
              </w:rPr>
            </w:pPr>
            <w:r>
              <w:rPr>
                <w:rFonts w:ascii="Calibri" w:cs="Calibri" w:eastAsia="Calibri" w:hAnsi="Calibri"/>
                <w:sz w:val="15"/>
                <w:szCs w:val="15"/>
                <w:b w:val="1"/>
                <w:bCs w:val="1"/>
                <w:color w:val="auto"/>
              </w:rPr>
              <w:t>(14,824)</w:t>
            </w:r>
          </w:p>
        </w:tc>
        <w:tc>
          <w:tcPr>
            <w:tcW w:w="120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(14,514)</w:t>
            </w:r>
          </w:p>
        </w:tc>
        <w:tc>
          <w:tcPr>
            <w:tcW w:w="0" w:type="dxa"/>
            <w:vAlign w:val="bottom"/>
          </w:tcPr>
          <w:p>
            <w:pPr>
              <w:spacing w:after="0"/>
              <w:rPr>
                <w:sz w:val="1"/>
                <w:szCs w:val="1"/>
                <w:color w:val="auto"/>
              </w:rPr>
            </w:pPr>
          </w:p>
        </w:tc>
      </w:tr>
      <w:tr>
        <w:trPr>
          <w:trHeight w:val="379"/>
        </w:trPr>
        <w:tc>
          <w:tcPr>
            <w:tcW w:w="748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INCOME (LOSS)</w:t>
            </w:r>
          </w:p>
        </w:tc>
        <w:tc>
          <w:tcPr>
            <w:tcW w:w="7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48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700" w:type="dxa"/>
            <w:vAlign w:val="bottom"/>
          </w:tcPr>
          <w:p>
            <w:pPr>
              <w:spacing w:after="0"/>
              <w:rPr>
                <w:sz w:val="24"/>
                <w:szCs w:val="24"/>
                <w:color w:val="auto"/>
              </w:rPr>
            </w:pPr>
          </w:p>
        </w:tc>
        <w:tc>
          <w:tcPr>
            <w:tcW w:w="188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(1,095)</w:t>
            </w:r>
          </w:p>
        </w:tc>
        <w:tc>
          <w:tcPr>
            <w:tcW w:w="1200" w:type="dxa"/>
            <w:vAlign w:val="bottom"/>
          </w:tcPr>
          <w:p>
            <w:pPr>
              <w:jc w:val="right"/>
              <w:spacing w:after="0"/>
              <w:rPr>
                <w:sz w:val="20"/>
                <w:szCs w:val="20"/>
                <w:color w:val="auto"/>
              </w:rPr>
            </w:pPr>
            <w:r>
              <w:rPr>
                <w:rFonts w:ascii="Calibri" w:cs="Calibri" w:eastAsia="Calibri" w:hAnsi="Calibri"/>
                <w:sz w:val="15"/>
                <w:szCs w:val="15"/>
                <w:color w:val="auto"/>
              </w:rPr>
              <w:t>1,177</w:t>
            </w:r>
          </w:p>
        </w:tc>
        <w:tc>
          <w:tcPr>
            <w:tcW w:w="0" w:type="dxa"/>
            <w:vAlign w:val="bottom"/>
          </w:tcPr>
          <w:p>
            <w:pPr>
              <w:spacing w:after="0"/>
              <w:rPr>
                <w:sz w:val="1"/>
                <w:szCs w:val="1"/>
                <w:color w:val="auto"/>
              </w:rPr>
            </w:pPr>
          </w:p>
        </w:tc>
      </w:tr>
      <w:tr>
        <w:trPr>
          <w:trHeight w:val="24"/>
        </w:trPr>
        <w:tc>
          <w:tcPr>
            <w:tcW w:w="7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48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COMPREHENSIVE LOSS FOR THE PERIOD</w:t>
            </w:r>
          </w:p>
        </w:tc>
        <w:tc>
          <w:tcPr>
            <w:tcW w:w="700" w:type="dxa"/>
            <w:vAlign w:val="bottom"/>
            <w:tcBorders>
              <w:bottom w:val="single" w:sz="8" w:color="D9D9D9"/>
            </w:tcBorders>
            <w:shd w:val="clear" w:color="auto" w:fill="D9D9D9"/>
          </w:tcPr>
          <w:p>
            <w:pPr>
              <w:spacing w:after="0"/>
              <w:rPr>
                <w:sz w:val="16"/>
                <w:szCs w:val="16"/>
                <w:color w:val="auto"/>
              </w:rPr>
            </w:pPr>
          </w:p>
        </w:tc>
        <w:tc>
          <w:tcPr>
            <w:tcW w:w="1880" w:type="dxa"/>
            <w:vAlign w:val="bottom"/>
            <w:tcBorders>
              <w:bottom w:val="single" w:sz="8" w:color="DBDBDB"/>
            </w:tcBorders>
            <w:shd w:val="clear" w:color="auto" w:fill="DBDBDB"/>
          </w:tcPr>
          <w:p>
            <w:pPr>
              <w:jc w:val="right"/>
              <w:ind w:right="367"/>
              <w:spacing w:after="0" w:line="165" w:lineRule="exact"/>
              <w:rPr>
                <w:sz w:val="20"/>
                <w:szCs w:val="20"/>
                <w:color w:val="auto"/>
              </w:rPr>
            </w:pPr>
            <w:r>
              <w:rPr>
                <w:rFonts w:ascii="Calibri" w:cs="Calibri" w:eastAsia="Calibri" w:hAnsi="Calibri"/>
                <w:sz w:val="15"/>
                <w:szCs w:val="15"/>
                <w:b w:val="1"/>
                <w:bCs w:val="1"/>
                <w:color w:val="auto"/>
              </w:rPr>
              <w:t>(15,919)</w:t>
            </w:r>
          </w:p>
        </w:tc>
        <w:tc>
          <w:tcPr>
            <w:tcW w:w="120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(13,337)</w:t>
            </w:r>
          </w:p>
        </w:tc>
        <w:tc>
          <w:tcPr>
            <w:tcW w:w="0" w:type="dxa"/>
            <w:vAlign w:val="bottom"/>
          </w:tcPr>
          <w:p>
            <w:pPr>
              <w:spacing w:after="0"/>
              <w:rPr>
                <w:sz w:val="1"/>
                <w:szCs w:val="1"/>
                <w:color w:val="auto"/>
              </w:rPr>
            </w:pPr>
          </w:p>
        </w:tc>
      </w:tr>
      <w:tr>
        <w:trPr>
          <w:trHeight w:val="379"/>
        </w:trPr>
        <w:tc>
          <w:tcPr>
            <w:tcW w:w="748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period</w:t>
            </w:r>
          </w:p>
        </w:tc>
        <w:tc>
          <w:tcPr>
            <w:tcW w:w="7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jc w:val="right"/>
              <w:ind w:right="367"/>
              <w:spacing w:after="0"/>
              <w:rPr>
                <w:sz w:val="20"/>
                <w:szCs w:val="20"/>
                <w:color w:val="auto"/>
              </w:rPr>
            </w:pPr>
            <w:r>
              <w:rPr>
                <w:rFonts w:ascii="Calibri" w:cs="Calibri" w:eastAsia="Calibri" w:hAnsi="Calibri"/>
                <w:sz w:val="15"/>
                <w:szCs w:val="15"/>
                <w:b w:val="1"/>
                <w:bCs w:val="1"/>
                <w:color w:val="auto"/>
              </w:rPr>
              <w:t>(0.02)</w:t>
            </w:r>
          </w:p>
        </w:tc>
        <w:tc>
          <w:tcPr>
            <w:tcW w:w="120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(0.07)</w:t>
            </w:r>
          </w:p>
        </w:tc>
        <w:tc>
          <w:tcPr>
            <w:tcW w:w="0" w:type="dxa"/>
            <w:vAlign w:val="bottom"/>
          </w:tcPr>
          <w:p>
            <w:pPr>
              <w:spacing w:after="0"/>
              <w:rPr>
                <w:sz w:val="1"/>
                <w:szCs w:val="1"/>
                <w:color w:val="auto"/>
              </w:rPr>
            </w:pPr>
          </w:p>
        </w:tc>
      </w:tr>
      <w:tr>
        <w:trPr>
          <w:trHeight w:val="24"/>
        </w:trPr>
        <w:tc>
          <w:tcPr>
            <w:tcW w:w="7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700" w:type="dxa"/>
            <w:vAlign w:val="bottom"/>
          </w:tcPr>
          <w:p>
            <w:pPr>
              <w:spacing w:after="0"/>
              <w:rPr>
                <w:sz w:val="14"/>
                <w:szCs w:val="14"/>
                <w:color w:val="auto"/>
              </w:rPr>
            </w:pPr>
          </w:p>
        </w:tc>
        <w:tc>
          <w:tcPr>
            <w:tcW w:w="1880" w:type="dxa"/>
            <w:vAlign w:val="bottom"/>
          </w:tcPr>
          <w:p>
            <w:pPr>
              <w:jc w:val="right"/>
              <w:ind w:right="367"/>
              <w:spacing w:after="0" w:line="165" w:lineRule="exact"/>
              <w:rPr>
                <w:sz w:val="20"/>
                <w:szCs w:val="20"/>
                <w:color w:val="auto"/>
              </w:rPr>
            </w:pPr>
            <w:r>
              <w:rPr>
                <w:rFonts w:ascii="Calibri" w:cs="Calibri" w:eastAsia="Calibri" w:hAnsi="Calibri"/>
                <w:sz w:val="15"/>
                <w:szCs w:val="15"/>
                <w:b w:val="1"/>
                <w:bCs w:val="1"/>
                <w:color w:val="auto"/>
              </w:rPr>
              <w:t>760,053,342</w:t>
            </w:r>
          </w:p>
        </w:tc>
        <w:tc>
          <w:tcPr>
            <w:tcW w:w="1200" w:type="dxa"/>
            <w:vAlign w:val="bottom"/>
          </w:tcPr>
          <w:p>
            <w:pPr>
              <w:jc w:val="right"/>
              <w:spacing w:after="0" w:line="165" w:lineRule="exact"/>
              <w:rPr>
                <w:sz w:val="20"/>
                <w:szCs w:val="20"/>
                <w:color w:val="auto"/>
              </w:rPr>
            </w:pPr>
            <w:r>
              <w:rPr>
                <w:rFonts w:ascii="Calibri" w:cs="Calibri" w:eastAsia="Calibri" w:hAnsi="Calibri"/>
                <w:sz w:val="15"/>
                <w:szCs w:val="15"/>
                <w:color w:val="auto"/>
              </w:rPr>
              <w:t>206,157,780</w:t>
            </w:r>
          </w:p>
        </w:tc>
        <w:tc>
          <w:tcPr>
            <w:tcW w:w="0" w:type="dxa"/>
            <w:vAlign w:val="bottom"/>
          </w:tcPr>
          <w:p>
            <w:pPr>
              <w:spacing w:after="0"/>
              <w:rPr>
                <w:sz w:val="1"/>
                <w:szCs w:val="1"/>
                <w:color w:val="auto"/>
              </w:rPr>
            </w:pPr>
          </w:p>
        </w:tc>
      </w:tr>
      <w:tr>
        <w:trPr>
          <w:trHeight w:val="21"/>
        </w:trPr>
        <w:tc>
          <w:tcPr>
            <w:tcW w:w="7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95" w:right="319" w:bottom="1440" w:gutter="0" w:footer="0" w:header="0"/>
        </w:sectPr>
      </w:pPr>
    </w:p>
    <w:bookmarkStart w:id="7" w:name="page8"/>
    <w:bookmarkEnd w:id="7"/>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CONDENSED INTERIM CONSOLIDATED STATEMENTS OF CHANGES IN SHAREHOLDERS’ EQUITY</w:t>
      </w:r>
    </w:p>
    <w:p>
      <w:pPr>
        <w:ind w:left="60"/>
        <w:spacing w:after="0" w:line="238" w:lineRule="auto"/>
        <w:rPr>
          <w:sz w:val="20"/>
          <w:szCs w:val="20"/>
          <w:color w:val="auto"/>
        </w:rPr>
      </w:pPr>
      <w:r>
        <w:rPr>
          <w:rFonts w:ascii="Calibri" w:cs="Calibri" w:eastAsia="Calibri" w:hAnsi="Calibri"/>
          <w:sz w:val="19"/>
          <w:szCs w:val="19"/>
          <w:b w:val="1"/>
          <w:bCs w:val="1"/>
          <w:color w:val="auto"/>
        </w:rPr>
        <w:t>For the three-month periods ended June 30, 2024 and 2023</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ind w:left="60"/>
        <w:spacing w:after="0" w:line="237"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right"/>
              <w:ind w:right="436"/>
              <w:spacing w:after="0"/>
              <w:rPr>
                <w:sz w:val="20"/>
                <w:szCs w:val="20"/>
                <w:color w:val="auto"/>
              </w:rPr>
            </w:pPr>
            <w:r>
              <w:rPr>
                <w:rFonts w:ascii="Calibri" w:cs="Calibri" w:eastAsia="Calibri" w:hAnsi="Calibri"/>
                <w:sz w:val="13"/>
                <w:szCs w:val="13"/>
                <w:b w:val="1"/>
                <w:bCs w:val="1"/>
                <w:color w:val="auto"/>
              </w:rPr>
              <w:t>Share capital</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Reserves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vMerge w:val="restart"/>
          </w:tcPr>
          <w:p>
            <w:pPr>
              <w:jc w:val="center"/>
              <w:spacing w:after="0" w:line="129" w:lineRule="exact"/>
              <w:rPr>
                <w:sz w:val="20"/>
                <w:szCs w:val="20"/>
                <w:color w:val="auto"/>
              </w:rPr>
            </w:pPr>
            <w:r>
              <w:rPr>
                <w:rFonts w:ascii="Calibri" w:cs="Calibri" w:eastAsia="Calibri" w:hAnsi="Calibri"/>
                <w:sz w:val="13"/>
                <w:szCs w:val="13"/>
                <w:b w:val="1"/>
                <w:bCs w:val="1"/>
                <w:color w:val="auto"/>
                <w:w w:val="98"/>
              </w:rPr>
              <w:t>Accumulated</w:t>
            </w: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3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Calibri" w:cs="Calibri" w:eastAsia="Calibri" w:hAnsi="Calibri"/>
                <w:sz w:val="13"/>
                <w:szCs w:val="13"/>
                <w:b w:val="1"/>
                <w:bCs w:val="1"/>
                <w:color w:val="auto"/>
              </w:rPr>
              <w:t>other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w w:val="97"/>
              </w:rPr>
              <w:t>Note</w:t>
            </w:r>
          </w:p>
        </w:tc>
        <w:tc>
          <w:tcPr>
            <w:tcW w:w="100" w:type="dxa"/>
            <w:vAlign w:val="bottom"/>
          </w:tcPr>
          <w:p>
            <w:pPr>
              <w:spacing w:after="0"/>
              <w:rPr>
                <w:sz w:val="11"/>
                <w:szCs w:val="11"/>
                <w:color w:val="auto"/>
              </w:rPr>
            </w:pPr>
          </w:p>
        </w:tc>
        <w:tc>
          <w:tcPr>
            <w:tcW w:w="920" w:type="dxa"/>
            <w:vAlign w:val="bottom"/>
          </w:tcPr>
          <w:p>
            <w:pPr>
              <w:jc w:val="center"/>
              <w:ind w:right="16"/>
              <w:spacing w:after="0" w:line="135" w:lineRule="exact"/>
              <w:rPr>
                <w:sz w:val="20"/>
                <w:szCs w:val="20"/>
                <w:color w:val="auto"/>
              </w:rPr>
            </w:pPr>
            <w:r>
              <w:rPr>
                <w:rFonts w:ascii="Calibri" w:cs="Calibri" w:eastAsia="Calibri" w:hAnsi="Calibri"/>
                <w:sz w:val="13"/>
                <w:szCs w:val="13"/>
                <w:b w:val="1"/>
                <w:bCs w:val="1"/>
                <w:color w:val="auto"/>
                <w:w w:val="95"/>
              </w:rPr>
              <w:t>Number of</w:t>
            </w:r>
          </w:p>
        </w:tc>
        <w:tc>
          <w:tcPr>
            <w:tcW w:w="760" w:type="dxa"/>
            <w:vAlign w:val="bottom"/>
            <w:vMerge w:val="restart"/>
          </w:tcPr>
          <w:p>
            <w:pPr>
              <w:jc w:val="right"/>
              <w:ind w:right="136"/>
              <w:spacing w:after="0"/>
              <w:rPr>
                <w:sz w:val="20"/>
                <w:szCs w:val="20"/>
                <w:color w:val="auto"/>
              </w:rPr>
            </w:pPr>
            <w:r>
              <w:rPr>
                <w:rFonts w:ascii="Calibri" w:cs="Calibri" w:eastAsia="Calibri" w:hAnsi="Calibri"/>
                <w:sz w:val="13"/>
                <w:szCs w:val="13"/>
                <w:b w:val="1"/>
                <w:bCs w:val="1"/>
                <w:color w:val="auto"/>
              </w:rPr>
              <w:t>Amount</w:t>
            </w:r>
          </w:p>
        </w:tc>
        <w:tc>
          <w:tcPr>
            <w:tcW w:w="80" w:type="dxa"/>
            <w:vAlign w:val="bottom"/>
          </w:tcPr>
          <w:p>
            <w:pPr>
              <w:spacing w:after="0"/>
              <w:rPr>
                <w:sz w:val="11"/>
                <w:szCs w:val="11"/>
                <w:color w:val="auto"/>
              </w:rPr>
            </w:pPr>
          </w:p>
        </w:tc>
        <w:tc>
          <w:tcPr>
            <w:tcW w:w="880" w:type="dxa"/>
            <w:vAlign w:val="bottom"/>
            <w:vMerge w:val="restart"/>
          </w:tcPr>
          <w:p>
            <w:pPr>
              <w:jc w:val="right"/>
              <w:ind w:right="136"/>
              <w:spacing w:after="0"/>
              <w:rPr>
                <w:sz w:val="20"/>
                <w:szCs w:val="20"/>
                <w:color w:val="auto"/>
              </w:rPr>
            </w:pPr>
            <w:r>
              <w:rPr>
                <w:rFonts w:ascii="Calibri" w:cs="Calibri" w:eastAsia="Calibri" w:hAnsi="Calibri"/>
                <w:sz w:val="13"/>
                <w:szCs w:val="13"/>
                <w:b w:val="1"/>
                <w:bCs w:val="1"/>
                <w:color w:val="auto"/>
              </w:rPr>
              <w:t>Warrants</w:t>
            </w:r>
          </w:p>
        </w:tc>
        <w:tc>
          <w:tcPr>
            <w:tcW w:w="84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rPr>
              <w:t>Optons</w:t>
            </w:r>
          </w:p>
        </w:tc>
        <w:tc>
          <w:tcPr>
            <w:tcW w:w="80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8"/>
              </w:rPr>
              <w:t>Contributed</w:t>
            </w:r>
          </w:p>
        </w:tc>
        <w:tc>
          <w:tcPr>
            <w:tcW w:w="100" w:type="dxa"/>
            <w:vAlign w:val="bottom"/>
          </w:tcPr>
          <w:p>
            <w:pPr>
              <w:spacing w:after="0"/>
              <w:rPr>
                <w:sz w:val="11"/>
                <w:szCs w:val="11"/>
                <w:color w:val="auto"/>
              </w:rPr>
            </w:pPr>
          </w:p>
        </w:tc>
        <w:tc>
          <w:tcPr>
            <w:tcW w:w="840" w:type="dxa"/>
            <w:vAlign w:val="bottom"/>
            <w:vMerge w:val="restart"/>
          </w:tcPr>
          <w:p>
            <w:pPr>
              <w:jc w:val="right"/>
              <w:ind w:right="176"/>
              <w:spacing w:after="0"/>
              <w:rPr>
                <w:sz w:val="20"/>
                <w:szCs w:val="20"/>
                <w:color w:val="auto"/>
              </w:rPr>
            </w:pPr>
            <w:r>
              <w:rPr>
                <w:rFonts w:ascii="Calibri" w:cs="Calibri" w:eastAsia="Calibri" w:hAnsi="Calibri"/>
                <w:sz w:val="13"/>
                <w:szCs w:val="13"/>
                <w:b w:val="1"/>
                <w:bCs w:val="1"/>
                <w:color w:val="auto"/>
              </w:rPr>
              <w:t>Defcit</w:t>
            </w: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comprehensive</w:t>
            </w:r>
          </w:p>
        </w:tc>
        <w:tc>
          <w:tcPr>
            <w:tcW w:w="80" w:type="dxa"/>
            <w:vAlign w:val="bottom"/>
          </w:tcPr>
          <w:p>
            <w:pPr>
              <w:spacing w:after="0"/>
              <w:rPr>
                <w:sz w:val="11"/>
                <w:szCs w:val="11"/>
                <w:color w:val="auto"/>
              </w:rPr>
            </w:pPr>
          </w:p>
        </w:tc>
        <w:tc>
          <w:tcPr>
            <w:tcW w:w="900" w:type="dxa"/>
            <w:vAlign w:val="bottom"/>
            <w:vMerge w:val="restart"/>
          </w:tcPr>
          <w:p>
            <w:pPr>
              <w:jc w:val="right"/>
              <w:ind w:right="256"/>
              <w:spacing w:after="0"/>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6"/>
              <w:spacing w:after="0" w:line="155" w:lineRule="exact"/>
              <w:rPr>
                <w:sz w:val="20"/>
                <w:szCs w:val="20"/>
                <w:color w:val="auto"/>
              </w:rPr>
            </w:pPr>
            <w:r>
              <w:rPr>
                <w:rFonts w:ascii="Calibri" w:cs="Calibri" w:eastAsia="Calibri" w:hAnsi="Calibri"/>
                <w:sz w:val="13"/>
                <w:szCs w:val="13"/>
                <w:b w:val="1"/>
                <w:bCs w:val="1"/>
                <w:color w:val="auto"/>
              </w:rPr>
              <w:t>shares</w:t>
            </w: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w w:val="96"/>
              </w:rPr>
              <w:t>surplus</w:t>
            </w: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w w:val="97"/>
              </w:rPr>
              <w:t>loss</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tcPr>
          <w:p>
            <w:pPr>
              <w:jc w:val="center"/>
              <w:ind w:right="16"/>
              <w:spacing w:after="0" w:line="147" w:lineRule="exact"/>
              <w:rPr>
                <w:sz w:val="20"/>
                <w:szCs w:val="20"/>
                <w:color w:val="auto"/>
              </w:rPr>
            </w:pPr>
            <w:r>
              <w:rPr>
                <w:rFonts w:ascii="Calibri" w:cs="Calibri" w:eastAsia="Calibri" w:hAnsi="Calibri"/>
                <w:sz w:val="13"/>
                <w:szCs w:val="13"/>
                <w:b w:val="1"/>
                <w:bCs w:val="1"/>
                <w:color w:val="auto"/>
              </w:rPr>
              <w:t>#</w:t>
            </w:r>
          </w:p>
        </w:tc>
        <w:tc>
          <w:tcPr>
            <w:tcW w:w="760" w:type="dxa"/>
            <w:vAlign w:val="bottom"/>
          </w:tcPr>
          <w:p>
            <w:pPr>
              <w:jc w:val="right"/>
              <w:ind w:right="316"/>
              <w:spacing w:after="0" w:line="147"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880" w:type="dxa"/>
            <w:vAlign w:val="bottom"/>
          </w:tcPr>
          <w:p>
            <w:pPr>
              <w:jc w:val="right"/>
              <w:ind w:right="356"/>
              <w:spacing w:after="0" w:line="147" w:lineRule="exact"/>
              <w:rPr>
                <w:sz w:val="20"/>
                <w:szCs w:val="20"/>
                <w:color w:val="auto"/>
              </w:rPr>
            </w:pPr>
            <w:r>
              <w:rPr>
                <w:rFonts w:ascii="Calibri" w:cs="Calibri" w:eastAsia="Calibri" w:hAnsi="Calibri"/>
                <w:sz w:val="13"/>
                <w:szCs w:val="13"/>
                <w:b w:val="1"/>
                <w:bCs w:val="1"/>
                <w:color w:val="auto"/>
              </w:rPr>
              <w:t>$</w:t>
            </w:r>
          </w:p>
        </w:tc>
        <w:tc>
          <w:tcPr>
            <w:tcW w:w="840" w:type="dxa"/>
            <w:vAlign w:val="bottom"/>
          </w:tcPr>
          <w:p>
            <w:pPr>
              <w:jc w:val="center"/>
              <w:spacing w:after="0" w:line="147" w:lineRule="exact"/>
              <w:rPr>
                <w:sz w:val="20"/>
                <w:szCs w:val="20"/>
                <w:color w:val="auto"/>
              </w:rPr>
            </w:pPr>
            <w:r>
              <w:rPr>
                <w:rFonts w:ascii="Calibri" w:cs="Calibri" w:eastAsia="Calibri" w:hAnsi="Calibri"/>
                <w:sz w:val="13"/>
                <w:szCs w:val="13"/>
                <w:b w:val="1"/>
                <w:bCs w:val="1"/>
                <w:color w:val="auto"/>
                <w:w w:val="90"/>
              </w:rPr>
              <w:t>$</w:t>
            </w:r>
          </w:p>
        </w:tc>
        <w:tc>
          <w:tcPr>
            <w:tcW w:w="800" w:type="dxa"/>
            <w:vAlign w:val="bottom"/>
          </w:tcPr>
          <w:p>
            <w:pPr>
              <w:jc w:val="center"/>
              <w:spacing w:after="0" w:line="147" w:lineRule="exact"/>
              <w:rPr>
                <w:sz w:val="20"/>
                <w:szCs w:val="20"/>
                <w:color w:val="auto"/>
              </w:rPr>
            </w:pPr>
            <w:r>
              <w:rPr>
                <w:rFonts w:ascii="Calibri" w:cs="Calibri" w:eastAsia="Calibri" w:hAnsi="Calibri"/>
                <w:sz w:val="13"/>
                <w:szCs w:val="13"/>
                <w:b w:val="1"/>
                <w:bCs w:val="1"/>
                <w:color w:val="auto"/>
                <w:w w:val="90"/>
              </w:rPr>
              <w:t>$</w:t>
            </w:r>
          </w:p>
        </w:tc>
        <w:tc>
          <w:tcPr>
            <w:tcW w:w="100" w:type="dxa"/>
            <w:vAlign w:val="bottom"/>
            <w:vMerge w:val="continue"/>
          </w:tcPr>
          <w:p>
            <w:pPr>
              <w:spacing w:after="0"/>
              <w:rPr>
                <w:sz w:val="12"/>
                <w:szCs w:val="12"/>
                <w:color w:val="auto"/>
              </w:rPr>
            </w:pPr>
          </w:p>
        </w:tc>
        <w:tc>
          <w:tcPr>
            <w:tcW w:w="840" w:type="dxa"/>
            <w:vAlign w:val="bottom"/>
          </w:tcPr>
          <w:p>
            <w:pPr>
              <w:jc w:val="right"/>
              <w:ind w:right="336"/>
              <w:spacing w:after="0" w:line="147"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1040" w:type="dxa"/>
            <w:vAlign w:val="bottom"/>
          </w:tcPr>
          <w:p>
            <w:pPr>
              <w:jc w:val="right"/>
              <w:ind w:right="376"/>
              <w:spacing w:after="0" w:line="147" w:lineRule="exact"/>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ind w:right="356"/>
              <w:spacing w:after="0" w:line="147"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March 31, 2023</w:t>
            </w:r>
          </w:p>
        </w:tc>
        <w:tc>
          <w:tcPr>
            <w:tcW w:w="60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9D9D9"/>
            </w:tcBorders>
            <w:shd w:val="clear" w:color="auto" w:fill="D9D9D9"/>
          </w:tcPr>
          <w:p>
            <w:pPr>
              <w:jc w:val="right"/>
              <w:ind w:right="76"/>
              <w:spacing w:after="0" w:line="147" w:lineRule="exact"/>
              <w:rPr>
                <w:sz w:val="20"/>
                <w:szCs w:val="20"/>
                <w:color w:val="auto"/>
              </w:rPr>
            </w:pPr>
            <w:r>
              <w:rPr>
                <w:rFonts w:ascii="Calibri" w:cs="Calibri" w:eastAsia="Calibri" w:hAnsi="Calibri"/>
                <w:sz w:val="13"/>
                <w:szCs w:val="13"/>
                <w:b w:val="1"/>
                <w:bCs w:val="1"/>
                <w:color w:val="auto"/>
              </w:rPr>
              <w:t>200,634,154</w:t>
            </w:r>
          </w:p>
        </w:tc>
        <w:tc>
          <w:tcPr>
            <w:tcW w:w="7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158,162</w:t>
            </w:r>
          </w:p>
        </w:tc>
        <w:tc>
          <w:tcPr>
            <w:tcW w:w="8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9D9D9"/>
            </w:tcBorders>
            <w:shd w:val="clear" w:color="auto" w:fill="D9D9D9"/>
          </w:tcPr>
          <w:p>
            <w:pPr>
              <w:jc w:val="right"/>
              <w:ind w:right="36"/>
              <w:spacing w:after="0" w:line="147" w:lineRule="exact"/>
              <w:rPr>
                <w:sz w:val="20"/>
                <w:szCs w:val="20"/>
                <w:color w:val="auto"/>
              </w:rPr>
            </w:pPr>
            <w:r>
              <w:rPr>
                <w:rFonts w:ascii="Calibri" w:cs="Calibri" w:eastAsia="Calibri" w:hAnsi="Calibri"/>
                <w:sz w:val="13"/>
                <w:szCs w:val="13"/>
                <w:b w:val="1"/>
                <w:bCs w:val="1"/>
                <w:color w:val="auto"/>
              </w:rPr>
              <w:t>10,873</w:t>
            </w:r>
          </w:p>
        </w:tc>
        <w:tc>
          <w:tcPr>
            <w:tcW w:w="84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27,283</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2,102</w:t>
            </w:r>
          </w:p>
        </w:tc>
        <w:tc>
          <w:tcPr>
            <w:tcW w:w="1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(148,151)</w:t>
            </w:r>
          </w:p>
        </w:tc>
        <w:tc>
          <w:tcPr>
            <w:tcW w:w="8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(2,035)</w:t>
            </w:r>
          </w:p>
        </w:tc>
        <w:tc>
          <w:tcPr>
            <w:tcW w:w="980" w:type="dxa"/>
            <w:vAlign w:val="bottom"/>
            <w:tcBorders>
              <w:bottom w:val="single" w:sz="8" w:color="D9D9D9"/>
            </w:tcBorders>
            <w:gridSpan w:val="2"/>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48,234</w:t>
            </w:r>
          </w:p>
        </w:tc>
        <w:tc>
          <w:tcPr>
            <w:tcW w:w="0" w:type="dxa"/>
            <w:vAlign w:val="bottom"/>
          </w:tcPr>
          <w:p>
            <w:pPr>
              <w:spacing w:after="0"/>
              <w:rPr>
                <w:sz w:val="1"/>
                <w:szCs w:val="1"/>
                <w:color w:val="auto"/>
              </w:rPr>
            </w:pPr>
          </w:p>
        </w:tc>
      </w:tr>
      <w:tr>
        <w:trPr>
          <w:trHeight w:val="147"/>
        </w:trPr>
        <w:tc>
          <w:tcPr>
            <w:tcW w:w="3240" w:type="dxa"/>
            <w:vAlign w:val="bottom"/>
            <w:tcBorders>
              <w:top w:val="single" w:sz="8" w:color="auto"/>
            </w:tcBorders>
          </w:tcPr>
          <w:p>
            <w:pPr>
              <w:ind w:left="60"/>
              <w:spacing w:after="0" w:line="147" w:lineRule="exact"/>
              <w:rPr>
                <w:sz w:val="20"/>
                <w:szCs w:val="20"/>
                <w:color w:val="auto"/>
              </w:rPr>
            </w:pPr>
            <w:r>
              <w:rPr>
                <w:rFonts w:ascii="Calibri" w:cs="Calibri" w:eastAsia="Calibri" w:hAnsi="Calibri"/>
                <w:sz w:val="13"/>
                <w:szCs w:val="13"/>
                <w:color w:val="auto"/>
              </w:rPr>
              <w:t>At-the-market ofering - net of share issuance costs</w:t>
            </w:r>
          </w:p>
        </w:tc>
        <w:tc>
          <w:tcPr>
            <w:tcW w:w="600" w:type="dxa"/>
            <w:vAlign w:val="bottom"/>
            <w:tcBorders>
              <w:top w:val="single" w:sz="8" w:color="auto"/>
            </w:tcBorders>
          </w:tcPr>
          <w:p>
            <w:pPr>
              <w:jc w:val="center"/>
              <w:spacing w:after="0" w:line="147" w:lineRule="exact"/>
              <w:rPr>
                <w:sz w:val="20"/>
                <w:szCs w:val="20"/>
                <w:color w:val="auto"/>
              </w:rPr>
            </w:pPr>
            <w:r>
              <w:rPr>
                <w:rFonts w:ascii="Calibri" w:cs="Calibri" w:eastAsia="Calibri" w:hAnsi="Calibri"/>
                <w:sz w:val="13"/>
                <w:szCs w:val="13"/>
                <w:color w:val="auto"/>
              </w:rPr>
              <w:t>7</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6"/>
              <w:spacing w:after="0" w:line="147" w:lineRule="exact"/>
              <w:rPr>
                <w:sz w:val="20"/>
                <w:szCs w:val="20"/>
                <w:color w:val="auto"/>
              </w:rPr>
            </w:pPr>
            <w:r>
              <w:rPr>
                <w:rFonts w:ascii="Calibri" w:cs="Calibri" w:eastAsia="Calibri" w:hAnsi="Calibri"/>
                <w:sz w:val="13"/>
                <w:szCs w:val="13"/>
                <w:color w:val="auto"/>
              </w:rPr>
              <w:t>8,533,269</w:t>
            </w:r>
          </w:p>
        </w:tc>
        <w:tc>
          <w:tcPr>
            <w:tcW w:w="76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3,226</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6"/>
              <w:spacing w:after="0" w:line="147" w:lineRule="exact"/>
              <w:rPr>
                <w:sz w:val="20"/>
                <w:szCs w:val="20"/>
                <w:color w:val="auto"/>
              </w:rPr>
            </w:pPr>
            <w:r>
              <w:rPr>
                <w:rFonts w:ascii="Calibri" w:cs="Calibri" w:eastAsia="Calibri" w:hAnsi="Calibri"/>
                <w:sz w:val="13"/>
                <w:szCs w:val="13"/>
                <w:color w:val="auto"/>
              </w:rPr>
              <w:t>—</w:t>
            </w:r>
          </w:p>
        </w:tc>
        <w:tc>
          <w:tcPr>
            <w:tcW w:w="840" w:type="dxa"/>
            <w:vAlign w:val="bottom"/>
            <w:tcBorders>
              <w:top w:val="single" w:sz="8" w:color="auto"/>
            </w:tcBorders>
          </w:tcPr>
          <w:p>
            <w:pPr>
              <w:jc w:val="right"/>
              <w:ind w:right="35"/>
              <w:spacing w:after="0" w:line="147" w:lineRule="exact"/>
              <w:rPr>
                <w:sz w:val="20"/>
                <w:szCs w:val="20"/>
                <w:color w:val="auto"/>
              </w:rPr>
            </w:pPr>
            <w:r>
              <w:rPr>
                <w:rFonts w:ascii="Calibri" w:cs="Calibri" w:eastAsia="Calibri" w:hAnsi="Calibri"/>
                <w:sz w:val="13"/>
                <w:szCs w:val="13"/>
                <w:color w:val="auto"/>
              </w:rPr>
              <w:t>—</w:t>
            </w:r>
          </w:p>
        </w:tc>
        <w:tc>
          <w:tcPr>
            <w:tcW w:w="80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980" w:type="dxa"/>
            <w:vAlign w:val="bottom"/>
            <w:tcBorders>
              <w:top w:val="single" w:sz="8" w:color="auto"/>
            </w:tcBorders>
            <w:gridSpan w:val="2"/>
          </w:tcPr>
          <w:p>
            <w:pPr>
              <w:jc w:val="right"/>
              <w:spacing w:after="0" w:line="147" w:lineRule="exact"/>
              <w:rPr>
                <w:sz w:val="20"/>
                <w:szCs w:val="20"/>
                <w:color w:val="auto"/>
              </w:rPr>
            </w:pPr>
            <w:r>
              <w:rPr>
                <w:rFonts w:ascii="Calibri" w:cs="Calibri" w:eastAsia="Calibri" w:hAnsi="Calibri"/>
                <w:sz w:val="13"/>
                <w:szCs w:val="13"/>
                <w:b w:val="1"/>
                <w:bCs w:val="1"/>
                <w:color w:val="auto"/>
              </w:rPr>
              <w:t>3,226</w:t>
            </w:r>
          </w:p>
        </w:tc>
        <w:tc>
          <w:tcPr>
            <w:tcW w:w="0" w:type="dxa"/>
            <w:vAlign w:val="bottom"/>
          </w:tcPr>
          <w:p>
            <w:pPr>
              <w:spacing w:after="0"/>
              <w:rPr>
                <w:sz w:val="1"/>
                <w:szCs w:val="1"/>
                <w:color w:val="auto"/>
              </w:rPr>
            </w:pPr>
          </w:p>
        </w:tc>
      </w:tr>
      <w:tr>
        <w:trPr>
          <w:trHeight w:val="135"/>
        </w:trPr>
        <w:tc>
          <w:tcPr>
            <w:tcW w:w="3240" w:type="dxa"/>
            <w:vAlign w:val="bottom"/>
          </w:tcPr>
          <w:p>
            <w:pPr>
              <w:ind w:left="60"/>
              <w:spacing w:after="0" w:line="135" w:lineRule="exact"/>
              <w:rPr>
                <w:sz w:val="20"/>
                <w:szCs w:val="20"/>
                <w:color w:val="auto"/>
              </w:rPr>
            </w:pPr>
            <w:r>
              <w:rPr>
                <w:rFonts w:ascii="Calibri" w:cs="Calibri" w:eastAsia="Calibri" w:hAnsi="Calibri"/>
                <w:sz w:val="13"/>
                <w:szCs w:val="13"/>
                <w:color w:val="auto"/>
                <w:w w:val="99"/>
              </w:rPr>
              <w:t>Shares issued through common share purchase agreement -</w:t>
            </w:r>
          </w:p>
        </w:tc>
        <w:tc>
          <w:tcPr>
            <w:tcW w:w="600" w:type="dxa"/>
            <w:vAlign w:val="bottom"/>
            <w:vMerge w:val="restart"/>
          </w:tcPr>
          <w:p>
            <w:pPr>
              <w:jc w:val="center"/>
              <w:spacing w:after="0"/>
              <w:rPr>
                <w:sz w:val="20"/>
                <w:szCs w:val="20"/>
                <w:color w:val="auto"/>
              </w:rPr>
            </w:pPr>
            <w:r>
              <w:rPr>
                <w:rFonts w:ascii="Calibri" w:cs="Calibri" w:eastAsia="Calibri" w:hAnsi="Calibri"/>
                <w:sz w:val="13"/>
                <w:szCs w:val="13"/>
                <w:color w:val="auto"/>
              </w:rPr>
              <w:t>7</w:t>
            </w:r>
          </w:p>
        </w:tc>
        <w:tc>
          <w:tcPr>
            <w:tcW w:w="1020" w:type="dxa"/>
            <w:vAlign w:val="bottom"/>
            <w:gridSpan w:val="2"/>
            <w:vMerge w:val="restart"/>
          </w:tcPr>
          <w:p>
            <w:pPr>
              <w:jc w:val="right"/>
              <w:ind w:right="76"/>
              <w:spacing w:after="0"/>
              <w:rPr>
                <w:sz w:val="20"/>
                <w:szCs w:val="20"/>
                <w:color w:val="auto"/>
              </w:rPr>
            </w:pPr>
            <w:r>
              <w:rPr>
                <w:rFonts w:ascii="Calibri" w:cs="Calibri" w:eastAsia="Calibri" w:hAnsi="Calibri"/>
                <w:sz w:val="13"/>
                <w:szCs w:val="13"/>
                <w:color w:val="auto"/>
              </w:rPr>
              <w:t>1,925,000</w:t>
            </w:r>
          </w:p>
        </w:tc>
        <w:tc>
          <w:tcPr>
            <w:tcW w:w="760" w:type="dxa"/>
            <w:vAlign w:val="bottom"/>
            <w:vMerge w:val="restart"/>
          </w:tcPr>
          <w:p>
            <w:pPr>
              <w:jc w:val="right"/>
              <w:spacing w:after="0"/>
              <w:rPr>
                <w:sz w:val="20"/>
                <w:szCs w:val="20"/>
                <w:color w:val="auto"/>
              </w:rPr>
            </w:pPr>
            <w:r>
              <w:rPr>
                <w:rFonts w:ascii="Calibri" w:cs="Calibri" w:eastAsia="Calibri" w:hAnsi="Calibri"/>
                <w:sz w:val="13"/>
                <w:szCs w:val="13"/>
                <w:color w:val="auto"/>
              </w:rPr>
              <w:t>294</w:t>
            </w:r>
          </w:p>
        </w:tc>
        <w:tc>
          <w:tcPr>
            <w:tcW w:w="80" w:type="dxa"/>
            <w:vAlign w:val="bottom"/>
          </w:tcPr>
          <w:p>
            <w:pPr>
              <w:spacing w:after="0"/>
              <w:rPr>
                <w:sz w:val="11"/>
                <w:szCs w:val="11"/>
                <w:color w:val="auto"/>
              </w:rPr>
            </w:pPr>
          </w:p>
        </w:tc>
        <w:tc>
          <w:tcPr>
            <w:tcW w:w="88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4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294</w:t>
            </w:r>
          </w:p>
        </w:tc>
        <w:tc>
          <w:tcPr>
            <w:tcW w:w="0" w:type="dxa"/>
            <w:vAlign w:val="bottom"/>
          </w:tcPr>
          <w:p>
            <w:pPr>
              <w:spacing w:after="0"/>
              <w:rPr>
                <w:sz w:val="1"/>
                <w:szCs w:val="1"/>
                <w:color w:val="auto"/>
              </w:rPr>
            </w:pPr>
          </w:p>
        </w:tc>
      </w:tr>
      <w:tr>
        <w:trPr>
          <w:trHeight w:val="92"/>
        </w:trPr>
        <w:tc>
          <w:tcPr>
            <w:tcW w:w="32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net of share issuance costs</w:t>
            </w:r>
          </w:p>
        </w:tc>
        <w:tc>
          <w:tcPr>
            <w:tcW w:w="60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3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60"/>
              <w:spacing w:after="0" w:line="148" w:lineRule="exact"/>
              <w:rPr>
                <w:sz w:val="20"/>
                <w:szCs w:val="20"/>
                <w:color w:val="auto"/>
              </w:rPr>
            </w:pPr>
            <w:r>
              <w:rPr>
                <w:rFonts w:ascii="Calibri" w:cs="Calibri" w:eastAsia="Calibri" w:hAnsi="Calibri"/>
                <w:sz w:val="13"/>
                <w:szCs w:val="13"/>
                <w:color w:val="auto"/>
              </w:rPr>
              <w:t>Issuance of common share as commitment fee for future</w:t>
            </w:r>
          </w:p>
        </w:tc>
        <w:tc>
          <w:tcPr>
            <w:tcW w:w="600" w:type="dxa"/>
            <w:vAlign w:val="bottom"/>
            <w:vMerge w:val="restart"/>
          </w:tcPr>
          <w:p>
            <w:pPr>
              <w:jc w:val="center"/>
              <w:spacing w:after="0"/>
              <w:rPr>
                <w:sz w:val="20"/>
                <w:szCs w:val="20"/>
                <w:color w:val="auto"/>
              </w:rPr>
            </w:pPr>
            <w:r>
              <w:rPr>
                <w:rFonts w:ascii="Calibri" w:cs="Calibri" w:eastAsia="Calibri" w:hAnsi="Calibri"/>
                <w:sz w:val="13"/>
                <w:szCs w:val="13"/>
                <w:color w:val="auto"/>
              </w:rPr>
              <w:t>7</w:t>
            </w:r>
          </w:p>
        </w:tc>
        <w:tc>
          <w:tcPr>
            <w:tcW w:w="1020" w:type="dxa"/>
            <w:vAlign w:val="bottom"/>
            <w:gridSpan w:val="2"/>
            <w:vMerge w:val="restart"/>
          </w:tcPr>
          <w:p>
            <w:pPr>
              <w:jc w:val="right"/>
              <w:ind w:right="76"/>
              <w:spacing w:after="0"/>
              <w:rPr>
                <w:sz w:val="20"/>
                <w:szCs w:val="20"/>
                <w:color w:val="auto"/>
              </w:rPr>
            </w:pPr>
            <w:r>
              <w:rPr>
                <w:rFonts w:ascii="Calibri" w:cs="Calibri" w:eastAsia="Calibri" w:hAnsi="Calibri"/>
                <w:sz w:val="13"/>
                <w:szCs w:val="13"/>
                <w:color w:val="auto"/>
              </w:rPr>
              <w:t>2,538,844</w:t>
            </w:r>
          </w:p>
        </w:tc>
        <w:tc>
          <w:tcPr>
            <w:tcW w:w="7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8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4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92"/>
        </w:trPr>
        <w:tc>
          <w:tcPr>
            <w:tcW w:w="32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fnancing</w:t>
            </w:r>
          </w:p>
        </w:tc>
        <w:tc>
          <w:tcPr>
            <w:tcW w:w="60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3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40" w:type="dxa"/>
            <w:vAlign w:val="bottom"/>
          </w:tcPr>
          <w:p>
            <w:pPr>
              <w:ind w:left="60"/>
              <w:spacing w:after="0"/>
              <w:rPr>
                <w:sz w:val="20"/>
                <w:szCs w:val="20"/>
                <w:color w:val="auto"/>
              </w:rPr>
            </w:pPr>
            <w:r>
              <w:rPr>
                <w:rFonts w:ascii="Calibri" w:cs="Calibri" w:eastAsia="Calibri" w:hAnsi="Calibri"/>
                <w:sz w:val="13"/>
                <w:szCs w:val="13"/>
                <w:color w:val="auto"/>
              </w:rPr>
              <w:t>Optons forfeited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35"/>
              <w:spacing w:after="0"/>
              <w:rPr>
                <w:sz w:val="20"/>
                <w:szCs w:val="20"/>
                <w:color w:val="auto"/>
              </w:rPr>
            </w:pPr>
            <w:r>
              <w:rPr>
                <w:rFonts w:ascii="Calibri" w:cs="Calibri" w:eastAsia="Calibri" w:hAnsi="Calibri"/>
                <w:sz w:val="13"/>
                <w:szCs w:val="13"/>
                <w:color w:val="auto"/>
              </w:rPr>
              <w:t>(175)</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175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0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35"/>
              <w:spacing w:after="0"/>
              <w:rPr>
                <w:sz w:val="20"/>
                <w:szCs w:val="20"/>
                <w:color w:val="auto"/>
              </w:rPr>
            </w:pPr>
            <w:r>
              <w:rPr>
                <w:rFonts w:ascii="Calibri" w:cs="Calibri" w:eastAsia="Calibri" w:hAnsi="Calibri"/>
                <w:sz w:val="13"/>
                <w:szCs w:val="13"/>
                <w:color w:val="auto"/>
              </w:rPr>
              <w:t>1,275</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1,275</w:t>
            </w:r>
          </w:p>
        </w:tc>
        <w:tc>
          <w:tcPr>
            <w:tcW w:w="0" w:type="dxa"/>
            <w:vAlign w:val="bottom"/>
          </w:tcPr>
          <w:p>
            <w:pPr>
              <w:spacing w:after="0"/>
              <w:rPr>
                <w:sz w:val="1"/>
                <w:szCs w:val="1"/>
                <w:color w:val="auto"/>
              </w:rPr>
            </w:pPr>
          </w:p>
        </w:tc>
      </w:tr>
      <w:tr>
        <w:trPr>
          <w:trHeight w:val="181"/>
        </w:trPr>
        <w:tc>
          <w:tcPr>
            <w:tcW w:w="3240" w:type="dxa"/>
            <w:vAlign w:val="bottom"/>
          </w:tcPr>
          <w:p>
            <w:pPr>
              <w:ind w:left="60"/>
              <w:spacing w:after="0"/>
              <w:rPr>
                <w:sz w:val="20"/>
                <w:szCs w:val="20"/>
                <w:color w:val="auto"/>
              </w:rPr>
            </w:pPr>
            <w:r>
              <w:rPr>
                <w:rFonts w:ascii="Calibri" w:cs="Calibri" w:eastAsia="Calibri" w:hAnsi="Calibri"/>
                <w:sz w:val="13"/>
                <w:szCs w:val="13"/>
                <w:color w:val="auto"/>
              </w:rPr>
              <w:t>Unrealized gain on translaton of foreign operatons</w:t>
            </w:r>
          </w:p>
        </w:tc>
        <w:tc>
          <w:tcPr>
            <w:tcW w:w="60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1,177</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1,177</w:t>
            </w:r>
          </w:p>
        </w:tc>
        <w:tc>
          <w:tcPr>
            <w:tcW w:w="0" w:type="dxa"/>
            <w:vAlign w:val="bottom"/>
          </w:tcPr>
          <w:p>
            <w:pPr>
              <w:spacing w:after="0"/>
              <w:rPr>
                <w:sz w:val="1"/>
                <w:szCs w:val="1"/>
                <w:color w:val="auto"/>
              </w:rPr>
            </w:pPr>
          </w:p>
        </w:tc>
      </w:tr>
      <w:tr>
        <w:trPr>
          <w:trHeight w:val="181"/>
        </w:trPr>
        <w:tc>
          <w:tcPr>
            <w:tcW w:w="3240" w:type="dxa"/>
            <w:vAlign w:val="bottom"/>
          </w:tcPr>
          <w:p>
            <w:pPr>
              <w:ind w:left="80"/>
              <w:spacing w:after="0"/>
              <w:rPr>
                <w:sz w:val="20"/>
                <w:szCs w:val="20"/>
                <w:color w:val="auto"/>
              </w:rPr>
            </w:pPr>
            <w:r>
              <w:rPr>
                <w:rFonts w:ascii="Calibri" w:cs="Calibri" w:eastAsia="Calibri" w:hAnsi="Calibri"/>
                <w:sz w:val="13"/>
                <w:szCs w:val="13"/>
                <w:color w:val="auto"/>
              </w:rPr>
              <w:t>Net loss for the period</w:t>
            </w:r>
          </w:p>
        </w:tc>
        <w:tc>
          <w:tcPr>
            <w:tcW w:w="60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40" w:type="dxa"/>
            <w:vAlign w:val="bottom"/>
            <w:gridSpan w:val="2"/>
          </w:tcPr>
          <w:p>
            <w:pPr>
              <w:jc w:val="right"/>
              <w:spacing w:after="0"/>
              <w:rPr>
                <w:sz w:val="20"/>
                <w:szCs w:val="20"/>
                <w:color w:val="auto"/>
              </w:rPr>
            </w:pPr>
            <w:r>
              <w:rPr>
                <w:rFonts w:ascii="Calibri" w:cs="Calibri" w:eastAsia="Calibri" w:hAnsi="Calibri"/>
                <w:sz w:val="13"/>
                <w:szCs w:val="13"/>
                <w:color w:val="auto"/>
              </w:rPr>
              <w:t>(14,514)</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(14,514)</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240" w:type="dxa"/>
            <w:vAlign w:val="bottom"/>
            <w:tcBorders>
              <w:bottom w:val="single" w:sz="8" w:color="B6B6B6"/>
            </w:tcBorders>
            <w:shd w:val="clear" w:color="auto" w:fill="B6B6B6"/>
          </w:tcPr>
          <w:p>
            <w:pPr>
              <w:ind w:left="60"/>
              <w:spacing w:after="0" w:line="147" w:lineRule="exact"/>
              <w:rPr>
                <w:sz w:val="20"/>
                <w:szCs w:val="20"/>
                <w:color w:val="auto"/>
              </w:rPr>
            </w:pPr>
            <w:r>
              <w:rPr>
                <w:rFonts w:ascii="Calibri" w:cs="Calibri" w:eastAsia="Calibri" w:hAnsi="Calibri"/>
                <w:sz w:val="13"/>
                <w:szCs w:val="13"/>
                <w:b w:val="1"/>
                <w:bCs w:val="1"/>
                <w:color w:val="auto"/>
              </w:rPr>
              <w:t>Balance at June 30, 2023</w:t>
            </w:r>
          </w:p>
        </w:tc>
        <w:tc>
          <w:tcPr>
            <w:tcW w:w="600" w:type="dxa"/>
            <w:vAlign w:val="bottom"/>
            <w:tcBorders>
              <w:bottom w:val="single" w:sz="8" w:color="B6B6B6"/>
            </w:tcBorders>
            <w:shd w:val="clear" w:color="auto" w:fill="B6B6B6"/>
          </w:tcPr>
          <w:p>
            <w:pPr>
              <w:spacing w:after="0"/>
              <w:rPr>
                <w:sz w:val="15"/>
                <w:szCs w:val="15"/>
                <w:color w:val="auto"/>
              </w:rPr>
            </w:pPr>
          </w:p>
        </w:tc>
        <w:tc>
          <w:tcPr>
            <w:tcW w:w="1020" w:type="dxa"/>
            <w:vAlign w:val="bottom"/>
            <w:tcBorders>
              <w:bottom w:val="single" w:sz="8" w:color="B6B6B6"/>
            </w:tcBorders>
            <w:gridSpan w:val="2"/>
            <w:shd w:val="clear" w:color="auto" w:fill="B6B6B6"/>
          </w:tcPr>
          <w:p>
            <w:pPr>
              <w:jc w:val="right"/>
              <w:ind w:right="76"/>
              <w:spacing w:after="0" w:line="147" w:lineRule="exact"/>
              <w:rPr>
                <w:sz w:val="20"/>
                <w:szCs w:val="20"/>
                <w:color w:val="auto"/>
              </w:rPr>
            </w:pPr>
            <w:r>
              <w:rPr>
                <w:rFonts w:ascii="Calibri" w:cs="Calibri" w:eastAsia="Calibri" w:hAnsi="Calibri"/>
                <w:sz w:val="13"/>
                <w:szCs w:val="13"/>
                <w:b w:val="1"/>
                <w:bCs w:val="1"/>
                <w:color w:val="auto"/>
              </w:rPr>
              <w:t>213,631,267</w:t>
            </w:r>
          </w:p>
        </w:tc>
        <w:tc>
          <w:tcPr>
            <w:tcW w:w="760" w:type="dxa"/>
            <w:vAlign w:val="bottom"/>
            <w:tcBorders>
              <w:bottom w:val="single" w:sz="8" w:color="B6B6B6"/>
            </w:tcBorders>
            <w:shd w:val="clear" w:color="auto" w:fill="B6B6B6"/>
          </w:tcPr>
          <w:p>
            <w:pPr>
              <w:jc w:val="right"/>
              <w:spacing w:after="0" w:line="147" w:lineRule="exact"/>
              <w:rPr>
                <w:sz w:val="20"/>
                <w:szCs w:val="20"/>
                <w:color w:val="auto"/>
              </w:rPr>
            </w:pPr>
            <w:r>
              <w:rPr>
                <w:rFonts w:ascii="Calibri" w:cs="Calibri" w:eastAsia="Calibri" w:hAnsi="Calibri"/>
                <w:sz w:val="13"/>
                <w:szCs w:val="13"/>
                <w:b w:val="1"/>
                <w:bCs w:val="1"/>
                <w:color w:val="auto"/>
              </w:rPr>
              <w:t>161,682</w:t>
            </w:r>
          </w:p>
        </w:tc>
        <w:tc>
          <w:tcPr>
            <w:tcW w:w="960" w:type="dxa"/>
            <w:vAlign w:val="bottom"/>
            <w:tcBorders>
              <w:bottom w:val="single" w:sz="8" w:color="B6B6B6"/>
            </w:tcBorders>
            <w:gridSpan w:val="2"/>
            <w:shd w:val="clear" w:color="auto" w:fill="B6B6B6"/>
          </w:tcPr>
          <w:p>
            <w:pPr>
              <w:jc w:val="right"/>
              <w:ind w:right="36"/>
              <w:spacing w:after="0" w:line="147" w:lineRule="exact"/>
              <w:rPr>
                <w:sz w:val="20"/>
                <w:szCs w:val="20"/>
                <w:color w:val="auto"/>
              </w:rPr>
            </w:pPr>
            <w:r>
              <w:rPr>
                <w:rFonts w:ascii="Calibri" w:cs="Calibri" w:eastAsia="Calibri" w:hAnsi="Calibri"/>
                <w:sz w:val="13"/>
                <w:szCs w:val="13"/>
                <w:b w:val="1"/>
                <w:bCs w:val="1"/>
                <w:color w:val="auto"/>
              </w:rPr>
              <w:t>10,873</w:t>
            </w:r>
          </w:p>
        </w:tc>
        <w:tc>
          <w:tcPr>
            <w:tcW w:w="840" w:type="dxa"/>
            <w:vAlign w:val="bottom"/>
            <w:tcBorders>
              <w:bottom w:val="single" w:sz="8" w:color="B6B6B6"/>
            </w:tcBorders>
            <w:shd w:val="clear" w:color="auto" w:fill="B6B6B6"/>
          </w:tcPr>
          <w:p>
            <w:pPr>
              <w:jc w:val="right"/>
              <w:ind w:right="35"/>
              <w:spacing w:after="0" w:line="147" w:lineRule="exact"/>
              <w:rPr>
                <w:sz w:val="20"/>
                <w:szCs w:val="20"/>
                <w:color w:val="auto"/>
              </w:rPr>
            </w:pPr>
            <w:r>
              <w:rPr>
                <w:rFonts w:ascii="Calibri" w:cs="Calibri" w:eastAsia="Calibri" w:hAnsi="Calibri"/>
                <w:sz w:val="13"/>
                <w:szCs w:val="13"/>
                <w:b w:val="1"/>
                <w:bCs w:val="1"/>
                <w:color w:val="auto"/>
              </w:rPr>
              <w:t>28,383</w:t>
            </w:r>
          </w:p>
        </w:tc>
        <w:tc>
          <w:tcPr>
            <w:tcW w:w="800" w:type="dxa"/>
            <w:vAlign w:val="bottom"/>
            <w:tcBorders>
              <w:bottom w:val="single" w:sz="8" w:color="B6B6B6"/>
            </w:tcBorders>
            <w:shd w:val="clear" w:color="auto" w:fill="B6B6B6"/>
          </w:tcPr>
          <w:p>
            <w:pPr>
              <w:jc w:val="right"/>
              <w:spacing w:after="0" w:line="147" w:lineRule="exact"/>
              <w:rPr>
                <w:sz w:val="20"/>
                <w:szCs w:val="20"/>
                <w:color w:val="auto"/>
              </w:rPr>
            </w:pPr>
            <w:r>
              <w:rPr>
                <w:rFonts w:ascii="Calibri" w:cs="Calibri" w:eastAsia="Calibri" w:hAnsi="Calibri"/>
                <w:sz w:val="13"/>
                <w:szCs w:val="13"/>
                <w:b w:val="1"/>
                <w:bCs w:val="1"/>
                <w:color w:val="auto"/>
              </w:rPr>
              <w:t>2,277</w:t>
            </w:r>
          </w:p>
        </w:tc>
        <w:tc>
          <w:tcPr>
            <w:tcW w:w="940" w:type="dxa"/>
            <w:vAlign w:val="bottom"/>
            <w:tcBorders>
              <w:bottom w:val="single" w:sz="8" w:color="B6B6B6"/>
            </w:tcBorders>
            <w:gridSpan w:val="2"/>
            <w:shd w:val="clear" w:color="auto" w:fill="B6B6B6"/>
          </w:tcPr>
          <w:p>
            <w:pPr>
              <w:jc w:val="right"/>
              <w:spacing w:after="0" w:line="147" w:lineRule="exact"/>
              <w:rPr>
                <w:sz w:val="20"/>
                <w:szCs w:val="20"/>
                <w:color w:val="auto"/>
              </w:rPr>
            </w:pPr>
            <w:r>
              <w:rPr>
                <w:rFonts w:ascii="Calibri" w:cs="Calibri" w:eastAsia="Calibri" w:hAnsi="Calibri"/>
                <w:sz w:val="13"/>
                <w:szCs w:val="13"/>
                <w:b w:val="1"/>
                <w:bCs w:val="1"/>
                <w:color w:val="auto"/>
              </w:rPr>
              <w:t>(162,665)</w:t>
            </w:r>
          </w:p>
        </w:tc>
        <w:tc>
          <w:tcPr>
            <w:tcW w:w="1120" w:type="dxa"/>
            <w:vAlign w:val="bottom"/>
            <w:tcBorders>
              <w:bottom w:val="single" w:sz="8" w:color="B6B6B6"/>
            </w:tcBorders>
            <w:gridSpan w:val="2"/>
            <w:shd w:val="clear" w:color="auto" w:fill="B6B6B6"/>
          </w:tcPr>
          <w:p>
            <w:pPr>
              <w:jc w:val="right"/>
              <w:spacing w:after="0" w:line="147" w:lineRule="exact"/>
              <w:rPr>
                <w:sz w:val="20"/>
                <w:szCs w:val="20"/>
                <w:color w:val="auto"/>
              </w:rPr>
            </w:pPr>
            <w:r>
              <w:rPr>
                <w:rFonts w:ascii="Calibri" w:cs="Calibri" w:eastAsia="Calibri" w:hAnsi="Calibri"/>
                <w:sz w:val="13"/>
                <w:szCs w:val="13"/>
                <w:b w:val="1"/>
                <w:bCs w:val="1"/>
                <w:color w:val="auto"/>
              </w:rPr>
              <w:t>(858)</w:t>
            </w:r>
          </w:p>
        </w:tc>
        <w:tc>
          <w:tcPr>
            <w:tcW w:w="980" w:type="dxa"/>
            <w:vAlign w:val="bottom"/>
            <w:tcBorders>
              <w:bottom w:val="single" w:sz="8" w:color="B6B6B6"/>
            </w:tcBorders>
            <w:gridSpan w:val="2"/>
            <w:shd w:val="clear" w:color="auto" w:fill="B6B6B6"/>
          </w:tcPr>
          <w:p>
            <w:pPr>
              <w:jc w:val="right"/>
              <w:spacing w:after="0" w:line="147" w:lineRule="exact"/>
              <w:rPr>
                <w:sz w:val="20"/>
                <w:szCs w:val="20"/>
                <w:color w:val="auto"/>
              </w:rPr>
            </w:pPr>
            <w:r>
              <w:rPr>
                <w:rFonts w:ascii="Calibri" w:cs="Calibri" w:eastAsia="Calibri" w:hAnsi="Calibri"/>
                <w:sz w:val="13"/>
                <w:szCs w:val="13"/>
                <w:b w:val="1"/>
                <w:bCs w:val="1"/>
                <w:color w:val="auto"/>
              </w:rPr>
              <w:t>39,692</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40" w:type="dxa"/>
            <w:vAlign w:val="bottom"/>
            <w:tcBorders>
              <w:bottom w:val="single" w:sz="8" w:color="DBDBDB"/>
            </w:tcBorders>
            <w:shd w:val="clear" w:color="auto" w:fill="DBDBDB"/>
          </w:tcPr>
          <w:p>
            <w:pPr>
              <w:ind w:left="20"/>
              <w:spacing w:after="0" w:line="147" w:lineRule="exact"/>
              <w:rPr>
                <w:sz w:val="20"/>
                <w:szCs w:val="20"/>
                <w:color w:val="auto"/>
              </w:rPr>
            </w:pPr>
            <w:r>
              <w:rPr>
                <w:rFonts w:ascii="Calibri" w:cs="Calibri" w:eastAsia="Calibri" w:hAnsi="Calibri"/>
                <w:sz w:val="13"/>
                <w:szCs w:val="13"/>
                <w:b w:val="1"/>
                <w:bCs w:val="1"/>
                <w:color w:val="auto"/>
              </w:rPr>
              <w:t>Balance as at March 31, 2024</w:t>
            </w:r>
          </w:p>
        </w:tc>
        <w:tc>
          <w:tcPr>
            <w:tcW w:w="60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gridSpan w:val="2"/>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760,053,342</w:t>
            </w:r>
          </w:p>
        </w:tc>
        <w:tc>
          <w:tcPr>
            <w:tcW w:w="76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443,877</w:t>
            </w:r>
          </w:p>
        </w:tc>
        <w:tc>
          <w:tcPr>
            <w:tcW w:w="960" w:type="dxa"/>
            <w:vAlign w:val="bottom"/>
            <w:tcBorders>
              <w:bottom w:val="single" w:sz="8" w:color="DBDBDB"/>
            </w:tcBorders>
            <w:gridSpan w:val="2"/>
            <w:shd w:val="clear" w:color="auto" w:fill="DBDBDB"/>
          </w:tcPr>
          <w:p>
            <w:pPr>
              <w:jc w:val="right"/>
              <w:ind w:right="16"/>
              <w:spacing w:after="0" w:line="147" w:lineRule="exact"/>
              <w:rPr>
                <w:sz w:val="20"/>
                <w:szCs w:val="20"/>
                <w:color w:val="auto"/>
              </w:rPr>
            </w:pPr>
            <w:r>
              <w:rPr>
                <w:rFonts w:ascii="Calibri" w:cs="Calibri" w:eastAsia="Calibri" w:hAnsi="Calibri"/>
                <w:sz w:val="13"/>
                <w:szCs w:val="13"/>
                <w:b w:val="1"/>
                <w:bCs w:val="1"/>
                <w:color w:val="auto"/>
              </w:rPr>
              <w:t>25,639</w:t>
            </w:r>
          </w:p>
        </w:tc>
        <w:tc>
          <w:tcPr>
            <w:tcW w:w="840" w:type="dxa"/>
            <w:vAlign w:val="bottom"/>
            <w:tcBorders>
              <w:bottom w:val="single" w:sz="8" w:color="DBDBDB"/>
            </w:tcBorders>
            <w:shd w:val="clear" w:color="auto" w:fill="DBDBDB"/>
          </w:tcPr>
          <w:p>
            <w:pPr>
              <w:jc w:val="right"/>
              <w:ind w:right="35"/>
              <w:spacing w:after="0" w:line="147" w:lineRule="exact"/>
              <w:rPr>
                <w:sz w:val="20"/>
                <w:szCs w:val="20"/>
                <w:color w:val="auto"/>
              </w:rPr>
            </w:pPr>
            <w:r>
              <w:rPr>
                <w:rFonts w:ascii="Calibri" w:cs="Calibri" w:eastAsia="Calibri" w:hAnsi="Calibri"/>
                <w:sz w:val="13"/>
                <w:szCs w:val="13"/>
                <w:b w:val="1"/>
                <w:bCs w:val="1"/>
                <w:color w:val="auto"/>
              </w:rPr>
              <w:t>39,177</w:t>
            </w:r>
          </w:p>
        </w:tc>
        <w:tc>
          <w:tcPr>
            <w:tcW w:w="80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11,750</w:t>
            </w:r>
          </w:p>
        </w:tc>
        <w:tc>
          <w:tcPr>
            <w:tcW w:w="94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(226,231)</w:t>
            </w:r>
          </w:p>
        </w:tc>
        <w:tc>
          <w:tcPr>
            <w:tcW w:w="112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(2,285)</w:t>
            </w:r>
          </w:p>
        </w:tc>
        <w:tc>
          <w:tcPr>
            <w:tcW w:w="98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291,927</w:t>
            </w:r>
          </w:p>
        </w:tc>
        <w:tc>
          <w:tcPr>
            <w:tcW w:w="0" w:type="dxa"/>
            <w:vAlign w:val="bottom"/>
          </w:tcPr>
          <w:p>
            <w:pPr>
              <w:spacing w:after="0"/>
              <w:rPr>
                <w:sz w:val="1"/>
                <w:szCs w:val="1"/>
                <w:color w:val="auto"/>
              </w:rPr>
            </w:pPr>
          </w:p>
        </w:tc>
      </w:tr>
      <w:tr>
        <w:trPr>
          <w:trHeight w:val="147"/>
        </w:trPr>
        <w:tc>
          <w:tcPr>
            <w:tcW w:w="3240" w:type="dxa"/>
            <w:vAlign w:val="bottom"/>
            <w:tcBorders>
              <w:top w:val="single" w:sz="8" w:color="auto"/>
            </w:tcBorders>
          </w:tcPr>
          <w:p>
            <w:pPr>
              <w:ind w:left="20"/>
              <w:spacing w:after="0" w:line="147" w:lineRule="exact"/>
              <w:rPr>
                <w:sz w:val="20"/>
                <w:szCs w:val="20"/>
                <w:color w:val="auto"/>
              </w:rPr>
            </w:pPr>
            <w:r>
              <w:rPr>
                <w:rFonts w:ascii="Calibri" w:cs="Calibri" w:eastAsia="Calibri" w:hAnsi="Calibri"/>
                <w:sz w:val="13"/>
                <w:szCs w:val="13"/>
                <w:color w:val="auto"/>
              </w:rPr>
              <w:t>Share issuance costs</w:t>
            </w:r>
          </w:p>
        </w:tc>
        <w:tc>
          <w:tcPr>
            <w:tcW w:w="600" w:type="dxa"/>
            <w:vAlign w:val="bottom"/>
            <w:tcBorders>
              <w:top w:val="single" w:sz="8" w:color="auto"/>
            </w:tcBorders>
          </w:tcPr>
          <w:p>
            <w:pPr>
              <w:jc w:val="center"/>
              <w:spacing w:after="0" w:line="147" w:lineRule="exact"/>
              <w:rPr>
                <w:sz w:val="20"/>
                <w:szCs w:val="20"/>
                <w:color w:val="auto"/>
              </w:rPr>
            </w:pPr>
            <w:r>
              <w:rPr>
                <w:rFonts w:ascii="Calibri" w:cs="Calibri" w:eastAsia="Calibri" w:hAnsi="Calibri"/>
                <w:sz w:val="13"/>
                <w:szCs w:val="13"/>
                <w:color w:val="auto"/>
              </w:rPr>
              <w:t>7</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76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(149)</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6"/>
              <w:spacing w:after="0" w:line="147" w:lineRule="exact"/>
              <w:rPr>
                <w:sz w:val="20"/>
                <w:szCs w:val="20"/>
                <w:color w:val="auto"/>
              </w:rPr>
            </w:pPr>
            <w:r>
              <w:rPr>
                <w:rFonts w:ascii="Calibri" w:cs="Calibri" w:eastAsia="Calibri" w:hAnsi="Calibri"/>
                <w:sz w:val="13"/>
                <w:szCs w:val="13"/>
                <w:color w:val="auto"/>
              </w:rPr>
              <w:t>—</w:t>
            </w:r>
          </w:p>
        </w:tc>
        <w:tc>
          <w:tcPr>
            <w:tcW w:w="840" w:type="dxa"/>
            <w:vAlign w:val="bottom"/>
            <w:tcBorders>
              <w:top w:val="single" w:sz="8" w:color="auto"/>
            </w:tcBorders>
          </w:tcPr>
          <w:p>
            <w:pPr>
              <w:jc w:val="right"/>
              <w:ind w:right="35"/>
              <w:spacing w:after="0" w:line="147" w:lineRule="exact"/>
              <w:rPr>
                <w:sz w:val="20"/>
                <w:szCs w:val="20"/>
                <w:color w:val="auto"/>
              </w:rPr>
            </w:pPr>
            <w:r>
              <w:rPr>
                <w:rFonts w:ascii="Calibri" w:cs="Calibri" w:eastAsia="Calibri" w:hAnsi="Calibri"/>
                <w:sz w:val="13"/>
                <w:szCs w:val="13"/>
                <w:b w:val="1"/>
                <w:bCs w:val="1"/>
                <w:color w:val="auto"/>
              </w:rPr>
              <w:t>—</w:t>
            </w:r>
          </w:p>
        </w:tc>
        <w:tc>
          <w:tcPr>
            <w:tcW w:w="80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w:t>
            </w:r>
          </w:p>
        </w:tc>
        <w:tc>
          <w:tcPr>
            <w:tcW w:w="980" w:type="dxa"/>
            <w:vAlign w:val="bottom"/>
            <w:tcBorders>
              <w:top w:val="single" w:sz="8" w:color="auto"/>
            </w:tcBorders>
            <w:gridSpan w:val="2"/>
          </w:tcPr>
          <w:p>
            <w:pPr>
              <w:jc w:val="right"/>
              <w:spacing w:after="0" w:line="147" w:lineRule="exact"/>
              <w:rPr>
                <w:sz w:val="20"/>
                <w:szCs w:val="20"/>
                <w:color w:val="auto"/>
              </w:rPr>
            </w:pPr>
            <w:r>
              <w:rPr>
                <w:rFonts w:ascii="Calibri" w:cs="Calibri" w:eastAsia="Calibri" w:hAnsi="Calibri"/>
                <w:sz w:val="13"/>
                <w:szCs w:val="13"/>
                <w:b w:val="1"/>
                <w:bCs w:val="1"/>
                <w:color w:val="auto"/>
              </w:rPr>
              <w:t>(149)</w:t>
            </w: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Calibri" w:cs="Calibri" w:eastAsia="Calibri" w:hAnsi="Calibri"/>
                <w:sz w:val="13"/>
                <w:szCs w:val="13"/>
                <w:color w:val="auto"/>
              </w:rPr>
              <w:t>Optons cancelled</w:t>
            </w:r>
          </w:p>
        </w:tc>
        <w:tc>
          <w:tcPr>
            <w:tcW w:w="60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(32,041)</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32,041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rPr>
                <w:sz w:val="20"/>
                <w:szCs w:val="20"/>
                <w:color w:val="auto"/>
              </w:rPr>
            </w:pPr>
            <w:r>
              <w:rPr>
                <w:rFonts w:ascii="Calibri" w:cs="Calibri" w:eastAsia="Calibri" w:hAnsi="Calibri"/>
                <w:sz w:val="13"/>
                <w:szCs w:val="13"/>
                <w:color w:val="auto"/>
              </w:rPr>
              <w:t>Share-based compensaton</w:t>
            </w:r>
          </w:p>
        </w:tc>
        <w:tc>
          <w:tcPr>
            <w:tcW w:w="60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35"/>
              <w:spacing w:after="0"/>
              <w:rPr>
                <w:sz w:val="20"/>
                <w:szCs w:val="20"/>
                <w:color w:val="auto"/>
              </w:rPr>
            </w:pPr>
            <w:r>
              <w:rPr>
                <w:rFonts w:ascii="Calibri" w:cs="Calibri" w:eastAsia="Calibri" w:hAnsi="Calibri"/>
                <w:sz w:val="13"/>
                <w:szCs w:val="13"/>
                <w:color w:val="auto"/>
              </w:rPr>
              <w:t>3,973</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3,973</w:t>
            </w: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rPr>
                <w:sz w:val="20"/>
                <w:szCs w:val="20"/>
                <w:color w:val="auto"/>
              </w:rPr>
            </w:pPr>
            <w:r>
              <w:rPr>
                <w:rFonts w:ascii="Calibri" w:cs="Calibri" w:eastAsia="Calibri" w:hAnsi="Calibri"/>
                <w:sz w:val="13"/>
                <w:szCs w:val="13"/>
                <w:color w:val="auto"/>
              </w:rPr>
              <w:t>Unrealized loss on translaton of foreign operatons</w:t>
            </w:r>
          </w:p>
        </w:tc>
        <w:tc>
          <w:tcPr>
            <w:tcW w:w="60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(1,095)</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(1,095)</w:t>
            </w: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rPr>
                <w:sz w:val="20"/>
                <w:szCs w:val="20"/>
                <w:color w:val="auto"/>
              </w:rPr>
            </w:pPr>
            <w:r>
              <w:rPr>
                <w:rFonts w:ascii="Calibri" w:cs="Calibri" w:eastAsia="Calibri" w:hAnsi="Calibri"/>
                <w:sz w:val="13"/>
                <w:szCs w:val="13"/>
                <w:color w:val="auto"/>
              </w:rPr>
              <w:t>Net loss for the period</w:t>
            </w:r>
          </w:p>
        </w:tc>
        <w:tc>
          <w:tcPr>
            <w:tcW w:w="60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40" w:type="dxa"/>
            <w:vAlign w:val="bottom"/>
            <w:gridSpan w:val="2"/>
          </w:tcPr>
          <w:p>
            <w:pPr>
              <w:jc w:val="right"/>
              <w:spacing w:after="0"/>
              <w:rPr>
                <w:sz w:val="20"/>
                <w:szCs w:val="20"/>
                <w:color w:val="auto"/>
              </w:rPr>
            </w:pPr>
            <w:r>
              <w:rPr>
                <w:rFonts w:ascii="Calibri" w:cs="Calibri" w:eastAsia="Calibri" w:hAnsi="Calibri"/>
                <w:sz w:val="13"/>
                <w:szCs w:val="13"/>
                <w:color w:val="auto"/>
              </w:rPr>
              <w:t>(14,824)</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(14,824)</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40" w:type="dxa"/>
            <w:vAlign w:val="bottom"/>
            <w:tcBorders>
              <w:bottom w:val="single" w:sz="8" w:color="D9D9D9"/>
            </w:tcBorders>
            <w:shd w:val="clear" w:color="auto" w:fill="D9D9D9"/>
          </w:tcPr>
          <w:p>
            <w:pPr>
              <w:ind w:left="20"/>
              <w:spacing w:after="0" w:line="147" w:lineRule="exact"/>
              <w:rPr>
                <w:sz w:val="20"/>
                <w:szCs w:val="20"/>
                <w:color w:val="auto"/>
              </w:rPr>
            </w:pPr>
            <w:r>
              <w:rPr>
                <w:rFonts w:ascii="Calibri" w:cs="Calibri" w:eastAsia="Calibri" w:hAnsi="Calibri"/>
                <w:sz w:val="13"/>
                <w:szCs w:val="13"/>
                <w:b w:val="1"/>
                <w:bCs w:val="1"/>
                <w:color w:val="auto"/>
              </w:rPr>
              <w:t>Balance as at June 30, 2024</w:t>
            </w:r>
          </w:p>
        </w:tc>
        <w:tc>
          <w:tcPr>
            <w:tcW w:w="60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9D9D9"/>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760,053,342</w:t>
            </w:r>
          </w:p>
        </w:tc>
        <w:tc>
          <w:tcPr>
            <w:tcW w:w="7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443,728</w:t>
            </w:r>
          </w:p>
        </w:tc>
        <w:tc>
          <w:tcPr>
            <w:tcW w:w="8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9D9D9"/>
            </w:tcBorders>
            <w:shd w:val="clear" w:color="auto" w:fill="D9D9D9"/>
          </w:tcPr>
          <w:p>
            <w:pPr>
              <w:jc w:val="right"/>
              <w:ind w:right="16"/>
              <w:spacing w:after="0" w:line="147" w:lineRule="exact"/>
              <w:rPr>
                <w:sz w:val="20"/>
                <w:szCs w:val="20"/>
                <w:color w:val="auto"/>
              </w:rPr>
            </w:pPr>
            <w:r>
              <w:rPr>
                <w:rFonts w:ascii="Calibri" w:cs="Calibri" w:eastAsia="Calibri" w:hAnsi="Calibri"/>
                <w:sz w:val="13"/>
                <w:szCs w:val="13"/>
                <w:b w:val="1"/>
                <w:bCs w:val="1"/>
                <w:color w:val="auto"/>
              </w:rPr>
              <w:t>25,639</w:t>
            </w:r>
          </w:p>
        </w:tc>
        <w:tc>
          <w:tcPr>
            <w:tcW w:w="84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11,109</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43,791</w:t>
            </w:r>
          </w:p>
        </w:tc>
        <w:tc>
          <w:tcPr>
            <w:tcW w:w="10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(241,055)</w:t>
            </w:r>
          </w:p>
        </w:tc>
        <w:tc>
          <w:tcPr>
            <w:tcW w:w="8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(3,380)</w:t>
            </w:r>
          </w:p>
        </w:tc>
        <w:tc>
          <w:tcPr>
            <w:tcW w:w="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279,832</w:t>
            </w:r>
          </w:p>
        </w:tc>
        <w:tc>
          <w:tcPr>
            <w:tcW w:w="0" w:type="dxa"/>
            <w:vAlign w:val="bottom"/>
          </w:tcPr>
          <w:p>
            <w:pPr>
              <w:spacing w:after="0"/>
              <w:rPr>
                <w:sz w:val="1"/>
                <w:szCs w:val="1"/>
                <w:color w:val="auto"/>
              </w:rPr>
            </w:pPr>
          </w:p>
        </w:tc>
      </w:tr>
      <w:tr>
        <w:trPr>
          <w:trHeight w:val="20"/>
        </w:trPr>
        <w:tc>
          <w:tcPr>
            <w:tcW w:w="3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209" w:right="319" w:bottom="1440" w:gutter="0" w:footer="0" w:header="0"/>
        </w:sectPr>
      </w:pPr>
    </w:p>
    <w:bookmarkStart w:id="8" w:name="page9"/>
    <w:bookmarkEnd w:id="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CONDENSED INTERIM CONSOLIDATED STATEMENT OF CASH FLOWS</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w:t>
      </w:r>
    </w:p>
    <w:p>
      <w:pPr>
        <w:ind w:left="60"/>
        <w:spacing w:after="0" w:line="237"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40" w:type="dxa"/>
            <w:vAlign w:val="bottom"/>
            <w:gridSpan w:val="2"/>
          </w:tcPr>
          <w:p>
            <w:pPr>
              <w:jc w:val="right"/>
              <w:ind w:right="427"/>
              <w:spacing w:after="0"/>
              <w:rPr>
                <w:sz w:val="20"/>
                <w:szCs w:val="20"/>
                <w:color w:val="auto"/>
              </w:rPr>
            </w:pPr>
            <w:r>
              <w:rPr>
                <w:rFonts w:ascii="Calibri" w:cs="Calibri" w:eastAsia="Calibri" w:hAnsi="Calibri"/>
                <w:sz w:val="15"/>
                <w:szCs w:val="15"/>
                <w:b w:val="1"/>
                <w:bCs w:val="1"/>
                <w:color w:val="auto"/>
              </w:rPr>
              <w:t>For the three months ended</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740" w:type="dxa"/>
            <w:vAlign w:val="bottom"/>
          </w:tcPr>
          <w:p>
            <w:pPr>
              <w:jc w:val="right"/>
              <w:ind w:right="207"/>
              <w:spacing w:after="0" w:line="173" w:lineRule="exact"/>
              <w:rPr>
                <w:sz w:val="20"/>
                <w:szCs w:val="20"/>
                <w:color w:val="auto"/>
              </w:rPr>
            </w:pPr>
            <w:r>
              <w:rPr>
                <w:rFonts w:ascii="Calibri" w:cs="Calibri" w:eastAsia="Calibri" w:hAnsi="Calibri"/>
                <w:sz w:val="15"/>
                <w:szCs w:val="15"/>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548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5480" w:type="dxa"/>
            <w:vAlign w:val="bottom"/>
          </w:tcPr>
          <w:p>
            <w:pPr>
              <w:spacing w:after="0"/>
              <w:rPr>
                <w:sz w:val="14"/>
                <w:szCs w:val="14"/>
                <w:color w:val="auto"/>
              </w:rPr>
            </w:pPr>
          </w:p>
        </w:tc>
        <w:tc>
          <w:tcPr>
            <w:tcW w:w="3240" w:type="dxa"/>
            <w:vAlign w:val="bottom"/>
          </w:tcPr>
          <w:p>
            <w:pPr>
              <w:ind w:left="2500"/>
              <w:spacing w:after="0" w:line="165" w:lineRule="exact"/>
              <w:rPr>
                <w:sz w:val="20"/>
                <w:szCs w:val="20"/>
                <w:color w:val="auto"/>
              </w:rPr>
            </w:pPr>
            <w:r>
              <w:rPr>
                <w:rFonts w:ascii="Calibri" w:cs="Calibri" w:eastAsia="Calibri" w:hAnsi="Calibri"/>
                <w:sz w:val="15"/>
                <w:szCs w:val="15"/>
                <w:b w:val="1"/>
                <w:bCs w:val="1"/>
                <w:color w:val="auto"/>
              </w:rPr>
              <w:t>Notes</w:t>
            </w:r>
          </w:p>
        </w:tc>
        <w:tc>
          <w:tcPr>
            <w:tcW w:w="1740" w:type="dxa"/>
            <w:vAlign w:val="bottom"/>
            <w:vMerge w:val="restart"/>
          </w:tcPr>
          <w:p>
            <w:pPr>
              <w:jc w:val="right"/>
              <w:ind w:right="507"/>
              <w:spacing w:after="0"/>
              <w:rPr>
                <w:sz w:val="20"/>
                <w:szCs w:val="20"/>
                <w:color w:val="auto"/>
              </w:rPr>
            </w:pPr>
            <w:r>
              <w:rPr>
                <w:rFonts w:ascii="Calibri" w:cs="Calibri" w:eastAsia="Calibri" w:hAnsi="Calibri"/>
                <w:sz w:val="15"/>
                <w:szCs w:val="15"/>
                <w:b w:val="1"/>
                <w:bCs w:val="1"/>
                <w:color w:val="auto"/>
              </w:rPr>
              <w:t>2024</w:t>
            </w:r>
          </w:p>
        </w:tc>
        <w:tc>
          <w:tcPr>
            <w:tcW w:w="800" w:type="dxa"/>
            <w:vAlign w:val="bottom"/>
            <w:vMerge w:val="restart"/>
          </w:tcPr>
          <w:p>
            <w:pPr>
              <w:jc w:val="right"/>
              <w:spacing w:after="0"/>
              <w:rPr>
                <w:sz w:val="20"/>
                <w:szCs w:val="20"/>
                <w:color w:val="auto"/>
              </w:rPr>
            </w:pPr>
            <w:r>
              <w:rPr>
                <w:rFonts w:ascii="Calibri" w:cs="Calibri" w:eastAsia="Calibri" w:hAnsi="Calibri"/>
                <w:sz w:val="15"/>
                <w:szCs w:val="15"/>
                <w:b w:val="1"/>
                <w:bCs w:val="1"/>
                <w:color w:val="auto"/>
              </w:rPr>
              <w:t>2023</w:t>
            </w:r>
          </w:p>
        </w:tc>
        <w:tc>
          <w:tcPr>
            <w:tcW w:w="0" w:type="dxa"/>
            <w:vAlign w:val="bottom"/>
          </w:tcPr>
          <w:p>
            <w:pPr>
              <w:spacing w:after="0"/>
              <w:rPr>
                <w:sz w:val="1"/>
                <w:szCs w:val="1"/>
                <w:color w:val="auto"/>
              </w:rPr>
            </w:pPr>
          </w:p>
        </w:tc>
      </w:tr>
      <w:tr>
        <w:trPr>
          <w:trHeight w:val="45"/>
        </w:trPr>
        <w:tc>
          <w:tcPr>
            <w:tcW w:w="54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48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OPERATING ACTIVITIES</w:t>
            </w:r>
          </w:p>
        </w:tc>
        <w:tc>
          <w:tcPr>
            <w:tcW w:w="3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3240" w:type="dxa"/>
            <w:vAlign w:val="bottom"/>
          </w:tcPr>
          <w:p>
            <w:pPr>
              <w:spacing w:after="0"/>
              <w:rPr>
                <w:sz w:val="16"/>
                <w:szCs w:val="16"/>
                <w:color w:val="auto"/>
              </w:rPr>
            </w:pPr>
          </w:p>
        </w:tc>
        <w:tc>
          <w:tcPr>
            <w:tcW w:w="174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(14,824)</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(14,514)</w:t>
            </w:r>
          </w:p>
        </w:tc>
        <w:tc>
          <w:tcPr>
            <w:tcW w:w="0" w:type="dxa"/>
            <w:vAlign w:val="bottom"/>
          </w:tcPr>
          <w:p>
            <w:pPr>
              <w:spacing w:after="0"/>
              <w:rPr>
                <w:sz w:val="1"/>
                <w:szCs w:val="1"/>
                <w:color w:val="auto"/>
              </w:rPr>
            </w:pPr>
          </w:p>
        </w:tc>
      </w:tr>
      <w:tr>
        <w:trPr>
          <w:trHeight w:val="193"/>
        </w:trPr>
        <w:tc>
          <w:tcPr>
            <w:tcW w:w="5480" w:type="dxa"/>
            <w:vAlign w:val="bottom"/>
          </w:tcPr>
          <w:p>
            <w:pPr>
              <w:ind w:left="16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3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80" w:type="dxa"/>
            <w:vAlign w:val="bottom"/>
            <w:vMerge w:val="restart"/>
          </w:tcPr>
          <w:p>
            <w:pPr>
              <w:ind w:left="340"/>
              <w:spacing w:after="0"/>
              <w:rPr>
                <w:sz w:val="20"/>
                <w:szCs w:val="20"/>
                <w:color w:val="auto"/>
              </w:rPr>
            </w:pPr>
            <w:r>
              <w:rPr>
                <w:rFonts w:ascii="Calibri" w:cs="Calibri" w:eastAsia="Calibri" w:hAnsi="Calibri"/>
                <w:sz w:val="15"/>
                <w:szCs w:val="15"/>
                <w:color w:val="auto"/>
              </w:rPr>
              <w:t>Depreciaton and amortzaton</w:t>
            </w:r>
          </w:p>
        </w:tc>
        <w:tc>
          <w:tcPr>
            <w:tcW w:w="3240" w:type="dxa"/>
            <w:vAlign w:val="bottom"/>
          </w:tcPr>
          <w:p>
            <w:pPr>
              <w:jc w:val="center"/>
              <w:ind w:left="2027"/>
              <w:spacing w:after="0"/>
              <w:rPr>
                <w:sz w:val="20"/>
                <w:szCs w:val="20"/>
                <w:color w:val="auto"/>
              </w:rPr>
            </w:pPr>
            <w:r>
              <w:rPr>
                <w:rFonts w:ascii="Calibri" w:cs="Calibri" w:eastAsia="Calibri" w:hAnsi="Calibri"/>
                <w:sz w:val="15"/>
                <w:szCs w:val="15"/>
                <w:i w:val="1"/>
                <w:iCs w:val="1"/>
                <w:color w:val="auto"/>
                <w:w w:val="97"/>
              </w:rPr>
              <w:t>3, 4 &amp; 5</w:t>
            </w:r>
          </w:p>
        </w:tc>
        <w:tc>
          <w:tcPr>
            <w:tcW w:w="1740" w:type="dxa"/>
            <w:vAlign w:val="bottom"/>
            <w:vMerge w:val="restart"/>
          </w:tcPr>
          <w:p>
            <w:pPr>
              <w:jc w:val="right"/>
              <w:ind w:right="507"/>
              <w:spacing w:after="0"/>
              <w:rPr>
                <w:sz w:val="20"/>
                <w:szCs w:val="20"/>
                <w:color w:val="auto"/>
              </w:rPr>
            </w:pPr>
            <w:r>
              <w:rPr>
                <w:rFonts w:ascii="Calibri" w:cs="Calibri" w:eastAsia="Calibri" w:hAnsi="Calibri"/>
                <w:sz w:val="15"/>
                <w:szCs w:val="15"/>
                <w:b w:val="1"/>
                <w:bCs w:val="1"/>
                <w:color w:val="auto"/>
              </w:rPr>
              <w:t>138</w:t>
            </w:r>
          </w:p>
        </w:tc>
        <w:tc>
          <w:tcPr>
            <w:tcW w:w="800" w:type="dxa"/>
            <w:vAlign w:val="bottom"/>
            <w:vMerge w:val="restart"/>
          </w:tcPr>
          <w:p>
            <w:pPr>
              <w:jc w:val="right"/>
              <w:spacing w:after="0"/>
              <w:rPr>
                <w:sz w:val="20"/>
                <w:szCs w:val="20"/>
                <w:color w:val="auto"/>
              </w:rPr>
            </w:pPr>
            <w:r>
              <w:rPr>
                <w:rFonts w:ascii="Calibri" w:cs="Calibri" w:eastAsia="Calibri" w:hAnsi="Calibri"/>
                <w:sz w:val="15"/>
                <w:szCs w:val="15"/>
                <w:color w:val="auto"/>
              </w:rPr>
              <w:t>69</w:t>
            </w:r>
          </w:p>
        </w:tc>
        <w:tc>
          <w:tcPr>
            <w:tcW w:w="0" w:type="dxa"/>
            <w:vAlign w:val="bottom"/>
          </w:tcPr>
          <w:p>
            <w:pPr>
              <w:spacing w:after="0"/>
              <w:rPr>
                <w:sz w:val="1"/>
                <w:szCs w:val="1"/>
                <w:color w:val="auto"/>
              </w:rPr>
            </w:pPr>
          </w:p>
        </w:tc>
      </w:tr>
      <w:tr>
        <w:trPr>
          <w:trHeight w:val="73"/>
        </w:trPr>
        <w:tc>
          <w:tcPr>
            <w:tcW w:w="548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480" w:type="dxa"/>
            <w:vAlign w:val="bottom"/>
          </w:tcPr>
          <w:p>
            <w:pPr>
              <w:ind w:left="340"/>
              <w:spacing w:after="0"/>
              <w:rPr>
                <w:sz w:val="20"/>
                <w:szCs w:val="20"/>
                <w:color w:val="auto"/>
              </w:rPr>
            </w:pPr>
            <w:r>
              <w:rPr>
                <w:rFonts w:ascii="Calibri" w:cs="Calibri" w:eastAsia="Calibri" w:hAnsi="Calibri"/>
                <w:sz w:val="15"/>
                <w:szCs w:val="15"/>
                <w:color w:val="auto"/>
              </w:rPr>
              <w:t>Share-based compensaton</w:t>
            </w:r>
          </w:p>
        </w:tc>
        <w:tc>
          <w:tcPr>
            <w:tcW w:w="3240" w:type="dxa"/>
            <w:vAlign w:val="bottom"/>
          </w:tcPr>
          <w:p>
            <w:pPr>
              <w:spacing w:after="0"/>
              <w:rPr>
                <w:sz w:val="23"/>
                <w:szCs w:val="23"/>
                <w:color w:val="auto"/>
              </w:rPr>
            </w:pPr>
          </w:p>
        </w:tc>
        <w:tc>
          <w:tcPr>
            <w:tcW w:w="1740" w:type="dxa"/>
            <w:vAlign w:val="bottom"/>
            <w:vMerge w:val="restart"/>
          </w:tcPr>
          <w:p>
            <w:pPr>
              <w:jc w:val="right"/>
              <w:ind w:right="507"/>
              <w:spacing w:after="0"/>
              <w:rPr>
                <w:sz w:val="20"/>
                <w:szCs w:val="20"/>
                <w:color w:val="auto"/>
              </w:rPr>
            </w:pPr>
            <w:r>
              <w:rPr>
                <w:rFonts w:ascii="Calibri" w:cs="Calibri" w:eastAsia="Calibri" w:hAnsi="Calibri"/>
                <w:sz w:val="15"/>
                <w:szCs w:val="15"/>
                <w:b w:val="1"/>
                <w:bCs w:val="1"/>
                <w:color w:val="auto"/>
              </w:rPr>
              <w:t>3,973</w:t>
            </w:r>
          </w:p>
        </w:tc>
        <w:tc>
          <w:tcPr>
            <w:tcW w:w="800" w:type="dxa"/>
            <w:vAlign w:val="bottom"/>
            <w:vMerge w:val="restart"/>
          </w:tcPr>
          <w:p>
            <w:pPr>
              <w:jc w:val="right"/>
              <w:spacing w:after="0"/>
              <w:rPr>
                <w:sz w:val="20"/>
                <w:szCs w:val="20"/>
                <w:color w:val="auto"/>
              </w:rPr>
            </w:pPr>
            <w:r>
              <w:rPr>
                <w:rFonts w:ascii="Calibri" w:cs="Calibri" w:eastAsia="Calibri" w:hAnsi="Calibri"/>
                <w:sz w:val="15"/>
                <w:szCs w:val="15"/>
                <w:color w:val="auto"/>
              </w:rPr>
              <w:t>1,275</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380"/>
              <w:spacing w:after="0"/>
              <w:rPr>
                <w:sz w:val="20"/>
                <w:szCs w:val="20"/>
                <w:color w:val="auto"/>
              </w:rPr>
            </w:pPr>
            <w:r>
              <w:rPr>
                <w:rFonts w:ascii="Calibri" w:cs="Calibri" w:eastAsia="Calibri" w:hAnsi="Calibri"/>
                <w:sz w:val="15"/>
                <w:szCs w:val="15"/>
                <w:color w:val="auto"/>
              </w:rPr>
              <w:t>Lease interest</w:t>
            </w:r>
          </w:p>
        </w:tc>
        <w:tc>
          <w:tcPr>
            <w:tcW w:w="3240" w:type="dxa"/>
            <w:vAlign w:val="bottom"/>
          </w:tcPr>
          <w:p>
            <w:pPr>
              <w:spacing w:after="0"/>
              <w:rPr>
                <w:sz w:val="16"/>
                <w:szCs w:val="16"/>
                <w:color w:val="auto"/>
              </w:rPr>
            </w:pPr>
          </w:p>
        </w:tc>
        <w:tc>
          <w:tcPr>
            <w:tcW w:w="1740" w:type="dxa"/>
            <w:vAlign w:val="bottom"/>
          </w:tcPr>
          <w:p>
            <w:pPr>
              <w:jc w:val="right"/>
              <w:ind w:right="507"/>
              <w:spacing w:after="0"/>
              <w:rPr>
                <w:sz w:val="20"/>
                <w:szCs w:val="20"/>
                <w:color w:val="auto"/>
              </w:rPr>
            </w:pPr>
            <w:r>
              <w:rPr>
                <w:rFonts w:ascii="Calibri" w:cs="Calibri" w:eastAsia="Calibri" w:hAnsi="Calibri"/>
                <w:sz w:val="15"/>
                <w:szCs w:val="15"/>
                <w:b w:val="1"/>
                <w:bCs w:val="1"/>
                <w:color w:val="auto"/>
              </w:rPr>
              <w:t>3</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66"/>
        </w:trPr>
        <w:tc>
          <w:tcPr>
            <w:tcW w:w="5480" w:type="dxa"/>
            <w:vAlign w:val="bottom"/>
          </w:tcPr>
          <w:p>
            <w:pPr>
              <w:ind w:left="380"/>
              <w:spacing w:after="0"/>
              <w:rPr>
                <w:sz w:val="20"/>
                <w:szCs w:val="20"/>
                <w:color w:val="auto"/>
              </w:rPr>
            </w:pPr>
            <w:r>
              <w:rPr>
                <w:rFonts w:ascii="Calibri" w:cs="Calibri" w:eastAsia="Calibri" w:hAnsi="Calibri"/>
                <w:sz w:val="15"/>
                <w:szCs w:val="15"/>
                <w:color w:val="auto"/>
              </w:rPr>
              <w:t>Unrealized foreign currency translaton (gain)</w:t>
            </w:r>
          </w:p>
        </w:tc>
        <w:tc>
          <w:tcPr>
            <w:tcW w:w="3240" w:type="dxa"/>
            <w:vAlign w:val="bottom"/>
          </w:tcPr>
          <w:p>
            <w:pPr>
              <w:spacing w:after="0"/>
              <w:rPr>
                <w:sz w:val="23"/>
                <w:szCs w:val="23"/>
                <w:color w:val="auto"/>
              </w:rPr>
            </w:pPr>
          </w:p>
        </w:tc>
        <w:tc>
          <w:tcPr>
            <w:tcW w:w="1740" w:type="dxa"/>
            <w:vAlign w:val="bottom"/>
            <w:vMerge w:val="restart"/>
          </w:tcPr>
          <w:p>
            <w:pPr>
              <w:jc w:val="right"/>
              <w:ind w:right="487"/>
              <w:spacing w:after="0"/>
              <w:rPr>
                <w:sz w:val="20"/>
                <w:szCs w:val="20"/>
                <w:color w:val="auto"/>
              </w:rPr>
            </w:pPr>
            <w:r>
              <w:rPr>
                <w:rFonts w:ascii="Calibri" w:cs="Calibri" w:eastAsia="Calibri" w:hAnsi="Calibri"/>
                <w:sz w:val="15"/>
                <w:szCs w:val="15"/>
                <w:b w:val="1"/>
                <w:bCs w:val="1"/>
                <w:color w:val="auto"/>
              </w:rPr>
              <w:t>(3,352)</w:t>
            </w:r>
          </w:p>
        </w:tc>
        <w:tc>
          <w:tcPr>
            <w:tcW w:w="800" w:type="dxa"/>
            <w:vAlign w:val="bottom"/>
            <w:vMerge w:val="restart"/>
          </w:tcPr>
          <w:p>
            <w:pPr>
              <w:jc w:val="right"/>
              <w:spacing w:after="0"/>
              <w:rPr>
                <w:sz w:val="20"/>
                <w:szCs w:val="20"/>
                <w:color w:val="auto"/>
              </w:rPr>
            </w:pPr>
            <w:r>
              <w:rPr>
                <w:rFonts w:ascii="Calibri" w:cs="Calibri" w:eastAsia="Calibri" w:hAnsi="Calibri"/>
                <w:sz w:val="15"/>
                <w:szCs w:val="15"/>
                <w:color w:val="auto"/>
              </w:rPr>
              <w:t>1,883</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40" w:type="dxa"/>
            <w:vAlign w:val="bottom"/>
          </w:tcPr>
          <w:p>
            <w:pPr>
              <w:jc w:val="right"/>
              <w:ind w:right="487"/>
              <w:spacing w:after="0" w:line="165" w:lineRule="exact"/>
              <w:rPr>
                <w:sz w:val="20"/>
                <w:szCs w:val="20"/>
                <w:color w:val="auto"/>
              </w:rPr>
            </w:pPr>
            <w:r>
              <w:rPr>
                <w:rFonts w:ascii="Calibri" w:cs="Calibri" w:eastAsia="Calibri" w:hAnsi="Calibri"/>
                <w:sz w:val="15"/>
                <w:szCs w:val="15"/>
                <w:b w:val="1"/>
                <w:bCs w:val="1"/>
                <w:color w:val="auto"/>
              </w:rPr>
              <w:t>(14,062)</w:t>
            </w:r>
          </w:p>
        </w:tc>
        <w:tc>
          <w:tcPr>
            <w:tcW w:w="800" w:type="dxa"/>
            <w:vAlign w:val="bottom"/>
          </w:tcPr>
          <w:p>
            <w:pPr>
              <w:jc w:val="right"/>
              <w:spacing w:after="0" w:line="165" w:lineRule="exact"/>
              <w:rPr>
                <w:sz w:val="20"/>
                <w:szCs w:val="20"/>
                <w:color w:val="auto"/>
              </w:rPr>
            </w:pPr>
            <w:r>
              <w:rPr>
                <w:rFonts w:ascii="Calibri" w:cs="Calibri" w:eastAsia="Calibri" w:hAnsi="Calibri"/>
                <w:sz w:val="15"/>
                <w:szCs w:val="15"/>
                <w:color w:val="auto"/>
              </w:rPr>
              <w:t>(11,287)</w:t>
            </w:r>
          </w:p>
        </w:tc>
        <w:tc>
          <w:tcPr>
            <w:tcW w:w="0" w:type="dxa"/>
            <w:vAlign w:val="bottom"/>
          </w:tcPr>
          <w:p>
            <w:pPr>
              <w:spacing w:after="0"/>
              <w:rPr>
                <w:sz w:val="1"/>
                <w:szCs w:val="1"/>
                <w:color w:val="auto"/>
              </w:rPr>
            </w:pPr>
          </w:p>
        </w:tc>
      </w:tr>
      <w:tr>
        <w:trPr>
          <w:trHeight w:val="190"/>
        </w:trPr>
        <w:tc>
          <w:tcPr>
            <w:tcW w:w="5480" w:type="dxa"/>
            <w:vAlign w:val="bottom"/>
          </w:tcPr>
          <w:p>
            <w:pPr>
              <w:ind w:left="16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3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480" w:type="dxa"/>
            <w:vAlign w:val="bottom"/>
          </w:tcPr>
          <w:p>
            <w:pPr>
              <w:ind w:left="340"/>
              <w:spacing w:after="0"/>
              <w:rPr>
                <w:sz w:val="20"/>
                <w:szCs w:val="20"/>
                <w:color w:val="auto"/>
              </w:rPr>
            </w:pPr>
            <w:r>
              <w:rPr>
                <w:rFonts w:ascii="Calibri" w:cs="Calibri" w:eastAsia="Calibri" w:hAnsi="Calibri"/>
                <w:sz w:val="15"/>
                <w:szCs w:val="15"/>
                <w:color w:val="auto"/>
              </w:rPr>
              <w:t>Accounts receivable</w:t>
            </w:r>
          </w:p>
        </w:tc>
        <w:tc>
          <w:tcPr>
            <w:tcW w:w="3240" w:type="dxa"/>
            <w:vAlign w:val="bottom"/>
          </w:tcPr>
          <w:p>
            <w:pPr>
              <w:spacing w:after="0"/>
              <w:rPr>
                <w:sz w:val="23"/>
                <w:szCs w:val="23"/>
                <w:color w:val="auto"/>
              </w:rPr>
            </w:pPr>
          </w:p>
        </w:tc>
        <w:tc>
          <w:tcPr>
            <w:tcW w:w="1740" w:type="dxa"/>
            <w:vAlign w:val="bottom"/>
            <w:vMerge w:val="restart"/>
          </w:tcPr>
          <w:p>
            <w:pPr>
              <w:jc w:val="right"/>
              <w:ind w:right="487"/>
              <w:spacing w:after="0"/>
              <w:rPr>
                <w:sz w:val="20"/>
                <w:szCs w:val="20"/>
                <w:color w:val="auto"/>
              </w:rPr>
            </w:pPr>
            <w:r>
              <w:rPr>
                <w:rFonts w:ascii="Calibri" w:cs="Calibri" w:eastAsia="Calibri" w:hAnsi="Calibri"/>
                <w:sz w:val="15"/>
                <w:szCs w:val="15"/>
                <w:b w:val="1"/>
                <w:bCs w:val="1"/>
                <w:color w:val="auto"/>
              </w:rPr>
              <w:t>(143)</w:t>
            </w:r>
          </w:p>
        </w:tc>
        <w:tc>
          <w:tcPr>
            <w:tcW w:w="800" w:type="dxa"/>
            <w:vAlign w:val="bottom"/>
            <w:vMerge w:val="restart"/>
          </w:tcPr>
          <w:p>
            <w:pPr>
              <w:jc w:val="right"/>
              <w:spacing w:after="0"/>
              <w:rPr>
                <w:sz w:val="20"/>
                <w:szCs w:val="20"/>
                <w:color w:val="auto"/>
              </w:rPr>
            </w:pPr>
            <w:r>
              <w:rPr>
                <w:rFonts w:ascii="Calibri" w:cs="Calibri" w:eastAsia="Calibri" w:hAnsi="Calibri"/>
                <w:sz w:val="15"/>
                <w:szCs w:val="15"/>
                <w:color w:val="auto"/>
              </w:rPr>
              <w:t>(161)</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480" w:type="dxa"/>
            <w:vAlign w:val="bottom"/>
          </w:tcPr>
          <w:p>
            <w:pPr>
              <w:ind w:left="340"/>
              <w:spacing w:after="0"/>
              <w:rPr>
                <w:sz w:val="20"/>
                <w:szCs w:val="20"/>
                <w:color w:val="auto"/>
              </w:rPr>
            </w:pPr>
            <w:r>
              <w:rPr>
                <w:rFonts w:ascii="Calibri" w:cs="Calibri" w:eastAsia="Calibri" w:hAnsi="Calibri"/>
                <w:sz w:val="15"/>
                <w:szCs w:val="15"/>
                <w:color w:val="auto"/>
              </w:rPr>
              <w:t>Prepaid expenses</w:t>
            </w:r>
          </w:p>
        </w:tc>
        <w:tc>
          <w:tcPr>
            <w:tcW w:w="3240" w:type="dxa"/>
            <w:vAlign w:val="bottom"/>
          </w:tcPr>
          <w:p>
            <w:pPr>
              <w:spacing w:after="0"/>
              <w:rPr>
                <w:sz w:val="23"/>
                <w:szCs w:val="23"/>
                <w:color w:val="auto"/>
              </w:rPr>
            </w:pPr>
          </w:p>
        </w:tc>
        <w:tc>
          <w:tcPr>
            <w:tcW w:w="1740" w:type="dxa"/>
            <w:vAlign w:val="bottom"/>
            <w:vMerge w:val="restart"/>
          </w:tcPr>
          <w:p>
            <w:pPr>
              <w:jc w:val="right"/>
              <w:ind w:right="487"/>
              <w:spacing w:after="0"/>
              <w:rPr>
                <w:sz w:val="20"/>
                <w:szCs w:val="20"/>
                <w:color w:val="auto"/>
              </w:rPr>
            </w:pPr>
            <w:r>
              <w:rPr>
                <w:rFonts w:ascii="Calibri" w:cs="Calibri" w:eastAsia="Calibri" w:hAnsi="Calibri"/>
                <w:sz w:val="15"/>
                <w:szCs w:val="15"/>
                <w:b w:val="1"/>
                <w:bCs w:val="1"/>
                <w:color w:val="auto"/>
              </w:rPr>
              <w:t>(7,965)</w:t>
            </w:r>
          </w:p>
        </w:tc>
        <w:tc>
          <w:tcPr>
            <w:tcW w:w="800" w:type="dxa"/>
            <w:vAlign w:val="bottom"/>
            <w:vMerge w:val="restart"/>
          </w:tcPr>
          <w:p>
            <w:pPr>
              <w:jc w:val="right"/>
              <w:spacing w:after="0"/>
              <w:rPr>
                <w:sz w:val="20"/>
                <w:szCs w:val="20"/>
                <w:color w:val="auto"/>
              </w:rPr>
            </w:pPr>
            <w:r>
              <w:rPr>
                <w:rFonts w:ascii="Calibri" w:cs="Calibri" w:eastAsia="Calibri" w:hAnsi="Calibri"/>
                <w:sz w:val="15"/>
                <w:szCs w:val="15"/>
                <w:color w:val="auto"/>
              </w:rPr>
              <w:t>433</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480" w:type="dxa"/>
            <w:vAlign w:val="bottom"/>
          </w:tcPr>
          <w:p>
            <w:pPr>
              <w:ind w:left="340"/>
              <w:spacing w:after="0"/>
              <w:rPr>
                <w:sz w:val="20"/>
                <w:szCs w:val="20"/>
                <w:color w:val="auto"/>
              </w:rPr>
            </w:pPr>
            <w:r>
              <w:rPr>
                <w:rFonts w:ascii="Calibri" w:cs="Calibri" w:eastAsia="Calibri" w:hAnsi="Calibri"/>
                <w:sz w:val="15"/>
                <w:szCs w:val="15"/>
                <w:color w:val="auto"/>
              </w:rPr>
              <w:t>Other current assets</w:t>
            </w:r>
          </w:p>
        </w:tc>
        <w:tc>
          <w:tcPr>
            <w:tcW w:w="3240" w:type="dxa"/>
            <w:vAlign w:val="bottom"/>
          </w:tcPr>
          <w:p>
            <w:pPr>
              <w:spacing w:after="0"/>
              <w:rPr>
                <w:sz w:val="24"/>
                <w:szCs w:val="24"/>
                <w:color w:val="auto"/>
              </w:rPr>
            </w:pPr>
          </w:p>
        </w:tc>
        <w:tc>
          <w:tcPr>
            <w:tcW w:w="1740" w:type="dxa"/>
            <w:vAlign w:val="bottom"/>
          </w:tcPr>
          <w:p>
            <w:pPr>
              <w:jc w:val="right"/>
              <w:ind w:right="507"/>
              <w:spacing w:after="0"/>
              <w:rPr>
                <w:sz w:val="20"/>
                <w:szCs w:val="20"/>
                <w:color w:val="auto"/>
              </w:rPr>
            </w:pPr>
            <w:r>
              <w:rPr>
                <w:rFonts w:ascii="Calibri" w:cs="Calibri" w:eastAsia="Calibri" w:hAnsi="Calibri"/>
                <w:sz w:val="15"/>
                <w:szCs w:val="15"/>
                <w:b w:val="1"/>
                <w:bCs w:val="1"/>
                <w:color w:val="auto"/>
              </w:rPr>
              <w:t>158</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(18)</w:t>
            </w:r>
          </w:p>
        </w:tc>
        <w:tc>
          <w:tcPr>
            <w:tcW w:w="0" w:type="dxa"/>
            <w:vAlign w:val="bottom"/>
          </w:tcPr>
          <w:p>
            <w:pPr>
              <w:spacing w:after="0"/>
              <w:rPr>
                <w:sz w:val="1"/>
                <w:szCs w:val="1"/>
                <w:color w:val="auto"/>
              </w:rPr>
            </w:pPr>
          </w:p>
        </w:tc>
      </w:tr>
      <w:tr>
        <w:trPr>
          <w:trHeight w:val="266"/>
        </w:trPr>
        <w:tc>
          <w:tcPr>
            <w:tcW w:w="5480" w:type="dxa"/>
            <w:vAlign w:val="bottom"/>
          </w:tcPr>
          <w:p>
            <w:pPr>
              <w:ind w:left="340"/>
              <w:spacing w:after="0"/>
              <w:rPr>
                <w:sz w:val="20"/>
                <w:szCs w:val="20"/>
                <w:color w:val="auto"/>
              </w:rPr>
            </w:pPr>
            <w:r>
              <w:rPr>
                <w:rFonts w:ascii="Calibri" w:cs="Calibri" w:eastAsia="Calibri" w:hAnsi="Calibri"/>
                <w:sz w:val="15"/>
                <w:szCs w:val="15"/>
                <w:color w:val="auto"/>
              </w:rPr>
              <w:t>Accounts payable and accrued liabilites</w:t>
            </w:r>
          </w:p>
        </w:tc>
        <w:tc>
          <w:tcPr>
            <w:tcW w:w="3240" w:type="dxa"/>
            <w:vAlign w:val="bottom"/>
          </w:tcPr>
          <w:p>
            <w:pPr>
              <w:spacing w:after="0"/>
              <w:rPr>
                <w:sz w:val="23"/>
                <w:szCs w:val="23"/>
                <w:color w:val="auto"/>
              </w:rPr>
            </w:pPr>
          </w:p>
        </w:tc>
        <w:tc>
          <w:tcPr>
            <w:tcW w:w="1740" w:type="dxa"/>
            <w:vAlign w:val="bottom"/>
            <w:vMerge w:val="restart"/>
          </w:tcPr>
          <w:p>
            <w:pPr>
              <w:jc w:val="right"/>
              <w:ind w:right="487"/>
              <w:spacing w:after="0"/>
              <w:rPr>
                <w:sz w:val="20"/>
                <w:szCs w:val="20"/>
                <w:color w:val="auto"/>
              </w:rPr>
            </w:pPr>
            <w:r>
              <w:rPr>
                <w:rFonts w:ascii="Calibri" w:cs="Calibri" w:eastAsia="Calibri" w:hAnsi="Calibri"/>
                <w:sz w:val="15"/>
                <w:szCs w:val="15"/>
                <w:b w:val="1"/>
                <w:bCs w:val="1"/>
                <w:color w:val="auto"/>
              </w:rPr>
              <w:t>(5,202)</w:t>
            </w:r>
          </w:p>
        </w:tc>
        <w:tc>
          <w:tcPr>
            <w:tcW w:w="800" w:type="dxa"/>
            <w:vAlign w:val="bottom"/>
            <w:vMerge w:val="restart"/>
          </w:tcPr>
          <w:p>
            <w:pPr>
              <w:jc w:val="right"/>
              <w:spacing w:after="0"/>
              <w:rPr>
                <w:sz w:val="20"/>
                <w:szCs w:val="20"/>
                <w:color w:val="auto"/>
              </w:rPr>
            </w:pPr>
            <w:r>
              <w:rPr>
                <w:rFonts w:ascii="Calibri" w:cs="Calibri" w:eastAsia="Calibri" w:hAnsi="Calibri"/>
                <w:sz w:val="15"/>
                <w:szCs w:val="15"/>
                <w:color w:val="auto"/>
              </w:rPr>
              <w:t>336</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operatng actvites</w:t>
            </w:r>
          </w:p>
        </w:tc>
        <w:tc>
          <w:tcPr>
            <w:tcW w:w="3240" w:type="dxa"/>
            <w:vAlign w:val="bottom"/>
          </w:tcPr>
          <w:p>
            <w:pPr>
              <w:spacing w:after="0"/>
              <w:rPr>
                <w:sz w:val="14"/>
                <w:szCs w:val="14"/>
                <w:color w:val="auto"/>
              </w:rPr>
            </w:pPr>
          </w:p>
        </w:tc>
        <w:tc>
          <w:tcPr>
            <w:tcW w:w="1740" w:type="dxa"/>
            <w:vAlign w:val="bottom"/>
          </w:tcPr>
          <w:p>
            <w:pPr>
              <w:jc w:val="right"/>
              <w:ind w:right="487"/>
              <w:spacing w:after="0" w:line="165" w:lineRule="exact"/>
              <w:rPr>
                <w:sz w:val="20"/>
                <w:szCs w:val="20"/>
                <w:color w:val="auto"/>
              </w:rPr>
            </w:pPr>
            <w:r>
              <w:rPr>
                <w:rFonts w:ascii="Calibri" w:cs="Calibri" w:eastAsia="Calibri" w:hAnsi="Calibri"/>
                <w:sz w:val="15"/>
                <w:szCs w:val="15"/>
                <w:b w:val="1"/>
                <w:bCs w:val="1"/>
                <w:color w:val="auto"/>
              </w:rPr>
              <w:t>(27,214)</w:t>
            </w:r>
          </w:p>
        </w:tc>
        <w:tc>
          <w:tcPr>
            <w:tcW w:w="800" w:type="dxa"/>
            <w:vAlign w:val="bottom"/>
          </w:tcPr>
          <w:p>
            <w:pPr>
              <w:jc w:val="right"/>
              <w:spacing w:after="0" w:line="165" w:lineRule="exact"/>
              <w:rPr>
                <w:sz w:val="20"/>
                <w:szCs w:val="20"/>
                <w:color w:val="auto"/>
              </w:rPr>
            </w:pPr>
            <w:r>
              <w:rPr>
                <w:rFonts w:ascii="Calibri" w:cs="Calibri" w:eastAsia="Calibri" w:hAnsi="Calibri"/>
                <w:sz w:val="15"/>
                <w:szCs w:val="15"/>
                <w:color w:val="auto"/>
              </w:rPr>
              <w:t>(10,697)</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INVESTING ACTIVITIES</w:t>
            </w:r>
          </w:p>
        </w:tc>
        <w:tc>
          <w:tcPr>
            <w:tcW w:w="3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Purchase of intangible assets</w:t>
            </w:r>
          </w:p>
        </w:tc>
        <w:tc>
          <w:tcPr>
            <w:tcW w:w="3240" w:type="dxa"/>
            <w:vAlign w:val="bottom"/>
          </w:tcPr>
          <w:p>
            <w:pPr>
              <w:jc w:val="center"/>
              <w:ind w:left="2047"/>
              <w:spacing w:after="0"/>
              <w:rPr>
                <w:sz w:val="20"/>
                <w:szCs w:val="20"/>
                <w:color w:val="auto"/>
              </w:rPr>
            </w:pPr>
            <w:r>
              <w:rPr>
                <w:rFonts w:ascii="Calibri" w:cs="Calibri" w:eastAsia="Calibri" w:hAnsi="Calibri"/>
                <w:sz w:val="15"/>
                <w:szCs w:val="15"/>
                <w:i w:val="1"/>
                <w:iCs w:val="1"/>
                <w:color w:val="auto"/>
              </w:rPr>
              <w:t>4</w:t>
            </w:r>
          </w:p>
        </w:tc>
        <w:tc>
          <w:tcPr>
            <w:tcW w:w="174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(237)</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(65)</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investng actvites</w:t>
            </w:r>
          </w:p>
        </w:tc>
        <w:tc>
          <w:tcPr>
            <w:tcW w:w="3240" w:type="dxa"/>
            <w:vAlign w:val="bottom"/>
          </w:tcPr>
          <w:p>
            <w:pPr>
              <w:spacing w:after="0"/>
              <w:rPr>
                <w:sz w:val="14"/>
                <w:szCs w:val="14"/>
                <w:color w:val="auto"/>
              </w:rPr>
            </w:pPr>
          </w:p>
        </w:tc>
        <w:tc>
          <w:tcPr>
            <w:tcW w:w="1740" w:type="dxa"/>
            <w:vAlign w:val="bottom"/>
          </w:tcPr>
          <w:p>
            <w:pPr>
              <w:jc w:val="right"/>
              <w:ind w:right="487"/>
              <w:spacing w:after="0" w:line="165" w:lineRule="exact"/>
              <w:rPr>
                <w:sz w:val="20"/>
                <w:szCs w:val="20"/>
                <w:color w:val="auto"/>
              </w:rPr>
            </w:pPr>
            <w:r>
              <w:rPr>
                <w:rFonts w:ascii="Calibri" w:cs="Calibri" w:eastAsia="Calibri" w:hAnsi="Calibri"/>
                <w:sz w:val="15"/>
                <w:szCs w:val="15"/>
                <w:b w:val="1"/>
                <w:bCs w:val="1"/>
                <w:color w:val="auto"/>
              </w:rPr>
              <w:t>(237)</w:t>
            </w:r>
          </w:p>
        </w:tc>
        <w:tc>
          <w:tcPr>
            <w:tcW w:w="800" w:type="dxa"/>
            <w:vAlign w:val="bottom"/>
          </w:tcPr>
          <w:p>
            <w:pPr>
              <w:jc w:val="right"/>
              <w:spacing w:after="0" w:line="165" w:lineRule="exact"/>
              <w:rPr>
                <w:sz w:val="20"/>
                <w:szCs w:val="20"/>
                <w:color w:val="auto"/>
              </w:rPr>
            </w:pPr>
            <w:r>
              <w:rPr>
                <w:rFonts w:ascii="Calibri" w:cs="Calibri" w:eastAsia="Calibri" w:hAnsi="Calibri"/>
                <w:sz w:val="15"/>
                <w:szCs w:val="15"/>
                <w:color w:val="auto"/>
              </w:rPr>
              <w:t>(65)</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FINANCING ACTIVITIES</w:t>
            </w:r>
          </w:p>
        </w:tc>
        <w:tc>
          <w:tcPr>
            <w:tcW w:w="3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Proceeds on issuance of common shares, net</w:t>
            </w:r>
          </w:p>
        </w:tc>
        <w:tc>
          <w:tcPr>
            <w:tcW w:w="3240" w:type="dxa"/>
            <w:vAlign w:val="bottom"/>
          </w:tcPr>
          <w:p>
            <w:pPr>
              <w:spacing w:after="0"/>
              <w:rPr>
                <w:sz w:val="16"/>
                <w:szCs w:val="16"/>
                <w:color w:val="auto"/>
              </w:rPr>
            </w:pPr>
          </w:p>
        </w:tc>
        <w:tc>
          <w:tcPr>
            <w:tcW w:w="1740" w:type="dxa"/>
            <w:vAlign w:val="bottom"/>
          </w:tcPr>
          <w:p>
            <w:pPr>
              <w:jc w:val="right"/>
              <w:ind w:right="507"/>
              <w:spacing w:after="0"/>
              <w:rPr>
                <w:sz w:val="20"/>
                <w:szCs w:val="20"/>
                <w:color w:val="auto"/>
              </w:rPr>
            </w:pPr>
            <w:r>
              <w:rPr>
                <w:rFonts w:ascii="Calibri" w:cs="Calibri" w:eastAsia="Calibri" w:hAnsi="Calibri"/>
                <w:sz w:val="15"/>
                <w:szCs w:val="15"/>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3,520</w:t>
            </w: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Share issuance costs</w:t>
            </w:r>
          </w:p>
        </w:tc>
        <w:tc>
          <w:tcPr>
            <w:tcW w:w="3240" w:type="dxa"/>
            <w:vAlign w:val="bottom"/>
          </w:tcPr>
          <w:p>
            <w:pPr>
              <w:jc w:val="center"/>
              <w:ind w:left="2047"/>
              <w:spacing w:after="0"/>
              <w:rPr>
                <w:sz w:val="20"/>
                <w:szCs w:val="20"/>
                <w:color w:val="auto"/>
              </w:rPr>
            </w:pPr>
            <w:r>
              <w:rPr>
                <w:rFonts w:ascii="Calibri" w:cs="Calibri" w:eastAsia="Calibri" w:hAnsi="Calibri"/>
                <w:sz w:val="15"/>
                <w:szCs w:val="15"/>
                <w:i w:val="1"/>
                <w:iCs w:val="1"/>
                <w:color w:val="auto"/>
              </w:rPr>
              <w:t>7</w:t>
            </w:r>
          </w:p>
        </w:tc>
        <w:tc>
          <w:tcPr>
            <w:tcW w:w="174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(149)</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Lease payments</w:t>
            </w:r>
          </w:p>
        </w:tc>
        <w:tc>
          <w:tcPr>
            <w:tcW w:w="3240" w:type="dxa"/>
            <w:vAlign w:val="bottom"/>
          </w:tcPr>
          <w:p>
            <w:pPr>
              <w:jc w:val="center"/>
              <w:ind w:left="2047"/>
              <w:spacing w:after="0"/>
              <w:rPr>
                <w:sz w:val="20"/>
                <w:szCs w:val="20"/>
                <w:color w:val="auto"/>
              </w:rPr>
            </w:pPr>
            <w:r>
              <w:rPr>
                <w:rFonts w:ascii="Calibri" w:cs="Calibri" w:eastAsia="Calibri" w:hAnsi="Calibri"/>
                <w:sz w:val="15"/>
                <w:szCs w:val="15"/>
                <w:i w:val="1"/>
                <w:iCs w:val="1"/>
                <w:color w:val="auto"/>
              </w:rPr>
              <w:t>5</w:t>
            </w:r>
          </w:p>
        </w:tc>
        <w:tc>
          <w:tcPr>
            <w:tcW w:w="174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(86)</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from fnancing actvites</w:t>
            </w:r>
          </w:p>
        </w:tc>
        <w:tc>
          <w:tcPr>
            <w:tcW w:w="3240" w:type="dxa"/>
            <w:vAlign w:val="bottom"/>
          </w:tcPr>
          <w:p>
            <w:pPr>
              <w:spacing w:after="0"/>
              <w:rPr>
                <w:sz w:val="14"/>
                <w:szCs w:val="14"/>
                <w:color w:val="auto"/>
              </w:rPr>
            </w:pPr>
          </w:p>
        </w:tc>
        <w:tc>
          <w:tcPr>
            <w:tcW w:w="1740" w:type="dxa"/>
            <w:vAlign w:val="bottom"/>
          </w:tcPr>
          <w:p>
            <w:pPr>
              <w:jc w:val="right"/>
              <w:ind w:right="487"/>
              <w:spacing w:after="0" w:line="165" w:lineRule="exact"/>
              <w:rPr>
                <w:sz w:val="20"/>
                <w:szCs w:val="20"/>
                <w:color w:val="auto"/>
              </w:rPr>
            </w:pPr>
            <w:r>
              <w:rPr>
                <w:rFonts w:ascii="Calibri" w:cs="Calibri" w:eastAsia="Calibri" w:hAnsi="Calibri"/>
                <w:sz w:val="15"/>
                <w:szCs w:val="15"/>
                <w:b w:val="1"/>
                <w:bCs w:val="1"/>
                <w:color w:val="auto"/>
              </w:rPr>
              <w:t>(235)</w:t>
            </w:r>
          </w:p>
        </w:tc>
        <w:tc>
          <w:tcPr>
            <w:tcW w:w="800" w:type="dxa"/>
            <w:vAlign w:val="bottom"/>
          </w:tcPr>
          <w:p>
            <w:pPr>
              <w:jc w:val="right"/>
              <w:spacing w:after="0" w:line="165" w:lineRule="exact"/>
              <w:rPr>
                <w:sz w:val="20"/>
                <w:szCs w:val="20"/>
                <w:color w:val="auto"/>
              </w:rPr>
            </w:pPr>
            <w:r>
              <w:rPr>
                <w:rFonts w:ascii="Calibri" w:cs="Calibri" w:eastAsia="Calibri" w:hAnsi="Calibri"/>
                <w:sz w:val="15"/>
                <w:szCs w:val="15"/>
                <w:color w:val="auto"/>
              </w:rPr>
              <w:t>3,520</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Efects of exchange rate changes on cash</w:t>
            </w:r>
          </w:p>
        </w:tc>
        <w:tc>
          <w:tcPr>
            <w:tcW w:w="3240" w:type="dxa"/>
            <w:vAlign w:val="bottom"/>
          </w:tcPr>
          <w:p>
            <w:pPr>
              <w:spacing w:after="0"/>
              <w:rPr>
                <w:sz w:val="14"/>
                <w:szCs w:val="14"/>
                <w:color w:val="auto"/>
              </w:rPr>
            </w:pPr>
          </w:p>
        </w:tc>
        <w:tc>
          <w:tcPr>
            <w:tcW w:w="1740" w:type="dxa"/>
            <w:vAlign w:val="bottom"/>
          </w:tcPr>
          <w:p>
            <w:pPr>
              <w:jc w:val="right"/>
              <w:ind w:right="507"/>
              <w:spacing w:after="0" w:line="165" w:lineRule="exact"/>
              <w:rPr>
                <w:sz w:val="20"/>
                <w:szCs w:val="20"/>
                <w:color w:val="auto"/>
              </w:rPr>
            </w:pPr>
            <w:r>
              <w:rPr>
                <w:rFonts w:ascii="Calibri" w:cs="Calibri" w:eastAsia="Calibri" w:hAnsi="Calibri"/>
                <w:sz w:val="15"/>
                <w:szCs w:val="15"/>
                <w:b w:val="1"/>
                <w:bCs w:val="1"/>
                <w:color w:val="auto"/>
              </w:rPr>
              <w:t>1,969</w:t>
            </w:r>
          </w:p>
        </w:tc>
        <w:tc>
          <w:tcPr>
            <w:tcW w:w="800" w:type="dxa"/>
            <w:vAlign w:val="bottom"/>
          </w:tcPr>
          <w:p>
            <w:pPr>
              <w:jc w:val="right"/>
              <w:spacing w:after="0" w:line="165" w:lineRule="exact"/>
              <w:rPr>
                <w:sz w:val="20"/>
                <w:szCs w:val="20"/>
                <w:color w:val="auto"/>
              </w:rPr>
            </w:pPr>
            <w:r>
              <w:rPr>
                <w:rFonts w:ascii="Calibri" w:cs="Calibri" w:eastAsia="Calibri" w:hAnsi="Calibri"/>
                <w:sz w:val="15"/>
                <w:szCs w:val="15"/>
                <w:color w:val="auto"/>
              </w:rPr>
              <w:t>(42)</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Net decrease in cash</w:t>
            </w:r>
          </w:p>
        </w:tc>
        <w:tc>
          <w:tcPr>
            <w:tcW w:w="3240" w:type="dxa"/>
            <w:vAlign w:val="bottom"/>
          </w:tcPr>
          <w:p>
            <w:pPr>
              <w:spacing w:after="0"/>
              <w:rPr>
                <w:sz w:val="24"/>
                <w:szCs w:val="24"/>
                <w:color w:val="auto"/>
              </w:rPr>
            </w:pPr>
          </w:p>
        </w:tc>
        <w:tc>
          <w:tcPr>
            <w:tcW w:w="174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(25,717)</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(7,284)</w:t>
            </w:r>
          </w:p>
        </w:tc>
        <w:tc>
          <w:tcPr>
            <w:tcW w:w="0" w:type="dxa"/>
            <w:vAlign w:val="bottom"/>
          </w:tcPr>
          <w:p>
            <w:pPr>
              <w:spacing w:after="0"/>
              <w:rPr>
                <w:sz w:val="1"/>
                <w:szCs w:val="1"/>
                <w:color w:val="auto"/>
              </w:rPr>
            </w:pPr>
          </w:p>
        </w:tc>
      </w:tr>
      <w:tr>
        <w:trPr>
          <w:trHeight w:val="193"/>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Cash, beginning of period</w:t>
            </w:r>
          </w:p>
        </w:tc>
        <w:tc>
          <w:tcPr>
            <w:tcW w:w="3240" w:type="dxa"/>
            <w:vAlign w:val="bottom"/>
          </w:tcPr>
          <w:p>
            <w:pPr>
              <w:spacing w:after="0"/>
              <w:rPr>
                <w:sz w:val="16"/>
                <w:szCs w:val="16"/>
                <w:color w:val="auto"/>
              </w:rPr>
            </w:pPr>
          </w:p>
        </w:tc>
        <w:tc>
          <w:tcPr>
            <w:tcW w:w="1740" w:type="dxa"/>
            <w:vAlign w:val="bottom"/>
          </w:tcPr>
          <w:p>
            <w:pPr>
              <w:jc w:val="right"/>
              <w:ind w:right="507"/>
              <w:spacing w:after="0"/>
              <w:rPr>
                <w:sz w:val="20"/>
                <w:szCs w:val="20"/>
                <w:color w:val="auto"/>
              </w:rPr>
            </w:pPr>
            <w:r>
              <w:rPr>
                <w:rFonts w:ascii="Calibri" w:cs="Calibri" w:eastAsia="Calibri" w:hAnsi="Calibri"/>
                <w:sz w:val="15"/>
                <w:szCs w:val="15"/>
                <w:b w:val="1"/>
                <w:bCs w:val="1"/>
                <w:color w:val="auto"/>
              </w:rPr>
              <w:t>208,992</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16,633</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Cash, end of period</w:t>
            </w:r>
          </w:p>
        </w:tc>
        <w:tc>
          <w:tcPr>
            <w:tcW w:w="3240" w:type="dxa"/>
            <w:vAlign w:val="bottom"/>
          </w:tcPr>
          <w:p>
            <w:pPr>
              <w:spacing w:after="0"/>
              <w:rPr>
                <w:sz w:val="14"/>
                <w:szCs w:val="14"/>
                <w:color w:val="auto"/>
              </w:rPr>
            </w:pPr>
          </w:p>
        </w:tc>
        <w:tc>
          <w:tcPr>
            <w:tcW w:w="1740" w:type="dxa"/>
            <w:vAlign w:val="bottom"/>
          </w:tcPr>
          <w:p>
            <w:pPr>
              <w:jc w:val="right"/>
              <w:ind w:right="507"/>
              <w:spacing w:after="0" w:line="165" w:lineRule="exact"/>
              <w:rPr>
                <w:sz w:val="20"/>
                <w:szCs w:val="20"/>
                <w:color w:val="auto"/>
              </w:rPr>
            </w:pPr>
            <w:r>
              <w:rPr>
                <w:rFonts w:ascii="Calibri" w:cs="Calibri" w:eastAsia="Calibri" w:hAnsi="Calibri"/>
                <w:sz w:val="15"/>
                <w:szCs w:val="15"/>
                <w:b w:val="1"/>
                <w:bCs w:val="1"/>
                <w:color w:val="auto"/>
              </w:rPr>
              <w:t>183,275</w:t>
            </w:r>
          </w:p>
        </w:tc>
        <w:tc>
          <w:tcPr>
            <w:tcW w:w="800" w:type="dxa"/>
            <w:vAlign w:val="bottom"/>
          </w:tcPr>
          <w:p>
            <w:pPr>
              <w:jc w:val="right"/>
              <w:spacing w:after="0" w:line="165" w:lineRule="exact"/>
              <w:rPr>
                <w:sz w:val="20"/>
                <w:szCs w:val="20"/>
                <w:color w:val="auto"/>
              </w:rPr>
            </w:pPr>
            <w:r>
              <w:rPr>
                <w:rFonts w:ascii="Calibri" w:cs="Calibri" w:eastAsia="Calibri" w:hAnsi="Calibri"/>
                <w:sz w:val="15"/>
                <w:szCs w:val="15"/>
                <w:color w:val="auto"/>
              </w:rPr>
              <w:t>9,349</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209" w:right="319" w:bottom="1440" w:gutter="0" w:footer="0" w:header="0"/>
        </w:sectPr>
      </w:pPr>
    </w:p>
    <w:bookmarkStart w:id="9" w:name="page10"/>
    <w:bookmarkEnd w:id="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242" w:lineRule="exact"/>
        <w:rPr>
          <w:sz w:val="20"/>
          <w:szCs w:val="20"/>
          <w:color w:val="auto"/>
        </w:rPr>
      </w:pPr>
    </w:p>
    <w:p>
      <w:pPr>
        <w:jc w:val="both"/>
        <w:ind w:left="280"/>
        <w:spacing w:after="0" w:line="276"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consolidated fnancial statements include the accounts of Cybin’s seven subsidiaries (together with Cybin, the “Company”): Cybin Corp., Natures Journey Inc. (“Journey”), Serenity Life Sciences Inc. (“Serenity”), Cybin US Holdings Inc. (“Cybin US”), Adelia Therapeutcs Inc. (“Adelia”) Cybin IRL Limited (“Cybin IRL”) and Cybin UK Ltd. Cybin’s head ofce, principal address and registered address and records ofce is 100 King Street West, Suite 5600, Toronto, Ontario M5X 1C9.</w:t>
      </w:r>
    </w:p>
    <w:p>
      <w:pPr>
        <w:spacing w:after="0" w:line="165" w:lineRule="exact"/>
        <w:rPr>
          <w:sz w:val="20"/>
          <w:szCs w:val="20"/>
          <w:color w:val="auto"/>
        </w:rPr>
      </w:pPr>
    </w:p>
    <w:p>
      <w:pPr>
        <w:jc w:val="both"/>
        <w:ind w:left="280"/>
        <w:spacing w:after="0" w:line="271" w:lineRule="auto"/>
        <w:rPr>
          <w:sz w:val="20"/>
          <w:szCs w:val="20"/>
          <w:color w:val="auto"/>
        </w:rPr>
      </w:pPr>
      <w:r>
        <w:rPr>
          <w:rFonts w:ascii="Calibri" w:cs="Calibri" w:eastAsia="Calibri" w:hAnsi="Calibri"/>
          <w:sz w:val="16"/>
          <w:szCs w:val="16"/>
          <w:color w:val="auto"/>
        </w:rPr>
        <w:t>The Company is a clinical-stage neuropsychiatric company focused on advancing therapies, delivery mechanisms, novel compounds and protocols as potental treatments for various psychiatric and neurological conditons. The Company is developing technologies and delivery systems aimed at improving the pharmacokinetcs of its proprietary molecules while retaining the therapeutc beneft. These new molecules and delivery systems are expected to be studied through clinical trials to confrm safety and efcacy.</w:t>
      </w:r>
    </w:p>
    <w:p>
      <w:pPr>
        <w:spacing w:after="0" w:line="170" w:lineRule="exact"/>
        <w:rPr>
          <w:sz w:val="20"/>
          <w:szCs w:val="20"/>
          <w:color w:val="auto"/>
        </w:rPr>
      </w:pPr>
    </w:p>
    <w:p>
      <w:pPr>
        <w:jc w:val="both"/>
        <w:ind w:left="280"/>
        <w:spacing w:after="0" w:line="279" w:lineRule="auto"/>
        <w:rPr>
          <w:sz w:val="20"/>
          <w:szCs w:val="20"/>
          <w:color w:val="auto"/>
        </w:rPr>
      </w:pPr>
      <w:r>
        <w:rPr>
          <w:rFonts w:ascii="Calibri" w:cs="Calibri" w:eastAsia="Calibri" w:hAnsi="Calibri"/>
          <w:sz w:val="16"/>
          <w:szCs w:val="16"/>
          <w:color w:val="auto"/>
        </w:rPr>
        <w:t>These condensed interim consolidated fnancial statements as at, and for the three months ended June 30, 2024 were approved and authorized for issue by the board of directors on August 7, 2024.</w:t>
      </w:r>
    </w:p>
    <w:p>
      <w:pPr>
        <w:spacing w:after="0" w:line="160"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Stock exchange listngs</w:t>
      </w:r>
    </w:p>
    <w:p>
      <w:pPr>
        <w:spacing w:after="0" w:line="182"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Cybin’s common shares (the “Common Shares”) are listed for trading on Cboe Canada Inc.(“Cboe’) and NYSE American LLC under the symbol “CYBN” and on the Frankfurt Stock Exchange under the symbol “R7E1”.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7 of 23</w:t>
      </w:r>
    </w:p>
    <w:p>
      <w:pPr>
        <w:sectPr>
          <w:pgSz w:w="11900" w:h="16838" w:orient="portrait"/>
          <w:cols w:equalWidth="0" w:num="1">
            <w:col w:w="11260"/>
          </w:cols>
          <w:pgMar w:left="320" w:top="209" w:right="319" w:bottom="1440" w:gutter="0" w:footer="0" w:header="0"/>
        </w:sectPr>
      </w:pPr>
    </w:p>
    <w:bookmarkStart w:id="10" w:name="page11"/>
    <w:bookmarkEnd w:id="1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0777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77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2.</w:t>
      </w:r>
      <w:r>
        <w:rPr>
          <w:sz w:val="20"/>
          <w:szCs w:val="20"/>
          <w:color w:val="auto"/>
        </w:rPr>
        <w:tab/>
      </w:r>
      <w:r>
        <w:rPr>
          <w:rFonts w:ascii="Calibri" w:cs="Calibri" w:eastAsia="Calibri" w:hAnsi="Calibri"/>
          <w:sz w:val="15"/>
          <w:szCs w:val="15"/>
          <w:b w:val="1"/>
          <w:bCs w:val="1"/>
          <w:color w:val="2D5F91"/>
        </w:rPr>
        <w:t>MATERIAL ACCOUNTING POLICY INFORMATION AND BASIS OF PREPARATION</w:t>
      </w:r>
    </w:p>
    <w:p>
      <w:pPr>
        <w:spacing w:after="0" w:line="22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Statement of compliance</w:t>
      </w:r>
    </w:p>
    <w:p>
      <w:pPr>
        <w:spacing w:after="0" w:line="218" w:lineRule="exact"/>
        <w:rPr>
          <w:sz w:val="20"/>
          <w:szCs w:val="20"/>
          <w:color w:val="auto"/>
        </w:rPr>
      </w:pPr>
    </w:p>
    <w:p>
      <w:pPr>
        <w:jc w:val="both"/>
        <w:ind w:left="280" w:right="20"/>
        <w:spacing w:after="0" w:line="251" w:lineRule="auto"/>
        <w:rPr>
          <w:sz w:val="20"/>
          <w:szCs w:val="20"/>
          <w:color w:val="auto"/>
        </w:rPr>
      </w:pPr>
      <w:r>
        <w:rPr>
          <w:rFonts w:ascii="Calibri" w:cs="Calibri" w:eastAsia="Calibri" w:hAnsi="Calibri"/>
          <w:sz w:val="16"/>
          <w:szCs w:val="16"/>
          <w:color w:val="auto"/>
        </w:rPr>
        <w:t>These condensed interim consolidated fnancial statements for the three months ended June 30, 2024 have been prepared in accordance with Internatonal Accountng Standard 34 “Interim Financial Reportng”. Accordingly, certain informaton and footnote disclosure normally included in annual fnancial statements prepared in accordance with Internatonal Financial Reportng Standards (“IFRS”) have been omited or condensed.</w:t>
      </w:r>
    </w:p>
    <w:p>
      <w:pPr>
        <w:spacing w:after="0" w:line="209" w:lineRule="exact"/>
        <w:rPr>
          <w:sz w:val="20"/>
          <w:szCs w:val="20"/>
          <w:color w:val="auto"/>
        </w:rPr>
      </w:pPr>
    </w:p>
    <w:p>
      <w:pPr>
        <w:jc w:val="both"/>
        <w:ind w:left="280"/>
        <w:spacing w:after="0" w:line="249" w:lineRule="auto"/>
        <w:rPr>
          <w:sz w:val="20"/>
          <w:szCs w:val="20"/>
          <w:color w:val="auto"/>
        </w:rPr>
      </w:pPr>
      <w:r>
        <w:rPr>
          <w:rFonts w:ascii="Calibri" w:cs="Calibri" w:eastAsia="Calibri" w:hAnsi="Calibri"/>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2024.</w:t>
      </w:r>
    </w:p>
    <w:p>
      <w:pPr>
        <w:spacing w:after="0" w:line="20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These condensed interim consolidated fnancial statements should be read in conjuncton with the consolidated fnancial statements for the year ended March 31, 2024.</w:t>
      </w:r>
    </w:p>
    <w:p>
      <w:pPr>
        <w:spacing w:after="0" w:line="240"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230" w:lineRule="exact"/>
        <w:rPr>
          <w:sz w:val="20"/>
          <w:szCs w:val="20"/>
          <w:color w:val="auto"/>
        </w:rPr>
      </w:pPr>
    </w:p>
    <w:p>
      <w:pPr>
        <w:jc w:val="both"/>
        <w:ind w:left="280" w:right="20"/>
        <w:spacing w:after="0" w:line="249" w:lineRule="auto"/>
        <w:rPr>
          <w:sz w:val="20"/>
          <w:szCs w:val="20"/>
          <w:color w:val="auto"/>
        </w:rPr>
      </w:pPr>
      <w:r>
        <w:rPr>
          <w:rFonts w:ascii="Calibri" w:cs="Calibri" w:eastAsia="Calibri" w:hAnsi="Calibri"/>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23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Functonal and presentaton currency</w:t>
      </w:r>
    </w:p>
    <w:p>
      <w:pPr>
        <w:spacing w:after="0" w:line="194" w:lineRule="exact"/>
        <w:rPr>
          <w:sz w:val="20"/>
          <w:szCs w:val="20"/>
          <w:color w:val="auto"/>
        </w:rPr>
      </w:pPr>
    </w:p>
    <w:p>
      <w:pPr>
        <w:jc w:val="both"/>
        <w:ind w:left="280" w:right="20"/>
        <w:spacing w:after="0" w:line="249"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60"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These consolidated fnancial statements are presented in Canadian dollars, the Company’s presentaton currency. The subsidiaries’ functonal currencies are as follows:</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440" w:type="dxa"/>
            <w:vAlign w:val="bottom"/>
          </w:tcPr>
          <w:p>
            <w:pPr>
              <w:ind w:left="20"/>
              <w:spacing w:after="0"/>
              <w:rPr>
                <w:sz w:val="20"/>
                <w:szCs w:val="20"/>
                <w:color w:val="auto"/>
              </w:rPr>
            </w:pPr>
            <w:r>
              <w:rPr>
                <w:rFonts w:ascii="Calibri" w:cs="Calibri" w:eastAsia="Calibri" w:hAnsi="Calibri"/>
                <w:sz w:val="16"/>
                <w:szCs w:val="16"/>
                <w:b w:val="1"/>
                <w:bCs w:val="1"/>
                <w:color w:val="auto"/>
              </w:rPr>
              <w:t>Entty</w:t>
            </w:r>
          </w:p>
        </w:tc>
        <w:tc>
          <w:tcPr>
            <w:tcW w:w="3780" w:type="dxa"/>
            <w:vAlign w:val="bottom"/>
          </w:tcPr>
          <w:p>
            <w:pPr>
              <w:ind w:left="1600"/>
              <w:spacing w:after="0"/>
              <w:rPr>
                <w:sz w:val="20"/>
                <w:szCs w:val="20"/>
                <w:color w:val="auto"/>
              </w:rPr>
            </w:pPr>
            <w:r>
              <w:rPr>
                <w:rFonts w:ascii="Calibri" w:cs="Calibri" w:eastAsia="Calibri" w:hAnsi="Calibri"/>
                <w:sz w:val="16"/>
                <w:szCs w:val="16"/>
                <w:b w:val="1"/>
                <w:bCs w:val="1"/>
                <w:color w:val="auto"/>
              </w:rPr>
              <w:t>Currency</w:t>
            </w:r>
          </w:p>
        </w:tc>
        <w:tc>
          <w:tcPr>
            <w:tcW w:w="4240" w:type="dxa"/>
            <w:vAlign w:val="bottom"/>
          </w:tcPr>
          <w:p>
            <w:pPr>
              <w:ind w:left="860"/>
              <w:spacing w:after="0"/>
              <w:rPr>
                <w:sz w:val="20"/>
                <w:szCs w:val="20"/>
                <w:color w:val="auto"/>
              </w:rPr>
            </w:pPr>
            <w:r>
              <w:rPr>
                <w:rFonts w:ascii="Calibri" w:cs="Calibri" w:eastAsia="Calibri" w:hAnsi="Calibri"/>
                <w:sz w:val="16"/>
                <w:szCs w:val="16"/>
                <w:b w:val="1"/>
                <w:bCs w:val="1"/>
                <w:color w:val="auto"/>
              </w:rPr>
              <w:t>Ownership</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185"/>
        </w:trPr>
        <w:tc>
          <w:tcPr>
            <w:tcW w:w="2440" w:type="dxa"/>
            <w:vAlign w:val="bottom"/>
          </w:tcPr>
          <w:p>
            <w:pPr>
              <w:ind w:left="20"/>
              <w:spacing w:after="0" w:line="185" w:lineRule="exact"/>
              <w:rPr>
                <w:sz w:val="20"/>
                <w:szCs w:val="20"/>
                <w:color w:val="auto"/>
              </w:rPr>
            </w:pPr>
            <w:r>
              <w:rPr>
                <w:rFonts w:ascii="Calibri" w:cs="Calibri" w:eastAsia="Calibri" w:hAnsi="Calibri"/>
                <w:sz w:val="16"/>
                <w:szCs w:val="16"/>
                <w:color w:val="auto"/>
              </w:rPr>
              <w:t>Cybin Corp.</w:t>
            </w:r>
          </w:p>
        </w:tc>
        <w:tc>
          <w:tcPr>
            <w:tcW w:w="3780" w:type="dxa"/>
            <w:vAlign w:val="bottom"/>
          </w:tcPr>
          <w:p>
            <w:pPr>
              <w:ind w:left="1600"/>
              <w:spacing w:after="0" w:line="185" w:lineRule="exact"/>
              <w:rPr>
                <w:sz w:val="20"/>
                <w:szCs w:val="20"/>
                <w:color w:val="auto"/>
              </w:rPr>
            </w:pPr>
            <w:r>
              <w:rPr>
                <w:rFonts w:ascii="Calibri" w:cs="Calibri" w:eastAsia="Calibri" w:hAnsi="Calibri"/>
                <w:sz w:val="16"/>
                <w:szCs w:val="16"/>
                <w:color w:val="auto"/>
              </w:rPr>
              <w:t>Canadian dollars</w:t>
            </w:r>
          </w:p>
        </w:tc>
        <w:tc>
          <w:tcPr>
            <w:tcW w:w="4240" w:type="dxa"/>
            <w:vAlign w:val="bottom"/>
          </w:tcPr>
          <w:p>
            <w:pPr>
              <w:ind w:left="860"/>
              <w:spacing w:after="0" w:line="185" w:lineRule="exact"/>
              <w:rPr>
                <w:sz w:val="20"/>
                <w:szCs w:val="20"/>
                <w:color w:val="auto"/>
              </w:rPr>
            </w:pPr>
            <w:r>
              <w:rPr>
                <w:rFonts w:ascii="Calibri" w:cs="Calibri" w:eastAsia="Calibri" w:hAnsi="Calibri"/>
                <w:sz w:val="16"/>
                <w:szCs w:val="16"/>
                <w:color w:val="auto"/>
              </w:rPr>
              <w:t>100%</w:t>
            </w:r>
          </w:p>
        </w:tc>
      </w:tr>
      <w:tr>
        <w:trPr>
          <w:trHeight w:val="198"/>
        </w:trPr>
        <w:tc>
          <w:tcPr>
            <w:tcW w:w="2440" w:type="dxa"/>
            <w:vAlign w:val="bottom"/>
          </w:tcPr>
          <w:p>
            <w:pPr>
              <w:ind w:left="20"/>
              <w:spacing w:after="0"/>
              <w:rPr>
                <w:sz w:val="20"/>
                <w:szCs w:val="20"/>
                <w:color w:val="auto"/>
              </w:rPr>
            </w:pPr>
            <w:r>
              <w:rPr>
                <w:rFonts w:ascii="Calibri" w:cs="Calibri" w:eastAsia="Calibri" w:hAnsi="Calibri"/>
                <w:sz w:val="16"/>
                <w:szCs w:val="16"/>
                <w:color w:val="auto"/>
              </w:rPr>
              <w:t>Journey</w:t>
            </w:r>
          </w:p>
        </w:tc>
        <w:tc>
          <w:tcPr>
            <w:tcW w:w="3780" w:type="dxa"/>
            <w:vAlign w:val="bottom"/>
          </w:tcPr>
          <w:p>
            <w:pPr>
              <w:ind w:left="1600"/>
              <w:spacing w:after="0"/>
              <w:rPr>
                <w:sz w:val="20"/>
                <w:szCs w:val="20"/>
                <w:color w:val="auto"/>
              </w:rPr>
            </w:pPr>
            <w:r>
              <w:rPr>
                <w:rFonts w:ascii="Calibri" w:cs="Calibri" w:eastAsia="Calibri" w:hAnsi="Calibri"/>
                <w:sz w:val="16"/>
                <w:szCs w:val="16"/>
                <w:color w:val="auto"/>
              </w:rPr>
              <w:t>Canadian dollars</w:t>
            </w:r>
          </w:p>
        </w:tc>
        <w:tc>
          <w:tcPr>
            <w:tcW w:w="424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06"/>
        </w:trPr>
        <w:tc>
          <w:tcPr>
            <w:tcW w:w="2440" w:type="dxa"/>
            <w:vAlign w:val="bottom"/>
          </w:tcPr>
          <w:p>
            <w:pPr>
              <w:ind w:left="20"/>
              <w:spacing w:after="0"/>
              <w:rPr>
                <w:sz w:val="20"/>
                <w:szCs w:val="20"/>
                <w:color w:val="auto"/>
              </w:rPr>
            </w:pPr>
            <w:r>
              <w:rPr>
                <w:rFonts w:ascii="Calibri" w:cs="Calibri" w:eastAsia="Calibri" w:hAnsi="Calibri"/>
                <w:sz w:val="16"/>
                <w:szCs w:val="16"/>
                <w:color w:val="auto"/>
              </w:rPr>
              <w:t>Serenity</w:t>
            </w:r>
          </w:p>
        </w:tc>
        <w:tc>
          <w:tcPr>
            <w:tcW w:w="3780" w:type="dxa"/>
            <w:vAlign w:val="bottom"/>
          </w:tcPr>
          <w:p>
            <w:pPr>
              <w:ind w:left="1600"/>
              <w:spacing w:after="0"/>
              <w:rPr>
                <w:sz w:val="20"/>
                <w:szCs w:val="20"/>
                <w:color w:val="auto"/>
              </w:rPr>
            </w:pPr>
            <w:r>
              <w:rPr>
                <w:rFonts w:ascii="Calibri" w:cs="Calibri" w:eastAsia="Calibri" w:hAnsi="Calibri"/>
                <w:sz w:val="16"/>
                <w:szCs w:val="16"/>
                <w:color w:val="auto"/>
              </w:rPr>
              <w:t>Canadian dollars</w:t>
            </w:r>
          </w:p>
        </w:tc>
        <w:tc>
          <w:tcPr>
            <w:tcW w:w="424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309"/>
        </w:trPr>
        <w:tc>
          <w:tcPr>
            <w:tcW w:w="2440" w:type="dxa"/>
            <w:vAlign w:val="bottom"/>
          </w:tcPr>
          <w:p>
            <w:pPr>
              <w:ind w:left="20"/>
              <w:spacing w:after="0"/>
              <w:rPr>
                <w:sz w:val="20"/>
                <w:szCs w:val="20"/>
                <w:color w:val="auto"/>
              </w:rPr>
            </w:pPr>
            <w:r>
              <w:rPr>
                <w:rFonts w:ascii="Calibri" w:cs="Calibri" w:eastAsia="Calibri" w:hAnsi="Calibri"/>
                <w:sz w:val="16"/>
                <w:szCs w:val="16"/>
                <w:color w:val="auto"/>
              </w:rPr>
              <w:t>Cybin US</w:t>
            </w:r>
            <w:r>
              <w:rPr>
                <w:rFonts w:ascii="Calibri" w:cs="Calibri" w:eastAsia="Calibri" w:hAnsi="Calibri"/>
                <w:sz w:val="20"/>
                <w:szCs w:val="20"/>
                <w:color w:val="auto"/>
                <w:vertAlign w:val="superscript"/>
              </w:rPr>
              <w:t>1</w:t>
            </w:r>
          </w:p>
        </w:tc>
        <w:tc>
          <w:tcPr>
            <w:tcW w:w="3780" w:type="dxa"/>
            <w:vAlign w:val="bottom"/>
          </w:tcPr>
          <w:p>
            <w:pPr>
              <w:ind w:left="1600"/>
              <w:spacing w:after="0"/>
              <w:rPr>
                <w:sz w:val="20"/>
                <w:szCs w:val="20"/>
                <w:color w:val="auto"/>
              </w:rPr>
            </w:pPr>
            <w:r>
              <w:rPr>
                <w:rFonts w:ascii="Calibri" w:cs="Calibri" w:eastAsia="Calibri" w:hAnsi="Calibri"/>
                <w:sz w:val="16"/>
                <w:szCs w:val="16"/>
                <w:color w:val="auto"/>
              </w:rPr>
              <w:t>Canadian dollars</w:t>
            </w:r>
          </w:p>
        </w:tc>
        <w:tc>
          <w:tcPr>
            <w:tcW w:w="424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11"/>
        </w:trPr>
        <w:tc>
          <w:tcPr>
            <w:tcW w:w="2440" w:type="dxa"/>
            <w:vAlign w:val="bottom"/>
          </w:tcPr>
          <w:p>
            <w:pPr>
              <w:ind w:left="20"/>
              <w:spacing w:after="0"/>
              <w:rPr>
                <w:sz w:val="20"/>
                <w:szCs w:val="20"/>
                <w:color w:val="auto"/>
              </w:rPr>
            </w:pPr>
            <w:r>
              <w:rPr>
                <w:rFonts w:ascii="Calibri" w:cs="Calibri" w:eastAsia="Calibri" w:hAnsi="Calibri"/>
                <w:sz w:val="16"/>
                <w:szCs w:val="16"/>
                <w:color w:val="auto"/>
              </w:rPr>
              <w:t>Adelia</w:t>
            </w:r>
          </w:p>
        </w:tc>
        <w:tc>
          <w:tcPr>
            <w:tcW w:w="3780" w:type="dxa"/>
            <w:vAlign w:val="bottom"/>
          </w:tcPr>
          <w:p>
            <w:pPr>
              <w:ind w:left="1600"/>
              <w:spacing w:after="0"/>
              <w:rPr>
                <w:sz w:val="20"/>
                <w:szCs w:val="20"/>
                <w:color w:val="auto"/>
              </w:rPr>
            </w:pPr>
            <w:r>
              <w:rPr>
                <w:rFonts w:ascii="Calibri" w:cs="Calibri" w:eastAsia="Calibri" w:hAnsi="Calibri"/>
                <w:sz w:val="16"/>
                <w:szCs w:val="16"/>
                <w:color w:val="auto"/>
              </w:rPr>
              <w:t>U.S. dollars</w:t>
            </w:r>
          </w:p>
        </w:tc>
        <w:tc>
          <w:tcPr>
            <w:tcW w:w="424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06"/>
        </w:trPr>
        <w:tc>
          <w:tcPr>
            <w:tcW w:w="2440" w:type="dxa"/>
            <w:vAlign w:val="bottom"/>
          </w:tcPr>
          <w:p>
            <w:pPr>
              <w:ind w:left="20"/>
              <w:spacing w:after="0"/>
              <w:rPr>
                <w:sz w:val="20"/>
                <w:szCs w:val="20"/>
                <w:color w:val="auto"/>
              </w:rPr>
            </w:pPr>
            <w:r>
              <w:rPr>
                <w:rFonts w:ascii="Calibri" w:cs="Calibri" w:eastAsia="Calibri" w:hAnsi="Calibri"/>
                <w:sz w:val="16"/>
                <w:szCs w:val="16"/>
                <w:color w:val="auto"/>
              </w:rPr>
              <w:t>Cybin IRL</w:t>
            </w:r>
          </w:p>
        </w:tc>
        <w:tc>
          <w:tcPr>
            <w:tcW w:w="3780" w:type="dxa"/>
            <w:vAlign w:val="bottom"/>
          </w:tcPr>
          <w:p>
            <w:pPr>
              <w:ind w:left="1600"/>
              <w:spacing w:after="0"/>
              <w:rPr>
                <w:sz w:val="20"/>
                <w:szCs w:val="20"/>
                <w:color w:val="auto"/>
              </w:rPr>
            </w:pPr>
            <w:r>
              <w:rPr>
                <w:rFonts w:ascii="Calibri" w:cs="Calibri" w:eastAsia="Calibri" w:hAnsi="Calibri"/>
                <w:sz w:val="16"/>
                <w:szCs w:val="16"/>
                <w:color w:val="auto"/>
              </w:rPr>
              <w:t>U.S. dollars</w:t>
            </w:r>
          </w:p>
        </w:tc>
        <w:tc>
          <w:tcPr>
            <w:tcW w:w="424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309"/>
        </w:trPr>
        <w:tc>
          <w:tcPr>
            <w:tcW w:w="2440" w:type="dxa"/>
            <w:vAlign w:val="bottom"/>
          </w:tcPr>
          <w:p>
            <w:pPr>
              <w:ind w:left="20"/>
              <w:spacing w:after="0"/>
              <w:rPr>
                <w:sz w:val="20"/>
                <w:szCs w:val="20"/>
                <w:color w:val="auto"/>
              </w:rPr>
            </w:pPr>
            <w:r>
              <w:rPr>
                <w:rFonts w:ascii="Calibri" w:cs="Calibri" w:eastAsia="Calibri" w:hAnsi="Calibri"/>
                <w:sz w:val="16"/>
                <w:szCs w:val="16"/>
                <w:color w:val="auto"/>
              </w:rPr>
              <w:t>Cybin UK Ltd</w:t>
            </w:r>
            <w:r>
              <w:rPr>
                <w:rFonts w:ascii="Calibri" w:cs="Calibri" w:eastAsia="Calibri" w:hAnsi="Calibri"/>
                <w:sz w:val="20"/>
                <w:szCs w:val="20"/>
                <w:color w:val="auto"/>
                <w:vertAlign w:val="superscript"/>
              </w:rPr>
              <w:t>.</w:t>
            </w:r>
          </w:p>
        </w:tc>
        <w:tc>
          <w:tcPr>
            <w:tcW w:w="3780" w:type="dxa"/>
            <w:vAlign w:val="bottom"/>
          </w:tcPr>
          <w:p>
            <w:pPr>
              <w:ind w:left="1600"/>
              <w:spacing w:after="0"/>
              <w:rPr>
                <w:sz w:val="20"/>
                <w:szCs w:val="20"/>
                <w:color w:val="auto"/>
              </w:rPr>
            </w:pPr>
            <w:r>
              <w:rPr>
                <w:rFonts w:ascii="Calibri" w:cs="Calibri" w:eastAsia="Calibri" w:hAnsi="Calibri"/>
                <w:sz w:val="16"/>
                <w:szCs w:val="16"/>
                <w:color w:val="auto"/>
              </w:rPr>
              <w:t>Great Britain pounds</w:t>
            </w:r>
          </w:p>
        </w:tc>
        <w:tc>
          <w:tcPr>
            <w:tcW w:w="4240" w:type="dxa"/>
            <w:vAlign w:val="bottom"/>
          </w:tcPr>
          <w:p>
            <w:pPr>
              <w:ind w:left="860"/>
              <w:spacing w:after="0"/>
              <w:rPr>
                <w:sz w:val="20"/>
                <w:szCs w:val="20"/>
                <w:color w:val="auto"/>
              </w:rPr>
            </w:pPr>
            <w:r>
              <w:rPr>
                <w:rFonts w:ascii="Calibri" w:cs="Calibri" w:eastAsia="Calibri" w:hAnsi="Calibri"/>
                <w:sz w:val="16"/>
                <w:szCs w:val="16"/>
                <w:color w:val="auto"/>
              </w:rPr>
              <w:t>100%</w:t>
            </w:r>
          </w:p>
        </w:tc>
      </w:tr>
    </w:tbl>
    <w:p>
      <w:pPr>
        <w:spacing w:after="0" w:line="43" w:lineRule="exact"/>
        <w:rPr>
          <w:sz w:val="20"/>
          <w:szCs w:val="20"/>
          <w:color w:val="auto"/>
        </w:rPr>
      </w:pPr>
    </w:p>
    <w:p>
      <w:pPr>
        <w:ind w:left="360" w:hanging="73"/>
        <w:spacing w:after="0"/>
        <w:tabs>
          <w:tab w:leader="none" w:pos="360" w:val="left"/>
        </w:tabs>
        <w:numPr>
          <w:ilvl w:val="0"/>
          <w:numId w:val="1"/>
        </w:numPr>
        <w:rPr>
          <w:rFonts w:ascii="Calibri" w:cs="Calibri" w:eastAsia="Calibri" w:hAnsi="Calibri"/>
          <w:sz w:val="17"/>
          <w:szCs w:val="17"/>
          <w:color w:val="auto"/>
          <w:vertAlign w:val="superscript"/>
        </w:rPr>
      </w:pPr>
      <w:r>
        <w:rPr>
          <w:rFonts w:ascii="Calibri" w:cs="Calibri" w:eastAsia="Calibri" w:hAnsi="Calibri"/>
          <w:sz w:val="13"/>
          <w:szCs w:val="13"/>
          <w:color w:val="auto"/>
        </w:rPr>
        <w:t>For accountng purposes, Cybin US is a wholly-owned subsidiary of Cybin. Certain Former Adelia Shareholders (as defned below) hold Class B Shares (defned below) in Cybin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8 of 23</w:t>
      </w:r>
    </w:p>
    <w:p>
      <w:pPr>
        <w:sectPr>
          <w:pgSz w:w="11900" w:h="16838" w:orient="portrait"/>
          <w:cols w:equalWidth="0" w:num="1">
            <w:col w:w="11260"/>
          </w:cols>
          <w:pgMar w:left="320" w:top="209" w:right="319" w:bottom="1440" w:gutter="0" w:footer="0" w:header="0"/>
        </w:sectPr>
      </w:pPr>
    </w:p>
    <w:bookmarkStart w:id="11" w:name="page12"/>
    <w:bookmarkEnd w:id="11"/>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0777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77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Calibri" w:cs="Calibri" w:eastAsia="Calibri" w:hAnsi="Calibri"/>
          <w:sz w:val="15"/>
          <w:szCs w:val="15"/>
          <w:color w:val="auto"/>
        </w:rPr>
        <w:t>The Company acquired Small Pharma Inc. and its subsidiary Small Pharma Ltd. on October 23, 2023. On April 1, 2024, Small Pharma Inc. was amalgamated with Cybin Corp.</w:t>
      </w:r>
    </w:p>
    <w:p>
      <w:pPr>
        <w:spacing w:after="0" w:line="2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and efectve on December 16, 2023, Small Pharma Ltd.'s name was changed to Cybin UK Ltd.</w:t>
      </w:r>
    </w:p>
    <w:p>
      <w:pPr>
        <w:spacing w:after="0" w:line="22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Material accountng policy informaton</w:t>
      </w:r>
    </w:p>
    <w:p>
      <w:pPr>
        <w:spacing w:after="0" w:line="182"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These condensed interim consolidated fnancial statements have been prepared using the same accountng policies and methods as those used in the Company’s annual consolidated fnancial statements for the year ended March 31, 2024.</w:t>
      </w:r>
    </w:p>
    <w:p>
      <w:pPr>
        <w:spacing w:after="0" w:line="160"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Use of signifcant estmates and assumptons</w:t>
      </w:r>
    </w:p>
    <w:p>
      <w:pPr>
        <w:spacing w:after="0" w:line="194" w:lineRule="exact"/>
        <w:rPr>
          <w:sz w:val="20"/>
          <w:szCs w:val="20"/>
          <w:color w:val="auto"/>
        </w:rPr>
      </w:pPr>
    </w:p>
    <w:p>
      <w:pPr>
        <w:jc w:val="both"/>
        <w:ind w:left="220" w:right="20"/>
        <w:spacing w:after="0" w:line="264" w:lineRule="auto"/>
        <w:rPr>
          <w:sz w:val="20"/>
          <w:szCs w:val="20"/>
          <w:color w:val="auto"/>
        </w:rPr>
      </w:pPr>
      <w:r>
        <w:rPr>
          <w:rFonts w:ascii="Calibri" w:cs="Calibri" w:eastAsia="Calibri" w:hAnsi="Calibri"/>
          <w:sz w:val="16"/>
          <w:szCs w:val="16"/>
          <w:color w:val="auto"/>
        </w:rPr>
        <w:t>The preparaton of fnancial statements in accordance with IAS 34 requires the use of certain signifcant estmates and assumptons. It also requires management to exercise judgment when applying the Company’s</w:t>
      </w:r>
    </w:p>
    <w:p>
      <w:pPr>
        <w:spacing w:after="0" w:line="175" w:lineRule="exact"/>
        <w:rPr>
          <w:sz w:val="20"/>
          <w:szCs w:val="20"/>
          <w:color w:val="auto"/>
        </w:rPr>
      </w:pPr>
    </w:p>
    <w:p>
      <w:pPr>
        <w:jc w:val="both"/>
        <w:ind w:left="220"/>
        <w:spacing w:after="0" w:line="279" w:lineRule="auto"/>
        <w:rPr>
          <w:sz w:val="20"/>
          <w:szCs w:val="20"/>
          <w:color w:val="auto"/>
        </w:rPr>
      </w:pPr>
      <w:r>
        <w:rPr>
          <w:rFonts w:ascii="Calibri" w:cs="Calibri" w:eastAsia="Calibri" w:hAnsi="Calibri"/>
          <w:sz w:val="16"/>
          <w:szCs w:val="16"/>
          <w:color w:val="auto"/>
        </w:rPr>
        <w:t>accountng policies. The critcal accountng estmates and judgments have been set out in note 3 of the Company’s annual consolidated fnancial statements for the year ended March 31, 2024.</w:t>
      </w:r>
    </w:p>
    <w:p>
      <w:pPr>
        <w:spacing w:after="0" w:line="20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182" w:lineRule="exact"/>
        <w:rPr>
          <w:sz w:val="20"/>
          <w:szCs w:val="20"/>
          <w:color w:val="auto"/>
        </w:rPr>
      </w:pPr>
    </w:p>
    <w:p>
      <w:pPr>
        <w:jc w:val="both"/>
        <w:ind w:left="220"/>
        <w:spacing w:after="0" w:line="251" w:lineRule="auto"/>
        <w:rPr>
          <w:sz w:val="20"/>
          <w:szCs w:val="20"/>
          <w:color w:val="auto"/>
        </w:rPr>
      </w:pPr>
      <w:r>
        <w:rPr>
          <w:rFonts w:ascii="Calibri" w:cs="Calibri" w:eastAsia="Calibri" w:hAnsi="Calibri"/>
          <w:sz w:val="16"/>
          <w:szCs w:val="16"/>
          <w:color w:val="auto"/>
        </w:rPr>
        <w:t>A number of new standards, amendments to standards and interpretatons are not yet efectve as at June 30, 2024,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9 of 23</w:t>
      </w:r>
    </w:p>
    <w:p>
      <w:pPr>
        <w:sectPr>
          <w:pgSz w:w="11900" w:h="16838" w:orient="portrait"/>
          <w:cols w:equalWidth="0" w:num="1">
            <w:col w:w="11200"/>
          </w:cols>
          <w:pgMar w:left="380" w:top="209" w:right="319" w:bottom="1440" w:gutter="0" w:footer="0" w:header="0"/>
        </w:sectPr>
      </w:pPr>
    </w:p>
    <w:bookmarkStart w:id="12" w:name="page13"/>
    <w:bookmarkEnd w:id="1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jc w:val="right"/>
              <w:spacing w:after="0"/>
              <w:rPr>
                <w:sz w:val="20"/>
                <w:szCs w:val="20"/>
                <w:color w:val="auto"/>
              </w:rPr>
            </w:pPr>
            <w:r>
              <w:rPr>
                <w:rFonts w:ascii="Calibri" w:cs="Calibri" w:eastAsia="Calibri" w:hAnsi="Calibri"/>
                <w:sz w:val="16"/>
                <w:szCs w:val="16"/>
                <w:b w:val="1"/>
                <w:bCs w:val="1"/>
                <w:color w:val="2D5F91"/>
                <w:w w:val="80"/>
              </w:rPr>
              <w:t>3.</w:t>
            </w:r>
          </w:p>
        </w:tc>
        <w:tc>
          <w:tcPr>
            <w:tcW w:w="3560" w:type="dxa"/>
            <w:vAlign w:val="bottom"/>
            <w:gridSpan w:val="2"/>
          </w:tcPr>
          <w:p>
            <w:pPr>
              <w:ind w:left="80"/>
              <w:spacing w:after="0"/>
              <w:rPr>
                <w:sz w:val="20"/>
                <w:szCs w:val="20"/>
                <w:color w:val="auto"/>
              </w:rPr>
            </w:pPr>
            <w:r>
              <w:rPr>
                <w:rFonts w:ascii="Calibri" w:cs="Calibri" w:eastAsia="Calibri" w:hAnsi="Calibri"/>
                <w:sz w:val="16"/>
                <w:szCs w:val="16"/>
                <w:b w:val="1"/>
                <w:bCs w:val="1"/>
                <w:color w:val="2D5F91"/>
              </w:rPr>
              <w:t>EQUIPMENT</w:t>
            </w:r>
          </w:p>
        </w:tc>
        <w:tc>
          <w:tcPr>
            <w:tcW w:w="1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63"/>
        </w:trPr>
        <w:tc>
          <w:tcPr>
            <w:tcW w:w="180" w:type="dxa"/>
            <w:vAlign w:val="bottom"/>
          </w:tcPr>
          <w:p>
            <w:pPr>
              <w:spacing w:after="0"/>
              <w:rPr>
                <w:sz w:val="24"/>
                <w:szCs w:val="24"/>
                <w:color w:val="auto"/>
              </w:rPr>
            </w:pPr>
          </w:p>
        </w:tc>
        <w:tc>
          <w:tcPr>
            <w:tcW w:w="3560" w:type="dxa"/>
            <w:vAlign w:val="bottom"/>
            <w:gridSpan w:val="2"/>
          </w:tcPr>
          <w:p>
            <w:pPr>
              <w:ind w:left="100"/>
              <w:spacing w:after="0"/>
              <w:rPr>
                <w:sz w:val="20"/>
                <w:szCs w:val="20"/>
                <w:color w:val="auto"/>
              </w:rPr>
            </w:pPr>
            <w:r>
              <w:rPr>
                <w:rFonts w:ascii="Calibri" w:cs="Calibri" w:eastAsia="Calibri" w:hAnsi="Calibri"/>
                <w:sz w:val="16"/>
                <w:szCs w:val="16"/>
                <w:color w:val="auto"/>
              </w:rPr>
              <w:t>Equipment consists as follows:</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1"/>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0" w:type="dxa"/>
            <w:vAlign w:val="bottom"/>
          </w:tcPr>
          <w:p>
            <w:pPr>
              <w:jc w:val="right"/>
              <w:ind w:right="519"/>
              <w:spacing w:after="0"/>
              <w:rPr>
                <w:sz w:val="20"/>
                <w:szCs w:val="20"/>
                <w:color w:val="auto"/>
              </w:rPr>
            </w:pPr>
            <w:r>
              <w:rPr>
                <w:rFonts w:ascii="Calibri" w:cs="Calibri" w:eastAsia="Calibri" w:hAnsi="Calibri"/>
                <w:sz w:val="16"/>
                <w:szCs w:val="16"/>
                <w:b w:val="1"/>
                <w:bCs w:val="1"/>
                <w:color w:val="auto"/>
                <w:w w:val="98"/>
              </w:rPr>
              <w:t>Lab Equipment</w:t>
            </w:r>
          </w:p>
        </w:tc>
        <w:tc>
          <w:tcPr>
            <w:tcW w:w="2700" w:type="dxa"/>
            <w:vAlign w:val="bottom"/>
            <w:gridSpan w:val="2"/>
          </w:tcPr>
          <w:p>
            <w:pPr>
              <w:jc w:val="right"/>
              <w:ind w:right="879"/>
              <w:spacing w:after="0"/>
              <w:rPr>
                <w:sz w:val="20"/>
                <w:szCs w:val="20"/>
                <w:color w:val="auto"/>
              </w:rPr>
            </w:pPr>
            <w:r>
              <w:rPr>
                <w:rFonts w:ascii="Calibri" w:cs="Calibri" w:eastAsia="Calibri" w:hAnsi="Calibri"/>
                <w:sz w:val="16"/>
                <w:szCs w:val="16"/>
                <w:b w:val="1"/>
                <w:bCs w:val="1"/>
                <w:color w:val="auto"/>
              </w:rPr>
              <w:t>Computer Equipment</w:t>
            </w:r>
          </w:p>
        </w:tc>
        <w:tc>
          <w:tcPr>
            <w:tcW w:w="90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26"/>
        </w:trPr>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tcBorders>
              <w:bottom w:val="single" w:sz="8" w:color="auto"/>
            </w:tcBorders>
          </w:tcPr>
          <w:p>
            <w:pPr>
              <w:ind w:left="20"/>
              <w:spacing w:after="0"/>
              <w:rPr>
                <w:sz w:val="20"/>
                <w:szCs w:val="20"/>
                <w:color w:val="auto"/>
              </w:rPr>
            </w:pPr>
            <w:r>
              <w:rPr>
                <w:rFonts w:ascii="Calibri" w:cs="Calibri" w:eastAsia="Calibri" w:hAnsi="Calibri"/>
                <w:sz w:val="16"/>
                <w:szCs w:val="16"/>
                <w:b w:val="1"/>
                <w:bCs w:val="1"/>
                <w:color w:val="auto"/>
              </w:rPr>
              <w:t>Cost</w:t>
            </w:r>
          </w:p>
        </w:tc>
        <w:tc>
          <w:tcPr>
            <w:tcW w:w="19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5"/>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March 31, 2024</w:t>
            </w:r>
          </w:p>
        </w:tc>
        <w:tc>
          <w:tcPr>
            <w:tcW w:w="1980" w:type="dxa"/>
            <w:vAlign w:val="bottom"/>
          </w:tcPr>
          <w:p>
            <w:pPr>
              <w:spacing w:after="0"/>
              <w:rPr>
                <w:sz w:val="16"/>
                <w:szCs w:val="16"/>
                <w:color w:val="auto"/>
              </w:rPr>
            </w:pPr>
          </w:p>
        </w:tc>
        <w:tc>
          <w:tcPr>
            <w:tcW w:w="1600" w:type="dxa"/>
            <w:vAlign w:val="bottom"/>
          </w:tcPr>
          <w:p>
            <w:pPr>
              <w:jc w:val="right"/>
              <w:ind w:right="659"/>
              <w:spacing w:after="0" w:line="185" w:lineRule="exact"/>
              <w:rPr>
                <w:sz w:val="20"/>
                <w:szCs w:val="20"/>
                <w:color w:val="auto"/>
              </w:rPr>
            </w:pPr>
            <w:r>
              <w:rPr>
                <w:rFonts w:ascii="Calibri" w:cs="Calibri" w:eastAsia="Calibri" w:hAnsi="Calibri"/>
                <w:sz w:val="16"/>
                <w:szCs w:val="16"/>
                <w:b w:val="1"/>
                <w:bCs w:val="1"/>
                <w:color w:val="auto"/>
              </w:rPr>
              <w:t>664</w:t>
            </w:r>
          </w:p>
        </w:tc>
        <w:tc>
          <w:tcPr>
            <w:tcW w:w="1140" w:type="dxa"/>
            <w:vAlign w:val="bottom"/>
          </w:tcPr>
          <w:p>
            <w:pPr>
              <w:spacing w:after="0"/>
              <w:rPr>
                <w:sz w:val="16"/>
                <w:szCs w:val="16"/>
                <w:color w:val="auto"/>
              </w:rPr>
            </w:pPr>
          </w:p>
        </w:tc>
        <w:tc>
          <w:tcPr>
            <w:tcW w:w="1560" w:type="dxa"/>
            <w:vAlign w:val="bottom"/>
          </w:tcPr>
          <w:p>
            <w:pPr>
              <w:jc w:val="right"/>
              <w:ind w:right="1019"/>
              <w:spacing w:after="0" w:line="185" w:lineRule="exact"/>
              <w:rPr>
                <w:sz w:val="20"/>
                <w:szCs w:val="20"/>
                <w:color w:val="auto"/>
              </w:rPr>
            </w:pPr>
            <w:r>
              <w:rPr>
                <w:rFonts w:ascii="Calibri" w:cs="Calibri" w:eastAsia="Calibri" w:hAnsi="Calibri"/>
                <w:sz w:val="16"/>
                <w:szCs w:val="16"/>
                <w:b w:val="1"/>
                <w:bCs w:val="1"/>
                <w:color w:val="auto"/>
              </w:rPr>
              <w:t>266</w:t>
            </w:r>
          </w:p>
        </w:tc>
        <w:tc>
          <w:tcPr>
            <w:tcW w:w="900" w:type="dxa"/>
            <w:vAlign w:val="bottom"/>
          </w:tcPr>
          <w:p>
            <w:pPr>
              <w:jc w:val="right"/>
              <w:ind w:right="79"/>
              <w:spacing w:after="0" w:line="185" w:lineRule="exact"/>
              <w:rPr>
                <w:sz w:val="20"/>
                <w:szCs w:val="20"/>
                <w:color w:val="auto"/>
              </w:rPr>
            </w:pPr>
            <w:r>
              <w:rPr>
                <w:rFonts w:ascii="Calibri" w:cs="Calibri" w:eastAsia="Calibri" w:hAnsi="Calibri"/>
                <w:sz w:val="16"/>
                <w:szCs w:val="16"/>
                <w:b w:val="1"/>
                <w:bCs w:val="1"/>
                <w:color w:val="auto"/>
              </w:rPr>
              <w:t>930</w:t>
            </w:r>
          </w:p>
        </w:tc>
      </w:tr>
      <w:tr>
        <w:trPr>
          <w:trHeight w:val="198"/>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980" w:type="dxa"/>
            <w:vAlign w:val="bottom"/>
          </w:tcPr>
          <w:p>
            <w:pPr>
              <w:spacing w:after="0"/>
              <w:rPr>
                <w:sz w:val="17"/>
                <w:szCs w:val="17"/>
                <w:color w:val="auto"/>
              </w:rPr>
            </w:pPr>
          </w:p>
        </w:tc>
        <w:tc>
          <w:tcPr>
            <w:tcW w:w="1600" w:type="dxa"/>
            <w:vAlign w:val="bottom"/>
          </w:tcPr>
          <w:p>
            <w:pPr>
              <w:jc w:val="right"/>
              <w:ind w:right="659"/>
              <w:spacing w:after="0"/>
              <w:rPr>
                <w:sz w:val="20"/>
                <w:szCs w:val="20"/>
                <w:color w:val="auto"/>
              </w:rPr>
            </w:pPr>
            <w:r>
              <w:rPr>
                <w:rFonts w:ascii="Calibri" w:cs="Calibri" w:eastAsia="Calibri" w:hAnsi="Calibri"/>
                <w:sz w:val="16"/>
                <w:szCs w:val="16"/>
                <w:color w:val="auto"/>
              </w:rPr>
              <w:t>7</w:t>
            </w:r>
          </w:p>
        </w:tc>
        <w:tc>
          <w:tcPr>
            <w:tcW w:w="1140" w:type="dxa"/>
            <w:vAlign w:val="bottom"/>
          </w:tcPr>
          <w:p>
            <w:pPr>
              <w:spacing w:after="0"/>
              <w:rPr>
                <w:sz w:val="17"/>
                <w:szCs w:val="17"/>
                <w:color w:val="auto"/>
              </w:rPr>
            </w:pPr>
          </w:p>
        </w:tc>
        <w:tc>
          <w:tcPr>
            <w:tcW w:w="1560" w:type="dxa"/>
            <w:vAlign w:val="bottom"/>
          </w:tcPr>
          <w:p>
            <w:pPr>
              <w:jc w:val="right"/>
              <w:ind w:right="1019"/>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79"/>
              <w:spacing w:after="0"/>
              <w:rPr>
                <w:sz w:val="20"/>
                <w:szCs w:val="20"/>
                <w:color w:val="auto"/>
              </w:rPr>
            </w:pPr>
            <w:r>
              <w:rPr>
                <w:rFonts w:ascii="Calibri" w:cs="Calibri" w:eastAsia="Calibri" w:hAnsi="Calibri"/>
                <w:sz w:val="16"/>
                <w:szCs w:val="16"/>
                <w:color w:val="auto"/>
              </w:rPr>
              <w:t>7</w:t>
            </w: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5"/>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June 30, 2024</w:t>
            </w:r>
          </w:p>
        </w:tc>
        <w:tc>
          <w:tcPr>
            <w:tcW w:w="1980" w:type="dxa"/>
            <w:vAlign w:val="bottom"/>
          </w:tcPr>
          <w:p>
            <w:pPr>
              <w:spacing w:after="0"/>
              <w:rPr>
                <w:sz w:val="16"/>
                <w:szCs w:val="16"/>
                <w:color w:val="auto"/>
              </w:rPr>
            </w:pPr>
          </w:p>
        </w:tc>
        <w:tc>
          <w:tcPr>
            <w:tcW w:w="1600" w:type="dxa"/>
            <w:vAlign w:val="bottom"/>
          </w:tcPr>
          <w:p>
            <w:pPr>
              <w:jc w:val="right"/>
              <w:ind w:right="659"/>
              <w:spacing w:after="0" w:line="185" w:lineRule="exact"/>
              <w:rPr>
                <w:sz w:val="20"/>
                <w:szCs w:val="20"/>
                <w:color w:val="auto"/>
              </w:rPr>
            </w:pPr>
            <w:r>
              <w:rPr>
                <w:rFonts w:ascii="Calibri" w:cs="Calibri" w:eastAsia="Calibri" w:hAnsi="Calibri"/>
                <w:sz w:val="16"/>
                <w:szCs w:val="16"/>
                <w:b w:val="1"/>
                <w:bCs w:val="1"/>
                <w:color w:val="auto"/>
              </w:rPr>
              <w:t>671</w:t>
            </w:r>
          </w:p>
        </w:tc>
        <w:tc>
          <w:tcPr>
            <w:tcW w:w="1140" w:type="dxa"/>
            <w:vAlign w:val="bottom"/>
          </w:tcPr>
          <w:p>
            <w:pPr>
              <w:spacing w:after="0"/>
              <w:rPr>
                <w:sz w:val="16"/>
                <w:szCs w:val="16"/>
                <w:color w:val="auto"/>
              </w:rPr>
            </w:pPr>
          </w:p>
        </w:tc>
        <w:tc>
          <w:tcPr>
            <w:tcW w:w="1560" w:type="dxa"/>
            <w:vAlign w:val="bottom"/>
          </w:tcPr>
          <w:p>
            <w:pPr>
              <w:jc w:val="right"/>
              <w:ind w:right="1019"/>
              <w:spacing w:after="0" w:line="185" w:lineRule="exact"/>
              <w:rPr>
                <w:sz w:val="20"/>
                <w:szCs w:val="20"/>
                <w:color w:val="auto"/>
              </w:rPr>
            </w:pPr>
            <w:r>
              <w:rPr>
                <w:rFonts w:ascii="Calibri" w:cs="Calibri" w:eastAsia="Calibri" w:hAnsi="Calibri"/>
                <w:sz w:val="16"/>
                <w:szCs w:val="16"/>
                <w:b w:val="1"/>
                <w:bCs w:val="1"/>
                <w:color w:val="auto"/>
              </w:rPr>
              <w:t>266</w:t>
            </w:r>
          </w:p>
        </w:tc>
        <w:tc>
          <w:tcPr>
            <w:tcW w:w="900" w:type="dxa"/>
            <w:vAlign w:val="bottom"/>
          </w:tcPr>
          <w:p>
            <w:pPr>
              <w:jc w:val="right"/>
              <w:ind w:right="79"/>
              <w:spacing w:after="0" w:line="185" w:lineRule="exact"/>
              <w:rPr>
                <w:sz w:val="20"/>
                <w:szCs w:val="20"/>
                <w:color w:val="auto"/>
              </w:rPr>
            </w:pPr>
            <w:r>
              <w:rPr>
                <w:rFonts w:ascii="Calibri" w:cs="Calibri" w:eastAsia="Calibri" w:hAnsi="Calibri"/>
                <w:sz w:val="16"/>
                <w:szCs w:val="16"/>
                <w:b w:val="1"/>
                <w:bCs w:val="1"/>
                <w:color w:val="auto"/>
              </w:rPr>
              <w:t>937</w:t>
            </w:r>
          </w:p>
        </w:tc>
      </w:tr>
      <w:tr>
        <w:trPr>
          <w:trHeight w:val="427"/>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Depreciaton</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Calibri" w:cs="Calibri" w:eastAsia="Calibri" w:hAnsi="Calibri"/>
                <w:sz w:val="16"/>
                <w:szCs w:val="16"/>
                <w:b w:val="1"/>
                <w:bCs w:val="1"/>
                <w:color w:val="auto"/>
              </w:rPr>
              <w:t>Balance, March 31, 2024</w:t>
            </w:r>
          </w:p>
        </w:tc>
        <w:tc>
          <w:tcPr>
            <w:tcW w:w="1980" w:type="dxa"/>
            <w:vAlign w:val="bottom"/>
          </w:tcPr>
          <w:p>
            <w:pPr>
              <w:spacing w:after="0"/>
              <w:rPr>
                <w:sz w:val="17"/>
                <w:szCs w:val="17"/>
                <w:color w:val="auto"/>
              </w:rPr>
            </w:pPr>
          </w:p>
        </w:tc>
        <w:tc>
          <w:tcPr>
            <w:tcW w:w="1600" w:type="dxa"/>
            <w:vAlign w:val="bottom"/>
          </w:tcPr>
          <w:p>
            <w:pPr>
              <w:jc w:val="right"/>
              <w:ind w:right="659"/>
              <w:spacing w:after="0"/>
              <w:rPr>
                <w:sz w:val="20"/>
                <w:szCs w:val="20"/>
                <w:color w:val="auto"/>
              </w:rPr>
            </w:pPr>
            <w:r>
              <w:rPr>
                <w:rFonts w:ascii="Calibri" w:cs="Calibri" w:eastAsia="Calibri" w:hAnsi="Calibri"/>
                <w:sz w:val="16"/>
                <w:szCs w:val="16"/>
                <w:b w:val="1"/>
                <w:bCs w:val="1"/>
                <w:color w:val="auto"/>
              </w:rPr>
              <w:t>430</w:t>
            </w:r>
          </w:p>
        </w:tc>
        <w:tc>
          <w:tcPr>
            <w:tcW w:w="1140" w:type="dxa"/>
            <w:vAlign w:val="bottom"/>
          </w:tcPr>
          <w:p>
            <w:pPr>
              <w:spacing w:after="0"/>
              <w:rPr>
                <w:sz w:val="17"/>
                <w:szCs w:val="17"/>
                <w:color w:val="auto"/>
              </w:rPr>
            </w:pPr>
          </w:p>
        </w:tc>
        <w:tc>
          <w:tcPr>
            <w:tcW w:w="1560" w:type="dxa"/>
            <w:vAlign w:val="bottom"/>
          </w:tcPr>
          <w:p>
            <w:pPr>
              <w:jc w:val="right"/>
              <w:ind w:right="1019"/>
              <w:spacing w:after="0"/>
              <w:rPr>
                <w:sz w:val="20"/>
                <w:szCs w:val="20"/>
                <w:color w:val="auto"/>
              </w:rPr>
            </w:pPr>
            <w:r>
              <w:rPr>
                <w:rFonts w:ascii="Calibri" w:cs="Calibri" w:eastAsia="Calibri" w:hAnsi="Calibri"/>
                <w:sz w:val="16"/>
                <w:szCs w:val="16"/>
                <w:b w:val="1"/>
                <w:bCs w:val="1"/>
                <w:color w:val="auto"/>
              </w:rPr>
              <w:t>234</w:t>
            </w:r>
          </w:p>
        </w:tc>
        <w:tc>
          <w:tcPr>
            <w:tcW w:w="9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664</w:t>
            </w:r>
          </w:p>
        </w:tc>
      </w:tr>
      <w:tr>
        <w:trPr>
          <w:trHeight w:val="20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1980" w:type="dxa"/>
            <w:vAlign w:val="bottom"/>
          </w:tcPr>
          <w:p>
            <w:pPr>
              <w:spacing w:after="0"/>
              <w:rPr>
                <w:sz w:val="17"/>
                <w:szCs w:val="17"/>
                <w:color w:val="auto"/>
              </w:rPr>
            </w:pPr>
          </w:p>
        </w:tc>
        <w:tc>
          <w:tcPr>
            <w:tcW w:w="1600" w:type="dxa"/>
            <w:vAlign w:val="bottom"/>
          </w:tcPr>
          <w:p>
            <w:pPr>
              <w:jc w:val="right"/>
              <w:ind w:right="659"/>
              <w:spacing w:after="0"/>
              <w:rPr>
                <w:sz w:val="20"/>
                <w:szCs w:val="20"/>
                <w:color w:val="auto"/>
              </w:rPr>
            </w:pPr>
            <w:r>
              <w:rPr>
                <w:rFonts w:ascii="Calibri" w:cs="Calibri" w:eastAsia="Calibri" w:hAnsi="Calibri"/>
                <w:sz w:val="16"/>
                <w:szCs w:val="16"/>
                <w:color w:val="auto"/>
              </w:rPr>
              <w:t>35</w:t>
            </w:r>
          </w:p>
        </w:tc>
        <w:tc>
          <w:tcPr>
            <w:tcW w:w="1140" w:type="dxa"/>
            <w:vAlign w:val="bottom"/>
          </w:tcPr>
          <w:p>
            <w:pPr>
              <w:spacing w:after="0"/>
              <w:rPr>
                <w:sz w:val="17"/>
                <w:szCs w:val="17"/>
                <w:color w:val="auto"/>
              </w:rPr>
            </w:pPr>
          </w:p>
        </w:tc>
        <w:tc>
          <w:tcPr>
            <w:tcW w:w="1560" w:type="dxa"/>
            <w:vAlign w:val="bottom"/>
          </w:tcPr>
          <w:p>
            <w:pPr>
              <w:jc w:val="right"/>
              <w:ind w:right="1019"/>
              <w:spacing w:after="0"/>
              <w:rPr>
                <w:sz w:val="20"/>
                <w:szCs w:val="20"/>
                <w:color w:val="auto"/>
              </w:rPr>
            </w:pPr>
            <w:r>
              <w:rPr>
                <w:rFonts w:ascii="Calibri" w:cs="Calibri" w:eastAsia="Calibri" w:hAnsi="Calibri"/>
                <w:sz w:val="16"/>
                <w:szCs w:val="16"/>
                <w:color w:val="auto"/>
              </w:rPr>
              <w:t>7</w:t>
            </w:r>
          </w:p>
        </w:tc>
        <w:tc>
          <w:tcPr>
            <w:tcW w:w="900" w:type="dxa"/>
            <w:vAlign w:val="bottom"/>
          </w:tcPr>
          <w:p>
            <w:pPr>
              <w:jc w:val="right"/>
              <w:ind w:right="79"/>
              <w:spacing w:after="0"/>
              <w:rPr>
                <w:sz w:val="20"/>
                <w:szCs w:val="20"/>
                <w:color w:val="auto"/>
              </w:rPr>
            </w:pPr>
            <w:r>
              <w:rPr>
                <w:rFonts w:ascii="Calibri" w:cs="Calibri" w:eastAsia="Calibri" w:hAnsi="Calibri"/>
                <w:sz w:val="16"/>
                <w:szCs w:val="16"/>
                <w:color w:val="auto"/>
              </w:rPr>
              <w:t>42</w:t>
            </w:r>
          </w:p>
        </w:tc>
      </w:tr>
      <w:tr>
        <w:trPr>
          <w:trHeight w:val="20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980" w:type="dxa"/>
            <w:vAlign w:val="bottom"/>
          </w:tcPr>
          <w:p>
            <w:pPr>
              <w:spacing w:after="0"/>
              <w:rPr>
                <w:sz w:val="17"/>
                <w:szCs w:val="17"/>
                <w:color w:val="auto"/>
              </w:rPr>
            </w:pPr>
          </w:p>
        </w:tc>
        <w:tc>
          <w:tcPr>
            <w:tcW w:w="1600" w:type="dxa"/>
            <w:vAlign w:val="bottom"/>
          </w:tcPr>
          <w:p>
            <w:pPr>
              <w:jc w:val="right"/>
              <w:ind w:right="659"/>
              <w:spacing w:after="0"/>
              <w:rPr>
                <w:sz w:val="20"/>
                <w:szCs w:val="20"/>
                <w:color w:val="auto"/>
              </w:rPr>
            </w:pPr>
            <w:r>
              <w:rPr>
                <w:rFonts w:ascii="Calibri" w:cs="Calibri" w:eastAsia="Calibri" w:hAnsi="Calibri"/>
                <w:sz w:val="16"/>
                <w:szCs w:val="16"/>
                <w:color w:val="auto"/>
              </w:rPr>
              <w:t>4</w:t>
            </w:r>
          </w:p>
        </w:tc>
        <w:tc>
          <w:tcPr>
            <w:tcW w:w="1140" w:type="dxa"/>
            <w:vAlign w:val="bottom"/>
          </w:tcPr>
          <w:p>
            <w:pPr>
              <w:spacing w:after="0"/>
              <w:rPr>
                <w:sz w:val="17"/>
                <w:szCs w:val="17"/>
                <w:color w:val="auto"/>
              </w:rPr>
            </w:pPr>
          </w:p>
        </w:tc>
        <w:tc>
          <w:tcPr>
            <w:tcW w:w="1560" w:type="dxa"/>
            <w:vAlign w:val="bottom"/>
          </w:tcPr>
          <w:p>
            <w:pPr>
              <w:jc w:val="right"/>
              <w:ind w:right="1019"/>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79"/>
              <w:spacing w:after="0"/>
              <w:rPr>
                <w:sz w:val="20"/>
                <w:szCs w:val="20"/>
                <w:color w:val="auto"/>
              </w:rPr>
            </w:pPr>
            <w:r>
              <w:rPr>
                <w:rFonts w:ascii="Calibri" w:cs="Calibri" w:eastAsia="Calibri" w:hAnsi="Calibri"/>
                <w:sz w:val="16"/>
                <w:szCs w:val="16"/>
                <w:color w:val="auto"/>
              </w:rPr>
              <w:t>4</w:t>
            </w: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1"/>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June 30, 2024</w:t>
            </w:r>
          </w:p>
        </w:tc>
        <w:tc>
          <w:tcPr>
            <w:tcW w:w="1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59"/>
              <w:spacing w:after="0" w:line="192" w:lineRule="exact"/>
              <w:rPr>
                <w:sz w:val="20"/>
                <w:szCs w:val="20"/>
                <w:color w:val="auto"/>
              </w:rPr>
            </w:pPr>
            <w:r>
              <w:rPr>
                <w:rFonts w:ascii="Calibri" w:cs="Calibri" w:eastAsia="Calibri" w:hAnsi="Calibri"/>
                <w:sz w:val="16"/>
                <w:szCs w:val="16"/>
                <w:b w:val="1"/>
                <w:bCs w:val="1"/>
                <w:color w:val="auto"/>
              </w:rPr>
              <w:t>469</w:t>
            </w: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19"/>
              <w:spacing w:after="0" w:line="192" w:lineRule="exact"/>
              <w:rPr>
                <w:sz w:val="20"/>
                <w:szCs w:val="20"/>
                <w:color w:val="auto"/>
              </w:rPr>
            </w:pPr>
            <w:r>
              <w:rPr>
                <w:rFonts w:ascii="Calibri" w:cs="Calibri" w:eastAsia="Calibri" w:hAnsi="Calibri"/>
                <w:sz w:val="16"/>
                <w:szCs w:val="16"/>
                <w:b w:val="1"/>
                <w:bCs w:val="1"/>
                <w:color w:val="auto"/>
              </w:rPr>
              <w:t>241</w:t>
            </w:r>
          </w:p>
        </w:tc>
        <w:tc>
          <w:tcPr>
            <w:tcW w:w="90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710</w:t>
            </w: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1"/>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1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59"/>
              <w:spacing w:after="0" w:line="192" w:lineRule="exact"/>
              <w:rPr>
                <w:sz w:val="20"/>
                <w:szCs w:val="20"/>
                <w:color w:val="auto"/>
              </w:rPr>
            </w:pPr>
            <w:r>
              <w:rPr>
                <w:rFonts w:ascii="Calibri" w:cs="Calibri" w:eastAsia="Calibri" w:hAnsi="Calibri"/>
                <w:sz w:val="16"/>
                <w:szCs w:val="16"/>
                <w:b w:val="1"/>
                <w:bCs w:val="1"/>
                <w:color w:val="auto"/>
              </w:rPr>
              <w:t>234</w:t>
            </w: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19"/>
              <w:spacing w:after="0" w:line="192" w:lineRule="exact"/>
              <w:rPr>
                <w:sz w:val="20"/>
                <w:szCs w:val="20"/>
                <w:color w:val="auto"/>
              </w:rPr>
            </w:pPr>
            <w:r>
              <w:rPr>
                <w:rFonts w:ascii="Calibri" w:cs="Calibri" w:eastAsia="Calibri" w:hAnsi="Calibri"/>
                <w:sz w:val="16"/>
                <w:szCs w:val="16"/>
                <w:b w:val="1"/>
                <w:bCs w:val="1"/>
                <w:color w:val="auto"/>
              </w:rPr>
              <w:t>31</w:t>
            </w:r>
          </w:p>
        </w:tc>
        <w:tc>
          <w:tcPr>
            <w:tcW w:w="90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266</w:t>
            </w:r>
          </w:p>
        </w:tc>
      </w:tr>
      <w:tr>
        <w:trPr>
          <w:trHeight w:val="198"/>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June 30, 2024</w:t>
            </w:r>
          </w:p>
        </w:tc>
        <w:tc>
          <w:tcPr>
            <w:tcW w:w="1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59"/>
              <w:spacing w:after="0" w:line="193" w:lineRule="exact"/>
              <w:rPr>
                <w:sz w:val="20"/>
                <w:szCs w:val="20"/>
                <w:color w:val="auto"/>
              </w:rPr>
            </w:pPr>
            <w:r>
              <w:rPr>
                <w:rFonts w:ascii="Calibri" w:cs="Calibri" w:eastAsia="Calibri" w:hAnsi="Calibri"/>
                <w:sz w:val="16"/>
                <w:szCs w:val="16"/>
                <w:b w:val="1"/>
                <w:bCs w:val="1"/>
                <w:color w:val="auto"/>
              </w:rPr>
              <w:t>202</w:t>
            </w:r>
          </w:p>
        </w:tc>
        <w:tc>
          <w:tcPr>
            <w:tcW w:w="1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19"/>
              <w:spacing w:after="0" w:line="193" w:lineRule="exact"/>
              <w:rPr>
                <w:sz w:val="20"/>
                <w:szCs w:val="20"/>
                <w:color w:val="auto"/>
              </w:rPr>
            </w:pPr>
            <w:r>
              <w:rPr>
                <w:rFonts w:ascii="Calibri" w:cs="Calibri" w:eastAsia="Calibri" w:hAnsi="Calibri"/>
                <w:sz w:val="16"/>
                <w:szCs w:val="16"/>
                <w:b w:val="1"/>
                <w:bCs w:val="1"/>
                <w:color w:val="auto"/>
              </w:rPr>
              <w:t>25</w:t>
            </w:r>
          </w:p>
        </w:tc>
        <w:tc>
          <w:tcPr>
            <w:tcW w:w="90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227</w:t>
            </w:r>
          </w:p>
        </w:tc>
      </w:tr>
      <w:tr>
        <w:trPr>
          <w:trHeight w:val="643"/>
        </w:trPr>
        <w:tc>
          <w:tcPr>
            <w:tcW w:w="180" w:type="dxa"/>
            <w:vAlign w:val="bottom"/>
          </w:tcPr>
          <w:p>
            <w:pPr>
              <w:jc w:val="right"/>
              <w:spacing w:after="0"/>
              <w:rPr>
                <w:sz w:val="20"/>
                <w:szCs w:val="20"/>
                <w:color w:val="auto"/>
              </w:rPr>
            </w:pPr>
            <w:r>
              <w:rPr>
                <w:rFonts w:ascii="Calibri" w:cs="Calibri" w:eastAsia="Calibri" w:hAnsi="Calibri"/>
                <w:sz w:val="16"/>
                <w:szCs w:val="16"/>
                <w:b w:val="1"/>
                <w:bCs w:val="1"/>
                <w:color w:val="2D5F91"/>
                <w:w w:val="80"/>
              </w:rPr>
              <w:t>4.</w:t>
            </w:r>
          </w:p>
        </w:tc>
        <w:tc>
          <w:tcPr>
            <w:tcW w:w="3560" w:type="dxa"/>
            <w:vAlign w:val="bottom"/>
            <w:gridSpan w:val="2"/>
          </w:tcPr>
          <w:p>
            <w:pPr>
              <w:ind w:left="80"/>
              <w:spacing w:after="0"/>
              <w:rPr>
                <w:sz w:val="20"/>
                <w:szCs w:val="20"/>
                <w:color w:val="auto"/>
              </w:rPr>
            </w:pPr>
            <w:r>
              <w:rPr>
                <w:rFonts w:ascii="Calibri" w:cs="Calibri" w:eastAsia="Calibri" w:hAnsi="Calibri"/>
                <w:sz w:val="16"/>
                <w:szCs w:val="16"/>
                <w:b w:val="1"/>
                <w:bCs w:val="1"/>
                <w:color w:val="2D5F91"/>
              </w:rPr>
              <w:t>INTANGIBLE ASSETS</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5"/>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alibri" w:cs="Calibri" w:eastAsia="Calibri" w:hAnsi="Calibri"/>
                <w:sz w:val="16"/>
                <w:szCs w:val="16"/>
                <w:b w:val="1"/>
                <w:bCs w:val="1"/>
                <w:color w:val="auto"/>
              </w:rPr>
              <w:t>IP Research &amp;</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5"/>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9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Development</w:t>
            </w:r>
          </w:p>
        </w:tc>
        <w:tc>
          <w:tcPr>
            <w:tcW w:w="160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Patents</w:t>
            </w:r>
          </w:p>
        </w:tc>
        <w:tc>
          <w:tcPr>
            <w:tcW w:w="114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License</w:t>
            </w:r>
          </w:p>
        </w:tc>
        <w:tc>
          <w:tcPr>
            <w:tcW w:w="156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Sofware</w:t>
            </w:r>
          </w:p>
        </w:tc>
        <w:tc>
          <w:tcPr>
            <w:tcW w:w="9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19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14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156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9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12700</wp:posOffset>
            </wp:positionV>
            <wp:extent cx="66935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Balance, March 31, 2024</w:t>
            </w:r>
          </w:p>
        </w:tc>
        <w:tc>
          <w:tcPr>
            <w:tcW w:w="21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32,440</w:t>
            </w:r>
          </w:p>
        </w:tc>
        <w:tc>
          <w:tcPr>
            <w:tcW w:w="12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1,668</w:t>
            </w:r>
          </w:p>
        </w:tc>
        <w:tc>
          <w:tcPr>
            <w:tcW w:w="140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1,381</w:t>
            </w:r>
          </w:p>
        </w:tc>
        <w:tc>
          <w:tcPr>
            <w:tcW w:w="11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74</w:t>
            </w:r>
          </w:p>
        </w:tc>
        <w:tc>
          <w:tcPr>
            <w:tcW w:w="1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35,563</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10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280" w:type="dxa"/>
            <w:vAlign w:val="bottom"/>
          </w:tcPr>
          <w:p>
            <w:pPr>
              <w:jc w:val="right"/>
              <w:ind w:right="379"/>
              <w:spacing w:after="0"/>
              <w:rPr>
                <w:sz w:val="20"/>
                <w:szCs w:val="20"/>
                <w:color w:val="auto"/>
              </w:rPr>
            </w:pPr>
            <w:r>
              <w:rPr>
                <w:rFonts w:ascii="Calibri" w:cs="Calibri" w:eastAsia="Calibri" w:hAnsi="Calibri"/>
                <w:sz w:val="16"/>
                <w:szCs w:val="16"/>
                <w:color w:val="auto"/>
              </w:rPr>
              <w:t>237</w:t>
            </w:r>
          </w:p>
        </w:tc>
        <w:tc>
          <w:tcPr>
            <w:tcW w:w="1400" w:type="dxa"/>
            <w:vAlign w:val="bottom"/>
          </w:tcPr>
          <w:p>
            <w:pPr>
              <w:jc w:val="right"/>
              <w:ind w:right="479"/>
              <w:spacing w:after="0"/>
              <w:rPr>
                <w:sz w:val="20"/>
                <w:szCs w:val="20"/>
                <w:color w:val="auto"/>
              </w:rPr>
            </w:pPr>
            <w:r>
              <w:rPr>
                <w:rFonts w:ascii="Calibri" w:cs="Calibri" w:eastAsia="Calibri" w:hAnsi="Calibri"/>
                <w:sz w:val="16"/>
                <w:szCs w:val="16"/>
                <w:color w:val="auto"/>
              </w:rPr>
              <w:t>—</w:t>
            </w:r>
          </w:p>
        </w:tc>
        <w:tc>
          <w:tcPr>
            <w:tcW w:w="11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Calibri" w:cs="Calibri" w:eastAsia="Calibri" w:hAnsi="Calibri"/>
                <w:sz w:val="16"/>
                <w:szCs w:val="16"/>
                <w:color w:val="auto"/>
              </w:rPr>
              <w:t>237</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10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280" w:type="dxa"/>
            <w:vAlign w:val="bottom"/>
          </w:tcPr>
          <w:p>
            <w:pPr>
              <w:jc w:val="right"/>
              <w:ind w:right="379"/>
              <w:spacing w:after="0"/>
              <w:rPr>
                <w:sz w:val="20"/>
                <w:szCs w:val="20"/>
                <w:color w:val="auto"/>
              </w:rPr>
            </w:pPr>
            <w:r>
              <w:rPr>
                <w:rFonts w:ascii="Calibri" w:cs="Calibri" w:eastAsia="Calibri" w:hAnsi="Calibri"/>
                <w:sz w:val="16"/>
                <w:szCs w:val="16"/>
                <w:color w:val="auto"/>
              </w:rPr>
              <w:t>22</w:t>
            </w:r>
          </w:p>
        </w:tc>
        <w:tc>
          <w:tcPr>
            <w:tcW w:w="1400" w:type="dxa"/>
            <w:vAlign w:val="bottom"/>
          </w:tcPr>
          <w:p>
            <w:pPr>
              <w:jc w:val="right"/>
              <w:ind w:right="499"/>
              <w:spacing w:after="0"/>
              <w:rPr>
                <w:sz w:val="20"/>
                <w:szCs w:val="20"/>
                <w:color w:val="auto"/>
              </w:rPr>
            </w:pPr>
            <w:r>
              <w:rPr>
                <w:rFonts w:ascii="Calibri" w:cs="Calibri" w:eastAsia="Calibri" w:hAnsi="Calibri"/>
                <w:sz w:val="16"/>
                <w:szCs w:val="16"/>
                <w:color w:val="auto"/>
              </w:rPr>
              <w:t>14</w:t>
            </w:r>
          </w:p>
        </w:tc>
        <w:tc>
          <w:tcPr>
            <w:tcW w:w="114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59"/>
              <w:spacing w:after="0"/>
              <w:rPr>
                <w:sz w:val="20"/>
                <w:szCs w:val="20"/>
                <w:color w:val="auto"/>
              </w:rPr>
            </w:pPr>
            <w:r>
              <w:rPr>
                <w:rFonts w:ascii="Calibri" w:cs="Calibri" w:eastAsia="Calibri" w:hAnsi="Calibri"/>
                <w:sz w:val="16"/>
                <w:szCs w:val="16"/>
                <w:color w:val="auto"/>
              </w:rPr>
              <w:t>36</w:t>
            </w: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June 30, 2024</w:t>
            </w:r>
          </w:p>
        </w:tc>
        <w:tc>
          <w:tcPr>
            <w:tcW w:w="210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32,440</w:t>
            </w:r>
          </w:p>
        </w:tc>
        <w:tc>
          <w:tcPr>
            <w:tcW w:w="128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1,927</w:t>
            </w:r>
          </w:p>
        </w:tc>
        <w:tc>
          <w:tcPr>
            <w:tcW w:w="140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1,395</w:t>
            </w:r>
          </w:p>
        </w:tc>
        <w:tc>
          <w:tcPr>
            <w:tcW w:w="114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74</w:t>
            </w:r>
          </w:p>
        </w:tc>
        <w:tc>
          <w:tcPr>
            <w:tcW w:w="100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35,836</w:t>
            </w:r>
          </w:p>
        </w:tc>
      </w:tr>
      <w:tr>
        <w:trPr>
          <w:trHeight w:val="401"/>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Balance, March 31, 2024</w:t>
            </w:r>
          </w:p>
        </w:tc>
        <w:tc>
          <w:tcPr>
            <w:tcW w:w="21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w:t>
            </w:r>
          </w:p>
        </w:tc>
        <w:tc>
          <w:tcPr>
            <w:tcW w:w="140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56</w:t>
            </w:r>
          </w:p>
        </w:tc>
        <w:tc>
          <w:tcPr>
            <w:tcW w:w="11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42</w:t>
            </w:r>
          </w:p>
        </w:tc>
        <w:tc>
          <w:tcPr>
            <w:tcW w:w="1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98</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210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280" w:type="dxa"/>
            <w:vAlign w:val="bottom"/>
          </w:tcPr>
          <w:p>
            <w:pPr>
              <w:jc w:val="right"/>
              <w:ind w:right="379"/>
              <w:spacing w:after="0"/>
              <w:rPr>
                <w:sz w:val="20"/>
                <w:szCs w:val="20"/>
                <w:color w:val="auto"/>
              </w:rPr>
            </w:pPr>
            <w:r>
              <w:rPr>
                <w:rFonts w:ascii="Calibri" w:cs="Calibri" w:eastAsia="Calibri" w:hAnsi="Calibri"/>
                <w:sz w:val="16"/>
                <w:szCs w:val="16"/>
                <w:color w:val="auto"/>
              </w:rPr>
              <w:t>—</w:t>
            </w:r>
          </w:p>
        </w:tc>
        <w:tc>
          <w:tcPr>
            <w:tcW w:w="1400" w:type="dxa"/>
            <w:vAlign w:val="bottom"/>
          </w:tcPr>
          <w:p>
            <w:pPr>
              <w:jc w:val="right"/>
              <w:ind w:right="499"/>
              <w:spacing w:after="0"/>
              <w:rPr>
                <w:sz w:val="20"/>
                <w:szCs w:val="20"/>
                <w:color w:val="auto"/>
              </w:rPr>
            </w:pPr>
            <w:r>
              <w:rPr>
                <w:rFonts w:ascii="Calibri" w:cs="Calibri" w:eastAsia="Calibri" w:hAnsi="Calibri"/>
                <w:sz w:val="16"/>
                <w:szCs w:val="16"/>
                <w:color w:val="auto"/>
              </w:rPr>
              <w:t>9</w:t>
            </w:r>
          </w:p>
        </w:tc>
        <w:tc>
          <w:tcPr>
            <w:tcW w:w="1140" w:type="dxa"/>
            <w:vAlign w:val="bottom"/>
          </w:tcPr>
          <w:p>
            <w:pPr>
              <w:jc w:val="right"/>
              <w:ind w:right="339"/>
              <w:spacing w:after="0"/>
              <w:rPr>
                <w:sz w:val="20"/>
                <w:szCs w:val="20"/>
                <w:color w:val="auto"/>
              </w:rPr>
            </w:pPr>
            <w:r>
              <w:rPr>
                <w:rFonts w:ascii="Calibri" w:cs="Calibri" w:eastAsia="Calibri" w:hAnsi="Calibri"/>
                <w:sz w:val="16"/>
                <w:szCs w:val="16"/>
                <w:color w:val="auto"/>
              </w:rPr>
              <w:t>7</w:t>
            </w:r>
          </w:p>
        </w:tc>
        <w:tc>
          <w:tcPr>
            <w:tcW w:w="1000" w:type="dxa"/>
            <w:vAlign w:val="bottom"/>
          </w:tcPr>
          <w:p>
            <w:pPr>
              <w:jc w:val="right"/>
              <w:ind w:right="59"/>
              <w:spacing w:after="0"/>
              <w:rPr>
                <w:sz w:val="20"/>
                <w:szCs w:val="20"/>
                <w:color w:val="auto"/>
              </w:rPr>
            </w:pPr>
            <w:r>
              <w:rPr>
                <w:rFonts w:ascii="Calibri" w:cs="Calibri" w:eastAsia="Calibri" w:hAnsi="Calibri"/>
                <w:sz w:val="16"/>
                <w:szCs w:val="16"/>
                <w:color w:val="auto"/>
              </w:rPr>
              <w:t>16</w:t>
            </w: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June 30, 2024</w:t>
            </w:r>
          </w:p>
        </w:tc>
        <w:tc>
          <w:tcPr>
            <w:tcW w:w="210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w:t>
            </w:r>
          </w:p>
        </w:tc>
        <w:tc>
          <w:tcPr>
            <w:tcW w:w="140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65</w:t>
            </w:r>
          </w:p>
        </w:tc>
        <w:tc>
          <w:tcPr>
            <w:tcW w:w="114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49</w:t>
            </w:r>
          </w:p>
        </w:tc>
        <w:tc>
          <w:tcPr>
            <w:tcW w:w="100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114</w:t>
            </w:r>
          </w:p>
        </w:tc>
      </w:tr>
      <w:tr>
        <w:trPr>
          <w:trHeight w:val="216"/>
        </w:trPr>
        <w:tc>
          <w:tcPr>
            <w:tcW w:w="36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91"/>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210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32,440</w:t>
            </w:r>
          </w:p>
        </w:tc>
        <w:tc>
          <w:tcPr>
            <w:tcW w:w="128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1,668</w:t>
            </w:r>
          </w:p>
        </w:tc>
        <w:tc>
          <w:tcPr>
            <w:tcW w:w="140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1,325</w:t>
            </w:r>
          </w:p>
        </w:tc>
        <w:tc>
          <w:tcPr>
            <w:tcW w:w="114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32</w:t>
            </w:r>
          </w:p>
        </w:tc>
        <w:tc>
          <w:tcPr>
            <w:tcW w:w="100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35,465</w:t>
            </w:r>
          </w:p>
        </w:tc>
      </w:tr>
      <w:tr>
        <w:trPr>
          <w:trHeight w:val="198"/>
        </w:trPr>
        <w:tc>
          <w:tcPr>
            <w:tcW w:w="36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June 30, 2024</w:t>
            </w:r>
          </w:p>
        </w:tc>
        <w:tc>
          <w:tcPr>
            <w:tcW w:w="2100" w:type="dxa"/>
            <w:vAlign w:val="bottom"/>
            <w:tcBorders>
              <w:bottom w:val="single" w:sz="8" w:color="auto"/>
            </w:tcBorders>
          </w:tcPr>
          <w:p>
            <w:pPr>
              <w:jc w:val="right"/>
              <w:ind w:right="379"/>
              <w:spacing w:after="0" w:line="193" w:lineRule="exact"/>
              <w:rPr>
                <w:sz w:val="20"/>
                <w:szCs w:val="20"/>
                <w:color w:val="auto"/>
              </w:rPr>
            </w:pPr>
            <w:r>
              <w:rPr>
                <w:rFonts w:ascii="Calibri" w:cs="Calibri" w:eastAsia="Calibri" w:hAnsi="Calibri"/>
                <w:sz w:val="16"/>
                <w:szCs w:val="16"/>
                <w:b w:val="1"/>
                <w:bCs w:val="1"/>
                <w:color w:val="auto"/>
              </w:rPr>
              <w:t>32,440</w:t>
            </w:r>
          </w:p>
        </w:tc>
        <w:tc>
          <w:tcPr>
            <w:tcW w:w="1280" w:type="dxa"/>
            <w:vAlign w:val="bottom"/>
            <w:tcBorders>
              <w:bottom w:val="single" w:sz="8" w:color="auto"/>
            </w:tcBorders>
          </w:tcPr>
          <w:p>
            <w:pPr>
              <w:jc w:val="right"/>
              <w:ind w:right="379"/>
              <w:spacing w:after="0" w:line="193" w:lineRule="exact"/>
              <w:rPr>
                <w:sz w:val="20"/>
                <w:szCs w:val="20"/>
                <w:color w:val="auto"/>
              </w:rPr>
            </w:pPr>
            <w:r>
              <w:rPr>
                <w:rFonts w:ascii="Calibri" w:cs="Calibri" w:eastAsia="Calibri" w:hAnsi="Calibri"/>
                <w:sz w:val="16"/>
                <w:szCs w:val="16"/>
                <w:b w:val="1"/>
                <w:bCs w:val="1"/>
                <w:color w:val="auto"/>
              </w:rPr>
              <w:t>1,927</w:t>
            </w:r>
          </w:p>
        </w:tc>
        <w:tc>
          <w:tcPr>
            <w:tcW w:w="1400" w:type="dxa"/>
            <w:vAlign w:val="bottom"/>
            <w:tcBorders>
              <w:bottom w:val="single" w:sz="8" w:color="auto"/>
            </w:tcBorders>
          </w:tcPr>
          <w:p>
            <w:pPr>
              <w:jc w:val="right"/>
              <w:ind w:right="499"/>
              <w:spacing w:after="0" w:line="193" w:lineRule="exact"/>
              <w:rPr>
                <w:sz w:val="20"/>
                <w:szCs w:val="20"/>
                <w:color w:val="auto"/>
              </w:rPr>
            </w:pPr>
            <w:r>
              <w:rPr>
                <w:rFonts w:ascii="Calibri" w:cs="Calibri" w:eastAsia="Calibri" w:hAnsi="Calibri"/>
                <w:sz w:val="16"/>
                <w:szCs w:val="16"/>
                <w:b w:val="1"/>
                <w:bCs w:val="1"/>
                <w:color w:val="auto"/>
              </w:rPr>
              <w:t>1,330</w:t>
            </w:r>
          </w:p>
        </w:tc>
        <w:tc>
          <w:tcPr>
            <w:tcW w:w="1140" w:type="dxa"/>
            <w:vAlign w:val="bottom"/>
            <w:tcBorders>
              <w:bottom w:val="single" w:sz="8" w:color="auto"/>
            </w:tcBorders>
          </w:tcPr>
          <w:p>
            <w:pPr>
              <w:jc w:val="right"/>
              <w:ind w:right="339"/>
              <w:spacing w:after="0" w:line="193" w:lineRule="exact"/>
              <w:rPr>
                <w:sz w:val="20"/>
                <w:szCs w:val="20"/>
                <w:color w:val="auto"/>
              </w:rPr>
            </w:pPr>
            <w:r>
              <w:rPr>
                <w:rFonts w:ascii="Calibri" w:cs="Calibri" w:eastAsia="Calibri" w:hAnsi="Calibri"/>
                <w:sz w:val="16"/>
                <w:szCs w:val="16"/>
                <w:b w:val="1"/>
                <w:bCs w:val="1"/>
                <w:color w:val="auto"/>
              </w:rPr>
              <w:t>25</w:t>
            </w:r>
          </w:p>
        </w:tc>
        <w:tc>
          <w:tcPr>
            <w:tcW w:w="100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35,722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Calibri" w:cs="Calibri" w:eastAsia="Calibri" w:hAnsi="Calibri"/>
          <w:sz w:val="16"/>
          <w:szCs w:val="16"/>
          <w:b w:val="1"/>
          <w:bCs w:val="1"/>
          <w:color w:val="auto"/>
        </w:rPr>
        <w:t>Page 10 of 23</w:t>
      </w:r>
    </w:p>
    <w:p>
      <w:pPr>
        <w:sectPr>
          <w:pgSz w:w="11900" w:h="16838" w:orient="portrait"/>
          <w:cols w:equalWidth="0" w:num="1">
            <w:col w:w="11060"/>
          </w:cols>
          <w:pgMar w:left="320" w:top="209" w:right="519" w:bottom="1440" w:gutter="0" w:footer="0" w:header="0"/>
        </w:sectPr>
      </w:pPr>
    </w:p>
    <w:bookmarkStart w:id="13" w:name="page14"/>
    <w:bookmarkEnd w:id="1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5. LEASES</w:t>
      </w:r>
    </w:p>
    <w:p>
      <w:pPr>
        <w:spacing w:after="0" w:line="252"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33851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85185" cy="762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6"/>
        </w:trPr>
        <w:tc>
          <w:tcPr>
            <w:tcW w:w="3000" w:type="dxa"/>
            <w:vAlign w:val="bottom"/>
          </w:tcPr>
          <w:p>
            <w:pPr>
              <w:ind w:left="20"/>
              <w:spacing w:after="0"/>
              <w:rPr>
                <w:sz w:val="20"/>
                <w:szCs w:val="20"/>
                <w:color w:val="auto"/>
              </w:rPr>
            </w:pPr>
            <w:r>
              <w:rPr>
                <w:rFonts w:ascii="Calibri" w:cs="Calibri" w:eastAsia="Calibri" w:hAnsi="Calibri"/>
                <w:sz w:val="16"/>
                <w:szCs w:val="16"/>
                <w:color w:val="auto"/>
              </w:rPr>
              <w:t>Balance as at March 31, 2024</w:t>
            </w:r>
          </w:p>
        </w:tc>
        <w:tc>
          <w:tcPr>
            <w:tcW w:w="15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b w:val="1"/>
                <w:bCs w:val="1"/>
                <w:color w:val="auto"/>
              </w:rPr>
              <w:t>424</w:t>
            </w:r>
          </w:p>
        </w:tc>
      </w:tr>
      <w:tr>
        <w:trPr>
          <w:trHeight w:val="206"/>
        </w:trPr>
        <w:tc>
          <w:tcPr>
            <w:tcW w:w="300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15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3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5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7</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1"/>
        </w:trPr>
        <w:tc>
          <w:tcPr>
            <w:tcW w:w="3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June 30, 2024</w:t>
            </w:r>
          </w:p>
        </w:tc>
        <w:tc>
          <w:tcPr>
            <w:tcW w:w="15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w:t>
            </w:r>
          </w:p>
        </w:tc>
        <w:tc>
          <w:tcPr>
            <w:tcW w:w="7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431</w:t>
            </w:r>
          </w:p>
        </w:tc>
      </w:tr>
      <w:tr>
        <w:trPr>
          <w:trHeight w:val="413"/>
        </w:trPr>
        <w:tc>
          <w:tcPr>
            <w:tcW w:w="300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6"/>
        </w:trPr>
        <w:tc>
          <w:tcPr>
            <w:tcW w:w="3000" w:type="dxa"/>
            <w:vAlign w:val="bottom"/>
          </w:tcPr>
          <w:p>
            <w:pPr>
              <w:ind w:left="20"/>
              <w:spacing w:after="0"/>
              <w:rPr>
                <w:sz w:val="20"/>
                <w:szCs w:val="20"/>
                <w:color w:val="auto"/>
              </w:rPr>
            </w:pPr>
            <w:r>
              <w:rPr>
                <w:rFonts w:ascii="Calibri" w:cs="Calibri" w:eastAsia="Calibri" w:hAnsi="Calibri"/>
                <w:sz w:val="16"/>
                <w:szCs w:val="16"/>
                <w:color w:val="auto"/>
              </w:rPr>
              <w:t>Balance as at March 31, 2024</w:t>
            </w:r>
          </w:p>
        </w:tc>
        <w:tc>
          <w:tcPr>
            <w:tcW w:w="15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143</w:t>
            </w:r>
          </w:p>
        </w:tc>
      </w:tr>
      <w:tr>
        <w:trPr>
          <w:trHeight w:val="206"/>
        </w:trPr>
        <w:tc>
          <w:tcPr>
            <w:tcW w:w="300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15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80</w:t>
            </w:r>
          </w:p>
        </w:tc>
      </w:tr>
      <w:tr>
        <w:trPr>
          <w:trHeight w:val="206"/>
        </w:trPr>
        <w:tc>
          <w:tcPr>
            <w:tcW w:w="3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580" w:type="dxa"/>
            <w:vAlign w:val="bottom"/>
          </w:tcPr>
          <w:p>
            <w:pPr>
              <w:jc w:val="right"/>
              <w:ind w:right="359"/>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1"/>
        </w:trPr>
        <w:tc>
          <w:tcPr>
            <w:tcW w:w="3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June 30, 2024</w:t>
            </w:r>
          </w:p>
        </w:tc>
        <w:tc>
          <w:tcPr>
            <w:tcW w:w="15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w:t>
            </w:r>
          </w:p>
        </w:tc>
        <w:tc>
          <w:tcPr>
            <w:tcW w:w="7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228</w:t>
            </w:r>
          </w:p>
        </w:tc>
      </w:tr>
      <w:tr>
        <w:trPr>
          <w:trHeight w:val="228"/>
        </w:trPr>
        <w:tc>
          <w:tcPr>
            <w:tcW w:w="3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191"/>
        </w:trPr>
        <w:tc>
          <w:tcPr>
            <w:tcW w:w="3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June 30, 2024</w:t>
            </w:r>
          </w:p>
        </w:tc>
        <w:tc>
          <w:tcPr>
            <w:tcW w:w="15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w:t>
            </w:r>
          </w:p>
        </w:tc>
        <w:tc>
          <w:tcPr>
            <w:tcW w:w="7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203</w:t>
            </w:r>
          </w:p>
        </w:tc>
      </w:tr>
    </w:tbl>
    <w:p>
      <w:pPr>
        <w:spacing w:after="0" w:line="316"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29705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0530" cy="762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2024</w:t>
            </w:r>
          </w:p>
        </w:tc>
        <w:tc>
          <w:tcPr>
            <w:tcW w:w="128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w:t>
            </w:r>
          </w:p>
        </w:tc>
        <w:tc>
          <w:tcPr>
            <w:tcW w:w="680" w:type="dxa"/>
            <w:vAlign w:val="bottom"/>
          </w:tcPr>
          <w:p>
            <w:pPr>
              <w:ind w:left="380"/>
              <w:spacing w:after="0"/>
              <w:rPr>
                <w:sz w:val="20"/>
                <w:szCs w:val="20"/>
                <w:color w:val="auto"/>
              </w:rPr>
            </w:pPr>
            <w:r>
              <w:rPr>
                <w:rFonts w:ascii="Calibri" w:cs="Calibri" w:eastAsia="Calibri" w:hAnsi="Calibri"/>
                <w:sz w:val="16"/>
                <w:szCs w:val="16"/>
                <w:b w:val="1"/>
                <w:bCs w:val="1"/>
                <w:color w:val="auto"/>
              </w:rPr>
              <w:t>291</w:t>
            </w:r>
          </w:p>
        </w:tc>
      </w:tr>
      <w:tr>
        <w:trPr>
          <w:trHeight w:val="206"/>
        </w:trPr>
        <w:tc>
          <w:tcPr>
            <w:tcW w:w="2720" w:type="dxa"/>
            <w:vAlign w:val="bottom"/>
          </w:tcPr>
          <w:p>
            <w:pPr>
              <w:ind w:left="20"/>
              <w:spacing w:after="0"/>
              <w:rPr>
                <w:sz w:val="20"/>
                <w:szCs w:val="20"/>
                <w:color w:val="auto"/>
              </w:rPr>
            </w:pPr>
            <w:r>
              <w:rPr>
                <w:rFonts w:ascii="Calibri" w:cs="Calibri" w:eastAsia="Calibri" w:hAnsi="Calibri"/>
                <w:sz w:val="16"/>
                <w:szCs w:val="16"/>
                <w:color w:val="auto"/>
              </w:rPr>
              <w:t>Interest accreton</w:t>
            </w:r>
          </w:p>
        </w:tc>
        <w:tc>
          <w:tcPr>
            <w:tcW w:w="1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27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4</w:t>
            </w:r>
          </w:p>
        </w:tc>
      </w:tr>
      <w:tr>
        <w:trPr>
          <w:trHeight w:val="206"/>
        </w:trPr>
        <w:tc>
          <w:tcPr>
            <w:tcW w:w="2720" w:type="dxa"/>
            <w:vAlign w:val="bottom"/>
          </w:tcPr>
          <w:p>
            <w:pPr>
              <w:ind w:left="20"/>
              <w:spacing w:after="0"/>
              <w:rPr>
                <w:sz w:val="20"/>
                <w:szCs w:val="20"/>
                <w:color w:val="auto"/>
              </w:rPr>
            </w:pPr>
            <w:r>
              <w:rPr>
                <w:rFonts w:ascii="Calibri" w:cs="Calibri" w:eastAsia="Calibri" w:hAnsi="Calibri"/>
                <w:sz w:val="16"/>
                <w:szCs w:val="16"/>
                <w:color w:val="auto"/>
              </w:rPr>
              <w:t>Payments</w:t>
            </w:r>
          </w:p>
        </w:tc>
        <w:tc>
          <w:tcPr>
            <w:tcW w:w="1280" w:type="dxa"/>
            <w:vAlign w:val="bottom"/>
          </w:tcPr>
          <w:p>
            <w:pPr>
              <w:spacing w:after="0"/>
              <w:rPr>
                <w:sz w:val="17"/>
                <w:szCs w:val="17"/>
                <w:color w:val="auto"/>
              </w:rPr>
            </w:pPr>
          </w:p>
        </w:tc>
        <w:tc>
          <w:tcPr>
            <w:tcW w:w="680" w:type="dxa"/>
            <w:vAlign w:val="bottom"/>
          </w:tcPr>
          <w:p>
            <w:pPr>
              <w:ind w:left="400"/>
              <w:spacing w:after="0"/>
              <w:rPr>
                <w:sz w:val="20"/>
                <w:szCs w:val="20"/>
                <w:color w:val="auto"/>
              </w:rPr>
            </w:pPr>
            <w:r>
              <w:rPr>
                <w:rFonts w:ascii="Calibri" w:cs="Calibri" w:eastAsia="Calibri" w:hAnsi="Calibri"/>
                <w:sz w:val="16"/>
                <w:szCs w:val="16"/>
                <w:color w:val="auto"/>
              </w:rPr>
              <w:t>(86)</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1"/>
        </w:trPr>
        <w:tc>
          <w:tcPr>
            <w:tcW w:w="2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June 30, 2024</w:t>
            </w:r>
          </w:p>
        </w:tc>
        <w:tc>
          <w:tcPr>
            <w:tcW w:w="1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212</w:t>
            </w:r>
          </w:p>
        </w:tc>
      </w:tr>
      <w:tr>
        <w:trPr>
          <w:trHeight w:val="325"/>
        </w:trPr>
        <w:tc>
          <w:tcPr>
            <w:tcW w:w="2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91"/>
        </w:trPr>
        <w:tc>
          <w:tcPr>
            <w:tcW w:w="2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Current lease liabilites</w:t>
            </w:r>
          </w:p>
        </w:tc>
        <w:tc>
          <w:tcPr>
            <w:tcW w:w="12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w:t>
            </w:r>
          </w:p>
        </w:tc>
        <w:tc>
          <w:tcPr>
            <w:tcW w:w="680" w:type="dxa"/>
            <w:vAlign w:val="bottom"/>
            <w:tcBorders>
              <w:bottom w:val="single" w:sz="8" w:color="auto"/>
            </w:tcBorders>
          </w:tcPr>
          <w:p>
            <w:pPr>
              <w:ind w:left="380"/>
              <w:spacing w:after="0" w:line="192" w:lineRule="exact"/>
              <w:rPr>
                <w:sz w:val="20"/>
                <w:szCs w:val="20"/>
                <w:color w:val="auto"/>
              </w:rPr>
            </w:pPr>
            <w:r>
              <w:rPr>
                <w:rFonts w:ascii="Calibri" w:cs="Calibri" w:eastAsia="Calibri" w:hAnsi="Calibri"/>
                <w:sz w:val="16"/>
                <w:szCs w:val="16"/>
                <w:b w:val="1"/>
                <w:bCs w:val="1"/>
                <w:color w:val="auto"/>
              </w:rPr>
              <w:t>212</w:t>
            </w:r>
          </w:p>
        </w:tc>
      </w:tr>
      <w:tr>
        <w:trPr>
          <w:trHeight w:val="228"/>
        </w:trPr>
        <w:tc>
          <w:tcPr>
            <w:tcW w:w="2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Calibri" w:cs="Calibri" w:eastAsia="Calibri" w:hAnsi="Calibri"/>
          <w:sz w:val="16"/>
          <w:szCs w:val="16"/>
          <w:b w:val="1"/>
          <w:bCs w:val="1"/>
          <w:color w:val="auto"/>
        </w:rPr>
        <w:t>Page 11 of 23</w:t>
      </w:r>
    </w:p>
    <w:p>
      <w:pPr>
        <w:sectPr>
          <w:pgSz w:w="11900" w:h="16838" w:orient="portrait"/>
          <w:cols w:equalWidth="0" w:num="1">
            <w:col w:w="11060"/>
          </w:cols>
          <w:pgMar w:left="320" w:top="209" w:right="519" w:bottom="1440" w:gutter="0" w:footer="0" w:header="0"/>
        </w:sectPr>
      </w:pPr>
    </w:p>
    <w:bookmarkStart w:id="14" w:name="page15"/>
    <w:bookmarkEnd w:id="14"/>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3"/>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3"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69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
        <w:spacing w:after="0"/>
        <w:rPr>
          <w:sz w:val="20"/>
          <w:szCs w:val="20"/>
          <w:color w:val="auto"/>
        </w:rPr>
      </w:pPr>
      <w:r>
        <w:rPr>
          <w:rFonts w:ascii="Calibri" w:cs="Calibri" w:eastAsia="Calibri" w:hAnsi="Calibri"/>
          <w:sz w:val="16"/>
          <w:szCs w:val="16"/>
          <w:b w:val="1"/>
          <w:bCs w:val="1"/>
          <w:color w:val="2D5F91"/>
        </w:rPr>
        <w:t>6. GOODWILL</w:t>
      </w:r>
    </w:p>
    <w:p>
      <w:pPr>
        <w:spacing w:after="0" w:line="179"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Goodwill is recognized at the acquisiton date when total consideraton exceeds the net identfable assets acquired.</w:t>
      </w:r>
    </w:p>
    <w:p>
      <w:pPr>
        <w:spacing w:after="0" w:line="264" w:lineRule="exact"/>
        <w:rPr>
          <w:sz w:val="20"/>
          <w:szCs w:val="20"/>
          <w:color w:val="auto"/>
        </w:rPr>
      </w:pPr>
    </w:p>
    <w:tbl>
      <w:tblPr>
        <w:tblLayout w:type="fixed"/>
        <w:tblInd w:w="143" w:type="dxa"/>
        <w:tblCellMar>
          <w:top w:w="0" w:type="dxa"/>
          <w:left w:w="0" w:type="dxa"/>
          <w:bottom w:w="0" w:type="dxa"/>
          <w:right w:w="0" w:type="dxa"/>
        </w:tblCellMar>
      </w:tblPr>
      <w:tr>
        <w:trPr>
          <w:trHeight w:val="195"/>
        </w:trPr>
        <w:tc>
          <w:tcPr>
            <w:tcW w:w="624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484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60"/>
        </w:trPr>
        <w:tc>
          <w:tcPr>
            <w:tcW w:w="6240" w:type="dxa"/>
            <w:vAlign w:val="bottom"/>
          </w:tcPr>
          <w:p>
            <w:pPr>
              <w:spacing w:after="0"/>
              <w:rPr>
                <w:sz w:val="5"/>
                <w:szCs w:val="5"/>
                <w:color w:val="auto"/>
              </w:rPr>
            </w:pPr>
          </w:p>
        </w:tc>
        <w:tc>
          <w:tcPr>
            <w:tcW w:w="4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624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240" w:type="dxa"/>
            <w:vAlign w:val="bottom"/>
          </w:tcPr>
          <w:p>
            <w:pPr>
              <w:ind w:left="100"/>
              <w:spacing w:after="0" w:line="185" w:lineRule="exact"/>
              <w:rPr>
                <w:sz w:val="20"/>
                <w:szCs w:val="20"/>
                <w:color w:val="auto"/>
              </w:rPr>
            </w:pPr>
            <w:r>
              <w:rPr>
                <w:rFonts w:ascii="Calibri" w:cs="Calibri" w:eastAsia="Calibri" w:hAnsi="Calibri"/>
                <w:sz w:val="16"/>
                <w:szCs w:val="16"/>
                <w:b w:val="1"/>
                <w:bCs w:val="1"/>
                <w:color w:val="auto"/>
              </w:rPr>
              <w:t>Balance as at March 31, 2024</w:t>
            </w:r>
          </w:p>
        </w:tc>
        <w:tc>
          <w:tcPr>
            <w:tcW w:w="4840" w:type="dxa"/>
            <w:vAlign w:val="bottom"/>
          </w:tcPr>
          <w:p>
            <w:pPr>
              <w:jc w:val="right"/>
              <w:ind w:right="79"/>
              <w:spacing w:after="0" w:line="185" w:lineRule="exact"/>
              <w:rPr>
                <w:sz w:val="20"/>
                <w:szCs w:val="20"/>
                <w:color w:val="auto"/>
              </w:rPr>
            </w:pPr>
            <w:r>
              <w:rPr>
                <w:rFonts w:ascii="Calibri" w:cs="Calibri" w:eastAsia="Calibri" w:hAnsi="Calibri"/>
                <w:sz w:val="16"/>
                <w:szCs w:val="16"/>
                <w:b w:val="1"/>
                <w:bCs w:val="1"/>
                <w:color w:val="auto"/>
              </w:rPr>
              <w:t>47,475</w:t>
            </w:r>
          </w:p>
        </w:tc>
        <w:tc>
          <w:tcPr>
            <w:tcW w:w="0" w:type="dxa"/>
            <w:vAlign w:val="bottom"/>
          </w:tcPr>
          <w:p>
            <w:pPr>
              <w:spacing w:after="0"/>
              <w:rPr>
                <w:sz w:val="1"/>
                <w:szCs w:val="1"/>
                <w:color w:val="auto"/>
              </w:rPr>
            </w:pPr>
          </w:p>
        </w:tc>
      </w:tr>
      <w:tr>
        <w:trPr>
          <w:trHeight w:val="198"/>
        </w:trPr>
        <w:tc>
          <w:tcPr>
            <w:tcW w:w="6240" w:type="dxa"/>
            <w:vAlign w:val="bottom"/>
          </w:tcPr>
          <w:p>
            <w:pPr>
              <w:ind w:left="100"/>
              <w:spacing w:after="0"/>
              <w:rPr>
                <w:sz w:val="20"/>
                <w:szCs w:val="20"/>
                <w:color w:val="auto"/>
              </w:rPr>
            </w:pPr>
            <w:r>
              <w:rPr>
                <w:rFonts w:ascii="Calibri" w:cs="Calibri" w:eastAsia="Calibri" w:hAnsi="Calibri"/>
                <w:sz w:val="16"/>
                <w:szCs w:val="16"/>
                <w:color w:val="auto"/>
              </w:rPr>
              <w:t>Efect of foreign exchange</w:t>
            </w:r>
          </w:p>
        </w:tc>
        <w:tc>
          <w:tcPr>
            <w:tcW w:w="4840" w:type="dxa"/>
            <w:vAlign w:val="bottom"/>
          </w:tcPr>
          <w:p>
            <w:pPr>
              <w:jc w:val="right"/>
              <w:ind w:right="79"/>
              <w:spacing w:after="0"/>
              <w:rPr>
                <w:sz w:val="20"/>
                <w:szCs w:val="20"/>
                <w:color w:val="auto"/>
              </w:rPr>
            </w:pPr>
            <w:r>
              <w:rPr>
                <w:rFonts w:ascii="Calibri" w:cs="Calibri" w:eastAsia="Calibri" w:hAnsi="Calibri"/>
                <w:sz w:val="16"/>
                <w:szCs w:val="16"/>
                <w:color w:val="auto"/>
              </w:rPr>
              <w:t>251</w:t>
            </w:r>
          </w:p>
        </w:tc>
        <w:tc>
          <w:tcPr>
            <w:tcW w:w="0" w:type="dxa"/>
            <w:vAlign w:val="bottom"/>
          </w:tcPr>
          <w:p>
            <w:pPr>
              <w:spacing w:after="0"/>
              <w:rPr>
                <w:sz w:val="1"/>
                <w:szCs w:val="1"/>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240" w:type="dxa"/>
            <w:vAlign w:val="bottom"/>
            <w:tcBorders>
              <w:bottom w:val="single" w:sz="8" w:color="auto"/>
            </w:tcBorders>
          </w:tcPr>
          <w:p>
            <w:pPr>
              <w:ind w:left="100"/>
              <w:spacing w:after="0" w:line="192" w:lineRule="exact"/>
              <w:rPr>
                <w:sz w:val="20"/>
                <w:szCs w:val="20"/>
                <w:color w:val="auto"/>
              </w:rPr>
            </w:pPr>
            <w:r>
              <w:rPr>
                <w:rFonts w:ascii="Calibri" w:cs="Calibri" w:eastAsia="Calibri" w:hAnsi="Calibri"/>
                <w:sz w:val="16"/>
                <w:szCs w:val="16"/>
                <w:b w:val="1"/>
                <w:bCs w:val="1"/>
                <w:color w:val="auto"/>
              </w:rPr>
              <w:t>Balance as at June 30, 2024</w:t>
            </w:r>
          </w:p>
        </w:tc>
        <w:tc>
          <w:tcPr>
            <w:tcW w:w="484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47,726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63" w:hanging="263"/>
        <w:spacing w:after="0"/>
        <w:tabs>
          <w:tab w:leader="none" w:pos="263" w:val="left"/>
        </w:tabs>
        <w:numPr>
          <w:ilvl w:val="0"/>
          <w:numId w:val="2"/>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SHARE CAPITAL</w:t>
      </w:r>
    </w:p>
    <w:p>
      <w:pPr>
        <w:spacing w:after="0" w:line="191" w:lineRule="exact"/>
        <w:rPr>
          <w:rFonts w:ascii="Calibri" w:cs="Calibri" w:eastAsia="Calibri" w:hAnsi="Calibri"/>
          <w:sz w:val="16"/>
          <w:szCs w:val="16"/>
          <w:b w:val="1"/>
          <w:bCs w:val="1"/>
          <w:color w:val="2D5F91"/>
        </w:rPr>
      </w:pPr>
    </w:p>
    <w:p>
      <w:pPr>
        <w:ind w:left="583" w:hanging="293"/>
        <w:spacing w:after="0"/>
        <w:tabs>
          <w:tab w:leader="none" w:pos="583" w:val="left"/>
        </w:tabs>
        <w:numPr>
          <w:ilvl w:val="1"/>
          <w:numId w:val="2"/>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94" w:lineRule="exact"/>
        <w:rPr>
          <w:sz w:val="20"/>
          <w:szCs w:val="20"/>
          <w:color w:val="auto"/>
        </w:rPr>
      </w:pPr>
    </w:p>
    <w:p>
      <w:pPr>
        <w:ind w:left="283" w:right="20"/>
        <w:spacing w:after="0" w:line="264" w:lineRule="auto"/>
        <w:rPr>
          <w:sz w:val="20"/>
          <w:szCs w:val="20"/>
          <w:color w:val="auto"/>
        </w:rPr>
      </w:pPr>
      <w:r>
        <w:rPr>
          <w:rFonts w:ascii="Calibri" w:cs="Calibri" w:eastAsia="Calibri" w:hAnsi="Calibri"/>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72" w:lineRule="exact"/>
        <w:rPr>
          <w:sz w:val="20"/>
          <w:szCs w:val="20"/>
          <w:color w:val="auto"/>
        </w:rPr>
      </w:pPr>
    </w:p>
    <w:p>
      <w:pPr>
        <w:ind w:left="563" w:hanging="273"/>
        <w:spacing w:after="0"/>
        <w:tabs>
          <w:tab w:leader="none" w:pos="563" w:val="left"/>
        </w:tabs>
        <w:numPr>
          <w:ilvl w:val="0"/>
          <w:numId w:val="3"/>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As at June 30, 2024, the Company had 15,807,443 Common Shares held in escrow (March 31, 2024: 15,807,443).</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i w:val="1"/>
          <w:iCs w:val="1"/>
          <w:color w:val="auto"/>
        </w:rPr>
        <w:t>During the three months ended June 30, 2024, no Common Shares were issued.</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Preferred Shares</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As at June 30, 2024 the Company had no preferred shares outstanding (March 31, 2024- nil).</w:t>
      </w:r>
    </w:p>
    <w:p>
      <w:pPr>
        <w:spacing w:after="0" w:line="179"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Cybin US Class B Shares</w:t>
      </w:r>
    </w:p>
    <w:p>
      <w:pPr>
        <w:spacing w:after="0" w:line="194" w:lineRule="exact"/>
        <w:rPr>
          <w:sz w:val="20"/>
          <w:szCs w:val="20"/>
          <w:color w:val="auto"/>
        </w:rPr>
      </w:pPr>
    </w:p>
    <w:p>
      <w:pPr>
        <w:ind w:left="283"/>
        <w:spacing w:after="0" w:line="279" w:lineRule="auto"/>
        <w:rPr>
          <w:sz w:val="20"/>
          <w:szCs w:val="20"/>
          <w:color w:val="auto"/>
        </w:rPr>
      </w:pPr>
      <w:r>
        <w:rPr>
          <w:rFonts w:ascii="Calibri" w:cs="Calibri" w:eastAsia="Calibri" w:hAnsi="Calibri"/>
          <w:sz w:val="16"/>
          <w:szCs w:val="16"/>
          <w:color w:val="auto"/>
        </w:rPr>
        <w:t>As at June 30, 2024, 36,084.7 class B common shares of Cybin US (“Class B Shares”) were outstanding, and are exchangeable for a total of 360,847 Common Shares. These consolidated fnancial statements refect issued Class B Shares on an as-converted basis.</w:t>
      </w:r>
    </w:p>
    <w:p>
      <w:pPr>
        <w:spacing w:after="0" w:line="160"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During the three months ended June 30, 2024 , no Class B Shares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12 of 23</w:t>
      </w:r>
    </w:p>
    <w:p>
      <w:pPr>
        <w:sectPr>
          <w:pgSz w:w="11900" w:h="16838" w:orient="portrait"/>
          <w:cols w:equalWidth="0" w:num="1">
            <w:col w:w="11263"/>
          </w:cols>
          <w:pgMar w:left="317" w:top="209" w:right="319" w:bottom="1440" w:gutter="0" w:footer="0" w:header="0"/>
        </w:sectPr>
      </w:pPr>
    </w:p>
    <w:bookmarkStart w:id="15" w:name="page16"/>
    <w:bookmarkEnd w:id="1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0" w:hanging="276"/>
        <w:spacing w:after="0"/>
        <w:tabs>
          <w:tab w:leader="none" w:pos="560" w:val="left"/>
        </w:tabs>
        <w:numPr>
          <w:ilvl w:val="0"/>
          <w:numId w:val="4"/>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Warrants</w:t>
      </w:r>
    </w:p>
    <w:p>
      <w:pPr>
        <w:spacing w:after="0" w:line="22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contnuity of the outstanding warrants for the three months ended June 30, 2024,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80" w:type="dxa"/>
            <w:vAlign w:val="bottom"/>
            <w:gridSpan w:val="3"/>
          </w:tcPr>
          <w:p>
            <w:pPr>
              <w:jc w:val="right"/>
              <w:ind w:right="439"/>
              <w:spacing w:after="0"/>
              <w:rPr>
                <w:sz w:val="20"/>
                <w:szCs w:val="20"/>
                <w:color w:val="auto"/>
              </w:rPr>
            </w:pPr>
            <w:r>
              <w:rPr>
                <w:rFonts w:ascii="Calibri" w:cs="Calibri" w:eastAsia="Calibri" w:hAnsi="Calibri"/>
                <w:sz w:val="16"/>
                <w:szCs w:val="16"/>
                <w:b w:val="1"/>
                <w:bCs w:val="1"/>
                <w:color w:val="auto"/>
              </w:rPr>
              <w:t>Weighted average exercise</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40" w:type="dxa"/>
            <w:vAlign w:val="bottom"/>
            <w:gridSpan w:val="2"/>
          </w:tcPr>
          <w:p>
            <w:pPr>
              <w:jc w:val="right"/>
              <w:ind w:right="839"/>
              <w:spacing w:after="0" w:line="169" w:lineRule="exact"/>
              <w:rPr>
                <w:sz w:val="20"/>
                <w:szCs w:val="20"/>
                <w:color w:val="auto"/>
              </w:rPr>
            </w:pPr>
            <w:r>
              <w:rPr>
                <w:rFonts w:ascii="Calibri" w:cs="Calibri" w:eastAsia="Calibri" w:hAnsi="Calibri"/>
                <w:sz w:val="16"/>
                <w:szCs w:val="16"/>
                <w:b w:val="1"/>
                <w:bCs w:val="1"/>
                <w:color w:val="auto"/>
              </w:rPr>
              <w:t>Number of Warrants</w:t>
            </w:r>
          </w:p>
        </w:tc>
        <w:tc>
          <w:tcPr>
            <w:tcW w:w="1540" w:type="dxa"/>
            <w:vAlign w:val="bottom"/>
            <w:gridSpan w:val="2"/>
            <w:vMerge w:val="restart"/>
          </w:tcPr>
          <w:p>
            <w:pPr>
              <w:jc w:val="right"/>
              <w:ind w:right="439"/>
              <w:spacing w:after="0"/>
              <w:rPr>
                <w:sz w:val="20"/>
                <w:szCs w:val="20"/>
                <w:color w:val="auto"/>
              </w:rPr>
            </w:pPr>
            <w:r>
              <w:rPr>
                <w:rFonts w:ascii="Calibri" w:cs="Calibri" w:eastAsia="Calibri" w:hAnsi="Calibri"/>
                <w:sz w:val="16"/>
                <w:szCs w:val="16"/>
                <w:b w:val="1"/>
                <w:bCs w:val="1"/>
                <w:color w:val="auto"/>
              </w:rPr>
              <w:t>price</w:t>
            </w:r>
          </w:p>
        </w:tc>
        <w:tc>
          <w:tcPr>
            <w:tcW w:w="0" w:type="dxa"/>
            <w:vAlign w:val="bottom"/>
          </w:tcPr>
          <w:p>
            <w:pPr>
              <w:spacing w:after="0"/>
              <w:rPr>
                <w:sz w:val="1"/>
                <w:szCs w:val="1"/>
                <w:color w:val="auto"/>
              </w:rPr>
            </w:pPr>
          </w:p>
        </w:tc>
      </w:tr>
      <w:tr>
        <w:trPr>
          <w:trHeight w:val="40"/>
        </w:trPr>
        <w:tc>
          <w:tcPr>
            <w:tcW w:w="28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1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354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2024</w:t>
            </w: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40" w:type="dxa"/>
            <w:vAlign w:val="bottom"/>
            <w:gridSpan w:val="2"/>
          </w:tcPr>
          <w:p>
            <w:pPr>
              <w:jc w:val="right"/>
              <w:ind w:right="939"/>
              <w:spacing w:after="0" w:line="185" w:lineRule="exact"/>
              <w:rPr>
                <w:sz w:val="20"/>
                <w:szCs w:val="20"/>
                <w:color w:val="auto"/>
              </w:rPr>
            </w:pPr>
            <w:r>
              <w:rPr>
                <w:rFonts w:ascii="Calibri" w:cs="Calibri" w:eastAsia="Calibri" w:hAnsi="Calibri"/>
                <w:sz w:val="16"/>
                <w:szCs w:val="16"/>
                <w:color w:val="auto"/>
              </w:rPr>
              <w:t>106,255,498</w:t>
            </w:r>
          </w:p>
        </w:tc>
        <w:tc>
          <w:tcPr>
            <w:tcW w:w="108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0.60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Calibri" w:cs="Calibri" w:eastAsia="Calibri" w:hAnsi="Calibri"/>
                <w:sz w:val="16"/>
                <w:szCs w:val="16"/>
                <w:color w:val="auto"/>
              </w:rPr>
              <w:t>Exercised</w:t>
            </w:r>
          </w:p>
        </w:tc>
        <w:tc>
          <w:tcPr>
            <w:tcW w:w="1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jc w:val="right"/>
              <w:ind w:right="939"/>
              <w:spacing w:after="0"/>
              <w:rPr>
                <w:sz w:val="20"/>
                <w:szCs w:val="20"/>
                <w:color w:val="auto"/>
              </w:rPr>
            </w:pPr>
            <w:r>
              <w:rPr>
                <w:rFonts w:ascii="Calibri" w:cs="Calibri" w:eastAsia="Calibri" w:hAnsi="Calibri"/>
                <w:sz w:val="16"/>
                <w:szCs w:val="16"/>
                <w:color w:val="auto"/>
              </w:rPr>
              <w:t>—</w:t>
            </w:r>
          </w:p>
        </w:tc>
        <w:tc>
          <w:tcPr>
            <w:tcW w:w="1540" w:type="dxa"/>
            <w:vAlign w:val="bottom"/>
            <w:gridSpan w:val="2"/>
          </w:tcPr>
          <w:p>
            <w:pPr>
              <w:jc w:val="right"/>
              <w:ind w:right="53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354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color w:val="auto"/>
              </w:rPr>
              <w:t>Outstanding as at June 30, 2024</w:t>
            </w:r>
          </w:p>
        </w:tc>
        <w:tc>
          <w:tcPr>
            <w:tcW w:w="1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jc w:val="right"/>
              <w:ind w:right="939"/>
              <w:spacing w:after="0" w:line="192" w:lineRule="exact"/>
              <w:rPr>
                <w:sz w:val="20"/>
                <w:szCs w:val="20"/>
                <w:color w:val="auto"/>
              </w:rPr>
            </w:pPr>
            <w:r>
              <w:rPr>
                <w:rFonts w:ascii="Calibri" w:cs="Calibri" w:eastAsia="Calibri" w:hAnsi="Calibri"/>
                <w:sz w:val="16"/>
                <w:szCs w:val="16"/>
                <w:color w:val="auto"/>
              </w:rPr>
              <w:t>106,255,498</w:t>
            </w:r>
          </w:p>
        </w:tc>
        <w:tc>
          <w:tcPr>
            <w:tcW w:w="108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color w:val="auto"/>
              </w:rPr>
              <w:t>0.60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354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Exercisable as at June 30, 2024</w:t>
            </w:r>
          </w:p>
        </w:tc>
        <w:tc>
          <w:tcPr>
            <w:tcW w:w="1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2"/>
          </w:tcPr>
          <w:p>
            <w:pPr>
              <w:jc w:val="right"/>
              <w:ind w:right="939"/>
              <w:spacing w:after="0" w:line="193" w:lineRule="exact"/>
              <w:rPr>
                <w:sz w:val="20"/>
                <w:szCs w:val="20"/>
                <w:color w:val="auto"/>
              </w:rPr>
            </w:pPr>
            <w:r>
              <w:rPr>
                <w:rFonts w:ascii="Calibri" w:cs="Calibri" w:eastAsia="Calibri" w:hAnsi="Calibri"/>
                <w:sz w:val="16"/>
                <w:szCs w:val="16"/>
                <w:color w:val="auto"/>
              </w:rPr>
              <w:t>106,255,498</w:t>
            </w:r>
          </w:p>
        </w:tc>
        <w:tc>
          <w:tcPr>
            <w:tcW w:w="108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rPr>
              <w:t>0.60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5"/>
        </w:trPr>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Weighted average</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Warrants</w:t>
            </w:r>
          </w:p>
        </w:tc>
        <w:tc>
          <w:tcPr>
            <w:tcW w:w="1500" w:type="dxa"/>
            <w:vAlign w:val="bottom"/>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Weighted average of</w:t>
            </w: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Estmated grant date</w:t>
            </w:r>
          </w:p>
        </w:tc>
        <w:tc>
          <w:tcPr>
            <w:tcW w:w="1540" w:type="dxa"/>
            <w:vAlign w:val="bottom"/>
            <w:gridSpan w:val="2"/>
          </w:tcPr>
          <w:p>
            <w:pPr>
              <w:jc w:val="right"/>
              <w:spacing w:after="0" w:line="193" w:lineRule="exact"/>
              <w:rPr>
                <w:sz w:val="20"/>
                <w:szCs w:val="20"/>
                <w:color w:val="auto"/>
              </w:rPr>
            </w:pPr>
            <w:r>
              <w:rPr>
                <w:rFonts w:ascii="Calibri" w:cs="Calibri" w:eastAsia="Calibri" w:hAnsi="Calibri"/>
                <w:sz w:val="16"/>
                <w:szCs w:val="16"/>
                <w:b w:val="1"/>
                <w:bCs w:val="1"/>
                <w:color w:val="auto"/>
                <w:w w:val="99"/>
              </w:rPr>
              <w:t>remaining contractual</w:t>
            </w:r>
          </w:p>
        </w:tc>
        <w:tc>
          <w:tcPr>
            <w:tcW w:w="0" w:type="dxa"/>
            <w:vAlign w:val="bottom"/>
          </w:tcPr>
          <w:p>
            <w:pPr>
              <w:spacing w:after="0"/>
              <w:rPr>
                <w:sz w:val="1"/>
                <w:szCs w:val="1"/>
                <w:color w:val="auto"/>
              </w:rPr>
            </w:pPr>
          </w:p>
        </w:tc>
      </w:tr>
      <w:tr>
        <w:trPr>
          <w:trHeight w:val="193"/>
        </w:trPr>
        <w:tc>
          <w:tcPr>
            <w:tcW w:w="3820" w:type="dxa"/>
            <w:vAlign w:val="bottom"/>
            <w:gridSpan w:val="2"/>
            <w:vMerge w:val="restart"/>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outstanding</w:t>
            </w:r>
          </w:p>
        </w:tc>
        <w:tc>
          <w:tcPr>
            <w:tcW w:w="1500" w:type="dxa"/>
            <w:vAlign w:val="bottom"/>
          </w:tcPr>
          <w:p>
            <w:pPr>
              <w:jc w:val="right"/>
              <w:ind w:right="19"/>
              <w:spacing w:after="0" w:line="193" w:lineRule="exact"/>
              <w:rPr>
                <w:sz w:val="20"/>
                <w:szCs w:val="20"/>
                <w:color w:val="auto"/>
              </w:rPr>
            </w:pPr>
            <w:r>
              <w:rPr>
                <w:rFonts w:ascii="Calibri" w:cs="Calibri" w:eastAsia="Calibri" w:hAnsi="Calibri"/>
                <w:sz w:val="16"/>
                <w:szCs w:val="16"/>
                <w:b w:val="1"/>
                <w:bCs w:val="1"/>
                <w:color w:val="auto"/>
                <w:w w:val="98"/>
              </w:rPr>
              <w:t>Warrants exercisable</w:t>
            </w: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exercisable price</w:t>
            </w: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fair value</w:t>
            </w:r>
          </w:p>
        </w:tc>
        <w:tc>
          <w:tcPr>
            <w:tcW w:w="1080" w:type="dxa"/>
            <w:vAlign w:val="bottom"/>
          </w:tcPr>
          <w:p>
            <w:pPr>
              <w:spacing w:after="0"/>
              <w:rPr>
                <w:sz w:val="16"/>
                <w:szCs w:val="16"/>
                <w:color w:val="auto"/>
              </w:rPr>
            </w:pPr>
          </w:p>
        </w:tc>
        <w:tc>
          <w:tcPr>
            <w:tcW w:w="460" w:type="dxa"/>
            <w:vAlign w:val="bottom"/>
          </w:tcPr>
          <w:p>
            <w:pPr>
              <w:jc w:val="center"/>
              <w:ind w:left="39"/>
              <w:spacing w:after="0" w:line="193" w:lineRule="exact"/>
              <w:rPr>
                <w:sz w:val="20"/>
                <w:szCs w:val="20"/>
                <w:color w:val="auto"/>
              </w:rPr>
            </w:pPr>
            <w:r>
              <w:rPr>
                <w:rFonts w:ascii="Calibri" w:cs="Calibri" w:eastAsia="Calibri" w:hAnsi="Calibri"/>
                <w:sz w:val="16"/>
                <w:szCs w:val="16"/>
                <w:b w:val="1"/>
                <w:bCs w:val="1"/>
                <w:color w:val="auto"/>
              </w:rPr>
              <w:t>life</w:t>
            </w:r>
          </w:p>
        </w:tc>
        <w:tc>
          <w:tcPr>
            <w:tcW w:w="0" w:type="dxa"/>
            <w:vAlign w:val="bottom"/>
          </w:tcPr>
          <w:p>
            <w:pPr>
              <w:spacing w:after="0"/>
              <w:rPr>
                <w:sz w:val="1"/>
                <w:szCs w:val="1"/>
                <w:color w:val="auto"/>
              </w:rPr>
            </w:pPr>
          </w:p>
        </w:tc>
      </w:tr>
      <w:tr>
        <w:trPr>
          <w:trHeight w:val="48"/>
        </w:trPr>
        <w:tc>
          <w:tcPr>
            <w:tcW w:w="382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c>
          <w:tcPr>
            <w:tcW w:w="10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c>
          <w:tcPr>
            <w:tcW w:w="0" w:type="dxa"/>
            <w:vAlign w:val="bottom"/>
          </w:tcPr>
          <w:p>
            <w:pPr>
              <w:spacing w:after="0"/>
              <w:rPr>
                <w:sz w:val="1"/>
                <w:szCs w:val="1"/>
                <w:color w:val="auto"/>
              </w:rPr>
            </w:pPr>
          </w:p>
        </w:tc>
      </w:tr>
      <w:tr>
        <w:trPr>
          <w:trHeight w:val="69"/>
        </w:trPr>
        <w:tc>
          <w:tcPr>
            <w:tcW w:w="3820" w:type="dxa"/>
            <w:vAlign w:val="bottom"/>
            <w:gridSpan w:val="2"/>
            <w:vMerge w:val="restart"/>
          </w:tcPr>
          <w:p>
            <w:pPr>
              <w:ind w:left="20"/>
              <w:spacing w:after="0"/>
              <w:rPr>
                <w:sz w:val="20"/>
                <w:szCs w:val="20"/>
                <w:color w:val="auto"/>
              </w:rPr>
            </w:pPr>
            <w:r>
              <w:rPr>
                <w:rFonts w:ascii="Calibri" w:cs="Calibri" w:eastAsia="Calibri" w:hAnsi="Calibri"/>
                <w:sz w:val="16"/>
                <w:szCs w:val="16"/>
                <w:color w:val="auto"/>
              </w:rPr>
              <w:t>June 15, 2025</w:t>
            </w:r>
          </w:p>
        </w:tc>
        <w:tc>
          <w:tcPr>
            <w:tcW w:w="14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20" w:type="dxa"/>
            <w:vAlign w:val="bottom"/>
            <w:gridSpan w:val="2"/>
            <w:vMerge w:val="continue"/>
          </w:tcPr>
          <w:p>
            <w:pPr>
              <w:spacing w:after="0"/>
              <w:rPr>
                <w:sz w:val="16"/>
                <w:szCs w:val="16"/>
                <w:color w:val="auto"/>
              </w:rPr>
            </w:pPr>
          </w:p>
        </w:tc>
        <w:tc>
          <w:tcPr>
            <w:tcW w:w="146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12,800,000</w:t>
            </w:r>
          </w:p>
        </w:tc>
        <w:tc>
          <w:tcPr>
            <w:tcW w:w="1500" w:type="dxa"/>
            <w:vAlign w:val="bottom"/>
          </w:tcPr>
          <w:p>
            <w:pPr>
              <w:jc w:val="right"/>
              <w:ind w:right="119"/>
              <w:spacing w:after="0" w:line="185" w:lineRule="exact"/>
              <w:rPr>
                <w:sz w:val="20"/>
                <w:szCs w:val="20"/>
                <w:color w:val="auto"/>
              </w:rPr>
            </w:pPr>
            <w:r>
              <w:rPr>
                <w:rFonts w:ascii="Calibri" w:cs="Calibri" w:eastAsia="Calibri" w:hAnsi="Calibri"/>
                <w:sz w:val="16"/>
                <w:szCs w:val="16"/>
                <w:color w:val="auto"/>
              </w:rPr>
              <w:t>12,800,000</w:t>
            </w:r>
          </w:p>
        </w:tc>
        <w:tc>
          <w:tcPr>
            <w:tcW w:w="1500" w:type="dxa"/>
            <w:vAlign w:val="bottom"/>
          </w:tcPr>
          <w:p>
            <w:pPr>
              <w:jc w:val="right"/>
              <w:spacing w:after="0" w:line="185" w:lineRule="exact"/>
              <w:rPr>
                <w:sz w:val="20"/>
                <w:szCs w:val="20"/>
                <w:color w:val="auto"/>
              </w:rPr>
            </w:pPr>
            <w:r>
              <w:rPr>
                <w:rFonts w:ascii="Calibri" w:cs="Calibri" w:eastAsia="Calibri" w:hAnsi="Calibri"/>
                <w:sz w:val="16"/>
                <w:szCs w:val="16"/>
                <w:color w:val="auto"/>
              </w:rPr>
              <w:t>0.25</w:t>
            </w:r>
          </w:p>
        </w:tc>
        <w:tc>
          <w:tcPr>
            <w:tcW w:w="1440" w:type="dxa"/>
            <w:vAlign w:val="bottom"/>
          </w:tcPr>
          <w:p>
            <w:pPr>
              <w:jc w:val="right"/>
              <w:ind w:right="59"/>
              <w:spacing w:after="0" w:line="185" w:lineRule="exact"/>
              <w:rPr>
                <w:sz w:val="20"/>
                <w:szCs w:val="20"/>
                <w:color w:val="auto"/>
              </w:rPr>
            </w:pPr>
            <w:r>
              <w:rPr>
                <w:rFonts w:ascii="Calibri" w:cs="Calibri" w:eastAsia="Calibri" w:hAnsi="Calibri"/>
                <w:sz w:val="16"/>
                <w:szCs w:val="16"/>
                <w:color w:val="auto"/>
              </w:rPr>
              <w:t>2,319</w:t>
            </w:r>
          </w:p>
        </w:tc>
        <w:tc>
          <w:tcPr>
            <w:tcW w:w="1540" w:type="dxa"/>
            <w:vAlign w:val="bottom"/>
            <w:gridSpan w:val="2"/>
          </w:tcPr>
          <w:p>
            <w:pPr>
              <w:jc w:val="center"/>
              <w:ind w:left="1139"/>
              <w:spacing w:after="0" w:line="185" w:lineRule="exact"/>
              <w:rPr>
                <w:sz w:val="20"/>
                <w:szCs w:val="20"/>
                <w:color w:val="auto"/>
              </w:rPr>
            </w:pPr>
            <w:r>
              <w:rPr>
                <w:rFonts w:ascii="Calibri" w:cs="Calibri" w:eastAsia="Calibri" w:hAnsi="Calibri"/>
                <w:sz w:val="16"/>
                <w:szCs w:val="16"/>
                <w:color w:val="auto"/>
                <w:w w:val="98"/>
              </w:rPr>
              <w:t>0.96</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Calibri" w:cs="Calibri" w:eastAsia="Calibri" w:hAnsi="Calibri"/>
                <w:sz w:val="16"/>
                <w:szCs w:val="16"/>
                <w:color w:val="auto"/>
              </w:rPr>
              <w:t>August 20, 2025</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1,475,125</w:t>
            </w:r>
          </w:p>
        </w:tc>
        <w:tc>
          <w:tcPr>
            <w:tcW w:w="1500" w:type="dxa"/>
            <w:vAlign w:val="bottom"/>
          </w:tcPr>
          <w:p>
            <w:pPr>
              <w:jc w:val="right"/>
              <w:ind w:right="119"/>
              <w:spacing w:after="0"/>
              <w:rPr>
                <w:sz w:val="20"/>
                <w:szCs w:val="20"/>
                <w:color w:val="auto"/>
              </w:rPr>
            </w:pPr>
            <w:r>
              <w:rPr>
                <w:rFonts w:ascii="Calibri" w:cs="Calibri" w:eastAsia="Calibri" w:hAnsi="Calibri"/>
                <w:sz w:val="16"/>
                <w:szCs w:val="16"/>
                <w:color w:val="auto"/>
              </w:rPr>
              <w:t>1,475,125</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0.64</w:t>
            </w:r>
          </w:p>
        </w:tc>
        <w:tc>
          <w:tcPr>
            <w:tcW w:w="1440" w:type="dxa"/>
            <w:vAlign w:val="bottom"/>
          </w:tcPr>
          <w:p>
            <w:pPr>
              <w:jc w:val="right"/>
              <w:ind w:right="59"/>
              <w:spacing w:after="0"/>
              <w:rPr>
                <w:sz w:val="20"/>
                <w:szCs w:val="20"/>
                <w:color w:val="auto"/>
              </w:rPr>
            </w:pPr>
            <w:r>
              <w:rPr>
                <w:rFonts w:ascii="Calibri" w:cs="Calibri" w:eastAsia="Calibri" w:hAnsi="Calibri"/>
                <w:sz w:val="16"/>
                <w:szCs w:val="16"/>
                <w:color w:val="auto"/>
              </w:rPr>
              <w:t>680</w:t>
            </w:r>
          </w:p>
        </w:tc>
        <w:tc>
          <w:tcPr>
            <w:tcW w:w="1540" w:type="dxa"/>
            <w:vAlign w:val="bottom"/>
            <w:gridSpan w:val="2"/>
          </w:tcPr>
          <w:p>
            <w:pPr>
              <w:jc w:val="center"/>
              <w:ind w:left="1139"/>
              <w:spacing w:after="0"/>
              <w:rPr>
                <w:sz w:val="20"/>
                <w:szCs w:val="20"/>
                <w:color w:val="auto"/>
              </w:rPr>
            </w:pPr>
            <w:r>
              <w:rPr>
                <w:rFonts w:ascii="Calibri" w:cs="Calibri" w:eastAsia="Calibri" w:hAnsi="Calibri"/>
                <w:sz w:val="16"/>
                <w:szCs w:val="16"/>
                <w:color w:val="auto"/>
                <w:w w:val="98"/>
              </w:rPr>
              <w:t>1.14</w:t>
            </w:r>
          </w:p>
        </w:tc>
        <w:tc>
          <w:tcPr>
            <w:tcW w:w="0" w:type="dxa"/>
            <w:vAlign w:val="bottom"/>
          </w:tcPr>
          <w:p>
            <w:pPr>
              <w:spacing w:after="0"/>
              <w:rPr>
                <w:sz w:val="1"/>
                <w:szCs w:val="1"/>
                <w:color w:val="auto"/>
              </w:rPr>
            </w:pPr>
          </w:p>
        </w:tc>
      </w:tr>
      <w:tr>
        <w:trPr>
          <w:trHeight w:val="206"/>
        </w:trPr>
        <w:tc>
          <w:tcPr>
            <w:tcW w:w="3820" w:type="dxa"/>
            <w:vAlign w:val="bottom"/>
            <w:gridSpan w:val="2"/>
          </w:tcPr>
          <w:p>
            <w:pPr>
              <w:ind w:left="20"/>
              <w:spacing w:after="0"/>
              <w:rPr>
                <w:sz w:val="20"/>
                <w:szCs w:val="20"/>
                <w:color w:val="auto"/>
              </w:rPr>
            </w:pPr>
            <w:r>
              <w:rPr>
                <w:rFonts w:ascii="Calibri" w:cs="Calibri" w:eastAsia="Calibri" w:hAnsi="Calibri"/>
                <w:sz w:val="16"/>
                <w:szCs w:val="16"/>
                <w:color w:val="auto"/>
              </w:rPr>
              <w:t>November 15, 2025</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1,150,000</w:t>
            </w:r>
          </w:p>
        </w:tc>
        <w:tc>
          <w:tcPr>
            <w:tcW w:w="1500" w:type="dxa"/>
            <w:vAlign w:val="bottom"/>
          </w:tcPr>
          <w:p>
            <w:pPr>
              <w:jc w:val="right"/>
              <w:ind w:right="119"/>
              <w:spacing w:after="0"/>
              <w:rPr>
                <w:sz w:val="20"/>
                <w:szCs w:val="20"/>
                <w:color w:val="auto"/>
              </w:rPr>
            </w:pPr>
            <w:r>
              <w:rPr>
                <w:rFonts w:ascii="Calibri" w:cs="Calibri" w:eastAsia="Calibri" w:hAnsi="Calibri"/>
                <w:sz w:val="16"/>
                <w:szCs w:val="16"/>
                <w:color w:val="auto"/>
              </w:rPr>
              <w:t>1,150,000</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0.25</w:t>
            </w:r>
          </w:p>
        </w:tc>
        <w:tc>
          <w:tcPr>
            <w:tcW w:w="1440" w:type="dxa"/>
            <w:vAlign w:val="bottom"/>
          </w:tcPr>
          <w:p>
            <w:pPr>
              <w:jc w:val="right"/>
              <w:ind w:right="59"/>
              <w:spacing w:after="0"/>
              <w:rPr>
                <w:sz w:val="20"/>
                <w:szCs w:val="20"/>
                <w:color w:val="auto"/>
              </w:rPr>
            </w:pPr>
            <w:r>
              <w:rPr>
                <w:rFonts w:ascii="Calibri" w:cs="Calibri" w:eastAsia="Calibri" w:hAnsi="Calibri"/>
                <w:sz w:val="16"/>
                <w:szCs w:val="16"/>
                <w:color w:val="auto"/>
              </w:rPr>
              <w:t>220</w:t>
            </w:r>
          </w:p>
        </w:tc>
        <w:tc>
          <w:tcPr>
            <w:tcW w:w="1540" w:type="dxa"/>
            <w:vAlign w:val="bottom"/>
            <w:gridSpan w:val="2"/>
          </w:tcPr>
          <w:p>
            <w:pPr>
              <w:jc w:val="center"/>
              <w:ind w:left="1139"/>
              <w:spacing w:after="0"/>
              <w:rPr>
                <w:sz w:val="20"/>
                <w:szCs w:val="20"/>
                <w:color w:val="auto"/>
              </w:rPr>
            </w:pPr>
            <w:r>
              <w:rPr>
                <w:rFonts w:ascii="Calibri" w:cs="Calibri" w:eastAsia="Calibri" w:hAnsi="Calibri"/>
                <w:sz w:val="16"/>
                <w:szCs w:val="16"/>
                <w:color w:val="auto"/>
                <w:w w:val="98"/>
              </w:rPr>
              <w:t>1.38</w:t>
            </w:r>
          </w:p>
        </w:tc>
        <w:tc>
          <w:tcPr>
            <w:tcW w:w="0" w:type="dxa"/>
            <w:vAlign w:val="bottom"/>
          </w:tcPr>
          <w:p>
            <w:pPr>
              <w:spacing w:after="0"/>
              <w:rPr>
                <w:sz w:val="1"/>
                <w:szCs w:val="1"/>
                <w:color w:val="auto"/>
              </w:rPr>
            </w:pPr>
          </w:p>
        </w:tc>
      </w:tr>
      <w:tr>
        <w:trPr>
          <w:trHeight w:val="206"/>
        </w:trPr>
        <w:tc>
          <w:tcPr>
            <w:tcW w:w="3820" w:type="dxa"/>
            <w:vAlign w:val="bottom"/>
            <w:gridSpan w:val="2"/>
          </w:tcPr>
          <w:p>
            <w:pPr>
              <w:ind w:left="20"/>
              <w:spacing w:after="0"/>
              <w:rPr>
                <w:sz w:val="20"/>
                <w:szCs w:val="20"/>
                <w:color w:val="auto"/>
              </w:rPr>
            </w:pPr>
            <w:r>
              <w:rPr>
                <w:rFonts w:ascii="Calibri" w:cs="Calibri" w:eastAsia="Calibri" w:hAnsi="Calibri"/>
                <w:sz w:val="16"/>
                <w:szCs w:val="16"/>
                <w:color w:val="auto"/>
              </w:rPr>
              <w:t>August 4, 2028</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24,163,706</w:t>
            </w:r>
          </w:p>
        </w:tc>
        <w:tc>
          <w:tcPr>
            <w:tcW w:w="1500" w:type="dxa"/>
            <w:vAlign w:val="bottom"/>
          </w:tcPr>
          <w:p>
            <w:pPr>
              <w:jc w:val="right"/>
              <w:ind w:right="119"/>
              <w:spacing w:after="0"/>
              <w:rPr>
                <w:sz w:val="20"/>
                <w:szCs w:val="20"/>
                <w:color w:val="auto"/>
              </w:rPr>
            </w:pPr>
            <w:r>
              <w:rPr>
                <w:rFonts w:ascii="Calibri" w:cs="Calibri" w:eastAsia="Calibri" w:hAnsi="Calibri"/>
                <w:sz w:val="16"/>
                <w:szCs w:val="16"/>
                <w:color w:val="auto"/>
              </w:rPr>
              <w:t>24,163,706</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US$0.40</w:t>
            </w:r>
          </w:p>
        </w:tc>
        <w:tc>
          <w:tcPr>
            <w:tcW w:w="1440" w:type="dxa"/>
            <w:vAlign w:val="bottom"/>
          </w:tcPr>
          <w:p>
            <w:pPr>
              <w:jc w:val="right"/>
              <w:ind w:right="59"/>
              <w:spacing w:after="0"/>
              <w:rPr>
                <w:sz w:val="20"/>
                <w:szCs w:val="20"/>
                <w:color w:val="auto"/>
              </w:rPr>
            </w:pPr>
            <w:r>
              <w:rPr>
                <w:rFonts w:ascii="Calibri" w:cs="Calibri" w:eastAsia="Calibri" w:hAnsi="Calibri"/>
                <w:sz w:val="16"/>
                <w:szCs w:val="16"/>
                <w:color w:val="auto"/>
              </w:rPr>
              <w:t>4,578</w:t>
            </w:r>
          </w:p>
        </w:tc>
        <w:tc>
          <w:tcPr>
            <w:tcW w:w="1540" w:type="dxa"/>
            <w:vAlign w:val="bottom"/>
            <w:gridSpan w:val="2"/>
          </w:tcPr>
          <w:p>
            <w:pPr>
              <w:jc w:val="center"/>
              <w:ind w:left="1139"/>
              <w:spacing w:after="0"/>
              <w:rPr>
                <w:sz w:val="20"/>
                <w:szCs w:val="20"/>
                <w:color w:val="auto"/>
              </w:rPr>
            </w:pPr>
            <w:r>
              <w:rPr>
                <w:rFonts w:ascii="Calibri" w:cs="Calibri" w:eastAsia="Calibri" w:hAnsi="Calibri"/>
                <w:sz w:val="16"/>
                <w:szCs w:val="16"/>
                <w:color w:val="auto"/>
                <w:w w:val="98"/>
              </w:rPr>
              <w:t>4.09</w:t>
            </w:r>
          </w:p>
        </w:tc>
        <w:tc>
          <w:tcPr>
            <w:tcW w:w="0" w:type="dxa"/>
            <w:vAlign w:val="bottom"/>
          </w:tcPr>
          <w:p>
            <w:pPr>
              <w:spacing w:after="0"/>
              <w:rPr>
                <w:sz w:val="1"/>
                <w:szCs w:val="1"/>
                <w:color w:val="auto"/>
              </w:rPr>
            </w:pPr>
          </w:p>
        </w:tc>
      </w:tr>
      <w:tr>
        <w:trPr>
          <w:trHeight w:val="206"/>
        </w:trPr>
        <w:tc>
          <w:tcPr>
            <w:tcW w:w="3820" w:type="dxa"/>
            <w:vAlign w:val="bottom"/>
            <w:gridSpan w:val="2"/>
          </w:tcPr>
          <w:p>
            <w:pPr>
              <w:ind w:left="20"/>
              <w:spacing w:after="0"/>
              <w:rPr>
                <w:sz w:val="20"/>
                <w:szCs w:val="20"/>
                <w:color w:val="auto"/>
              </w:rPr>
            </w:pPr>
            <w:r>
              <w:rPr>
                <w:rFonts w:ascii="Calibri" w:cs="Calibri" w:eastAsia="Calibri" w:hAnsi="Calibri"/>
                <w:sz w:val="16"/>
                <w:szCs w:val="16"/>
                <w:color w:val="auto"/>
              </w:rPr>
              <w:t>May 14, 2029</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66,666,667</w:t>
            </w:r>
          </w:p>
        </w:tc>
        <w:tc>
          <w:tcPr>
            <w:tcW w:w="1500" w:type="dxa"/>
            <w:vAlign w:val="bottom"/>
          </w:tcPr>
          <w:p>
            <w:pPr>
              <w:jc w:val="right"/>
              <w:ind w:right="119"/>
              <w:spacing w:after="0"/>
              <w:rPr>
                <w:sz w:val="20"/>
                <w:szCs w:val="20"/>
                <w:color w:val="auto"/>
              </w:rPr>
            </w:pPr>
            <w:r>
              <w:rPr>
                <w:rFonts w:ascii="Calibri" w:cs="Calibri" w:eastAsia="Calibri" w:hAnsi="Calibri"/>
                <w:sz w:val="16"/>
                <w:szCs w:val="16"/>
                <w:color w:val="auto"/>
              </w:rPr>
              <w:t>66,666,667</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US$0.51</w:t>
            </w:r>
          </w:p>
        </w:tc>
        <w:tc>
          <w:tcPr>
            <w:tcW w:w="1440" w:type="dxa"/>
            <w:vAlign w:val="bottom"/>
          </w:tcPr>
          <w:p>
            <w:pPr>
              <w:jc w:val="right"/>
              <w:ind w:right="59"/>
              <w:spacing w:after="0"/>
              <w:rPr>
                <w:sz w:val="20"/>
                <w:szCs w:val="20"/>
                <w:color w:val="auto"/>
              </w:rPr>
            </w:pPr>
            <w:r>
              <w:rPr>
                <w:rFonts w:ascii="Calibri" w:cs="Calibri" w:eastAsia="Calibri" w:hAnsi="Calibri"/>
                <w:sz w:val="16"/>
                <w:szCs w:val="16"/>
                <w:color w:val="auto"/>
              </w:rPr>
              <w:t>17,842</w:t>
            </w:r>
          </w:p>
        </w:tc>
        <w:tc>
          <w:tcPr>
            <w:tcW w:w="1540" w:type="dxa"/>
            <w:vAlign w:val="bottom"/>
            <w:gridSpan w:val="2"/>
          </w:tcPr>
          <w:p>
            <w:pPr>
              <w:jc w:val="center"/>
              <w:ind w:left="1139"/>
              <w:spacing w:after="0"/>
              <w:rPr>
                <w:sz w:val="20"/>
                <w:szCs w:val="20"/>
                <w:color w:val="auto"/>
              </w:rPr>
            </w:pPr>
            <w:r>
              <w:rPr>
                <w:rFonts w:ascii="Calibri" w:cs="Calibri" w:eastAsia="Calibri" w:hAnsi="Calibri"/>
                <w:sz w:val="16"/>
                <w:szCs w:val="16"/>
                <w:color w:val="auto"/>
                <w:w w:val="98"/>
              </w:rPr>
              <w:t>4.87</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106,255,498</w:t>
            </w:r>
          </w:p>
        </w:tc>
        <w:tc>
          <w:tcPr>
            <w:tcW w:w="1500" w:type="dxa"/>
            <w:vAlign w:val="bottom"/>
            <w:tcBorders>
              <w:bottom w:val="single" w:sz="8" w:color="auto"/>
            </w:tcBorders>
          </w:tcPr>
          <w:p>
            <w:pPr>
              <w:jc w:val="right"/>
              <w:ind w:right="119"/>
              <w:spacing w:after="0" w:line="192" w:lineRule="exact"/>
              <w:rPr>
                <w:sz w:val="20"/>
                <w:szCs w:val="20"/>
                <w:color w:val="auto"/>
              </w:rPr>
            </w:pPr>
            <w:r>
              <w:rPr>
                <w:rFonts w:ascii="Calibri" w:cs="Calibri" w:eastAsia="Calibri" w:hAnsi="Calibri"/>
                <w:sz w:val="16"/>
                <w:szCs w:val="16"/>
                <w:b w:val="1"/>
                <w:bCs w:val="1"/>
                <w:color w:val="auto"/>
              </w:rPr>
              <w:t>106,255,498</w:t>
            </w:r>
          </w:p>
        </w:tc>
        <w:tc>
          <w:tcPr>
            <w:tcW w:w="15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0.60</w:t>
            </w:r>
          </w:p>
        </w:tc>
        <w:tc>
          <w:tcPr>
            <w:tcW w:w="144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25,639</w:t>
            </w:r>
          </w:p>
        </w:tc>
        <w:tc>
          <w:tcPr>
            <w:tcW w:w="1540" w:type="dxa"/>
            <w:vAlign w:val="bottom"/>
            <w:tcBorders>
              <w:bottom w:val="single" w:sz="8" w:color="auto"/>
            </w:tcBorders>
            <w:gridSpan w:val="2"/>
          </w:tcPr>
          <w:p>
            <w:pPr>
              <w:jc w:val="center"/>
              <w:ind w:left="1139"/>
              <w:spacing w:after="0" w:line="192" w:lineRule="exact"/>
              <w:rPr>
                <w:sz w:val="20"/>
                <w:szCs w:val="20"/>
                <w:color w:val="auto"/>
              </w:rPr>
            </w:pPr>
            <w:r>
              <w:rPr>
                <w:rFonts w:ascii="Calibri" w:cs="Calibri" w:eastAsia="Calibri" w:hAnsi="Calibri"/>
                <w:sz w:val="16"/>
                <w:szCs w:val="16"/>
                <w:b w:val="1"/>
                <w:bCs w:val="1"/>
                <w:color w:val="auto"/>
                <w:w w:val="97"/>
              </w:rPr>
              <w:t>4.13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As at June 30, 2024, the Company has no Common Share purchase warrants held in escrow (2023 - nil).</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d</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b w:val="1"/>
          <w:bCs w:val="1"/>
          <w:u w:val="single" w:color="auto"/>
          <w:color w:val="auto"/>
        </w:rPr>
        <w:t>Stock optons</w:t>
      </w:r>
    </w:p>
    <w:p>
      <w:pPr>
        <w:spacing w:after="0" w:line="194" w:lineRule="exact"/>
        <w:rPr>
          <w:sz w:val="20"/>
          <w:szCs w:val="20"/>
          <w:color w:val="auto"/>
        </w:rPr>
      </w:pPr>
    </w:p>
    <w:p>
      <w:pPr>
        <w:jc w:val="both"/>
        <w:ind w:left="280"/>
        <w:spacing w:after="0" w:line="276" w:lineRule="auto"/>
        <w:rPr>
          <w:sz w:val="20"/>
          <w:szCs w:val="20"/>
          <w:color w:val="auto"/>
        </w:rPr>
      </w:pPr>
      <w:r>
        <w:rPr>
          <w:rFonts w:ascii="Calibri" w:cs="Calibri" w:eastAsia="Calibri" w:hAnsi="Calibri"/>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13 of 23</w:t>
      </w:r>
    </w:p>
    <w:p>
      <w:pPr>
        <w:sectPr>
          <w:pgSz w:w="11900" w:h="16838" w:orient="portrait"/>
          <w:cols w:equalWidth="0" w:num="1">
            <w:col w:w="11260"/>
          </w:cols>
          <w:pgMar w:left="320" w:top="209" w:right="319" w:bottom="1440" w:gutter="0" w:footer="0" w:header="0"/>
        </w:sectPr>
      </w:pPr>
    </w:p>
    <w:bookmarkStart w:id="16" w:name="page17"/>
    <w:bookmarkEnd w:id="16"/>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right="18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220"/>
        <w:spacing w:after="0" w:line="264" w:lineRule="auto"/>
        <w:rPr>
          <w:sz w:val="20"/>
          <w:szCs w:val="20"/>
          <w:color w:val="auto"/>
        </w:rPr>
      </w:pPr>
      <w:r>
        <w:rPr>
          <w:rFonts w:ascii="Calibri" w:cs="Calibri" w:eastAsia="Calibri" w:hAnsi="Calibri"/>
          <w:sz w:val="16"/>
          <w:szCs w:val="16"/>
          <w:color w:val="auto"/>
        </w:rPr>
        <w:t>modify certain provisions for awards granted to residents of the United States, to increase the fxed number of Incentve Stock Optons (as defned in the plan) and certain other housekeeping amendments.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60" w:type="dxa"/>
            <w:vAlign w:val="bottom"/>
          </w:tcPr>
          <w:p>
            <w:pPr>
              <w:spacing w:after="0"/>
              <w:rPr>
                <w:sz w:val="20"/>
                <w:szCs w:val="20"/>
                <w:color w:val="auto"/>
              </w:rPr>
            </w:pPr>
            <w:r>
              <w:rPr>
                <w:rFonts w:ascii="Calibri" w:cs="Calibri" w:eastAsia="Calibri" w:hAnsi="Calibri"/>
                <w:sz w:val="16"/>
                <w:szCs w:val="16"/>
                <w:color w:val="auto"/>
              </w:rPr>
              <w:t>The changes in optons for the three months ended June 30, 2024 are as follows:</w:t>
            </w:r>
          </w:p>
        </w:tc>
        <w:tc>
          <w:tcPr>
            <w:tcW w:w="258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471"/>
        </w:trPr>
        <w:tc>
          <w:tcPr>
            <w:tcW w:w="6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 exercise</w:t>
            </w:r>
          </w:p>
        </w:tc>
      </w:tr>
      <w:tr>
        <w:trPr>
          <w:trHeight w:val="193"/>
        </w:trPr>
        <w:tc>
          <w:tcPr>
            <w:tcW w:w="6360" w:type="dxa"/>
            <w:vAlign w:val="bottom"/>
          </w:tcPr>
          <w:p>
            <w:pPr>
              <w:spacing w:after="0"/>
              <w:rPr>
                <w:sz w:val="16"/>
                <w:szCs w:val="16"/>
                <w:color w:val="auto"/>
              </w:rPr>
            </w:pPr>
          </w:p>
        </w:tc>
        <w:tc>
          <w:tcPr>
            <w:tcW w:w="2580" w:type="dxa"/>
            <w:vAlign w:val="bottom"/>
          </w:tcPr>
          <w:p>
            <w:pPr>
              <w:jc w:val="right"/>
              <w:ind w:right="19"/>
              <w:spacing w:after="0" w:line="193" w:lineRule="exact"/>
              <w:rPr>
                <w:sz w:val="20"/>
                <w:szCs w:val="20"/>
                <w:color w:val="auto"/>
              </w:rPr>
            </w:pPr>
            <w:r>
              <w:rPr>
                <w:rFonts w:ascii="Calibri" w:cs="Calibri" w:eastAsia="Calibri" w:hAnsi="Calibri"/>
                <w:sz w:val="16"/>
                <w:szCs w:val="16"/>
                <w:b w:val="1"/>
                <w:bCs w:val="1"/>
                <w:color w:val="auto"/>
              </w:rPr>
              <w:t>Number of Optons</w:t>
            </w:r>
          </w:p>
        </w:tc>
        <w:tc>
          <w:tcPr>
            <w:tcW w:w="19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price</w:t>
            </w:r>
          </w:p>
        </w:tc>
      </w:tr>
      <w:tr>
        <w:trPr>
          <w:trHeight w:val="69"/>
        </w:trPr>
        <w:tc>
          <w:tcPr>
            <w:tcW w:w="636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r>
      <w:tr>
        <w:trPr>
          <w:trHeight w:val="213"/>
        </w:trPr>
        <w:tc>
          <w:tcPr>
            <w:tcW w:w="6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69"/>
        </w:trPr>
        <w:tc>
          <w:tcPr>
            <w:tcW w:w="636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r>
      <w:tr>
        <w:trPr>
          <w:trHeight w:val="185"/>
        </w:trPr>
        <w:tc>
          <w:tcPr>
            <w:tcW w:w="636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2024</w:t>
            </w:r>
          </w:p>
        </w:tc>
        <w:tc>
          <w:tcPr>
            <w:tcW w:w="2580" w:type="dxa"/>
            <w:vAlign w:val="bottom"/>
          </w:tcPr>
          <w:p>
            <w:pPr>
              <w:jc w:val="right"/>
              <w:ind w:right="119"/>
              <w:spacing w:after="0" w:line="185" w:lineRule="exact"/>
              <w:rPr>
                <w:sz w:val="20"/>
                <w:szCs w:val="20"/>
                <w:color w:val="auto"/>
              </w:rPr>
            </w:pPr>
            <w:r>
              <w:rPr>
                <w:rFonts w:ascii="Calibri" w:cs="Calibri" w:eastAsia="Calibri" w:hAnsi="Calibri"/>
                <w:sz w:val="16"/>
                <w:szCs w:val="16"/>
                <w:color w:val="auto"/>
              </w:rPr>
              <w:t>66,201,000</w:t>
            </w:r>
          </w:p>
        </w:tc>
        <w:tc>
          <w:tcPr>
            <w:tcW w:w="1900" w:type="dxa"/>
            <w:vAlign w:val="bottom"/>
          </w:tcPr>
          <w:p>
            <w:pPr>
              <w:ind w:left="1600"/>
              <w:spacing w:after="0" w:line="185" w:lineRule="exact"/>
              <w:rPr>
                <w:sz w:val="20"/>
                <w:szCs w:val="20"/>
                <w:color w:val="auto"/>
              </w:rPr>
            </w:pPr>
            <w:r>
              <w:rPr>
                <w:rFonts w:ascii="Calibri" w:cs="Calibri" w:eastAsia="Calibri" w:hAnsi="Calibri"/>
                <w:sz w:val="16"/>
                <w:szCs w:val="16"/>
                <w:color w:val="auto"/>
                <w:w w:val="98"/>
              </w:rPr>
              <w:t>0.93</w:t>
            </w:r>
          </w:p>
        </w:tc>
      </w:tr>
      <w:tr>
        <w:trPr>
          <w:trHeight w:val="198"/>
        </w:trPr>
        <w:tc>
          <w:tcPr>
            <w:tcW w:w="6360" w:type="dxa"/>
            <w:vAlign w:val="bottom"/>
          </w:tcPr>
          <w:p>
            <w:pPr>
              <w:ind w:left="20"/>
              <w:spacing w:after="0"/>
              <w:rPr>
                <w:sz w:val="20"/>
                <w:szCs w:val="20"/>
                <w:color w:val="auto"/>
              </w:rPr>
            </w:pPr>
            <w:r>
              <w:rPr>
                <w:rFonts w:ascii="Calibri" w:cs="Calibri" w:eastAsia="Calibri" w:hAnsi="Calibri"/>
                <w:sz w:val="16"/>
                <w:szCs w:val="16"/>
                <w:color w:val="auto"/>
              </w:rPr>
              <w:t>Granted</w:t>
            </w:r>
          </w:p>
        </w:tc>
        <w:tc>
          <w:tcPr>
            <w:tcW w:w="2580" w:type="dxa"/>
            <w:vAlign w:val="bottom"/>
          </w:tcPr>
          <w:p>
            <w:pPr>
              <w:jc w:val="right"/>
              <w:ind w:right="119"/>
              <w:spacing w:after="0"/>
              <w:rPr>
                <w:sz w:val="20"/>
                <w:szCs w:val="20"/>
                <w:color w:val="auto"/>
              </w:rPr>
            </w:pPr>
            <w:r>
              <w:rPr>
                <w:rFonts w:ascii="Calibri" w:cs="Calibri" w:eastAsia="Calibri" w:hAnsi="Calibri"/>
                <w:sz w:val="16"/>
                <w:szCs w:val="16"/>
                <w:color w:val="auto"/>
              </w:rPr>
              <w:t>11,715,000</w:t>
            </w:r>
          </w:p>
        </w:tc>
        <w:tc>
          <w:tcPr>
            <w:tcW w:w="1900" w:type="dxa"/>
            <w:vAlign w:val="bottom"/>
          </w:tcPr>
          <w:p>
            <w:pPr>
              <w:ind w:left="1600"/>
              <w:spacing w:after="0"/>
              <w:rPr>
                <w:sz w:val="20"/>
                <w:szCs w:val="20"/>
                <w:color w:val="auto"/>
              </w:rPr>
            </w:pPr>
            <w:r>
              <w:rPr>
                <w:rFonts w:ascii="Calibri" w:cs="Calibri" w:eastAsia="Calibri" w:hAnsi="Calibri"/>
                <w:sz w:val="16"/>
                <w:szCs w:val="16"/>
                <w:color w:val="auto"/>
                <w:w w:val="98"/>
              </w:rPr>
              <w:t>0.56</w:t>
            </w:r>
          </w:p>
        </w:tc>
      </w:tr>
      <w:tr>
        <w:trPr>
          <w:trHeight w:val="206"/>
        </w:trPr>
        <w:tc>
          <w:tcPr>
            <w:tcW w:w="6360" w:type="dxa"/>
            <w:vAlign w:val="bottom"/>
          </w:tcPr>
          <w:p>
            <w:pPr>
              <w:ind w:left="20"/>
              <w:spacing w:after="0"/>
              <w:rPr>
                <w:sz w:val="20"/>
                <w:szCs w:val="20"/>
                <w:color w:val="auto"/>
              </w:rPr>
            </w:pPr>
            <w:r>
              <w:rPr>
                <w:rFonts w:ascii="Calibri" w:cs="Calibri" w:eastAsia="Calibri" w:hAnsi="Calibri"/>
                <w:sz w:val="16"/>
                <w:szCs w:val="16"/>
                <w:color w:val="auto"/>
              </w:rPr>
              <w:t>Exercised</w:t>
            </w:r>
          </w:p>
        </w:tc>
        <w:tc>
          <w:tcPr>
            <w:tcW w:w="2580" w:type="dxa"/>
            <w:vAlign w:val="bottom"/>
          </w:tcPr>
          <w:p>
            <w:pPr>
              <w:jc w:val="right"/>
              <w:ind w:right="119"/>
              <w:spacing w:after="0"/>
              <w:rPr>
                <w:sz w:val="20"/>
                <w:szCs w:val="20"/>
                <w:color w:val="auto"/>
              </w:rPr>
            </w:pPr>
            <w:r>
              <w:rPr>
                <w:rFonts w:ascii="Calibri" w:cs="Calibri" w:eastAsia="Calibri" w:hAnsi="Calibri"/>
                <w:sz w:val="16"/>
                <w:szCs w:val="16"/>
                <w:color w:val="auto"/>
              </w:rPr>
              <w:t>—</w:t>
            </w:r>
          </w:p>
        </w:tc>
        <w:tc>
          <w:tcPr>
            <w:tcW w:w="1900" w:type="dxa"/>
            <w:vAlign w:val="bottom"/>
          </w:tcPr>
          <w:p>
            <w:pPr>
              <w:ind w:left="1600"/>
              <w:spacing w:after="0"/>
              <w:rPr>
                <w:sz w:val="20"/>
                <w:szCs w:val="20"/>
                <w:color w:val="auto"/>
              </w:rPr>
            </w:pPr>
            <w:r>
              <w:rPr>
                <w:rFonts w:ascii="Calibri" w:cs="Calibri" w:eastAsia="Calibri" w:hAnsi="Calibri"/>
                <w:sz w:val="16"/>
                <w:szCs w:val="16"/>
                <w:color w:val="auto"/>
              </w:rPr>
              <w:t>—</w:t>
            </w:r>
          </w:p>
        </w:tc>
      </w:tr>
      <w:tr>
        <w:trPr>
          <w:trHeight w:val="206"/>
        </w:trPr>
        <w:tc>
          <w:tcPr>
            <w:tcW w:w="6360" w:type="dxa"/>
            <w:vAlign w:val="bottom"/>
          </w:tcPr>
          <w:p>
            <w:pPr>
              <w:ind w:left="20"/>
              <w:spacing w:after="0"/>
              <w:rPr>
                <w:sz w:val="20"/>
                <w:szCs w:val="20"/>
                <w:color w:val="auto"/>
              </w:rPr>
            </w:pPr>
            <w:r>
              <w:rPr>
                <w:rFonts w:ascii="Calibri" w:cs="Calibri" w:eastAsia="Calibri" w:hAnsi="Calibri"/>
                <w:sz w:val="16"/>
                <w:szCs w:val="16"/>
                <w:color w:val="auto"/>
              </w:rPr>
              <w:t>Forfeited/Expired</w:t>
            </w:r>
          </w:p>
        </w:tc>
        <w:tc>
          <w:tcPr>
            <w:tcW w:w="2580" w:type="dxa"/>
            <w:vAlign w:val="bottom"/>
          </w:tcPr>
          <w:p>
            <w:pPr>
              <w:jc w:val="right"/>
              <w:ind w:right="119"/>
              <w:spacing w:after="0"/>
              <w:rPr>
                <w:sz w:val="20"/>
                <w:szCs w:val="20"/>
                <w:color w:val="auto"/>
              </w:rPr>
            </w:pPr>
            <w:r>
              <w:rPr>
                <w:rFonts w:ascii="Calibri" w:cs="Calibri" w:eastAsia="Calibri" w:hAnsi="Calibri"/>
                <w:sz w:val="16"/>
                <w:szCs w:val="16"/>
                <w:color w:val="auto"/>
              </w:rPr>
              <w:t>—</w:t>
            </w:r>
          </w:p>
        </w:tc>
        <w:tc>
          <w:tcPr>
            <w:tcW w:w="1900" w:type="dxa"/>
            <w:vAlign w:val="bottom"/>
          </w:tcPr>
          <w:p>
            <w:pPr>
              <w:ind w:left="1600"/>
              <w:spacing w:after="0"/>
              <w:rPr>
                <w:sz w:val="20"/>
                <w:szCs w:val="20"/>
                <w:color w:val="auto"/>
              </w:rPr>
            </w:pPr>
            <w:r>
              <w:rPr>
                <w:rFonts w:ascii="Calibri" w:cs="Calibri" w:eastAsia="Calibri" w:hAnsi="Calibri"/>
                <w:sz w:val="16"/>
                <w:szCs w:val="16"/>
                <w:color w:val="auto"/>
              </w:rPr>
              <w:t>—</w:t>
            </w:r>
          </w:p>
        </w:tc>
      </w:tr>
      <w:tr>
        <w:trPr>
          <w:trHeight w:val="206"/>
        </w:trPr>
        <w:tc>
          <w:tcPr>
            <w:tcW w:w="6360" w:type="dxa"/>
            <w:vAlign w:val="bottom"/>
          </w:tcPr>
          <w:p>
            <w:pPr>
              <w:ind w:left="20"/>
              <w:spacing w:after="0"/>
              <w:rPr>
                <w:sz w:val="20"/>
                <w:szCs w:val="20"/>
                <w:color w:val="auto"/>
              </w:rPr>
            </w:pPr>
            <w:r>
              <w:rPr>
                <w:rFonts w:ascii="Calibri" w:cs="Calibri" w:eastAsia="Calibri" w:hAnsi="Calibri"/>
                <w:sz w:val="16"/>
                <w:szCs w:val="16"/>
                <w:color w:val="auto"/>
              </w:rPr>
              <w:t>Cancelled</w:t>
            </w:r>
          </w:p>
        </w:tc>
        <w:tc>
          <w:tcPr>
            <w:tcW w:w="2580" w:type="dxa"/>
            <w:vAlign w:val="bottom"/>
          </w:tcPr>
          <w:p>
            <w:pPr>
              <w:jc w:val="right"/>
              <w:ind w:right="119"/>
              <w:spacing w:after="0"/>
              <w:rPr>
                <w:sz w:val="20"/>
                <w:szCs w:val="20"/>
                <w:color w:val="auto"/>
              </w:rPr>
            </w:pPr>
            <w:r>
              <w:rPr>
                <w:rFonts w:ascii="Calibri" w:cs="Calibri" w:eastAsia="Calibri" w:hAnsi="Calibri"/>
                <w:sz w:val="16"/>
                <w:szCs w:val="16"/>
                <w:color w:val="auto"/>
              </w:rPr>
              <w:t>(45,586,900)</w:t>
            </w:r>
          </w:p>
        </w:tc>
        <w:tc>
          <w:tcPr>
            <w:tcW w:w="1900" w:type="dxa"/>
            <w:vAlign w:val="bottom"/>
          </w:tcPr>
          <w:p>
            <w:pPr>
              <w:ind w:left="1600"/>
              <w:spacing w:after="0"/>
              <w:rPr>
                <w:sz w:val="20"/>
                <w:szCs w:val="20"/>
                <w:color w:val="auto"/>
              </w:rPr>
            </w:pPr>
            <w:r>
              <w:rPr>
                <w:rFonts w:ascii="Calibri" w:cs="Calibri" w:eastAsia="Calibri" w:hAnsi="Calibri"/>
                <w:sz w:val="16"/>
                <w:szCs w:val="16"/>
                <w:color w:val="auto"/>
                <w:w w:val="98"/>
              </w:rPr>
              <w:t>1.04</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1"/>
        </w:trPr>
        <w:tc>
          <w:tcPr>
            <w:tcW w:w="63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June 30, 2024</w:t>
            </w:r>
          </w:p>
        </w:tc>
        <w:tc>
          <w:tcPr>
            <w:tcW w:w="2580" w:type="dxa"/>
            <w:vAlign w:val="bottom"/>
            <w:tcBorders>
              <w:bottom w:val="single" w:sz="8" w:color="auto"/>
            </w:tcBorders>
          </w:tcPr>
          <w:p>
            <w:pPr>
              <w:jc w:val="right"/>
              <w:ind w:right="119"/>
              <w:spacing w:after="0" w:line="192" w:lineRule="exact"/>
              <w:rPr>
                <w:sz w:val="20"/>
                <w:szCs w:val="20"/>
                <w:color w:val="auto"/>
              </w:rPr>
            </w:pPr>
            <w:r>
              <w:rPr>
                <w:rFonts w:ascii="Calibri" w:cs="Calibri" w:eastAsia="Calibri" w:hAnsi="Calibri"/>
                <w:sz w:val="16"/>
                <w:szCs w:val="16"/>
                <w:b w:val="1"/>
                <w:bCs w:val="1"/>
                <w:color w:val="auto"/>
              </w:rPr>
              <w:t>32,329,100</w:t>
            </w:r>
          </w:p>
        </w:tc>
        <w:tc>
          <w:tcPr>
            <w:tcW w:w="1900" w:type="dxa"/>
            <w:vAlign w:val="bottom"/>
            <w:tcBorders>
              <w:bottom w:val="single" w:sz="8" w:color="auto"/>
            </w:tcBorders>
          </w:tcPr>
          <w:p>
            <w:pPr>
              <w:ind w:left="1600"/>
              <w:spacing w:after="0" w:line="192" w:lineRule="exact"/>
              <w:rPr>
                <w:sz w:val="20"/>
                <w:szCs w:val="20"/>
                <w:color w:val="auto"/>
              </w:rPr>
            </w:pPr>
            <w:r>
              <w:rPr>
                <w:rFonts w:ascii="Calibri" w:cs="Calibri" w:eastAsia="Calibri" w:hAnsi="Calibri"/>
                <w:sz w:val="16"/>
                <w:szCs w:val="16"/>
                <w:b w:val="1"/>
                <w:bCs w:val="1"/>
                <w:color w:val="auto"/>
                <w:w w:val="97"/>
              </w:rPr>
              <w:t>0.61</w:t>
            </w:r>
          </w:p>
        </w:tc>
      </w:tr>
      <w:tr>
        <w:trPr>
          <w:trHeight w:val="198"/>
        </w:trPr>
        <w:tc>
          <w:tcPr>
            <w:tcW w:w="636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June 30, 2024</w:t>
            </w:r>
          </w:p>
        </w:tc>
        <w:tc>
          <w:tcPr>
            <w:tcW w:w="2580" w:type="dxa"/>
            <w:vAlign w:val="bottom"/>
            <w:tcBorders>
              <w:bottom w:val="single" w:sz="8" w:color="auto"/>
            </w:tcBorders>
          </w:tcPr>
          <w:p>
            <w:pPr>
              <w:jc w:val="right"/>
              <w:ind w:right="119"/>
              <w:spacing w:after="0" w:line="193" w:lineRule="exact"/>
              <w:rPr>
                <w:sz w:val="20"/>
                <w:szCs w:val="20"/>
                <w:color w:val="auto"/>
              </w:rPr>
            </w:pPr>
            <w:r>
              <w:rPr>
                <w:rFonts w:ascii="Calibri" w:cs="Calibri" w:eastAsia="Calibri" w:hAnsi="Calibri"/>
                <w:sz w:val="16"/>
                <w:szCs w:val="16"/>
                <w:b w:val="1"/>
                <w:bCs w:val="1"/>
                <w:color w:val="auto"/>
              </w:rPr>
              <w:t>19,789,100</w:t>
            </w:r>
          </w:p>
        </w:tc>
        <w:tc>
          <w:tcPr>
            <w:tcW w:w="1900" w:type="dxa"/>
            <w:vAlign w:val="bottom"/>
            <w:tcBorders>
              <w:bottom w:val="single" w:sz="8" w:color="auto"/>
            </w:tcBorders>
          </w:tcPr>
          <w:p>
            <w:pPr>
              <w:ind w:left="1600"/>
              <w:spacing w:after="0" w:line="193" w:lineRule="exact"/>
              <w:rPr>
                <w:sz w:val="20"/>
                <w:szCs w:val="20"/>
                <w:color w:val="auto"/>
              </w:rPr>
            </w:pPr>
            <w:r>
              <w:rPr>
                <w:rFonts w:ascii="Calibri" w:cs="Calibri" w:eastAsia="Calibri" w:hAnsi="Calibri"/>
                <w:sz w:val="16"/>
                <w:szCs w:val="16"/>
                <w:b w:val="1"/>
                <w:bCs w:val="1"/>
                <w:color w:val="auto"/>
                <w:w w:val="97"/>
              </w:rPr>
              <w:t>0.66</w:t>
            </w:r>
          </w:p>
        </w:tc>
      </w:tr>
    </w:tbl>
    <w:p>
      <w:pPr>
        <w:spacing w:after="0" w:line="200" w:lineRule="exact"/>
        <w:rPr>
          <w:sz w:val="20"/>
          <w:szCs w:val="20"/>
          <w:color w:val="auto"/>
        </w:rPr>
      </w:pPr>
    </w:p>
    <w:p>
      <w:pPr>
        <w:spacing w:after="0" w:line="252" w:lineRule="exact"/>
        <w:rPr>
          <w:sz w:val="20"/>
          <w:szCs w:val="20"/>
          <w:color w:val="auto"/>
        </w:rPr>
      </w:pPr>
    </w:p>
    <w:p>
      <w:pPr>
        <w:jc w:val="both"/>
        <w:ind w:left="220"/>
        <w:spacing w:after="0" w:line="273" w:lineRule="auto"/>
        <w:rPr>
          <w:sz w:val="20"/>
          <w:szCs w:val="20"/>
          <w:color w:val="auto"/>
        </w:rPr>
      </w:pPr>
      <w:r>
        <w:rPr>
          <w:rFonts w:ascii="Calibri" w:cs="Calibri" w:eastAsia="Calibri" w:hAnsi="Calibri"/>
          <w:sz w:val="16"/>
          <w:szCs w:val="16"/>
          <w:color w:val="auto"/>
        </w:rPr>
        <w:t>On April 5, 2024, the Company granted optons to purchase up to 11,715,000 Common Shares, of which 3,425,000 were granted to employees, 7,250,000 were granted to ofcers of the Company and 1,040,000 were granted to consultants. The granted optons have an exercise price of $0.56 per Common Share and expire on April 5, 2029. The granted optons vest over two years.</w:t>
      </w:r>
    </w:p>
    <w:p>
      <w:pPr>
        <w:spacing w:after="0" w:line="22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aggregate estmated grant date fair value was determined to be $5,371 calculated using the Black-Scholes opton pricing model with the following assumptons:</w:t>
      </w: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42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3.62%</w:t>
            </w:r>
          </w:p>
        </w:tc>
      </w:tr>
      <w:tr>
        <w:trPr>
          <w:trHeight w:val="206"/>
        </w:trPr>
        <w:tc>
          <w:tcPr>
            <w:tcW w:w="642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115.00%</w:t>
            </w:r>
          </w:p>
        </w:tc>
      </w:tr>
      <w:tr>
        <w:trPr>
          <w:trHeight w:val="206"/>
        </w:trPr>
        <w:tc>
          <w:tcPr>
            <w:tcW w:w="642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42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42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6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240" w:type="dxa"/>
            <w:vAlign w:val="bottom"/>
          </w:tcPr>
          <w:p>
            <w:pPr>
              <w:jc w:val="right"/>
              <w:spacing w:after="0"/>
              <w:rPr>
                <w:sz w:val="20"/>
                <w:szCs w:val="20"/>
                <w:color w:val="auto"/>
              </w:rPr>
            </w:pPr>
            <w:r>
              <w:rPr>
                <w:rFonts w:ascii="Calibri" w:cs="Calibri" w:eastAsia="Calibri" w:hAnsi="Calibri"/>
                <w:sz w:val="16"/>
                <w:szCs w:val="16"/>
                <w:color w:val="auto"/>
              </w:rPr>
              <w:t>0.56</w:t>
            </w:r>
          </w:p>
        </w:tc>
      </w:tr>
      <w:tr>
        <w:trPr>
          <w:trHeight w:val="206"/>
        </w:trPr>
        <w:tc>
          <w:tcPr>
            <w:tcW w:w="642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6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240" w:type="dxa"/>
            <w:vAlign w:val="bottom"/>
          </w:tcPr>
          <w:p>
            <w:pPr>
              <w:jc w:val="right"/>
              <w:spacing w:after="0"/>
              <w:rPr>
                <w:sz w:val="20"/>
                <w:szCs w:val="20"/>
                <w:color w:val="auto"/>
              </w:rPr>
            </w:pPr>
            <w:r>
              <w:rPr>
                <w:rFonts w:ascii="Calibri" w:cs="Calibri" w:eastAsia="Calibri" w:hAnsi="Calibri"/>
                <w:sz w:val="16"/>
                <w:szCs w:val="16"/>
                <w:color w:val="auto"/>
              </w:rPr>
              <w:t>0.56</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14 of 23</w:t>
      </w:r>
    </w:p>
    <w:p>
      <w:pPr>
        <w:sectPr>
          <w:pgSz w:w="11900" w:h="16838" w:orient="portrait"/>
          <w:cols w:equalWidth="0" w:num="1">
            <w:col w:w="11180"/>
          </w:cols>
          <w:pgMar w:left="380" w:top="209" w:right="339" w:bottom="1440" w:gutter="0" w:footer="0" w:header="0"/>
        </w:sectPr>
      </w:pPr>
    </w:p>
    <w:bookmarkStart w:id="17" w:name="page18"/>
    <w:bookmarkEnd w:id="17"/>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line="264" w:lineRule="auto"/>
        <w:rPr>
          <w:sz w:val="20"/>
          <w:szCs w:val="20"/>
          <w:color w:val="auto"/>
        </w:rPr>
      </w:pPr>
      <w:r>
        <w:rPr>
          <w:rFonts w:ascii="Calibri" w:cs="Calibri" w:eastAsia="Calibri" w:hAnsi="Calibri"/>
          <w:sz w:val="16"/>
          <w:szCs w:val="16"/>
          <w:color w:val="auto"/>
        </w:rPr>
        <w:t>On May 5, 2024, the Company cancelled optons to purchase up to 45,586,900 Common Shares (exercise prices ranged from $0.715 to $3.15). The unvested optons were vested based on an accelerated cancellaton criteria which resulted in $2,060 share based compensaton expense.</w:t>
      </w:r>
    </w:p>
    <w:p>
      <w:pPr>
        <w:spacing w:after="0" w:line="17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stock optons outstanding on June 30, 2024:</w:t>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Number of optons</w:t>
            </w:r>
          </w:p>
        </w:tc>
        <w:tc>
          <w:tcPr>
            <w:tcW w:w="180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Number of optons</w:t>
            </w:r>
          </w:p>
        </w:tc>
        <w:tc>
          <w:tcPr>
            <w:tcW w:w="16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Weighted average</w:t>
            </w:r>
          </w:p>
        </w:tc>
        <w:tc>
          <w:tcPr>
            <w:tcW w:w="1640" w:type="dxa"/>
            <w:vAlign w:val="bottom"/>
          </w:tcPr>
          <w:p>
            <w:pPr>
              <w:jc w:val="right"/>
              <w:spacing w:after="0"/>
              <w:rPr>
                <w:sz w:val="20"/>
                <w:szCs w:val="20"/>
                <w:color w:val="auto"/>
              </w:rPr>
            </w:pPr>
            <w:r>
              <w:rPr>
                <w:rFonts w:ascii="Calibri" w:cs="Calibri" w:eastAsia="Calibri" w:hAnsi="Calibri"/>
                <w:sz w:val="16"/>
                <w:szCs w:val="16"/>
                <w:b w:val="1"/>
                <w:bCs w:val="1"/>
                <w:color w:val="auto"/>
              </w:rPr>
              <w:t>Recognized estmated</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1580" w:type="dxa"/>
            <w:vAlign w:val="bottom"/>
          </w:tcPr>
          <w:p>
            <w:pPr>
              <w:jc w:val="right"/>
              <w:ind w:right="199"/>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74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outstanding</w:t>
            </w:r>
          </w:p>
        </w:tc>
        <w:tc>
          <w:tcPr>
            <w:tcW w:w="1800" w:type="dxa"/>
            <w:vAlign w:val="bottom"/>
          </w:tcPr>
          <w:p>
            <w:pPr>
              <w:jc w:val="right"/>
              <w:ind w:right="219"/>
              <w:spacing w:after="0" w:line="193" w:lineRule="exact"/>
              <w:rPr>
                <w:sz w:val="20"/>
                <w:szCs w:val="20"/>
                <w:color w:val="auto"/>
              </w:rPr>
            </w:pPr>
            <w:r>
              <w:rPr>
                <w:rFonts w:ascii="Calibri" w:cs="Calibri" w:eastAsia="Calibri" w:hAnsi="Calibri"/>
                <w:sz w:val="16"/>
                <w:szCs w:val="16"/>
                <w:b w:val="1"/>
                <w:bCs w:val="1"/>
                <w:color w:val="auto"/>
              </w:rPr>
              <w:t>exercisable</w:t>
            </w:r>
          </w:p>
        </w:tc>
        <w:tc>
          <w:tcPr>
            <w:tcW w:w="1660" w:type="dxa"/>
            <w:vAlign w:val="bottom"/>
          </w:tcPr>
          <w:p>
            <w:pPr>
              <w:jc w:val="right"/>
              <w:ind w:right="119"/>
              <w:spacing w:after="0" w:line="193" w:lineRule="exact"/>
              <w:rPr>
                <w:sz w:val="20"/>
                <w:szCs w:val="20"/>
                <w:color w:val="auto"/>
              </w:rPr>
            </w:pPr>
            <w:r>
              <w:rPr>
                <w:rFonts w:ascii="Calibri" w:cs="Calibri" w:eastAsia="Calibri" w:hAnsi="Calibri"/>
                <w:sz w:val="16"/>
                <w:szCs w:val="16"/>
                <w:b w:val="1"/>
                <w:bCs w:val="1"/>
                <w:color w:val="auto"/>
              </w:rPr>
              <w:t>remaining life</w:t>
            </w: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grant date fair value</w:t>
            </w:r>
          </w:p>
        </w:tc>
        <w:tc>
          <w:tcPr>
            <w:tcW w:w="0" w:type="dxa"/>
            <w:vAlign w:val="bottom"/>
          </w:tcPr>
          <w:p>
            <w:pPr>
              <w:spacing w:after="0"/>
              <w:rPr>
                <w:sz w:val="1"/>
                <w:szCs w:val="1"/>
                <w:color w:val="auto"/>
              </w:rPr>
            </w:pPr>
          </w:p>
        </w:tc>
      </w:tr>
      <w:tr>
        <w:trPr>
          <w:trHeight w:val="81"/>
        </w:trPr>
        <w:tc>
          <w:tcPr>
            <w:tcW w:w="25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560" w:type="dxa"/>
            <w:vAlign w:val="bottom"/>
          </w:tcPr>
          <w:p>
            <w:pPr>
              <w:jc w:val="right"/>
              <w:ind w:right="1679"/>
              <w:spacing w:after="0" w:line="193" w:lineRule="exact"/>
              <w:rPr>
                <w:sz w:val="20"/>
                <w:szCs w:val="20"/>
                <w:color w:val="auto"/>
              </w:rPr>
            </w:pPr>
            <w:r>
              <w:rPr>
                <w:rFonts w:ascii="Calibri" w:cs="Calibri" w:eastAsia="Calibri" w:hAnsi="Calibri"/>
                <w:sz w:val="16"/>
                <w:szCs w:val="16"/>
                <w:b w:val="1"/>
                <w:bCs w:val="1"/>
                <w:color w:val="auto"/>
              </w:rPr>
              <w:t>Expiry date</w:t>
            </w:r>
          </w:p>
        </w:tc>
        <w:tc>
          <w:tcPr>
            <w:tcW w:w="158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w:t>
            </w:r>
          </w:p>
        </w:tc>
        <w:tc>
          <w:tcPr>
            <w:tcW w:w="1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Years</w:t>
            </w:r>
          </w:p>
        </w:tc>
        <w:tc>
          <w:tcPr>
            <w:tcW w:w="164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c>
          <w:tcPr>
            <w:tcW w:w="0" w:type="dxa"/>
            <w:vAlign w:val="bottom"/>
          </w:tcPr>
          <w:p>
            <w:pPr>
              <w:spacing w:after="0"/>
              <w:rPr>
                <w:sz w:val="1"/>
                <w:szCs w:val="1"/>
                <w:color w:val="auto"/>
              </w:rPr>
            </w:pPr>
          </w:p>
        </w:tc>
      </w:tr>
      <w:tr>
        <w:trPr>
          <w:trHeight w:val="302"/>
        </w:trPr>
        <w:tc>
          <w:tcPr>
            <w:tcW w:w="2560" w:type="dxa"/>
            <w:vAlign w:val="bottom"/>
            <w:vMerge w:val="restart"/>
          </w:tcPr>
          <w:p>
            <w:pPr>
              <w:jc w:val="right"/>
              <w:ind w:right="339"/>
              <w:spacing w:after="0"/>
              <w:rPr>
                <w:sz w:val="20"/>
                <w:szCs w:val="20"/>
                <w:color w:val="auto"/>
              </w:rPr>
            </w:pPr>
            <w:r>
              <w:rPr>
                <w:rFonts w:ascii="Calibri" w:cs="Calibri" w:eastAsia="Calibri" w:hAnsi="Calibri"/>
                <w:sz w:val="16"/>
                <w:szCs w:val="16"/>
                <w:color w:val="auto"/>
              </w:rPr>
              <w:t>June 15, 2025</w:t>
            </w:r>
          </w:p>
        </w:tc>
        <w:tc>
          <w:tcPr>
            <w:tcW w:w="1580" w:type="dxa"/>
            <w:vAlign w:val="bottom"/>
            <w:vMerge w:val="restart"/>
          </w:tcPr>
          <w:p>
            <w:pPr>
              <w:jc w:val="right"/>
              <w:ind w:right="159"/>
              <w:spacing w:after="0"/>
              <w:rPr>
                <w:sz w:val="20"/>
                <w:szCs w:val="20"/>
                <w:color w:val="auto"/>
              </w:rPr>
            </w:pPr>
            <w:r>
              <w:rPr>
                <w:rFonts w:ascii="Calibri" w:cs="Calibri" w:eastAsia="Calibri" w:hAnsi="Calibri"/>
                <w:sz w:val="16"/>
                <w:szCs w:val="16"/>
                <w:color w:val="auto"/>
              </w:rPr>
              <w:t>0.25</w:t>
            </w:r>
          </w:p>
        </w:tc>
        <w:tc>
          <w:tcPr>
            <w:tcW w:w="1740" w:type="dxa"/>
            <w:vAlign w:val="bottom"/>
            <w:vMerge w:val="restart"/>
          </w:tcPr>
          <w:p>
            <w:pPr>
              <w:jc w:val="right"/>
              <w:ind w:right="279"/>
              <w:spacing w:after="0"/>
              <w:rPr>
                <w:sz w:val="20"/>
                <w:szCs w:val="20"/>
                <w:color w:val="auto"/>
              </w:rPr>
            </w:pPr>
            <w:r>
              <w:rPr>
                <w:rFonts w:ascii="Calibri" w:cs="Calibri" w:eastAsia="Calibri" w:hAnsi="Calibri"/>
                <w:sz w:val="16"/>
                <w:szCs w:val="16"/>
                <w:color w:val="auto"/>
              </w:rPr>
              <w:t>2,350,000</w:t>
            </w:r>
          </w:p>
        </w:tc>
        <w:tc>
          <w:tcPr>
            <w:tcW w:w="1800" w:type="dxa"/>
            <w:vAlign w:val="bottom"/>
            <w:vMerge w:val="restart"/>
          </w:tcPr>
          <w:p>
            <w:pPr>
              <w:jc w:val="right"/>
              <w:ind w:right="319"/>
              <w:spacing w:after="0"/>
              <w:rPr>
                <w:sz w:val="20"/>
                <w:szCs w:val="20"/>
                <w:color w:val="auto"/>
              </w:rPr>
            </w:pPr>
            <w:r>
              <w:rPr>
                <w:rFonts w:ascii="Calibri" w:cs="Calibri" w:eastAsia="Calibri" w:hAnsi="Calibri"/>
                <w:sz w:val="16"/>
                <w:szCs w:val="16"/>
                <w:color w:val="auto"/>
              </w:rPr>
              <w:t>2,350,000</w:t>
            </w:r>
          </w:p>
        </w:tc>
        <w:tc>
          <w:tcPr>
            <w:tcW w:w="1660" w:type="dxa"/>
            <w:vAlign w:val="bottom"/>
          </w:tcPr>
          <w:p>
            <w:pPr>
              <w:jc w:val="right"/>
              <w:ind w:right="119"/>
              <w:spacing w:after="0"/>
              <w:rPr>
                <w:sz w:val="20"/>
                <w:szCs w:val="20"/>
                <w:color w:val="auto"/>
              </w:rPr>
            </w:pPr>
            <w:r>
              <w:rPr>
                <w:rFonts w:ascii="Calibri" w:cs="Calibri" w:eastAsia="Calibri" w:hAnsi="Calibri"/>
                <w:sz w:val="16"/>
                <w:szCs w:val="16"/>
                <w:color w:val="auto"/>
              </w:rPr>
              <w:t>0.96</w:t>
            </w:r>
          </w:p>
        </w:tc>
        <w:tc>
          <w:tcPr>
            <w:tcW w:w="1640" w:type="dxa"/>
            <w:vAlign w:val="bottom"/>
            <w:vMerge w:val="restart"/>
          </w:tcPr>
          <w:p>
            <w:pPr>
              <w:jc w:val="right"/>
              <w:ind w:right="79"/>
              <w:spacing w:after="0"/>
              <w:rPr>
                <w:sz w:val="20"/>
                <w:szCs w:val="20"/>
                <w:color w:val="auto"/>
              </w:rPr>
            </w:pPr>
            <w:r>
              <w:rPr>
                <w:rFonts w:ascii="Calibri" w:cs="Calibri" w:eastAsia="Calibri" w:hAnsi="Calibri"/>
                <w:sz w:val="16"/>
                <w:szCs w:val="16"/>
                <w:color w:val="auto"/>
              </w:rPr>
              <w:t>420</w:t>
            </w:r>
          </w:p>
        </w:tc>
        <w:tc>
          <w:tcPr>
            <w:tcW w:w="0" w:type="dxa"/>
            <w:vAlign w:val="bottom"/>
          </w:tcPr>
          <w:p>
            <w:pPr>
              <w:spacing w:after="0"/>
              <w:rPr>
                <w:sz w:val="1"/>
                <w:szCs w:val="1"/>
                <w:color w:val="auto"/>
              </w:rPr>
            </w:pPr>
          </w:p>
        </w:tc>
      </w:tr>
      <w:tr>
        <w:trPr>
          <w:trHeight w:val="60"/>
        </w:trPr>
        <w:tc>
          <w:tcPr>
            <w:tcW w:w="256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June 30,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0.90</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500,000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500,000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1.00</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183</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August 14,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237,500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237,500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1.12</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127</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September 30,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270,000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270,000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1.25</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97</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November 4,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950,000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950,000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1.35</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509</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November 15,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375,000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375,000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1.38</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110</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November 15,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0.91</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200,000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200,000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1.38</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53</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December 11,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1.48</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200,000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200,000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1.45</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212</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December 14, 2025</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1.74</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151,600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151,600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1.46</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186</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February 15,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2.03</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75,000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75,000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1.63</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110</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March 10,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1.39</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217,500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217,500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1.69</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217</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March 15,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1.55</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300,000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300,000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1.71</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360</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March 29,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1.32</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37,500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37,500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1.74</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36</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June 28,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170,000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170,000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1.99</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354</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September 26,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0.79</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975,000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975,000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2.24</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439</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November 16,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0.72</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500,000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187,500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2.38</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108</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December 31, 2026</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1.50</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1,250,000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1,250,000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2.50</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1,352</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March 4, 2027</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1.13</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20,000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20,000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2.67</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March 8, 2027</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1.02</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400,000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400,000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2.69</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295</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September 30, 2027</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5,000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3.25</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2</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June 30, 2028</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0.44</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11,310,000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7,931,250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4.00</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3,594</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September 26, 2028</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0.79</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100,000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4.24</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48</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March 20, 2029</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0.56</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20,000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4.72</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5</w:t>
            </w:r>
          </w:p>
        </w:tc>
        <w:tc>
          <w:tcPr>
            <w:tcW w:w="0" w:type="dxa"/>
            <w:vAlign w:val="bottom"/>
          </w:tcPr>
          <w:p>
            <w:pPr>
              <w:spacing w:after="0"/>
              <w:rPr>
                <w:sz w:val="1"/>
                <w:szCs w:val="1"/>
                <w:color w:val="auto"/>
              </w:rPr>
            </w:pPr>
          </w:p>
        </w:tc>
      </w:tr>
      <w:tr>
        <w:trPr>
          <w:trHeight w:val="206"/>
        </w:trPr>
        <w:tc>
          <w:tcPr>
            <w:tcW w:w="2560" w:type="dxa"/>
            <w:vAlign w:val="bottom"/>
          </w:tcPr>
          <w:p>
            <w:pPr>
              <w:jc w:val="right"/>
              <w:ind w:right="339"/>
              <w:spacing w:after="0"/>
              <w:rPr>
                <w:sz w:val="20"/>
                <w:szCs w:val="20"/>
                <w:color w:val="auto"/>
              </w:rPr>
            </w:pPr>
            <w:r>
              <w:rPr>
                <w:rFonts w:ascii="Calibri" w:cs="Calibri" w:eastAsia="Calibri" w:hAnsi="Calibri"/>
                <w:sz w:val="16"/>
                <w:szCs w:val="16"/>
                <w:color w:val="auto"/>
              </w:rPr>
              <w:t>April 5, 2029</w:t>
            </w:r>
          </w:p>
        </w:tc>
        <w:tc>
          <w:tcPr>
            <w:tcW w:w="1580" w:type="dxa"/>
            <w:vAlign w:val="bottom"/>
          </w:tcPr>
          <w:p>
            <w:pPr>
              <w:jc w:val="right"/>
              <w:ind w:right="159"/>
              <w:spacing w:after="0"/>
              <w:rPr>
                <w:sz w:val="20"/>
                <w:szCs w:val="20"/>
                <w:color w:val="auto"/>
              </w:rPr>
            </w:pPr>
            <w:r>
              <w:rPr>
                <w:rFonts w:ascii="Calibri" w:cs="Calibri" w:eastAsia="Calibri" w:hAnsi="Calibri"/>
                <w:sz w:val="16"/>
                <w:szCs w:val="16"/>
                <w:color w:val="auto"/>
              </w:rPr>
              <w:t>0.56</w:t>
            </w:r>
          </w:p>
        </w:tc>
        <w:tc>
          <w:tcPr>
            <w:tcW w:w="1740" w:type="dxa"/>
            <w:vAlign w:val="bottom"/>
          </w:tcPr>
          <w:p>
            <w:pPr>
              <w:jc w:val="right"/>
              <w:ind w:right="279"/>
              <w:spacing w:after="0"/>
              <w:rPr>
                <w:sz w:val="20"/>
                <w:szCs w:val="20"/>
                <w:color w:val="auto"/>
              </w:rPr>
            </w:pPr>
            <w:r>
              <w:rPr>
                <w:rFonts w:ascii="Calibri" w:cs="Calibri" w:eastAsia="Calibri" w:hAnsi="Calibri"/>
                <w:sz w:val="16"/>
                <w:szCs w:val="16"/>
                <w:color w:val="auto"/>
              </w:rPr>
              <w:t>11,715,000</w:t>
            </w:r>
          </w:p>
        </w:tc>
        <w:tc>
          <w:tcPr>
            <w:tcW w:w="1800" w:type="dxa"/>
            <w:vAlign w:val="bottom"/>
          </w:tcPr>
          <w:p>
            <w:pPr>
              <w:jc w:val="right"/>
              <w:ind w:right="319"/>
              <w:spacing w:after="0"/>
              <w:rPr>
                <w:sz w:val="20"/>
                <w:szCs w:val="20"/>
                <w:color w:val="auto"/>
              </w:rPr>
            </w:pPr>
            <w:r>
              <w:rPr>
                <w:rFonts w:ascii="Calibri" w:cs="Calibri" w:eastAsia="Calibri" w:hAnsi="Calibri"/>
                <w:sz w:val="16"/>
                <w:szCs w:val="16"/>
                <w:color w:val="auto"/>
              </w:rPr>
              <w:t>2,928,750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4.76</w:t>
            </w:r>
          </w:p>
        </w:tc>
        <w:tc>
          <w:tcPr>
            <w:tcW w:w="1640" w:type="dxa"/>
            <w:vAlign w:val="bottom"/>
          </w:tcPr>
          <w:p>
            <w:pPr>
              <w:jc w:val="right"/>
              <w:ind w:right="79"/>
              <w:spacing w:after="0"/>
              <w:rPr>
                <w:sz w:val="20"/>
                <w:szCs w:val="20"/>
                <w:color w:val="auto"/>
              </w:rPr>
            </w:pPr>
            <w:r>
              <w:rPr>
                <w:rFonts w:ascii="Calibri" w:cs="Calibri" w:eastAsia="Calibri" w:hAnsi="Calibri"/>
                <w:sz w:val="16"/>
                <w:szCs w:val="16"/>
                <w:color w:val="auto"/>
              </w:rPr>
              <w:t>2,276</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79"/>
              <w:spacing w:after="0" w:line="192" w:lineRule="exact"/>
              <w:rPr>
                <w:sz w:val="20"/>
                <w:szCs w:val="20"/>
                <w:color w:val="auto"/>
              </w:rPr>
            </w:pPr>
            <w:r>
              <w:rPr>
                <w:rFonts w:ascii="Calibri" w:cs="Calibri" w:eastAsia="Calibri" w:hAnsi="Calibri"/>
                <w:sz w:val="16"/>
                <w:szCs w:val="16"/>
                <w:b w:val="1"/>
                <w:bCs w:val="1"/>
                <w:color w:val="auto"/>
              </w:rPr>
              <w:t>32,329,100</w:t>
            </w:r>
          </w:p>
        </w:tc>
        <w:tc>
          <w:tcPr>
            <w:tcW w:w="1800" w:type="dxa"/>
            <w:vAlign w:val="bottom"/>
            <w:tcBorders>
              <w:bottom w:val="single" w:sz="8" w:color="auto"/>
            </w:tcBorders>
          </w:tcPr>
          <w:p>
            <w:pPr>
              <w:jc w:val="right"/>
              <w:ind w:right="319"/>
              <w:spacing w:after="0" w:line="192" w:lineRule="exact"/>
              <w:rPr>
                <w:sz w:val="20"/>
                <w:szCs w:val="20"/>
                <w:color w:val="auto"/>
              </w:rPr>
            </w:pPr>
            <w:r>
              <w:rPr>
                <w:rFonts w:ascii="Calibri" w:cs="Calibri" w:eastAsia="Calibri" w:hAnsi="Calibri"/>
                <w:sz w:val="16"/>
                <w:szCs w:val="16"/>
                <w:b w:val="1"/>
                <w:bCs w:val="1"/>
                <w:color w:val="auto"/>
              </w:rPr>
              <w:t>19,789,100</w:t>
            </w:r>
          </w:p>
        </w:tc>
        <w:tc>
          <w:tcPr>
            <w:tcW w:w="1660" w:type="dxa"/>
            <w:vAlign w:val="bottom"/>
            <w:tcBorders>
              <w:bottom w:val="single" w:sz="8" w:color="auto"/>
            </w:tcBorders>
          </w:tcPr>
          <w:p>
            <w:pPr>
              <w:jc w:val="right"/>
              <w:ind w:right="199"/>
              <w:spacing w:after="0" w:line="192" w:lineRule="exact"/>
              <w:rPr>
                <w:sz w:val="20"/>
                <w:szCs w:val="20"/>
                <w:color w:val="auto"/>
              </w:rPr>
            </w:pPr>
            <w:r>
              <w:rPr>
                <w:rFonts w:ascii="Calibri" w:cs="Calibri" w:eastAsia="Calibri" w:hAnsi="Calibri"/>
                <w:sz w:val="16"/>
                <w:szCs w:val="16"/>
                <w:b w:val="1"/>
                <w:bCs w:val="1"/>
                <w:color w:val="auto"/>
              </w:rPr>
              <w:t>2.23</w:t>
            </w:r>
          </w:p>
        </w:tc>
        <w:tc>
          <w:tcPr>
            <w:tcW w:w="164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11,109</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220" w:right="20"/>
        <w:spacing w:after="0" w:line="264" w:lineRule="auto"/>
        <w:rPr>
          <w:sz w:val="20"/>
          <w:szCs w:val="20"/>
          <w:color w:val="auto"/>
        </w:rPr>
      </w:pPr>
      <w:r>
        <w:rPr>
          <w:rFonts w:ascii="Calibri" w:cs="Calibri" w:eastAsia="Calibri" w:hAnsi="Calibri"/>
          <w:sz w:val="16"/>
          <w:szCs w:val="16"/>
          <w:color w:val="auto"/>
        </w:rPr>
        <w:t>The Company recognized share-based payments expense related to the issuance of stock optons for the three months ended June 30, 2024 of $3,973 (three months ended June 30, 2023 - $1,275).</w:t>
      </w:r>
    </w:p>
    <w:p>
      <w:pPr>
        <w:spacing w:after="0" w:line="175" w:lineRule="exact"/>
        <w:rPr>
          <w:sz w:val="20"/>
          <w:szCs w:val="20"/>
          <w:color w:val="auto"/>
        </w:rPr>
      </w:pPr>
    </w:p>
    <w:p>
      <w:pPr>
        <w:ind w:left="220"/>
        <w:spacing w:after="0"/>
        <w:rPr>
          <w:sz w:val="20"/>
          <w:szCs w:val="20"/>
          <w:color w:val="auto"/>
        </w:rPr>
      </w:pPr>
      <w:r>
        <w:rPr>
          <w:rFonts w:ascii="Calibri" w:cs="Calibri" w:eastAsia="Calibri" w:hAnsi="Calibri"/>
          <w:sz w:val="15"/>
          <w:szCs w:val="15"/>
          <w:color w:val="auto"/>
        </w:rPr>
        <w:t>The outstanding optons and warrants disclosed above were ant-dilutve for the three months ended June 30, 2024 and did not impact the calculaton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15 of 23</w:t>
      </w:r>
    </w:p>
    <w:p>
      <w:pPr>
        <w:sectPr>
          <w:pgSz w:w="11900" w:h="16838" w:orient="portrait"/>
          <w:cols w:equalWidth="0" w:num="1">
            <w:col w:w="11200"/>
          </w:cols>
          <w:pgMar w:left="380" w:top="209" w:right="319" w:bottom="1440" w:gutter="0" w:footer="0" w:header="0"/>
        </w:sectPr>
      </w:pPr>
    </w:p>
    <w:bookmarkStart w:id="18" w:name="page19"/>
    <w:bookmarkEnd w:id="1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2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8.</w:t>
      </w:r>
      <w:r>
        <w:rPr>
          <w:sz w:val="20"/>
          <w:szCs w:val="20"/>
          <w:color w:val="auto"/>
        </w:rPr>
        <w:tab/>
      </w:r>
      <w:r>
        <w:rPr>
          <w:rFonts w:ascii="Calibri" w:cs="Calibri" w:eastAsia="Calibri" w:hAnsi="Calibri"/>
          <w:sz w:val="15"/>
          <w:szCs w:val="15"/>
          <w:b w:val="1"/>
          <w:bCs w:val="1"/>
          <w:color w:val="2D5F91"/>
        </w:rPr>
        <w:t>RELATED PARTY TRANSACTIONS AND BALANCES</w:t>
      </w:r>
    </w:p>
    <w:p>
      <w:pPr>
        <w:spacing w:after="0" w:line="194" w:lineRule="exact"/>
        <w:rPr>
          <w:sz w:val="20"/>
          <w:szCs w:val="20"/>
          <w:color w:val="auto"/>
        </w:rPr>
      </w:pPr>
    </w:p>
    <w:p>
      <w:pPr>
        <w:ind w:left="280"/>
        <w:spacing w:after="0" w:line="264"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Calibri" w:cs="Calibri" w:eastAsia="Calibri" w:hAnsi="Calibri"/>
                <w:sz w:val="16"/>
                <w:szCs w:val="16"/>
                <w:color w:val="auto"/>
              </w:rPr>
              <w:t>The remuneraton of key management personnel for the three months ended June 30, 2024 and 2023 are as follows:</w:t>
            </w:r>
          </w:p>
        </w:tc>
        <w:tc>
          <w:tcPr>
            <w:tcW w:w="1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7600" w:type="dxa"/>
            <w:vAlign w:val="bottom"/>
          </w:tcPr>
          <w:p>
            <w:pPr>
              <w:spacing w:after="0"/>
              <w:rPr>
                <w:sz w:val="24"/>
                <w:szCs w:val="24"/>
                <w:color w:val="auto"/>
              </w:rPr>
            </w:pPr>
          </w:p>
        </w:tc>
        <w:tc>
          <w:tcPr>
            <w:tcW w:w="2940" w:type="dxa"/>
            <w:vAlign w:val="bottom"/>
            <w:gridSpan w:val="2"/>
          </w:tcPr>
          <w:p>
            <w:pPr>
              <w:jc w:val="right"/>
              <w:ind w:right="379"/>
              <w:spacing w:after="0"/>
              <w:rPr>
                <w:sz w:val="20"/>
                <w:szCs w:val="20"/>
                <w:color w:val="auto"/>
              </w:rPr>
            </w:pPr>
            <w:r>
              <w:rPr>
                <w:rFonts w:ascii="Calibri" w:cs="Calibri" w:eastAsia="Calibri" w:hAnsi="Calibri"/>
                <w:sz w:val="16"/>
                <w:szCs w:val="16"/>
                <w:b w:val="1"/>
                <w:bCs w:val="1"/>
                <w:color w:val="auto"/>
              </w:rPr>
              <w:t>Three month period ended June 30,</w:t>
            </w:r>
          </w:p>
        </w:tc>
        <w:tc>
          <w:tcPr>
            <w:tcW w:w="0" w:type="dxa"/>
            <w:vAlign w:val="bottom"/>
          </w:tcPr>
          <w:p>
            <w:pPr>
              <w:spacing w:after="0"/>
              <w:rPr>
                <w:sz w:val="1"/>
                <w:szCs w:val="1"/>
                <w:color w:val="auto"/>
              </w:rPr>
            </w:pPr>
          </w:p>
        </w:tc>
      </w:tr>
      <w:tr>
        <w:trPr>
          <w:trHeight w:val="254"/>
        </w:trPr>
        <w:tc>
          <w:tcPr>
            <w:tcW w:w="7600" w:type="dxa"/>
            <w:vAlign w:val="bottom"/>
          </w:tcPr>
          <w:p>
            <w:pPr>
              <w:spacing w:after="0"/>
              <w:rPr>
                <w:sz w:val="22"/>
                <w:szCs w:val="22"/>
                <w:color w:val="auto"/>
              </w:rPr>
            </w:pPr>
          </w:p>
        </w:tc>
        <w:tc>
          <w:tcPr>
            <w:tcW w:w="1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2024</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314"/>
        </w:trPr>
        <w:tc>
          <w:tcPr>
            <w:tcW w:w="7600" w:type="dxa"/>
            <w:vAlign w:val="bottom"/>
          </w:tcPr>
          <w:p>
            <w:pPr>
              <w:spacing w:after="0"/>
              <w:rPr>
                <w:sz w:val="24"/>
                <w:szCs w:val="24"/>
                <w:color w:val="auto"/>
              </w:rPr>
            </w:pPr>
          </w:p>
        </w:tc>
        <w:tc>
          <w:tcPr>
            <w:tcW w:w="1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81"/>
        </w:trPr>
        <w:tc>
          <w:tcPr>
            <w:tcW w:w="76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7600" w:type="dxa"/>
            <w:vAlign w:val="bottom"/>
          </w:tcPr>
          <w:p>
            <w:pPr>
              <w:ind w:left="60"/>
              <w:spacing w:after="0" w:line="222" w:lineRule="exact"/>
              <w:rPr>
                <w:sz w:val="20"/>
                <w:szCs w:val="20"/>
                <w:color w:val="auto"/>
              </w:rPr>
            </w:pPr>
            <w:r>
              <w:rPr>
                <w:rFonts w:ascii="Calibri" w:cs="Calibri" w:eastAsia="Calibri" w:hAnsi="Calibri"/>
                <w:sz w:val="16"/>
                <w:szCs w:val="16"/>
                <w:color w:val="auto"/>
              </w:rPr>
              <w:t>Payroll, consultng and benefts</w:t>
            </w:r>
            <w:r>
              <w:rPr>
                <w:rFonts w:ascii="Calibri" w:cs="Calibri" w:eastAsia="Calibri" w:hAnsi="Calibri"/>
                <w:sz w:val="20"/>
                <w:szCs w:val="20"/>
                <w:color w:val="auto"/>
                <w:vertAlign w:val="superscript"/>
              </w:rPr>
              <w:t>(1)</w:t>
            </w:r>
          </w:p>
        </w:tc>
        <w:tc>
          <w:tcPr>
            <w:tcW w:w="1840" w:type="dxa"/>
            <w:vAlign w:val="bottom"/>
            <w:vMerge w:val="restart"/>
          </w:tcPr>
          <w:p>
            <w:pPr>
              <w:jc w:val="right"/>
              <w:ind w:right="599"/>
              <w:spacing w:after="0"/>
              <w:rPr>
                <w:sz w:val="20"/>
                <w:szCs w:val="20"/>
                <w:color w:val="auto"/>
              </w:rPr>
            </w:pPr>
            <w:r>
              <w:rPr>
                <w:rFonts w:ascii="Calibri" w:cs="Calibri" w:eastAsia="Calibri" w:hAnsi="Calibri"/>
                <w:sz w:val="16"/>
                <w:szCs w:val="16"/>
                <w:color w:val="auto"/>
              </w:rPr>
              <w:t>2,710</w:t>
            </w:r>
          </w:p>
        </w:tc>
        <w:tc>
          <w:tcPr>
            <w:tcW w:w="1100" w:type="dxa"/>
            <w:vAlign w:val="bottom"/>
            <w:vMerge w:val="restart"/>
          </w:tcPr>
          <w:p>
            <w:pPr>
              <w:jc w:val="right"/>
              <w:ind w:right="59"/>
              <w:spacing w:after="0"/>
              <w:rPr>
                <w:sz w:val="20"/>
                <w:szCs w:val="20"/>
                <w:color w:val="auto"/>
              </w:rPr>
            </w:pPr>
            <w:r>
              <w:rPr>
                <w:rFonts w:ascii="Calibri" w:cs="Calibri" w:eastAsia="Calibri" w:hAnsi="Calibri"/>
                <w:sz w:val="16"/>
                <w:szCs w:val="16"/>
                <w:color w:val="auto"/>
              </w:rPr>
              <w:t>1,284</w:t>
            </w:r>
          </w:p>
        </w:tc>
        <w:tc>
          <w:tcPr>
            <w:tcW w:w="0" w:type="dxa"/>
            <w:vAlign w:val="bottom"/>
          </w:tcPr>
          <w:p>
            <w:pPr>
              <w:spacing w:after="0"/>
              <w:rPr>
                <w:sz w:val="1"/>
                <w:szCs w:val="1"/>
                <w:color w:val="auto"/>
              </w:rPr>
            </w:pPr>
          </w:p>
        </w:tc>
      </w:tr>
      <w:tr>
        <w:trPr>
          <w:trHeight w:val="40"/>
        </w:trPr>
        <w:tc>
          <w:tcPr>
            <w:tcW w:w="76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7600" w:type="dxa"/>
            <w:vAlign w:val="bottom"/>
          </w:tcPr>
          <w:p>
            <w:pPr>
              <w:ind w:left="60"/>
              <w:spacing w:after="0"/>
              <w:rPr>
                <w:sz w:val="20"/>
                <w:szCs w:val="20"/>
                <w:color w:val="auto"/>
              </w:rPr>
            </w:pPr>
            <w:r>
              <w:rPr>
                <w:rFonts w:ascii="Calibri" w:cs="Calibri" w:eastAsia="Calibri" w:hAnsi="Calibri"/>
                <w:sz w:val="16"/>
                <w:szCs w:val="16"/>
                <w:color w:val="auto"/>
              </w:rPr>
              <w:t>Share-based compensaton</w:t>
            </w: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0" w:type="dxa"/>
            <w:vAlign w:val="bottom"/>
          </w:tcPr>
          <w:p>
            <w:pPr>
              <w:ind w:left="260"/>
              <w:spacing w:after="0"/>
              <w:rPr>
                <w:sz w:val="20"/>
                <w:szCs w:val="20"/>
                <w:color w:val="auto"/>
              </w:rPr>
            </w:pPr>
            <w:r>
              <w:rPr>
                <w:rFonts w:ascii="Calibri" w:cs="Calibri" w:eastAsia="Calibri" w:hAnsi="Calibri"/>
                <w:sz w:val="16"/>
                <w:szCs w:val="16"/>
                <w:color w:val="auto"/>
              </w:rPr>
              <w:t>Optons</w:t>
            </w:r>
          </w:p>
        </w:tc>
        <w:tc>
          <w:tcPr>
            <w:tcW w:w="1840" w:type="dxa"/>
            <w:vAlign w:val="bottom"/>
          </w:tcPr>
          <w:p>
            <w:pPr>
              <w:jc w:val="right"/>
              <w:ind w:right="599"/>
              <w:spacing w:after="0"/>
              <w:rPr>
                <w:sz w:val="20"/>
                <w:szCs w:val="20"/>
                <w:color w:val="auto"/>
              </w:rPr>
            </w:pPr>
            <w:r>
              <w:rPr>
                <w:rFonts w:ascii="Calibri" w:cs="Calibri" w:eastAsia="Calibri" w:hAnsi="Calibri"/>
                <w:sz w:val="16"/>
                <w:szCs w:val="16"/>
                <w:color w:val="auto"/>
              </w:rPr>
              <w:t>915</w:t>
            </w:r>
          </w:p>
        </w:tc>
        <w:tc>
          <w:tcPr>
            <w:tcW w:w="1100" w:type="dxa"/>
            <w:vAlign w:val="bottom"/>
          </w:tcPr>
          <w:p>
            <w:pPr>
              <w:jc w:val="right"/>
              <w:ind w:right="59"/>
              <w:spacing w:after="0"/>
              <w:rPr>
                <w:sz w:val="20"/>
                <w:szCs w:val="20"/>
                <w:color w:val="auto"/>
              </w:rPr>
            </w:pPr>
            <w:r>
              <w:rPr>
                <w:rFonts w:ascii="Calibri" w:cs="Calibri" w:eastAsia="Calibri" w:hAnsi="Calibri"/>
                <w:sz w:val="16"/>
                <w:szCs w:val="16"/>
                <w:color w:val="auto"/>
              </w:rPr>
              <w:t>305</w:t>
            </w:r>
          </w:p>
        </w:tc>
        <w:tc>
          <w:tcPr>
            <w:tcW w:w="0" w:type="dxa"/>
            <w:vAlign w:val="bottom"/>
          </w:tcPr>
          <w:p>
            <w:pPr>
              <w:spacing w:after="0"/>
              <w:rPr>
                <w:sz w:val="1"/>
                <w:szCs w:val="1"/>
                <w:color w:val="auto"/>
              </w:rPr>
            </w:pPr>
          </w:p>
        </w:tc>
      </w:tr>
      <w:tr>
        <w:trPr>
          <w:trHeight w:val="206"/>
        </w:trPr>
        <w:tc>
          <w:tcPr>
            <w:tcW w:w="7600" w:type="dxa"/>
            <w:vAlign w:val="bottom"/>
          </w:tcPr>
          <w:p>
            <w:pPr>
              <w:ind w:left="260"/>
              <w:spacing w:after="0"/>
              <w:rPr>
                <w:sz w:val="20"/>
                <w:szCs w:val="20"/>
                <w:color w:val="auto"/>
              </w:rPr>
            </w:pPr>
            <w:r>
              <w:rPr>
                <w:rFonts w:ascii="Calibri" w:cs="Calibri" w:eastAsia="Calibri" w:hAnsi="Calibri"/>
                <w:sz w:val="16"/>
                <w:szCs w:val="16"/>
                <w:color w:val="auto"/>
              </w:rPr>
              <w:t>Warrants</w:t>
            </w:r>
          </w:p>
        </w:tc>
        <w:tc>
          <w:tcPr>
            <w:tcW w:w="1840" w:type="dxa"/>
            <w:vAlign w:val="bottom"/>
          </w:tcPr>
          <w:p>
            <w:pPr>
              <w:jc w:val="right"/>
              <w:ind w:right="599"/>
              <w:spacing w:after="0"/>
              <w:rPr>
                <w:sz w:val="20"/>
                <w:szCs w:val="20"/>
                <w:color w:val="auto"/>
              </w:rPr>
            </w:pPr>
            <w:r>
              <w:rPr>
                <w:rFonts w:ascii="Calibri" w:cs="Calibri" w:eastAsia="Calibri" w:hAnsi="Calibri"/>
                <w:sz w:val="16"/>
                <w:szCs w:val="16"/>
                <w:color w:val="auto"/>
              </w:rPr>
              <w:t>—</w:t>
            </w:r>
          </w:p>
        </w:tc>
        <w:tc>
          <w:tcPr>
            <w:tcW w:w="1100" w:type="dxa"/>
            <w:vAlign w:val="bottom"/>
          </w:tcPr>
          <w:p>
            <w:pPr>
              <w:jc w:val="right"/>
              <w:ind w:right="5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60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1840" w:type="dxa"/>
            <w:vAlign w:val="bottom"/>
            <w:tcBorders>
              <w:bottom w:val="single" w:sz="8" w:color="auto"/>
            </w:tcBorders>
          </w:tcPr>
          <w:p>
            <w:pPr>
              <w:jc w:val="right"/>
              <w:ind w:right="599"/>
              <w:spacing w:after="0" w:line="192" w:lineRule="exact"/>
              <w:rPr>
                <w:sz w:val="20"/>
                <w:szCs w:val="20"/>
                <w:color w:val="auto"/>
              </w:rPr>
            </w:pPr>
            <w:r>
              <w:rPr>
                <w:rFonts w:ascii="Calibri" w:cs="Calibri" w:eastAsia="Calibri" w:hAnsi="Calibri"/>
                <w:sz w:val="16"/>
                <w:szCs w:val="16"/>
                <w:b w:val="1"/>
                <w:bCs w:val="1"/>
                <w:color w:val="auto"/>
              </w:rPr>
              <w:t>3,625</w:t>
            </w:r>
          </w:p>
        </w:tc>
        <w:tc>
          <w:tcPr>
            <w:tcW w:w="110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1,589</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80" w:right="20" w:hanging="293"/>
        <w:spacing w:after="0" w:line="255" w:lineRule="auto"/>
        <w:tabs>
          <w:tab w:leader="none" w:pos="572" w:val="left"/>
        </w:tabs>
        <w:numPr>
          <w:ilvl w:val="0"/>
          <w:numId w:val="5"/>
        </w:numPr>
        <w:rPr>
          <w:rFonts w:ascii="Calibri" w:cs="Calibri" w:eastAsia="Calibri" w:hAnsi="Calibri"/>
          <w:sz w:val="15"/>
          <w:szCs w:val="15"/>
          <w:i w:val="1"/>
          <w:iCs w:val="1"/>
          <w:color w:val="auto"/>
        </w:rPr>
      </w:pPr>
      <w:r>
        <w:rPr>
          <w:rFonts w:ascii="Calibri" w:cs="Calibri" w:eastAsia="Calibri" w:hAnsi="Calibri"/>
          <w:sz w:val="15"/>
          <w:szCs w:val="15"/>
          <w:i w:val="1"/>
          <w:iCs w:val="1"/>
          <w:color w:val="auto"/>
        </w:rPr>
        <w:t>For the three months ended on June 30, 2024, includes $</w:t>
      </w:r>
      <w:r>
        <w:rPr>
          <w:rFonts w:ascii="Calibri" w:cs="Calibri" w:eastAsia="Calibri" w:hAnsi="Calibri"/>
          <w:sz w:val="15"/>
          <w:szCs w:val="15"/>
          <w:color w:val="auto"/>
        </w:rPr>
        <w:t>2,286</w:t>
      </w:r>
      <w:r>
        <w:rPr>
          <w:rFonts w:ascii="Calibri" w:cs="Calibri" w:eastAsia="Calibri" w:hAnsi="Calibri"/>
          <w:sz w:val="15"/>
          <w:szCs w:val="15"/>
          <w:i w:val="1"/>
          <w:iCs w:val="1"/>
          <w:color w:val="auto"/>
        </w:rPr>
        <w:t xml:space="preserve"> presented in the consolidated statement of loss and comprehensive loss as a part of “General and administratve costs” and $</w:t>
      </w:r>
      <w:r>
        <w:rPr>
          <w:rFonts w:ascii="Calibri" w:cs="Calibri" w:eastAsia="Calibri" w:hAnsi="Calibri"/>
          <w:sz w:val="15"/>
          <w:szCs w:val="15"/>
          <w:color w:val="auto"/>
        </w:rPr>
        <w:t>424</w:t>
      </w:r>
      <w:r>
        <w:rPr>
          <w:rFonts w:ascii="Calibri" w:cs="Calibri" w:eastAsia="Calibri" w:hAnsi="Calibri"/>
          <w:sz w:val="15"/>
          <w:szCs w:val="15"/>
          <w:i w:val="1"/>
          <w:iCs w:val="1"/>
          <w:color w:val="auto"/>
        </w:rPr>
        <w:t xml:space="preserve"> presented in the consolidated statement of loss and comprehensive loss as a part of “Research”.</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560" w:type="dxa"/>
            <w:vAlign w:val="bottom"/>
          </w:tcPr>
          <w:p>
            <w:pPr>
              <w:ind w:left="60"/>
              <w:spacing w:after="0"/>
              <w:rPr>
                <w:sz w:val="20"/>
                <w:szCs w:val="20"/>
                <w:color w:val="auto"/>
              </w:rPr>
            </w:pPr>
            <w:r>
              <w:rPr>
                <w:rFonts w:ascii="Calibri" w:cs="Calibri" w:eastAsia="Calibri" w:hAnsi="Calibri"/>
                <w:sz w:val="16"/>
                <w:szCs w:val="16"/>
                <w:b w:val="1"/>
                <w:bCs w:val="1"/>
                <w:color w:val="2D5F91"/>
              </w:rPr>
              <w:t>9.  GENERAL AND ADMINISTRATIVE EXPENSES</w:t>
            </w:r>
          </w:p>
        </w:tc>
        <w:tc>
          <w:tcPr>
            <w:tcW w:w="2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7560" w:type="dxa"/>
            <w:vAlign w:val="bottom"/>
          </w:tcPr>
          <w:p>
            <w:pPr>
              <w:spacing w:after="0"/>
              <w:rPr>
                <w:sz w:val="21"/>
                <w:szCs w:val="21"/>
                <w:color w:val="auto"/>
              </w:rPr>
            </w:pPr>
          </w:p>
        </w:tc>
        <w:tc>
          <w:tcPr>
            <w:tcW w:w="3300" w:type="dxa"/>
            <w:vAlign w:val="bottom"/>
            <w:gridSpan w:val="2"/>
          </w:tcPr>
          <w:p>
            <w:pPr>
              <w:jc w:val="right"/>
              <w:ind w:right="399"/>
              <w:spacing w:after="0"/>
              <w:rPr>
                <w:sz w:val="20"/>
                <w:szCs w:val="20"/>
                <w:color w:val="auto"/>
              </w:rPr>
            </w:pPr>
            <w:r>
              <w:rPr>
                <w:rFonts w:ascii="Calibri" w:cs="Calibri" w:eastAsia="Calibri" w:hAnsi="Calibri"/>
                <w:sz w:val="16"/>
                <w:szCs w:val="16"/>
                <w:b w:val="1"/>
                <w:bCs w:val="1"/>
                <w:color w:val="auto"/>
              </w:rPr>
              <w:t>Three month period ended June 30,</w:t>
            </w:r>
          </w:p>
        </w:tc>
      </w:tr>
      <w:tr>
        <w:trPr>
          <w:trHeight w:val="20"/>
        </w:trPr>
        <w:tc>
          <w:tcPr>
            <w:tcW w:w="75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3"/>
        </w:trPr>
        <w:tc>
          <w:tcPr>
            <w:tcW w:w="7560" w:type="dxa"/>
            <w:vAlign w:val="bottom"/>
          </w:tcPr>
          <w:p>
            <w:pPr>
              <w:spacing w:after="0"/>
              <w:rPr>
                <w:sz w:val="18"/>
                <w:szCs w:val="18"/>
                <w:color w:val="auto"/>
              </w:rPr>
            </w:pPr>
          </w:p>
        </w:tc>
        <w:tc>
          <w:tcPr>
            <w:tcW w:w="21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2024</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r>
      <w:tr>
        <w:trPr>
          <w:trHeight w:val="314"/>
        </w:trPr>
        <w:tc>
          <w:tcPr>
            <w:tcW w:w="7560" w:type="dxa"/>
            <w:vAlign w:val="bottom"/>
          </w:tcPr>
          <w:p>
            <w:pPr>
              <w:spacing w:after="0"/>
              <w:rPr>
                <w:sz w:val="24"/>
                <w:szCs w:val="24"/>
                <w:color w:val="auto"/>
              </w:rPr>
            </w:pPr>
          </w:p>
        </w:tc>
        <w:tc>
          <w:tcPr>
            <w:tcW w:w="21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69"/>
        </w:trPr>
        <w:tc>
          <w:tcPr>
            <w:tcW w:w="756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85"/>
        </w:trPr>
        <w:tc>
          <w:tcPr>
            <w:tcW w:w="7560" w:type="dxa"/>
            <w:vAlign w:val="bottom"/>
          </w:tcPr>
          <w:p>
            <w:pPr>
              <w:ind w:left="20"/>
              <w:spacing w:after="0" w:line="185" w:lineRule="exact"/>
              <w:rPr>
                <w:sz w:val="20"/>
                <w:szCs w:val="20"/>
                <w:color w:val="auto"/>
              </w:rPr>
            </w:pPr>
            <w:r>
              <w:rPr>
                <w:rFonts w:ascii="Calibri" w:cs="Calibri" w:eastAsia="Calibri" w:hAnsi="Calibri"/>
                <w:sz w:val="16"/>
                <w:szCs w:val="16"/>
                <w:color w:val="auto"/>
              </w:rPr>
              <w:t>Payroll, consultng and benefts</w:t>
            </w:r>
          </w:p>
        </w:tc>
        <w:tc>
          <w:tcPr>
            <w:tcW w:w="2180" w:type="dxa"/>
            <w:vAlign w:val="bottom"/>
          </w:tcPr>
          <w:p>
            <w:pPr>
              <w:jc w:val="right"/>
              <w:ind w:right="599"/>
              <w:spacing w:after="0" w:line="185" w:lineRule="exact"/>
              <w:rPr>
                <w:sz w:val="20"/>
                <w:szCs w:val="20"/>
                <w:color w:val="auto"/>
              </w:rPr>
            </w:pPr>
            <w:r>
              <w:rPr>
                <w:rFonts w:ascii="Calibri" w:cs="Calibri" w:eastAsia="Calibri" w:hAnsi="Calibri"/>
                <w:sz w:val="16"/>
                <w:szCs w:val="16"/>
                <w:color w:val="auto"/>
              </w:rPr>
              <w:t>3,022</w:t>
            </w:r>
          </w:p>
        </w:tc>
        <w:tc>
          <w:tcPr>
            <w:tcW w:w="112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1,449</w:t>
            </w:r>
          </w:p>
        </w:tc>
      </w:tr>
      <w:tr>
        <w:trPr>
          <w:trHeight w:val="198"/>
        </w:trPr>
        <w:tc>
          <w:tcPr>
            <w:tcW w:w="7560" w:type="dxa"/>
            <w:vAlign w:val="bottom"/>
          </w:tcPr>
          <w:p>
            <w:pPr>
              <w:ind w:left="20"/>
              <w:spacing w:after="0"/>
              <w:rPr>
                <w:sz w:val="20"/>
                <w:szCs w:val="20"/>
                <w:color w:val="auto"/>
              </w:rPr>
            </w:pPr>
            <w:r>
              <w:rPr>
                <w:rFonts w:ascii="Calibri" w:cs="Calibri" w:eastAsia="Calibri" w:hAnsi="Calibri"/>
                <w:sz w:val="16"/>
                <w:szCs w:val="16"/>
                <w:color w:val="auto"/>
              </w:rPr>
              <w:t>Capital market</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2,607</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2,161</w:t>
            </w:r>
          </w:p>
        </w:tc>
      </w:tr>
      <w:tr>
        <w:trPr>
          <w:trHeight w:val="206"/>
        </w:trPr>
        <w:tc>
          <w:tcPr>
            <w:tcW w:w="7560" w:type="dxa"/>
            <w:vAlign w:val="bottom"/>
          </w:tcPr>
          <w:p>
            <w:pPr>
              <w:ind w:left="20"/>
              <w:spacing w:after="0"/>
              <w:rPr>
                <w:sz w:val="20"/>
                <w:szCs w:val="20"/>
                <w:color w:val="auto"/>
              </w:rPr>
            </w:pPr>
            <w:r>
              <w:rPr>
                <w:rFonts w:ascii="Calibri" w:cs="Calibri" w:eastAsia="Calibri" w:hAnsi="Calibri"/>
                <w:sz w:val="16"/>
                <w:szCs w:val="16"/>
                <w:color w:val="auto"/>
              </w:rPr>
              <w:t>Ofce and administraton</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767</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608</w:t>
            </w:r>
          </w:p>
        </w:tc>
      </w:tr>
      <w:tr>
        <w:trPr>
          <w:trHeight w:val="206"/>
        </w:trPr>
        <w:tc>
          <w:tcPr>
            <w:tcW w:w="756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629</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418</w:t>
            </w:r>
          </w:p>
        </w:tc>
      </w:tr>
      <w:tr>
        <w:trPr>
          <w:trHeight w:val="206"/>
        </w:trPr>
        <w:tc>
          <w:tcPr>
            <w:tcW w:w="7560" w:type="dxa"/>
            <w:vAlign w:val="bottom"/>
          </w:tcPr>
          <w:p>
            <w:pPr>
              <w:ind w:left="20"/>
              <w:spacing w:after="0"/>
              <w:rPr>
                <w:sz w:val="20"/>
                <w:szCs w:val="20"/>
                <w:color w:val="auto"/>
              </w:rPr>
            </w:pPr>
            <w:r>
              <w:rPr>
                <w:rFonts w:ascii="Calibri" w:cs="Calibri" w:eastAsia="Calibri" w:hAnsi="Calibri"/>
                <w:sz w:val="16"/>
                <w:szCs w:val="16"/>
                <w:color w:val="auto"/>
              </w:rPr>
              <w:t>Investor relatons</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511</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126</w:t>
            </w:r>
          </w:p>
        </w:tc>
      </w:tr>
      <w:tr>
        <w:trPr>
          <w:trHeight w:val="206"/>
        </w:trPr>
        <w:tc>
          <w:tcPr>
            <w:tcW w:w="7560" w:type="dxa"/>
            <w:vAlign w:val="bottom"/>
          </w:tcPr>
          <w:p>
            <w:pPr>
              <w:ind w:left="20"/>
              <w:spacing w:after="0"/>
              <w:rPr>
                <w:sz w:val="20"/>
                <w:szCs w:val="20"/>
                <w:color w:val="auto"/>
              </w:rPr>
            </w:pPr>
            <w:r>
              <w:rPr>
                <w:rFonts w:ascii="Calibri" w:cs="Calibri" w:eastAsia="Calibri" w:hAnsi="Calibri"/>
                <w:sz w:val="16"/>
                <w:szCs w:val="16"/>
                <w:color w:val="auto"/>
              </w:rPr>
              <w:t>Marketng media</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31</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12</w:t>
            </w:r>
          </w:p>
        </w:tc>
      </w:tr>
      <w:tr>
        <w:trPr>
          <w:trHeight w:val="206"/>
        </w:trPr>
        <w:tc>
          <w:tcPr>
            <w:tcW w:w="7560" w:type="dxa"/>
            <w:vAlign w:val="bottom"/>
          </w:tcPr>
          <w:p>
            <w:pPr>
              <w:ind w:left="20"/>
              <w:spacing w:after="0"/>
              <w:rPr>
                <w:sz w:val="20"/>
                <w:szCs w:val="20"/>
                <w:color w:val="auto"/>
              </w:rPr>
            </w:pPr>
            <w:r>
              <w:rPr>
                <w:rFonts w:ascii="Calibri" w:cs="Calibri" w:eastAsia="Calibri" w:hAnsi="Calibri"/>
                <w:sz w:val="16"/>
                <w:szCs w:val="16"/>
                <w:color w:val="auto"/>
              </w:rPr>
              <w:t>Business development</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635</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203</w:t>
            </w:r>
          </w:p>
        </w:tc>
      </w:tr>
      <w:tr>
        <w:trPr>
          <w:trHeight w:val="206"/>
        </w:trPr>
        <w:tc>
          <w:tcPr>
            <w:tcW w:w="7560" w:type="dxa"/>
            <w:vAlign w:val="bottom"/>
          </w:tcPr>
          <w:p>
            <w:pPr>
              <w:ind w:left="20"/>
              <w:spacing w:after="0"/>
              <w:rPr>
                <w:sz w:val="20"/>
                <w:szCs w:val="20"/>
                <w:color w:val="auto"/>
              </w:rPr>
            </w:pPr>
            <w:r>
              <w:rPr>
                <w:rFonts w:ascii="Calibri" w:cs="Calibri" w:eastAsia="Calibri" w:hAnsi="Calibri"/>
                <w:sz w:val="16"/>
                <w:szCs w:val="16"/>
                <w:color w:val="auto"/>
              </w:rPr>
              <w:t>Listng fees</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101</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71</w:t>
            </w: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1"/>
        </w:trPr>
        <w:tc>
          <w:tcPr>
            <w:tcW w:w="75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18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b w:val="1"/>
                <w:bCs w:val="1"/>
                <w:color w:val="auto"/>
              </w:rPr>
              <w:t>8,303</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5,048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16 of 23</w:t>
      </w:r>
    </w:p>
    <w:p>
      <w:pPr>
        <w:sectPr>
          <w:pgSz w:w="11900" w:h="16838" w:orient="portrait"/>
          <w:cols w:equalWidth="0" w:num="1">
            <w:col w:w="11260"/>
          </w:cols>
          <w:pgMar w:left="320" w:top="209" w:right="319" w:bottom="1440" w:gutter="0" w:footer="0" w:header="0"/>
        </w:sectPr>
      </w:pPr>
    </w:p>
    <w:bookmarkStart w:id="19" w:name="page20"/>
    <w:bookmarkEnd w:id="1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gridSpan w:val="2"/>
          </w:tcPr>
          <w:p>
            <w:pPr>
              <w:spacing w:after="0"/>
              <w:rPr>
                <w:sz w:val="20"/>
                <w:szCs w:val="20"/>
                <w:color w:val="auto"/>
              </w:rPr>
            </w:pPr>
            <w:r>
              <w:rPr>
                <w:rFonts w:ascii="Calibri" w:cs="Calibri" w:eastAsia="Calibri" w:hAnsi="Calibri"/>
                <w:sz w:val="16"/>
                <w:szCs w:val="16"/>
                <w:b w:val="1"/>
                <w:bCs w:val="1"/>
                <w:color w:val="2D5F91"/>
              </w:rPr>
              <w:t>10.  RESEARCH EXPENSES</w:t>
            </w:r>
          </w:p>
        </w:tc>
        <w:tc>
          <w:tcPr>
            <w:tcW w:w="2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7"/>
        </w:trPr>
        <w:tc>
          <w:tcPr>
            <w:tcW w:w="2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3300" w:type="dxa"/>
            <w:vAlign w:val="bottom"/>
            <w:gridSpan w:val="2"/>
          </w:tcPr>
          <w:p>
            <w:pPr>
              <w:jc w:val="right"/>
              <w:ind w:right="399"/>
              <w:spacing w:after="0"/>
              <w:rPr>
                <w:sz w:val="20"/>
                <w:szCs w:val="20"/>
                <w:color w:val="auto"/>
              </w:rPr>
            </w:pPr>
            <w:r>
              <w:rPr>
                <w:rFonts w:ascii="Calibri" w:cs="Calibri" w:eastAsia="Calibri" w:hAnsi="Calibri"/>
                <w:sz w:val="16"/>
                <w:szCs w:val="16"/>
                <w:b w:val="1"/>
                <w:bCs w:val="1"/>
                <w:color w:val="auto"/>
              </w:rPr>
              <w:t>Three month period ended June 30,</w:t>
            </w:r>
          </w:p>
        </w:tc>
      </w:tr>
      <w:tr>
        <w:trPr>
          <w:trHeight w:val="20"/>
        </w:trPr>
        <w:tc>
          <w:tcPr>
            <w:tcW w:w="2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3"/>
        </w:trPr>
        <w:tc>
          <w:tcPr>
            <w:tcW w:w="2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1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2024</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r>
      <w:tr>
        <w:trPr>
          <w:trHeight w:val="302"/>
        </w:trPr>
        <w:tc>
          <w:tcPr>
            <w:tcW w:w="2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1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81"/>
        </w:trPr>
        <w:tc>
          <w:tcPr>
            <w:tcW w:w="220" w:type="dxa"/>
            <w:vAlign w:val="bottom"/>
          </w:tcPr>
          <w:p>
            <w:pPr>
              <w:spacing w:after="0"/>
              <w:rPr>
                <w:sz w:val="7"/>
                <w:szCs w:val="7"/>
                <w:color w:val="auto"/>
              </w:rPr>
            </w:pPr>
          </w:p>
        </w:tc>
        <w:tc>
          <w:tcPr>
            <w:tcW w:w="768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185"/>
        </w:trPr>
        <w:tc>
          <w:tcPr>
            <w:tcW w:w="220" w:type="dxa"/>
            <w:vAlign w:val="bottom"/>
          </w:tcPr>
          <w:p>
            <w:pPr>
              <w:spacing w:after="0"/>
              <w:rPr>
                <w:sz w:val="16"/>
                <w:szCs w:val="16"/>
                <w:color w:val="auto"/>
              </w:rPr>
            </w:pPr>
          </w:p>
        </w:tc>
        <w:tc>
          <w:tcPr>
            <w:tcW w:w="7680" w:type="dxa"/>
            <w:vAlign w:val="bottom"/>
          </w:tcPr>
          <w:p>
            <w:pPr>
              <w:ind w:left="20"/>
              <w:spacing w:after="0" w:line="185" w:lineRule="exact"/>
              <w:rPr>
                <w:sz w:val="20"/>
                <w:szCs w:val="20"/>
                <w:color w:val="auto"/>
              </w:rPr>
            </w:pPr>
            <w:r>
              <w:rPr>
                <w:rFonts w:ascii="Calibri" w:cs="Calibri" w:eastAsia="Calibri" w:hAnsi="Calibri"/>
                <w:sz w:val="16"/>
                <w:szCs w:val="16"/>
                <w:color w:val="auto"/>
              </w:rPr>
              <w:t>Advancement of development programs</w:t>
            </w:r>
          </w:p>
        </w:tc>
        <w:tc>
          <w:tcPr>
            <w:tcW w:w="2180" w:type="dxa"/>
            <w:vAlign w:val="bottom"/>
          </w:tcPr>
          <w:p>
            <w:pPr>
              <w:jc w:val="right"/>
              <w:ind w:right="599"/>
              <w:spacing w:after="0" w:line="185" w:lineRule="exact"/>
              <w:rPr>
                <w:sz w:val="20"/>
                <w:szCs w:val="20"/>
                <w:color w:val="auto"/>
              </w:rPr>
            </w:pPr>
            <w:r>
              <w:rPr>
                <w:rFonts w:ascii="Calibri" w:cs="Calibri" w:eastAsia="Calibri" w:hAnsi="Calibri"/>
                <w:sz w:val="16"/>
                <w:szCs w:val="16"/>
                <w:color w:val="auto"/>
              </w:rPr>
              <w:t>4,632</w:t>
            </w:r>
          </w:p>
        </w:tc>
        <w:tc>
          <w:tcPr>
            <w:tcW w:w="112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4,405</w:t>
            </w:r>
          </w:p>
        </w:tc>
      </w:tr>
      <w:tr>
        <w:trPr>
          <w:trHeight w:val="198"/>
        </w:trPr>
        <w:tc>
          <w:tcPr>
            <w:tcW w:w="220" w:type="dxa"/>
            <w:vAlign w:val="bottom"/>
          </w:tcPr>
          <w:p>
            <w:pPr>
              <w:spacing w:after="0"/>
              <w:rPr>
                <w:sz w:val="17"/>
                <w:szCs w:val="17"/>
                <w:color w:val="auto"/>
              </w:rPr>
            </w:pPr>
          </w:p>
        </w:tc>
        <w:tc>
          <w:tcPr>
            <w:tcW w:w="7680" w:type="dxa"/>
            <w:vAlign w:val="bottom"/>
          </w:tcPr>
          <w:p>
            <w:pPr>
              <w:ind w:left="20"/>
              <w:spacing w:after="0"/>
              <w:rPr>
                <w:sz w:val="20"/>
                <w:szCs w:val="20"/>
                <w:color w:val="auto"/>
              </w:rPr>
            </w:pPr>
            <w:r>
              <w:rPr>
                <w:rFonts w:ascii="Calibri" w:cs="Calibri" w:eastAsia="Calibri" w:hAnsi="Calibri"/>
                <w:sz w:val="16"/>
                <w:szCs w:val="16"/>
                <w:color w:val="auto"/>
              </w:rPr>
              <w:t>Payroll and benefts</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2,949</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1,679</w:t>
            </w:r>
          </w:p>
        </w:tc>
      </w:tr>
      <w:tr>
        <w:trPr>
          <w:trHeight w:val="206"/>
        </w:trPr>
        <w:tc>
          <w:tcPr>
            <w:tcW w:w="220" w:type="dxa"/>
            <w:vAlign w:val="bottom"/>
          </w:tcPr>
          <w:p>
            <w:pPr>
              <w:spacing w:after="0"/>
              <w:rPr>
                <w:sz w:val="17"/>
                <w:szCs w:val="17"/>
                <w:color w:val="auto"/>
              </w:rPr>
            </w:pPr>
          </w:p>
        </w:tc>
        <w:tc>
          <w:tcPr>
            <w:tcW w:w="768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292</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208</w:t>
            </w:r>
          </w:p>
        </w:tc>
      </w:tr>
      <w:tr>
        <w:trPr>
          <w:trHeight w:val="206"/>
        </w:trPr>
        <w:tc>
          <w:tcPr>
            <w:tcW w:w="220" w:type="dxa"/>
            <w:vAlign w:val="bottom"/>
          </w:tcPr>
          <w:p>
            <w:pPr>
              <w:spacing w:after="0"/>
              <w:rPr>
                <w:sz w:val="17"/>
                <w:szCs w:val="17"/>
                <w:color w:val="auto"/>
              </w:rPr>
            </w:pPr>
          </w:p>
        </w:tc>
        <w:tc>
          <w:tcPr>
            <w:tcW w:w="7680" w:type="dxa"/>
            <w:vAlign w:val="bottom"/>
          </w:tcPr>
          <w:p>
            <w:pPr>
              <w:ind w:left="20"/>
              <w:spacing w:after="0"/>
              <w:rPr>
                <w:sz w:val="20"/>
                <w:szCs w:val="20"/>
                <w:color w:val="auto"/>
              </w:rPr>
            </w:pPr>
            <w:r>
              <w:rPr>
                <w:rFonts w:ascii="Calibri" w:cs="Calibri" w:eastAsia="Calibri" w:hAnsi="Calibri"/>
                <w:sz w:val="16"/>
                <w:szCs w:val="16"/>
                <w:color w:val="auto"/>
              </w:rPr>
              <w:t>Lab and administraton</w:t>
            </w:r>
          </w:p>
        </w:tc>
        <w:tc>
          <w:tcPr>
            <w:tcW w:w="2180" w:type="dxa"/>
            <w:vAlign w:val="bottom"/>
          </w:tcPr>
          <w:p>
            <w:pPr>
              <w:jc w:val="right"/>
              <w:ind w:right="599"/>
              <w:spacing w:after="0"/>
              <w:rPr>
                <w:sz w:val="20"/>
                <w:szCs w:val="20"/>
                <w:color w:val="auto"/>
              </w:rPr>
            </w:pPr>
            <w:r>
              <w:rPr>
                <w:rFonts w:ascii="Calibri" w:cs="Calibri" w:eastAsia="Calibri" w:hAnsi="Calibri"/>
                <w:sz w:val="16"/>
                <w:szCs w:val="16"/>
                <w:color w:val="auto"/>
              </w:rPr>
              <w:t>168</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92</w:t>
            </w:r>
          </w:p>
        </w:tc>
      </w:tr>
      <w:tr>
        <w:trPr>
          <w:trHeight w:val="20"/>
        </w:trPr>
        <w:tc>
          <w:tcPr>
            <w:tcW w:w="220" w:type="dxa"/>
            <w:vAlign w:val="bottom"/>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1"/>
        </w:trPr>
        <w:tc>
          <w:tcPr>
            <w:tcW w:w="220" w:type="dxa"/>
            <w:vAlign w:val="bottom"/>
          </w:tcPr>
          <w:p>
            <w:pPr>
              <w:spacing w:after="0"/>
              <w:rPr>
                <w:sz w:val="16"/>
                <w:szCs w:val="16"/>
                <w:color w:val="auto"/>
              </w:rPr>
            </w:pPr>
          </w:p>
        </w:tc>
        <w:tc>
          <w:tcPr>
            <w:tcW w:w="768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18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8,041</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6,384</w:t>
            </w:r>
          </w:p>
        </w:tc>
      </w:tr>
    </w:tbl>
    <w:p>
      <w:pPr>
        <w:spacing w:after="0" w:line="200" w:lineRule="exact"/>
        <w:rPr>
          <w:sz w:val="20"/>
          <w:szCs w:val="20"/>
          <w:color w:val="auto"/>
        </w:rPr>
      </w:pPr>
    </w:p>
    <w:p>
      <w:pPr>
        <w:spacing w:after="0" w:line="249"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11.</w:t>
      </w:r>
      <w:r>
        <w:rPr>
          <w:sz w:val="20"/>
          <w:szCs w:val="20"/>
          <w:color w:val="auto"/>
        </w:rPr>
        <w:tab/>
      </w:r>
      <w:r>
        <w:rPr>
          <w:rFonts w:ascii="Calibri" w:cs="Calibri" w:eastAsia="Calibri" w:hAnsi="Calibri"/>
          <w:sz w:val="15"/>
          <w:szCs w:val="15"/>
          <w:b w:val="1"/>
          <w:bCs w:val="1"/>
          <w:color w:val="2D5F91"/>
        </w:rPr>
        <w:t>CONTRACTS, COMMITMENTS AND CONTINGENCIES</w:t>
      </w:r>
    </w:p>
    <w:p>
      <w:pPr>
        <w:spacing w:after="0" w:line="194" w:lineRule="exact"/>
        <w:rPr>
          <w:sz w:val="20"/>
          <w:szCs w:val="20"/>
          <w:color w:val="auto"/>
        </w:rPr>
      </w:pPr>
    </w:p>
    <w:p>
      <w:pPr>
        <w:jc w:val="both"/>
        <w:ind w:left="280" w:right="20"/>
        <w:spacing w:after="0" w:line="271" w:lineRule="auto"/>
        <w:rPr>
          <w:sz w:val="20"/>
          <w:szCs w:val="20"/>
          <w:color w:val="auto"/>
        </w:rPr>
      </w:pPr>
      <w:r>
        <w:rPr>
          <w:rFonts w:ascii="Calibri" w:cs="Calibri" w:eastAsia="Calibri" w:hAnsi="Calibri"/>
          <w:sz w:val="16"/>
          <w:szCs w:val="16"/>
          <w:color w:val="auto"/>
        </w:rPr>
        <w:t>As at June 30, 2024, the Company had entered into agreements for various studies which may require the Company to spend up to an additonal $18,197. The Company expects to pay this amount within the 12 months ending June 30, 2025,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70" w:lineRule="exact"/>
        <w:rPr>
          <w:sz w:val="20"/>
          <w:szCs w:val="20"/>
          <w:color w:val="auto"/>
        </w:rPr>
      </w:pPr>
    </w:p>
    <w:p>
      <w:pPr>
        <w:jc w:val="both"/>
        <w:ind w:left="280" w:right="20"/>
        <w:spacing w:after="0" w:line="274" w:lineRule="auto"/>
        <w:rPr>
          <w:sz w:val="20"/>
          <w:szCs w:val="20"/>
          <w:color w:val="auto"/>
        </w:rPr>
      </w:pPr>
      <w:r>
        <w:rPr>
          <w:rFonts w:ascii="Calibri" w:cs="Calibri" w:eastAsia="Calibri" w:hAnsi="Calibri"/>
          <w:sz w:val="16"/>
          <w:szCs w:val="16"/>
          <w:color w:val="auto"/>
        </w:rPr>
        <w:t>In additon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completon of certain milestones contemplated in the exclusive license, the Company may have to pay additonal consideraton of up to $12,844 (US$9,500). At the sole discreton of Cybin, the milestones may be paid in cash or in Common Shares, or a combinaton thereof, subject to the approval of Cboe.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168"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168"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In the normal course of business, the Company may be subject to legal proceedings and claims. As at June 30, 2024, there was no ongoing litgaton and therefore no contngent liabilites have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17 of 23</w:t>
      </w:r>
    </w:p>
    <w:p>
      <w:pPr>
        <w:sectPr>
          <w:pgSz w:w="11900" w:h="16838" w:orient="portrait"/>
          <w:cols w:equalWidth="0" w:num="1">
            <w:col w:w="11260"/>
          </w:cols>
          <w:pgMar w:left="320" w:top="209" w:right="319" w:bottom="1440" w:gutter="0" w:footer="0" w:header="0"/>
        </w:sectPr>
      </w:pPr>
    </w:p>
    <w:bookmarkStart w:id="20" w:name="page21"/>
    <w:bookmarkEnd w:id="2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12.</w:t>
      </w:r>
      <w:r>
        <w:rPr>
          <w:sz w:val="20"/>
          <w:szCs w:val="20"/>
          <w:color w:val="auto"/>
        </w:rPr>
        <w:tab/>
      </w:r>
      <w:r>
        <w:rPr>
          <w:rFonts w:ascii="Calibri" w:cs="Calibri" w:eastAsia="Calibri" w:hAnsi="Calibri"/>
          <w:sz w:val="15"/>
          <w:szCs w:val="15"/>
          <w:b w:val="1"/>
          <w:bCs w:val="1"/>
          <w:color w:val="2D5F91"/>
        </w:rPr>
        <w:t>CAPITAL MANAGEMENT</w:t>
      </w:r>
    </w:p>
    <w:p>
      <w:pPr>
        <w:spacing w:after="0" w:line="194" w:lineRule="exact"/>
        <w:rPr>
          <w:sz w:val="20"/>
          <w:szCs w:val="20"/>
          <w:color w:val="auto"/>
        </w:rPr>
      </w:pPr>
    </w:p>
    <w:p>
      <w:pPr>
        <w:jc w:val="both"/>
        <w:ind w:left="280"/>
        <w:spacing w:after="0" w:line="296" w:lineRule="auto"/>
        <w:rPr>
          <w:sz w:val="20"/>
          <w:szCs w:val="20"/>
          <w:color w:val="auto"/>
        </w:rPr>
      </w:pPr>
      <w:r>
        <w:rPr>
          <w:rFonts w:ascii="Calibri" w:cs="Calibri" w:eastAsia="Calibri" w:hAnsi="Calibri"/>
          <w:sz w:val="15"/>
          <w:szCs w:val="15"/>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52" w:lineRule="exact"/>
        <w:rPr>
          <w:sz w:val="20"/>
          <w:szCs w:val="20"/>
          <w:color w:val="auto"/>
        </w:rPr>
      </w:pPr>
    </w:p>
    <w:p>
      <w:pPr>
        <w:jc w:val="both"/>
        <w:ind w:left="280" w:right="20"/>
        <w:spacing w:after="0" w:line="276"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5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capital management objectves, policies and processes generally remained unchanged during the three months ended June 30, 2024.</w:t>
      </w:r>
    </w:p>
    <w:p>
      <w:pPr>
        <w:spacing w:after="0" w:line="194"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The Company requires capital to fund existng and future operatons and meet regulatory capital requirements. The Company’s policy is to maintain adequate levels of capital at all tmes.</w:t>
      </w:r>
    </w:p>
    <w:p>
      <w:pPr>
        <w:spacing w:after="0" w:line="16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62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5620" w:type="dxa"/>
            <w:vAlign w:val="bottom"/>
            <w:vMerge w:val="restart"/>
          </w:tcPr>
          <w:p>
            <w:pPr>
              <w:ind w:left="60"/>
              <w:spacing w:after="0"/>
              <w:rPr>
                <w:sz w:val="20"/>
                <w:szCs w:val="20"/>
                <w:color w:val="auto"/>
              </w:rPr>
            </w:pPr>
            <w:r>
              <w:rPr>
                <w:rFonts w:ascii="Calibri" w:cs="Calibri" w:eastAsia="Calibri" w:hAnsi="Calibri"/>
                <w:sz w:val="16"/>
                <w:szCs w:val="16"/>
                <w:b w:val="1"/>
                <w:bCs w:val="1"/>
                <w:color w:val="auto"/>
              </w:rPr>
              <w:t>As at</w:t>
            </w:r>
          </w:p>
        </w:tc>
        <w:tc>
          <w:tcPr>
            <w:tcW w:w="3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June 30, 2024</w:t>
            </w: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c>
          <w:tcPr>
            <w:tcW w:w="0" w:type="dxa"/>
            <w:vAlign w:val="bottom"/>
          </w:tcPr>
          <w:p>
            <w:pPr>
              <w:spacing w:after="0"/>
              <w:rPr>
                <w:sz w:val="1"/>
                <w:szCs w:val="1"/>
                <w:color w:val="auto"/>
              </w:rPr>
            </w:pPr>
          </w:p>
        </w:tc>
      </w:tr>
      <w:tr>
        <w:trPr>
          <w:trHeight w:val="60"/>
        </w:trPr>
        <w:tc>
          <w:tcPr>
            <w:tcW w:w="5620" w:type="dxa"/>
            <w:vAlign w:val="bottom"/>
            <w:vMerge w:val="continue"/>
          </w:tcPr>
          <w:p>
            <w:pPr>
              <w:spacing w:after="0"/>
              <w:rPr>
                <w:sz w:val="5"/>
                <w:szCs w:val="5"/>
                <w:color w:val="auto"/>
              </w:rPr>
            </w:pPr>
          </w:p>
        </w:tc>
        <w:tc>
          <w:tcPr>
            <w:tcW w:w="34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620" w:type="dxa"/>
            <w:vAlign w:val="bottom"/>
          </w:tcPr>
          <w:p>
            <w:pPr>
              <w:spacing w:after="0"/>
              <w:rPr>
                <w:sz w:val="22"/>
                <w:szCs w:val="22"/>
                <w:color w:val="auto"/>
              </w:rPr>
            </w:pPr>
          </w:p>
        </w:tc>
        <w:tc>
          <w:tcPr>
            <w:tcW w:w="3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81"/>
        </w:trPr>
        <w:tc>
          <w:tcPr>
            <w:tcW w:w="56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60"/>
              <w:spacing w:after="0" w:line="185" w:lineRule="exact"/>
              <w:rPr>
                <w:sz w:val="20"/>
                <w:szCs w:val="20"/>
                <w:color w:val="auto"/>
              </w:rPr>
            </w:pPr>
            <w:r>
              <w:rPr>
                <w:rFonts w:ascii="Calibri" w:cs="Calibri" w:eastAsia="Calibri" w:hAnsi="Calibri"/>
                <w:sz w:val="16"/>
                <w:szCs w:val="16"/>
                <w:color w:val="auto"/>
              </w:rPr>
              <w:t>Shareholders’ equity comprised of:</w:t>
            </w:r>
          </w:p>
        </w:tc>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3420" w:type="dxa"/>
            <w:vAlign w:val="bottom"/>
          </w:tcPr>
          <w:p>
            <w:pPr>
              <w:jc w:val="right"/>
              <w:ind w:right="359"/>
              <w:spacing w:after="0"/>
              <w:rPr>
                <w:sz w:val="20"/>
                <w:szCs w:val="20"/>
                <w:color w:val="auto"/>
              </w:rPr>
            </w:pPr>
            <w:r>
              <w:rPr>
                <w:rFonts w:ascii="Calibri" w:cs="Calibri" w:eastAsia="Calibri" w:hAnsi="Calibri"/>
                <w:sz w:val="16"/>
                <w:szCs w:val="16"/>
                <w:color w:val="auto"/>
              </w:rPr>
              <w:t>443,728</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443,877</w:t>
            </w:r>
          </w:p>
        </w:tc>
        <w:tc>
          <w:tcPr>
            <w:tcW w:w="0" w:type="dxa"/>
            <w:vAlign w:val="bottom"/>
          </w:tcPr>
          <w:p>
            <w:pPr>
              <w:spacing w:after="0"/>
              <w:rPr>
                <w:sz w:val="1"/>
                <w:szCs w:val="1"/>
                <w:color w:val="auto"/>
              </w:rPr>
            </w:pPr>
          </w:p>
        </w:tc>
      </w:tr>
      <w:tr>
        <w:trPr>
          <w:trHeight w:val="206"/>
        </w:trPr>
        <w:tc>
          <w:tcPr>
            <w:tcW w:w="562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3420" w:type="dxa"/>
            <w:vAlign w:val="bottom"/>
          </w:tcPr>
          <w:p>
            <w:pPr>
              <w:jc w:val="right"/>
              <w:ind w:right="359"/>
              <w:spacing w:after="0"/>
              <w:rPr>
                <w:sz w:val="20"/>
                <w:szCs w:val="20"/>
                <w:color w:val="auto"/>
              </w:rPr>
            </w:pPr>
            <w:r>
              <w:rPr>
                <w:rFonts w:ascii="Calibri" w:cs="Calibri" w:eastAsia="Calibri" w:hAnsi="Calibri"/>
                <w:sz w:val="16"/>
                <w:szCs w:val="16"/>
                <w:color w:val="auto"/>
              </w:rPr>
              <w:t>43,791</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11,750</w:t>
            </w:r>
          </w:p>
        </w:tc>
        <w:tc>
          <w:tcPr>
            <w:tcW w:w="0" w:type="dxa"/>
            <w:vAlign w:val="bottom"/>
          </w:tcPr>
          <w:p>
            <w:pPr>
              <w:spacing w:after="0"/>
              <w:rPr>
                <w:sz w:val="1"/>
                <w:szCs w:val="1"/>
                <w:color w:val="auto"/>
              </w:rPr>
            </w:pPr>
          </w:p>
        </w:tc>
      </w:tr>
      <w:tr>
        <w:trPr>
          <w:trHeight w:val="206"/>
        </w:trPr>
        <w:tc>
          <w:tcPr>
            <w:tcW w:w="562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3420" w:type="dxa"/>
            <w:vAlign w:val="bottom"/>
          </w:tcPr>
          <w:p>
            <w:pPr>
              <w:jc w:val="right"/>
              <w:ind w:right="359"/>
              <w:spacing w:after="0"/>
              <w:rPr>
                <w:sz w:val="20"/>
                <w:szCs w:val="20"/>
                <w:color w:val="auto"/>
              </w:rPr>
            </w:pPr>
            <w:r>
              <w:rPr>
                <w:rFonts w:ascii="Calibri" w:cs="Calibri" w:eastAsia="Calibri" w:hAnsi="Calibri"/>
                <w:sz w:val="16"/>
                <w:szCs w:val="16"/>
                <w:color w:val="auto"/>
              </w:rPr>
              <w:t>11,109</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39,177</w:t>
            </w:r>
          </w:p>
        </w:tc>
        <w:tc>
          <w:tcPr>
            <w:tcW w:w="0" w:type="dxa"/>
            <w:vAlign w:val="bottom"/>
          </w:tcPr>
          <w:p>
            <w:pPr>
              <w:spacing w:after="0"/>
              <w:rPr>
                <w:sz w:val="1"/>
                <w:szCs w:val="1"/>
                <w:color w:val="auto"/>
              </w:rPr>
            </w:pPr>
          </w:p>
        </w:tc>
      </w:tr>
      <w:tr>
        <w:trPr>
          <w:trHeight w:val="206"/>
        </w:trPr>
        <w:tc>
          <w:tcPr>
            <w:tcW w:w="562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3420" w:type="dxa"/>
            <w:vAlign w:val="bottom"/>
          </w:tcPr>
          <w:p>
            <w:pPr>
              <w:jc w:val="right"/>
              <w:ind w:right="359"/>
              <w:spacing w:after="0"/>
              <w:rPr>
                <w:sz w:val="20"/>
                <w:szCs w:val="20"/>
                <w:color w:val="auto"/>
              </w:rPr>
            </w:pPr>
            <w:r>
              <w:rPr>
                <w:rFonts w:ascii="Calibri" w:cs="Calibri" w:eastAsia="Calibri" w:hAnsi="Calibri"/>
                <w:sz w:val="16"/>
                <w:szCs w:val="16"/>
                <w:color w:val="auto"/>
              </w:rPr>
              <w:t>25,639</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25,639</w:t>
            </w:r>
          </w:p>
        </w:tc>
        <w:tc>
          <w:tcPr>
            <w:tcW w:w="0" w:type="dxa"/>
            <w:vAlign w:val="bottom"/>
          </w:tcPr>
          <w:p>
            <w:pPr>
              <w:spacing w:after="0"/>
              <w:rPr>
                <w:sz w:val="1"/>
                <w:szCs w:val="1"/>
                <w:color w:val="auto"/>
              </w:rPr>
            </w:pPr>
          </w:p>
        </w:tc>
      </w:tr>
      <w:tr>
        <w:trPr>
          <w:trHeight w:val="206"/>
        </w:trPr>
        <w:tc>
          <w:tcPr>
            <w:tcW w:w="562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loss</w:t>
            </w:r>
          </w:p>
        </w:tc>
        <w:tc>
          <w:tcPr>
            <w:tcW w:w="3420" w:type="dxa"/>
            <w:vAlign w:val="bottom"/>
          </w:tcPr>
          <w:p>
            <w:pPr>
              <w:jc w:val="right"/>
              <w:ind w:right="339"/>
              <w:spacing w:after="0"/>
              <w:rPr>
                <w:sz w:val="20"/>
                <w:szCs w:val="20"/>
                <w:color w:val="auto"/>
              </w:rPr>
            </w:pPr>
            <w:r>
              <w:rPr>
                <w:rFonts w:ascii="Calibri" w:cs="Calibri" w:eastAsia="Calibri" w:hAnsi="Calibri"/>
                <w:sz w:val="16"/>
                <w:szCs w:val="16"/>
                <w:color w:val="auto"/>
              </w:rPr>
              <w:t>(3,380)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(2,285)</w:t>
            </w:r>
          </w:p>
        </w:tc>
        <w:tc>
          <w:tcPr>
            <w:tcW w:w="0" w:type="dxa"/>
            <w:vAlign w:val="bottom"/>
          </w:tcPr>
          <w:p>
            <w:pPr>
              <w:spacing w:after="0"/>
              <w:rPr>
                <w:sz w:val="1"/>
                <w:szCs w:val="1"/>
                <w:color w:val="auto"/>
              </w:rPr>
            </w:pPr>
          </w:p>
        </w:tc>
      </w:tr>
      <w:tr>
        <w:trPr>
          <w:trHeight w:val="206"/>
        </w:trPr>
        <w:tc>
          <w:tcPr>
            <w:tcW w:w="562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3420" w:type="dxa"/>
            <w:vAlign w:val="bottom"/>
          </w:tcPr>
          <w:p>
            <w:pPr>
              <w:jc w:val="right"/>
              <w:ind w:right="339"/>
              <w:spacing w:after="0"/>
              <w:rPr>
                <w:sz w:val="20"/>
                <w:szCs w:val="20"/>
                <w:color w:val="auto"/>
              </w:rPr>
            </w:pPr>
            <w:r>
              <w:rPr>
                <w:rFonts w:ascii="Calibri" w:cs="Calibri" w:eastAsia="Calibri" w:hAnsi="Calibri"/>
                <w:sz w:val="16"/>
                <w:szCs w:val="16"/>
                <w:color w:val="auto"/>
              </w:rPr>
              <w:t>(241,055)</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(226,231)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62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342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279,832</w:t>
            </w:r>
          </w:p>
        </w:tc>
        <w:tc>
          <w:tcPr>
            <w:tcW w:w="1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291,927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18 of 23</w:t>
      </w:r>
    </w:p>
    <w:p>
      <w:pPr>
        <w:sectPr>
          <w:pgSz w:w="11900" w:h="16838" w:orient="portrait"/>
          <w:cols w:equalWidth="0" w:num="1">
            <w:col w:w="11260"/>
          </w:cols>
          <w:pgMar w:left="320" w:top="209" w:right="319" w:bottom="1440" w:gutter="0" w:footer="0" w:header="0"/>
        </w:sectPr>
      </w:pPr>
    </w:p>
    <w:bookmarkStart w:id="21" w:name="page22"/>
    <w:bookmarkEnd w:id="2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13.</w:t>
      </w:r>
      <w:r>
        <w:rPr>
          <w:sz w:val="20"/>
          <w:szCs w:val="20"/>
          <w:color w:val="auto"/>
        </w:rPr>
        <w:tab/>
      </w:r>
      <w:r>
        <w:rPr>
          <w:rFonts w:ascii="Calibri" w:cs="Calibri" w:eastAsia="Calibri" w:hAnsi="Calibri"/>
          <w:sz w:val="15"/>
          <w:szCs w:val="15"/>
          <w:b w:val="1"/>
          <w:bCs w:val="1"/>
          <w:color w:val="2D5F91"/>
        </w:rPr>
        <w:t>FINANCIAL INSTRUMENTS</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940" w:type="dxa"/>
            <w:vAlign w:val="bottom"/>
          </w:tcPr>
          <w:p>
            <w:pPr>
              <w:spacing w:after="0"/>
              <w:rPr>
                <w:sz w:val="20"/>
                <w:szCs w:val="20"/>
                <w:color w:val="auto"/>
              </w:rPr>
            </w:pPr>
            <w:r>
              <w:rPr>
                <w:rFonts w:ascii="Calibri" w:cs="Calibri" w:eastAsia="Calibri" w:hAnsi="Calibri"/>
                <w:sz w:val="16"/>
                <w:szCs w:val="16"/>
                <w:color w:val="auto"/>
              </w:rPr>
              <w:t>The Company has classifed its fnancial instruments as follows:</w:t>
            </w:r>
          </w:p>
        </w:tc>
        <w:tc>
          <w:tcPr>
            <w:tcW w:w="3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5940" w:type="dxa"/>
            <w:vAlign w:val="bottom"/>
            <w:vMerge w:val="restart"/>
          </w:tcPr>
          <w:p>
            <w:pPr>
              <w:ind w:left="60"/>
              <w:spacing w:after="0"/>
              <w:rPr>
                <w:sz w:val="20"/>
                <w:szCs w:val="20"/>
                <w:color w:val="auto"/>
              </w:rPr>
            </w:pPr>
            <w:r>
              <w:rPr>
                <w:rFonts w:ascii="Calibri" w:cs="Calibri" w:eastAsia="Calibri" w:hAnsi="Calibri"/>
                <w:sz w:val="16"/>
                <w:szCs w:val="16"/>
                <w:b w:val="1"/>
                <w:bCs w:val="1"/>
                <w:color w:val="auto"/>
              </w:rPr>
              <w:t>As at</w:t>
            </w:r>
          </w:p>
        </w:tc>
        <w:tc>
          <w:tcPr>
            <w:tcW w:w="3200" w:type="dxa"/>
            <w:vAlign w:val="bottom"/>
            <w:vMerge w:val="restart"/>
          </w:tcPr>
          <w:p>
            <w:pPr>
              <w:jc w:val="right"/>
              <w:ind w:right="299"/>
              <w:spacing w:after="0"/>
              <w:rPr>
                <w:sz w:val="20"/>
                <w:szCs w:val="20"/>
                <w:color w:val="auto"/>
              </w:rPr>
            </w:pPr>
            <w:r>
              <w:rPr>
                <w:rFonts w:ascii="Calibri" w:cs="Calibri" w:eastAsia="Calibri" w:hAnsi="Calibri"/>
                <w:sz w:val="16"/>
                <w:szCs w:val="16"/>
                <w:b w:val="1"/>
                <w:bCs w:val="1"/>
                <w:color w:val="auto"/>
              </w:rPr>
              <w:t>June 30, 2024</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c>
          <w:tcPr>
            <w:tcW w:w="0" w:type="dxa"/>
            <w:vAlign w:val="bottom"/>
          </w:tcPr>
          <w:p>
            <w:pPr>
              <w:spacing w:after="0"/>
              <w:rPr>
                <w:sz w:val="1"/>
                <w:szCs w:val="1"/>
                <w:color w:val="auto"/>
              </w:rPr>
            </w:pPr>
          </w:p>
        </w:tc>
      </w:tr>
      <w:tr>
        <w:trPr>
          <w:trHeight w:val="60"/>
        </w:trPr>
        <w:tc>
          <w:tcPr>
            <w:tcW w:w="594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940" w:type="dxa"/>
            <w:vAlign w:val="bottom"/>
          </w:tcPr>
          <w:p>
            <w:pPr>
              <w:spacing w:after="0"/>
              <w:rPr>
                <w:sz w:val="22"/>
                <w:szCs w:val="22"/>
                <w:color w:val="auto"/>
              </w:rPr>
            </w:pPr>
          </w:p>
        </w:tc>
        <w:tc>
          <w:tcPr>
            <w:tcW w:w="32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81"/>
        </w:trPr>
        <w:tc>
          <w:tcPr>
            <w:tcW w:w="594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594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200" w:type="dxa"/>
            <w:vAlign w:val="bottom"/>
          </w:tcPr>
          <w:p>
            <w:pPr>
              <w:jc w:val="right"/>
              <w:ind w:right="439"/>
              <w:spacing w:after="0"/>
              <w:rPr>
                <w:sz w:val="20"/>
                <w:szCs w:val="20"/>
                <w:color w:val="auto"/>
              </w:rPr>
            </w:pPr>
            <w:r>
              <w:rPr>
                <w:rFonts w:ascii="Calibri" w:cs="Calibri" w:eastAsia="Calibri" w:hAnsi="Calibri"/>
                <w:sz w:val="16"/>
                <w:szCs w:val="16"/>
                <w:b w:val="1"/>
                <w:bCs w:val="1"/>
                <w:color w:val="auto"/>
              </w:rPr>
              <w:t>183,275</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208,992</w:t>
            </w:r>
          </w:p>
        </w:tc>
        <w:tc>
          <w:tcPr>
            <w:tcW w:w="0" w:type="dxa"/>
            <w:vAlign w:val="bottom"/>
          </w:tcPr>
          <w:p>
            <w:pPr>
              <w:spacing w:after="0"/>
              <w:rPr>
                <w:sz w:val="1"/>
                <w:szCs w:val="1"/>
                <w:color w:val="auto"/>
              </w:rPr>
            </w:pPr>
          </w:p>
        </w:tc>
      </w:tr>
      <w:tr>
        <w:trPr>
          <w:trHeight w:val="206"/>
        </w:trPr>
        <w:tc>
          <w:tcPr>
            <w:tcW w:w="594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200" w:type="dxa"/>
            <w:vAlign w:val="bottom"/>
          </w:tcPr>
          <w:p>
            <w:pPr>
              <w:jc w:val="right"/>
              <w:ind w:right="439"/>
              <w:spacing w:after="0"/>
              <w:rPr>
                <w:sz w:val="20"/>
                <w:szCs w:val="20"/>
                <w:color w:val="auto"/>
              </w:rPr>
            </w:pPr>
            <w:r>
              <w:rPr>
                <w:rFonts w:ascii="Calibri" w:cs="Calibri" w:eastAsia="Calibri" w:hAnsi="Calibri"/>
                <w:sz w:val="16"/>
                <w:szCs w:val="16"/>
                <w:b w:val="1"/>
                <w:bCs w:val="1"/>
                <w:color w:val="auto"/>
              </w:rPr>
              <w:t>17</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254</w:t>
            </w:r>
          </w:p>
        </w:tc>
        <w:tc>
          <w:tcPr>
            <w:tcW w:w="0" w:type="dxa"/>
            <w:vAlign w:val="bottom"/>
          </w:tcPr>
          <w:p>
            <w:pPr>
              <w:spacing w:after="0"/>
              <w:rPr>
                <w:sz w:val="1"/>
                <w:szCs w:val="1"/>
                <w:color w:val="auto"/>
              </w:rPr>
            </w:pPr>
          </w:p>
        </w:tc>
      </w:tr>
      <w:tr>
        <w:trPr>
          <w:trHeight w:val="206"/>
        </w:trPr>
        <w:tc>
          <w:tcPr>
            <w:tcW w:w="594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amortzed cost:</w:t>
            </w:r>
          </w:p>
        </w:tc>
        <w:tc>
          <w:tcPr>
            <w:tcW w:w="3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200" w:type="dxa"/>
            <w:vAlign w:val="bottom"/>
          </w:tcPr>
          <w:p>
            <w:pPr>
              <w:jc w:val="right"/>
              <w:ind w:right="439"/>
              <w:spacing w:after="0"/>
              <w:rPr>
                <w:sz w:val="20"/>
                <w:szCs w:val="20"/>
                <w:color w:val="auto"/>
              </w:rPr>
            </w:pPr>
            <w:r>
              <w:rPr>
                <w:rFonts w:ascii="Calibri" w:cs="Calibri" w:eastAsia="Calibri" w:hAnsi="Calibri"/>
                <w:sz w:val="16"/>
                <w:szCs w:val="16"/>
                <w:b w:val="1"/>
                <w:bCs w:val="1"/>
                <w:color w:val="auto"/>
              </w:rPr>
              <w:t>4,603</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9,805</w:t>
            </w:r>
          </w:p>
        </w:tc>
        <w:tc>
          <w:tcPr>
            <w:tcW w:w="0" w:type="dxa"/>
            <w:vAlign w:val="bottom"/>
          </w:tcPr>
          <w:p>
            <w:pPr>
              <w:spacing w:after="0"/>
              <w:rPr>
                <w:sz w:val="1"/>
                <w:szCs w:val="1"/>
                <w:color w:val="auto"/>
              </w:rPr>
            </w:pPr>
          </w:p>
        </w:tc>
      </w:tr>
      <w:tr>
        <w:trPr>
          <w:trHeight w:val="206"/>
        </w:trPr>
        <w:tc>
          <w:tcPr>
            <w:tcW w:w="5940" w:type="dxa"/>
            <w:vAlign w:val="bottom"/>
          </w:tcPr>
          <w:p>
            <w:pPr>
              <w:ind w:left="160"/>
              <w:spacing w:after="0"/>
              <w:rPr>
                <w:sz w:val="20"/>
                <w:szCs w:val="20"/>
                <w:color w:val="auto"/>
              </w:rPr>
            </w:pPr>
            <w:r>
              <w:rPr>
                <w:rFonts w:ascii="Calibri" w:cs="Calibri" w:eastAsia="Calibri" w:hAnsi="Calibri"/>
                <w:sz w:val="16"/>
                <w:szCs w:val="16"/>
                <w:color w:val="auto"/>
              </w:rPr>
              <w:t>Lease liabilites</w:t>
            </w:r>
          </w:p>
        </w:tc>
        <w:tc>
          <w:tcPr>
            <w:tcW w:w="3200" w:type="dxa"/>
            <w:vAlign w:val="bottom"/>
          </w:tcPr>
          <w:p>
            <w:pPr>
              <w:jc w:val="right"/>
              <w:ind w:right="439"/>
              <w:spacing w:after="0"/>
              <w:rPr>
                <w:sz w:val="20"/>
                <w:szCs w:val="20"/>
                <w:color w:val="auto"/>
              </w:rPr>
            </w:pPr>
            <w:r>
              <w:rPr>
                <w:rFonts w:ascii="Calibri" w:cs="Calibri" w:eastAsia="Calibri" w:hAnsi="Calibri"/>
                <w:sz w:val="16"/>
                <w:szCs w:val="16"/>
                <w:b w:val="1"/>
                <w:bCs w:val="1"/>
                <w:color w:val="auto"/>
              </w:rPr>
              <w:t>212</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291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u w:val="single" w:color="auto"/>
          <w:color w:val="auto"/>
        </w:rPr>
        <w:t>Fair value Hierarchy of Financial Instruments</w:t>
      </w:r>
    </w:p>
    <w:p>
      <w:pPr>
        <w:spacing w:after="0" w:line="182"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62"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75"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68"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Investments are classifed as Level 3.</w:t>
      </w:r>
    </w:p>
    <w:p>
      <w:pPr>
        <w:spacing w:after="0" w:line="160"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There were no transfers between levels of the fair value hierarchy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19 of 23</w:t>
      </w:r>
    </w:p>
    <w:p>
      <w:pPr>
        <w:sectPr>
          <w:pgSz w:w="11900" w:h="16838" w:orient="portrait"/>
          <w:cols w:equalWidth="0" w:num="1">
            <w:col w:w="11260"/>
          </w:cols>
          <w:pgMar w:left="320" w:top="209" w:right="319" w:bottom="1440" w:gutter="0" w:footer="0" w:header="0"/>
        </w:sectPr>
      </w:pPr>
    </w:p>
    <w:bookmarkStart w:id="22" w:name="page23"/>
    <w:bookmarkEnd w:id="22"/>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Credit risk</w:t>
      </w:r>
    </w:p>
    <w:p>
      <w:pPr>
        <w:spacing w:after="0" w:line="194" w:lineRule="exact"/>
        <w:rPr>
          <w:sz w:val="20"/>
          <w:szCs w:val="20"/>
          <w:color w:val="auto"/>
        </w:rPr>
      </w:pPr>
    </w:p>
    <w:p>
      <w:pPr>
        <w:jc w:val="both"/>
        <w:ind w:left="220" w:right="20"/>
        <w:spacing w:after="0" w:line="273" w:lineRule="auto"/>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June 30, 2024, the Company’s maximum exposure to credit risk is the carrying value of its fnancial assets.</w:t>
      </w:r>
    </w:p>
    <w:p>
      <w:pPr>
        <w:spacing w:after="0" w:line="16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Liquidity risk</w:t>
      </w:r>
    </w:p>
    <w:p>
      <w:pPr>
        <w:spacing w:after="0" w:line="194"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50" w:lineRule="exact"/>
        <w:rPr>
          <w:sz w:val="20"/>
          <w:szCs w:val="20"/>
          <w:color w:val="auto"/>
        </w:rPr>
      </w:pPr>
    </w:p>
    <w:p>
      <w:pPr>
        <w:ind w:left="220" w:right="20"/>
        <w:spacing w:after="0" w:line="338" w:lineRule="auto"/>
        <w:rPr>
          <w:sz w:val="20"/>
          <w:szCs w:val="20"/>
          <w:color w:val="auto"/>
        </w:rPr>
      </w:pPr>
      <w:r>
        <w:rPr>
          <w:rFonts w:ascii="Calibri" w:cs="Calibri" w:eastAsia="Calibri" w:hAnsi="Calibri"/>
          <w:sz w:val="16"/>
          <w:szCs w:val="16"/>
          <w:color w:val="auto"/>
        </w:rPr>
        <w:t>As at June 30, 2024, the Company had cash of $183,275 (March 31, 2024 - $208,992 ) in order to meet current liabilites. Accounts payable and accrued liabilites include trade payables and other obligatons of $4,815 (March 31, 2024 - $10,096), all amounts are due within the next 12 months.</w:t>
      </w:r>
    </w:p>
    <w:p>
      <w:pPr>
        <w:spacing w:after="0" w:line="11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Market risk</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179"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94" w:lineRule="exact"/>
        <w:rPr>
          <w:sz w:val="20"/>
          <w:szCs w:val="20"/>
          <w:color w:val="auto"/>
        </w:rPr>
      </w:pPr>
    </w:p>
    <w:p>
      <w:pPr>
        <w:jc w:val="both"/>
        <w:ind w:left="220"/>
        <w:spacing w:after="0" w:line="273"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market interest rate. In seeking to minimize the risks from interest rate fuctuatons, the Company manages exposure through its normal operatng and fnancing actvites. As at June 30, 2024, the Company has determined its exposure to interest rate risk is minimal.</w:t>
      </w:r>
    </w:p>
    <w:p>
      <w:pPr>
        <w:spacing w:after="0" w:line="16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94" w:lineRule="exact"/>
        <w:rPr>
          <w:sz w:val="20"/>
          <w:szCs w:val="20"/>
          <w:color w:val="auto"/>
        </w:rPr>
      </w:pPr>
    </w:p>
    <w:p>
      <w:pPr>
        <w:jc w:val="both"/>
        <w:ind w:left="220"/>
        <w:spacing w:after="0" w:line="279"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the functonal currency of CAD is used for reportng. The Company has not entered into any foreign currency contracts to mitgate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20 of 23</w:t>
      </w:r>
    </w:p>
    <w:p>
      <w:pPr>
        <w:sectPr>
          <w:pgSz w:w="11900" w:h="16838" w:orient="portrait"/>
          <w:cols w:equalWidth="0" w:num="1">
            <w:col w:w="11200"/>
          </w:cols>
          <w:pgMar w:left="380" w:top="209" w:right="319" w:bottom="1440" w:gutter="0" w:footer="0" w:header="0"/>
        </w:sectPr>
      </w:pPr>
    </w:p>
    <w:bookmarkStart w:id="23" w:name="page24"/>
    <w:bookmarkEnd w:id="2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left="60" w:right="18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At June 30, 2024, the Company had the following balances in monetary assets and monetary liabilites which are subject to fuctuaton against CAD:</w:t>
      </w: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440" w:type="dxa"/>
            <w:vAlign w:val="bottom"/>
            <w:vMerge w:val="restart"/>
          </w:tcPr>
          <w:p>
            <w:pPr>
              <w:ind w:left="780"/>
              <w:spacing w:after="0"/>
              <w:rPr>
                <w:sz w:val="20"/>
                <w:szCs w:val="20"/>
                <w:color w:val="auto"/>
              </w:rPr>
            </w:pPr>
            <w:r>
              <w:rPr>
                <w:rFonts w:ascii="Calibri" w:cs="Calibri" w:eastAsia="Calibri" w:hAnsi="Calibri"/>
                <w:sz w:val="16"/>
                <w:szCs w:val="16"/>
                <w:b w:val="1"/>
                <w:bCs w:val="1"/>
                <w:color w:val="auto"/>
              </w:rPr>
              <w:t>Denominated in:</w:t>
            </w:r>
          </w:p>
        </w:tc>
        <w:tc>
          <w:tcPr>
            <w:tcW w:w="17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US$000’s</w:t>
            </w:r>
          </w:p>
        </w:tc>
        <w:tc>
          <w:tcPr>
            <w:tcW w:w="176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GBP 000’s</w:t>
            </w:r>
          </w:p>
        </w:tc>
        <w:tc>
          <w:tcPr>
            <w:tcW w:w="1220" w:type="dxa"/>
            <w:vAlign w:val="bottom"/>
          </w:tcPr>
          <w:p>
            <w:pPr>
              <w:jc w:val="right"/>
              <w:spacing w:after="0"/>
              <w:rPr>
                <w:sz w:val="20"/>
                <w:szCs w:val="20"/>
                <w:color w:val="auto"/>
              </w:rPr>
            </w:pPr>
            <w:r>
              <w:rPr>
                <w:rFonts w:ascii="Calibri" w:cs="Calibri" w:eastAsia="Calibri" w:hAnsi="Calibri"/>
                <w:sz w:val="16"/>
                <w:szCs w:val="16"/>
                <w:b w:val="1"/>
                <w:bCs w:val="1"/>
                <w:color w:val="auto"/>
              </w:rPr>
              <w:t>EUR 000’s</w:t>
            </w:r>
          </w:p>
        </w:tc>
        <w:tc>
          <w:tcPr>
            <w:tcW w:w="0" w:type="dxa"/>
            <w:vAlign w:val="bottom"/>
          </w:tcPr>
          <w:p>
            <w:pPr>
              <w:spacing w:after="0"/>
              <w:rPr>
                <w:sz w:val="1"/>
                <w:szCs w:val="1"/>
                <w:color w:val="auto"/>
              </w:rPr>
            </w:pPr>
          </w:p>
        </w:tc>
      </w:tr>
      <w:tr>
        <w:trPr>
          <w:trHeight w:val="48"/>
        </w:trPr>
        <w:tc>
          <w:tcPr>
            <w:tcW w:w="332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2440" w:type="dxa"/>
            <w:vAlign w:val="bottom"/>
          </w:tcPr>
          <w:p>
            <w:pPr>
              <w:spacing w:after="0"/>
              <w:rPr>
                <w:sz w:val="16"/>
                <w:szCs w:val="16"/>
                <w:color w:val="auto"/>
              </w:rPr>
            </w:pPr>
          </w:p>
        </w:tc>
        <w:tc>
          <w:tcPr>
            <w:tcW w:w="174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130,235</w:t>
            </w:r>
          </w:p>
        </w:tc>
        <w:tc>
          <w:tcPr>
            <w:tcW w:w="176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631</w:t>
            </w:r>
          </w:p>
        </w:tc>
        <w:tc>
          <w:tcPr>
            <w:tcW w:w="1220" w:type="dxa"/>
            <w:vAlign w:val="bottom"/>
          </w:tcPr>
          <w:p>
            <w:pPr>
              <w:jc w:val="right"/>
              <w:spacing w:after="0" w:line="185" w:lineRule="exact"/>
              <w:rPr>
                <w:sz w:val="20"/>
                <w:szCs w:val="20"/>
                <w:color w:val="auto"/>
              </w:rPr>
            </w:pPr>
            <w:r>
              <w:rPr>
                <w:rFonts w:ascii="Calibri" w:cs="Calibri" w:eastAsia="Calibri" w:hAnsi="Calibri"/>
                <w:sz w:val="16"/>
                <w:szCs w:val="16"/>
                <w:color w:val="auto"/>
              </w:rPr>
              <w:t>226</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Calibri" w:cs="Calibri" w:eastAsia="Calibri" w:hAnsi="Calibri"/>
                <w:sz w:val="16"/>
                <w:szCs w:val="16"/>
                <w:color w:val="auto"/>
              </w:rPr>
              <w:t>Accounts payable and accrued liabilites</w:t>
            </w:r>
          </w:p>
        </w:tc>
        <w:tc>
          <w:tcPr>
            <w:tcW w:w="2440" w:type="dxa"/>
            <w:vAlign w:val="bottom"/>
          </w:tcPr>
          <w:p>
            <w:pPr>
              <w:spacing w:after="0"/>
              <w:rPr>
                <w:sz w:val="17"/>
                <w:szCs w:val="17"/>
                <w:color w:val="auto"/>
              </w:rPr>
            </w:pPr>
          </w:p>
        </w:tc>
        <w:tc>
          <w:tcPr>
            <w:tcW w:w="1740" w:type="dxa"/>
            <w:vAlign w:val="bottom"/>
          </w:tcPr>
          <w:p>
            <w:pPr>
              <w:jc w:val="right"/>
              <w:ind w:right="459"/>
              <w:spacing w:after="0"/>
              <w:rPr>
                <w:sz w:val="20"/>
                <w:szCs w:val="20"/>
                <w:color w:val="auto"/>
              </w:rPr>
            </w:pPr>
            <w:r>
              <w:rPr>
                <w:rFonts w:ascii="Calibri" w:cs="Calibri" w:eastAsia="Calibri" w:hAnsi="Calibri"/>
                <w:sz w:val="16"/>
                <w:szCs w:val="16"/>
                <w:color w:val="auto"/>
              </w:rPr>
              <w:t>(846)</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(118)</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(197)</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Lease liability</w:t>
            </w:r>
          </w:p>
        </w:tc>
        <w:tc>
          <w:tcPr>
            <w:tcW w:w="2440" w:type="dxa"/>
            <w:vAlign w:val="bottom"/>
          </w:tcPr>
          <w:p>
            <w:pPr>
              <w:spacing w:after="0"/>
              <w:rPr>
                <w:sz w:val="17"/>
                <w:szCs w:val="17"/>
                <w:color w:val="auto"/>
              </w:rPr>
            </w:pPr>
          </w:p>
        </w:tc>
        <w:tc>
          <w:tcPr>
            <w:tcW w:w="1740" w:type="dxa"/>
            <w:vAlign w:val="bottom"/>
          </w:tcPr>
          <w:p>
            <w:pPr>
              <w:jc w:val="right"/>
              <w:ind w:right="499"/>
              <w:spacing w:after="0"/>
              <w:rPr>
                <w:sz w:val="20"/>
                <w:szCs w:val="20"/>
                <w:color w:val="auto"/>
              </w:rPr>
            </w:pPr>
            <w:r>
              <w:rPr>
                <w:rFonts w:ascii="Calibri" w:cs="Calibri" w:eastAsia="Calibri" w:hAnsi="Calibri"/>
                <w:sz w:val="16"/>
                <w:szCs w:val="16"/>
                <w:color w:val="auto"/>
              </w:rPr>
              <w:t>—</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(212)</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4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129,389</w:t>
            </w:r>
          </w:p>
        </w:tc>
        <w:tc>
          <w:tcPr>
            <w:tcW w:w="176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301</w:t>
            </w:r>
          </w:p>
        </w:tc>
        <w:tc>
          <w:tcPr>
            <w:tcW w:w="1220" w:type="dxa"/>
            <w:vAlign w:val="bottom"/>
          </w:tcPr>
          <w:p>
            <w:pPr>
              <w:jc w:val="right"/>
              <w:spacing w:after="0" w:line="185" w:lineRule="exact"/>
              <w:rPr>
                <w:sz w:val="20"/>
                <w:szCs w:val="20"/>
                <w:color w:val="auto"/>
              </w:rPr>
            </w:pPr>
            <w:r>
              <w:rPr>
                <w:rFonts w:ascii="Calibri" w:cs="Calibri" w:eastAsia="Calibri" w:hAnsi="Calibri"/>
                <w:sz w:val="16"/>
                <w:szCs w:val="16"/>
                <w:color w:val="auto"/>
              </w:rPr>
              <w:t>29</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Calibri" w:cs="Calibri" w:eastAsia="Calibri" w:hAnsi="Calibri"/>
                <w:sz w:val="16"/>
                <w:szCs w:val="16"/>
                <w:color w:val="auto"/>
              </w:rPr>
              <w:t>Foreign currency rate</w:t>
            </w:r>
          </w:p>
        </w:tc>
        <w:tc>
          <w:tcPr>
            <w:tcW w:w="2440" w:type="dxa"/>
            <w:vAlign w:val="bottom"/>
          </w:tcPr>
          <w:p>
            <w:pPr>
              <w:spacing w:after="0"/>
              <w:rPr>
                <w:sz w:val="17"/>
                <w:szCs w:val="17"/>
                <w:color w:val="auto"/>
              </w:rPr>
            </w:pPr>
          </w:p>
        </w:tc>
        <w:tc>
          <w:tcPr>
            <w:tcW w:w="1740" w:type="dxa"/>
            <w:vAlign w:val="bottom"/>
          </w:tcPr>
          <w:p>
            <w:pPr>
              <w:jc w:val="right"/>
              <w:ind w:right="459"/>
              <w:spacing w:after="0"/>
              <w:rPr>
                <w:sz w:val="20"/>
                <w:szCs w:val="20"/>
                <w:color w:val="auto"/>
              </w:rPr>
            </w:pPr>
            <w:r>
              <w:rPr>
                <w:rFonts w:ascii="Calibri" w:cs="Calibri" w:eastAsia="Calibri" w:hAnsi="Calibri"/>
                <w:sz w:val="16"/>
                <w:szCs w:val="16"/>
                <w:color w:val="auto"/>
              </w:rPr>
              <w:t>1.3687</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1.7301</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1.4659</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3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Equivalent in Canadian dollars</w:t>
            </w:r>
          </w:p>
        </w:tc>
        <w:tc>
          <w:tcPr>
            <w:tcW w:w="2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color w:val="auto"/>
              </w:rPr>
              <w:t>177,095</w:t>
            </w:r>
          </w:p>
        </w:tc>
        <w:tc>
          <w:tcPr>
            <w:tcW w:w="176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color w:val="auto"/>
              </w:rPr>
              <w:t>521</w:t>
            </w:r>
          </w:p>
        </w:tc>
        <w:tc>
          <w:tcPr>
            <w:tcW w:w="12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43</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Impact of 10% change in exchange</w:t>
            </w:r>
          </w:p>
        </w:tc>
        <w:tc>
          <w:tcPr>
            <w:tcW w:w="2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99"/>
              <w:spacing w:after="0" w:line="193" w:lineRule="exact"/>
              <w:rPr>
                <w:sz w:val="20"/>
                <w:szCs w:val="20"/>
                <w:color w:val="auto"/>
              </w:rPr>
            </w:pPr>
            <w:r>
              <w:rPr>
                <w:rFonts w:ascii="Calibri" w:cs="Calibri" w:eastAsia="Calibri" w:hAnsi="Calibri"/>
                <w:sz w:val="16"/>
                <w:szCs w:val="16"/>
                <w:color w:val="auto"/>
              </w:rPr>
              <w:t>17,710</w:t>
            </w:r>
          </w:p>
        </w:tc>
        <w:tc>
          <w:tcPr>
            <w:tcW w:w="1760" w:type="dxa"/>
            <w:vAlign w:val="bottom"/>
            <w:tcBorders>
              <w:bottom w:val="single" w:sz="8" w:color="auto"/>
            </w:tcBorders>
          </w:tcPr>
          <w:p>
            <w:pPr>
              <w:jc w:val="right"/>
              <w:ind w:right="499"/>
              <w:spacing w:after="0" w:line="193" w:lineRule="exact"/>
              <w:rPr>
                <w:sz w:val="20"/>
                <w:szCs w:val="20"/>
                <w:color w:val="auto"/>
              </w:rPr>
            </w:pPr>
            <w:r>
              <w:rPr>
                <w:rFonts w:ascii="Calibri" w:cs="Calibri" w:eastAsia="Calibri" w:hAnsi="Calibri"/>
                <w:sz w:val="16"/>
                <w:szCs w:val="16"/>
                <w:color w:val="auto"/>
              </w:rPr>
              <w:t>52</w:t>
            </w:r>
          </w:p>
        </w:tc>
        <w:tc>
          <w:tcPr>
            <w:tcW w:w="12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280"/>
        <w:spacing w:after="0" w:line="279" w:lineRule="auto"/>
        <w:rPr>
          <w:sz w:val="20"/>
          <w:szCs w:val="20"/>
          <w:color w:val="auto"/>
        </w:rPr>
      </w:pPr>
      <w:r>
        <w:rPr>
          <w:rFonts w:ascii="Calibri" w:cs="Calibri" w:eastAsia="Calibri" w:hAnsi="Calibri"/>
          <w:sz w:val="16"/>
          <w:szCs w:val="16"/>
          <w:color w:val="auto"/>
        </w:rPr>
        <w:t>Based on the above net exposures as at June 30, 2024, and assuming that all other variables remain constant, a 10% change of the USD, GBP and EUR, against the CAD would impact net loss by approximately by $17,766. Such analysis excludes any indirect economic or geo-politcal efects of such currency fuctuatons.</w:t>
      </w:r>
    </w:p>
    <w:p>
      <w:pPr>
        <w:spacing w:after="0" w:line="365"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INCOME TAX</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Major items causing the Company’s income tax rate to difer from the Canadian statutory rate of approximately 26.5% are as follows:</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Year ended 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5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2024</w:t>
            </w: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69"/>
        </w:trPr>
        <w:tc>
          <w:tcPr>
            <w:tcW w:w="558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5580" w:type="dxa"/>
            <w:vAlign w:val="bottom"/>
            <w:vMerge w:val="restart"/>
          </w:tcPr>
          <w:p>
            <w:pPr>
              <w:ind w:left="20"/>
              <w:spacing w:after="0"/>
              <w:rPr>
                <w:sz w:val="20"/>
                <w:szCs w:val="20"/>
                <w:color w:val="auto"/>
              </w:rPr>
            </w:pPr>
            <w:r>
              <w:rPr>
                <w:rFonts w:ascii="Calibri" w:cs="Calibri" w:eastAsia="Calibri" w:hAnsi="Calibri"/>
                <w:sz w:val="16"/>
                <w:szCs w:val="16"/>
                <w:color w:val="auto"/>
              </w:rPr>
              <w:t>Net loss before income taxes</w:t>
            </w:r>
          </w:p>
        </w:tc>
        <w:tc>
          <w:tcPr>
            <w:tcW w:w="29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(14,824)</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(14,514)</w:t>
            </w:r>
          </w:p>
        </w:tc>
        <w:tc>
          <w:tcPr>
            <w:tcW w:w="0" w:type="dxa"/>
            <w:vAlign w:val="bottom"/>
          </w:tcPr>
          <w:p>
            <w:pPr>
              <w:spacing w:after="0"/>
              <w:rPr>
                <w:sz w:val="1"/>
                <w:szCs w:val="1"/>
                <w:color w:val="auto"/>
              </w:rPr>
            </w:pPr>
          </w:p>
        </w:tc>
      </w:tr>
      <w:tr>
        <w:trPr>
          <w:trHeight w:val="48"/>
        </w:trPr>
        <w:tc>
          <w:tcPr>
            <w:tcW w:w="5580" w:type="dxa"/>
            <w:vAlign w:val="bottom"/>
            <w:vMerge w:val="continue"/>
          </w:tcPr>
          <w:p>
            <w:pPr>
              <w:spacing w:after="0"/>
              <w:rPr>
                <w:sz w:val="4"/>
                <w:szCs w:val="4"/>
                <w:color w:val="auto"/>
              </w:rPr>
            </w:pPr>
          </w:p>
        </w:tc>
        <w:tc>
          <w:tcPr>
            <w:tcW w:w="2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580" w:type="dxa"/>
            <w:vAlign w:val="bottom"/>
          </w:tcPr>
          <w:p>
            <w:pPr>
              <w:ind w:left="20"/>
              <w:spacing w:after="0"/>
              <w:rPr>
                <w:sz w:val="20"/>
                <w:szCs w:val="20"/>
                <w:color w:val="auto"/>
              </w:rPr>
            </w:pPr>
            <w:r>
              <w:rPr>
                <w:rFonts w:ascii="Calibri" w:cs="Calibri" w:eastAsia="Calibri" w:hAnsi="Calibri"/>
                <w:sz w:val="16"/>
                <w:szCs w:val="16"/>
                <w:color w:val="auto"/>
              </w:rPr>
              <w:t>Expected recovery at statutory rate</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(3,928)</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(3,846)</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Share-based compensaton</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1,053</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338</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(39)</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(86)</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Diference between Canadian and foreign tax rates</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960</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952</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Efect of exchange on unbooked deferred tax assets</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76</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(251)</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Adjustment to prior year loss carryforwards</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380" w:type="dxa"/>
            <w:vAlign w:val="bottom"/>
            <w:gridSpan w:val="2"/>
          </w:tcPr>
          <w:p>
            <w:pPr>
              <w:jc w:val="right"/>
              <w:ind w:right="519"/>
              <w:spacing w:after="0"/>
              <w:rPr>
                <w:sz w:val="20"/>
                <w:szCs w:val="20"/>
                <w:color w:val="auto"/>
              </w:rPr>
            </w:pP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(239)</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Non-deductble expenses</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19</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5</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Other</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(35)</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Calibri" w:cs="Calibri" w:eastAsia="Calibri" w:hAnsi="Calibri"/>
                <w:sz w:val="16"/>
                <w:szCs w:val="16"/>
                <w:color w:val="auto"/>
              </w:rPr>
              <w:t>Change in unrecognized deferred tax assets</w:t>
            </w:r>
          </w:p>
        </w:tc>
        <w:tc>
          <w:tcPr>
            <w:tcW w:w="292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b w:val="1"/>
                <w:bCs w:val="1"/>
                <w:color w:val="auto"/>
              </w:rPr>
              <w:t>1,894</w:t>
            </w:r>
          </w:p>
        </w:tc>
        <w:tc>
          <w:tcPr>
            <w:tcW w:w="72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660" w:type="dxa"/>
            <w:vAlign w:val="bottom"/>
          </w:tcPr>
          <w:p>
            <w:pPr>
              <w:jc w:val="right"/>
              <w:spacing w:after="0"/>
              <w:rPr>
                <w:sz w:val="20"/>
                <w:szCs w:val="20"/>
                <w:color w:val="auto"/>
              </w:rPr>
            </w:pPr>
            <w:r>
              <w:rPr>
                <w:rFonts w:ascii="Calibri" w:cs="Calibri" w:eastAsia="Calibri" w:hAnsi="Calibri"/>
                <w:sz w:val="16"/>
                <w:szCs w:val="16"/>
                <w:color w:val="auto"/>
              </w:rPr>
              <w:t>3,127</w:t>
            </w: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8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Income tax recovery</w:t>
            </w:r>
          </w:p>
        </w:tc>
        <w:tc>
          <w:tcPr>
            <w:tcW w:w="292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w:t>
            </w:r>
          </w:p>
        </w:tc>
        <w:tc>
          <w:tcPr>
            <w:tcW w:w="1380" w:type="dxa"/>
            <w:vAlign w:val="bottom"/>
            <w:tcBorders>
              <w:bottom w:val="single" w:sz="8" w:color="auto"/>
            </w:tcBorders>
            <w:gridSpan w:val="2"/>
          </w:tcPr>
          <w:p>
            <w:pPr>
              <w:jc w:val="right"/>
              <w:ind w:right="519"/>
              <w:spacing w:after="0" w:line="192" w:lineRule="exact"/>
              <w:rPr>
                <w:sz w:val="20"/>
                <w:szCs w:val="20"/>
                <w:color w:val="auto"/>
              </w:rPr>
            </w:pP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t>
            </w:r>
          </w:p>
        </w:tc>
        <w:tc>
          <w:tcPr>
            <w:tcW w:w="6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21 of 23</w:t>
      </w:r>
    </w:p>
    <w:p>
      <w:pPr>
        <w:sectPr>
          <w:pgSz w:w="11900" w:h="16838" w:orient="portrait"/>
          <w:cols w:equalWidth="0" w:num="1">
            <w:col w:w="11240"/>
          </w:cols>
          <w:pgMar w:left="320" w:top="209" w:right="339" w:bottom="1440" w:gutter="0" w:footer="0" w:header="0"/>
        </w:sectPr>
      </w:pPr>
    </w:p>
    <w:bookmarkStart w:id="24" w:name="page25"/>
    <w:bookmarkEnd w:id="24"/>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line="279" w:lineRule="auto"/>
        <w:rPr>
          <w:sz w:val="20"/>
          <w:szCs w:val="20"/>
          <w:color w:val="auto"/>
        </w:rPr>
      </w:pPr>
      <w:r>
        <w:rPr>
          <w:rFonts w:ascii="Calibri" w:cs="Calibri" w:eastAsia="Calibri" w:hAnsi="Calibri"/>
          <w:sz w:val="16"/>
          <w:szCs w:val="16"/>
          <w:color w:val="auto"/>
        </w:rPr>
        <w:t>The signifcant components of the Company’s temporary diferences, unused tax credits and unused tax losses, that have not been included on the consolidated statements of fnancial positon,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123190</wp:posOffset>
            </wp:positionV>
            <wp:extent cx="67246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24650" cy="7620"/>
                    </a:xfrm>
                    <a:prstGeom prst="rect">
                      <a:avLst/>
                    </a:prstGeom>
                    <a:noFill/>
                  </pic:spPr>
                </pic:pic>
              </a:graphicData>
            </a:graphic>
          </wp:anchor>
        </w:drawing>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232"/>
        </w:trPr>
        <w:tc>
          <w:tcPr>
            <w:tcW w:w="4220" w:type="dxa"/>
            <w:vAlign w:val="bottom"/>
          </w:tcPr>
          <w:p>
            <w:pPr>
              <w:ind w:left="20"/>
              <w:spacing w:after="0"/>
              <w:rPr>
                <w:sz w:val="20"/>
                <w:szCs w:val="20"/>
                <w:color w:val="auto"/>
              </w:rPr>
            </w:pPr>
            <w:r>
              <w:rPr>
                <w:rFonts w:ascii="Calibri" w:cs="Calibri" w:eastAsia="Calibri" w:hAnsi="Calibri"/>
                <w:sz w:val="16"/>
                <w:szCs w:val="16"/>
                <w:b w:val="1"/>
                <w:bCs w:val="1"/>
                <w:color w:val="auto"/>
              </w:rPr>
              <w:t>As at</w:t>
            </w:r>
          </w:p>
        </w:tc>
        <w:tc>
          <w:tcPr>
            <w:tcW w:w="29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June 30, 2024</w:t>
            </w:r>
          </w:p>
        </w:tc>
        <w:tc>
          <w:tcPr>
            <w:tcW w:w="4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r>
      <w:tr>
        <w:trPr>
          <w:trHeight w:val="69"/>
        </w:trPr>
        <w:tc>
          <w:tcPr>
            <w:tcW w:w="422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185"/>
        </w:trPr>
        <w:tc>
          <w:tcPr>
            <w:tcW w:w="4220" w:type="dxa"/>
            <w:vAlign w:val="bottom"/>
          </w:tcPr>
          <w:p>
            <w:pPr>
              <w:ind w:left="20"/>
              <w:spacing w:after="0" w:line="185" w:lineRule="exact"/>
              <w:rPr>
                <w:sz w:val="20"/>
                <w:szCs w:val="20"/>
                <w:color w:val="auto"/>
              </w:rPr>
            </w:pPr>
            <w:r>
              <w:rPr>
                <w:rFonts w:ascii="Calibri" w:cs="Calibri" w:eastAsia="Calibri" w:hAnsi="Calibri"/>
                <w:sz w:val="16"/>
                <w:szCs w:val="16"/>
                <w:color w:val="auto"/>
              </w:rPr>
              <w:t>Non-capital loss carryforwards</w:t>
            </w:r>
          </w:p>
        </w:tc>
        <w:tc>
          <w:tcPr>
            <w:tcW w:w="2940" w:type="dxa"/>
            <w:vAlign w:val="bottom"/>
          </w:tcPr>
          <w:p>
            <w:pPr>
              <w:jc w:val="right"/>
              <w:ind w:right="519"/>
              <w:spacing w:after="0" w:line="185" w:lineRule="exact"/>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45,178</w:t>
            </w:r>
          </w:p>
        </w:tc>
        <w:tc>
          <w:tcPr>
            <w:tcW w:w="480" w:type="dxa"/>
            <w:vAlign w:val="bottom"/>
          </w:tcPr>
          <w:p>
            <w:pPr>
              <w:jc w:val="right"/>
              <w:ind w:right="279"/>
              <w:spacing w:after="0" w:line="185" w:lineRule="exact"/>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line="185" w:lineRule="exact"/>
              <w:rPr>
                <w:sz w:val="20"/>
                <w:szCs w:val="20"/>
                <w:color w:val="auto"/>
              </w:rPr>
            </w:pPr>
            <w:r>
              <w:rPr>
                <w:rFonts w:ascii="Calibri" w:cs="Calibri" w:eastAsia="Calibri" w:hAnsi="Calibri"/>
                <w:sz w:val="16"/>
                <w:szCs w:val="16"/>
                <w:color w:val="auto"/>
              </w:rPr>
              <w:t>43,185</w:t>
            </w:r>
          </w:p>
        </w:tc>
      </w:tr>
      <w:tr>
        <w:trPr>
          <w:trHeight w:val="198"/>
        </w:trPr>
        <w:tc>
          <w:tcPr>
            <w:tcW w:w="4220" w:type="dxa"/>
            <w:vAlign w:val="bottom"/>
          </w:tcPr>
          <w:p>
            <w:pPr>
              <w:ind w:left="20"/>
              <w:spacing w:after="0"/>
              <w:rPr>
                <w:sz w:val="20"/>
                <w:szCs w:val="20"/>
                <w:color w:val="auto"/>
              </w:rPr>
            </w:pPr>
            <w:r>
              <w:rPr>
                <w:rFonts w:ascii="Calibri" w:cs="Calibri" w:eastAsia="Calibri" w:hAnsi="Calibri"/>
                <w:sz w:val="16"/>
                <w:szCs w:val="16"/>
                <w:color w:val="auto"/>
              </w:rPr>
              <w:t>Deferred compensaton</w:t>
            </w:r>
          </w:p>
        </w:tc>
        <w:tc>
          <w:tcPr>
            <w:tcW w:w="294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1,489</w:t>
            </w:r>
          </w:p>
        </w:tc>
        <w:tc>
          <w:tcPr>
            <w:tcW w:w="480" w:type="dxa"/>
            <w:vAlign w:val="bottom"/>
          </w:tcPr>
          <w:p>
            <w:pPr>
              <w:jc w:val="right"/>
              <w:ind w:right="27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1,474</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R&amp;D expenditures</w:t>
            </w:r>
          </w:p>
        </w:tc>
        <w:tc>
          <w:tcPr>
            <w:tcW w:w="294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1,871</w:t>
            </w:r>
          </w:p>
        </w:tc>
        <w:tc>
          <w:tcPr>
            <w:tcW w:w="480" w:type="dxa"/>
            <w:vAlign w:val="bottom"/>
          </w:tcPr>
          <w:p>
            <w:pPr>
              <w:jc w:val="right"/>
              <w:ind w:right="27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1,681</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294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4,060</w:t>
            </w:r>
          </w:p>
        </w:tc>
        <w:tc>
          <w:tcPr>
            <w:tcW w:w="480" w:type="dxa"/>
            <w:vAlign w:val="bottom"/>
          </w:tcPr>
          <w:p>
            <w:pPr>
              <w:jc w:val="right"/>
              <w:ind w:right="27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4,361</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Depreciaton/CCA diferences</w:t>
            </w:r>
          </w:p>
        </w:tc>
        <w:tc>
          <w:tcPr>
            <w:tcW w:w="294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4</w:t>
            </w:r>
          </w:p>
        </w:tc>
        <w:tc>
          <w:tcPr>
            <w:tcW w:w="480" w:type="dxa"/>
            <w:vAlign w:val="bottom"/>
          </w:tcPr>
          <w:p>
            <w:pPr>
              <w:jc w:val="right"/>
              <w:ind w:right="27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7</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5"/>
        </w:trPr>
        <w:tc>
          <w:tcPr>
            <w:tcW w:w="4220" w:type="dxa"/>
            <w:vAlign w:val="bottom"/>
          </w:tcPr>
          <w:p>
            <w:pPr>
              <w:spacing w:after="0"/>
              <w:rPr>
                <w:sz w:val="16"/>
                <w:szCs w:val="16"/>
                <w:color w:val="auto"/>
              </w:rPr>
            </w:pPr>
          </w:p>
        </w:tc>
        <w:tc>
          <w:tcPr>
            <w:tcW w:w="2940" w:type="dxa"/>
            <w:vAlign w:val="bottom"/>
          </w:tcPr>
          <w:p>
            <w:pPr>
              <w:jc w:val="right"/>
              <w:ind w:right="519"/>
              <w:spacing w:after="0" w:line="185" w:lineRule="exact"/>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52,602</w:t>
            </w:r>
          </w:p>
        </w:tc>
        <w:tc>
          <w:tcPr>
            <w:tcW w:w="480" w:type="dxa"/>
            <w:vAlign w:val="bottom"/>
          </w:tcPr>
          <w:p>
            <w:pPr>
              <w:jc w:val="right"/>
              <w:ind w:right="279"/>
              <w:spacing w:after="0" w:line="185" w:lineRule="exact"/>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line="185" w:lineRule="exact"/>
              <w:rPr>
                <w:sz w:val="20"/>
                <w:szCs w:val="20"/>
                <w:color w:val="auto"/>
              </w:rPr>
            </w:pPr>
            <w:r>
              <w:rPr>
                <w:rFonts w:ascii="Calibri" w:cs="Calibri" w:eastAsia="Calibri" w:hAnsi="Calibri"/>
                <w:sz w:val="16"/>
                <w:szCs w:val="16"/>
                <w:color w:val="auto"/>
              </w:rPr>
              <w:t>50,708</w:t>
            </w:r>
          </w:p>
        </w:tc>
      </w:tr>
      <w:tr>
        <w:trPr>
          <w:trHeight w:val="198"/>
        </w:trPr>
        <w:tc>
          <w:tcPr>
            <w:tcW w:w="4220" w:type="dxa"/>
            <w:vAlign w:val="bottom"/>
          </w:tcPr>
          <w:p>
            <w:pPr>
              <w:ind w:left="20"/>
              <w:spacing w:after="0"/>
              <w:rPr>
                <w:sz w:val="20"/>
                <w:szCs w:val="20"/>
                <w:color w:val="auto"/>
              </w:rPr>
            </w:pPr>
            <w:r>
              <w:rPr>
                <w:rFonts w:ascii="Calibri" w:cs="Calibri" w:eastAsia="Calibri" w:hAnsi="Calibri"/>
                <w:sz w:val="16"/>
                <w:szCs w:val="16"/>
                <w:color w:val="auto"/>
              </w:rPr>
              <w:t>Valuaton allowance</w:t>
            </w:r>
          </w:p>
        </w:tc>
        <w:tc>
          <w:tcPr>
            <w:tcW w:w="294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(52,602)</w:t>
            </w:r>
          </w:p>
        </w:tc>
        <w:tc>
          <w:tcPr>
            <w:tcW w:w="480" w:type="dxa"/>
            <w:vAlign w:val="bottom"/>
          </w:tcPr>
          <w:p>
            <w:pPr>
              <w:jc w:val="right"/>
              <w:ind w:right="27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(50,708)</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1"/>
        </w:trPr>
        <w:tc>
          <w:tcPr>
            <w:tcW w:w="4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b w:val="1"/>
                <w:bCs w:val="1"/>
                <w:color w:val="auto"/>
              </w:rPr>
              <w:t>$</w:t>
            </w:r>
          </w:p>
        </w:tc>
        <w:tc>
          <w:tcPr>
            <w:tcW w:w="2000" w:type="dxa"/>
            <w:vAlign w:val="bottom"/>
            <w:tcBorders>
              <w:bottom w:val="single" w:sz="8" w:color="auto"/>
            </w:tcBorders>
            <w:gridSpan w:val="2"/>
          </w:tcPr>
          <w:p>
            <w:pPr>
              <w:jc w:val="right"/>
              <w:ind w:right="279"/>
              <w:spacing w:after="0" w:line="192" w:lineRule="exact"/>
              <w:rPr>
                <w:sz w:val="20"/>
                <w:szCs w:val="20"/>
                <w:color w:val="auto"/>
              </w:rPr>
            </w:pP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t>
            </w:r>
          </w:p>
        </w:tc>
        <w:tc>
          <w:tcPr>
            <w:tcW w:w="14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3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The non-capital losses in Canada, stated in Canadian dollars,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135890</wp:posOffset>
            </wp:positionV>
            <wp:extent cx="66935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196"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12700</wp:posOffset>
            </wp:positionV>
            <wp:extent cx="66935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980" w:type="dxa"/>
            <w:vAlign w:val="bottom"/>
          </w:tcPr>
          <w:p>
            <w:pPr>
              <w:ind w:left="20"/>
              <w:spacing w:after="0"/>
              <w:rPr>
                <w:sz w:val="20"/>
                <w:szCs w:val="20"/>
                <w:color w:val="auto"/>
              </w:rPr>
            </w:pPr>
            <w:r>
              <w:rPr>
                <w:rFonts w:ascii="Calibri" w:cs="Calibri" w:eastAsia="Calibri" w:hAnsi="Calibri"/>
                <w:sz w:val="16"/>
                <w:szCs w:val="16"/>
                <w:color w:val="auto"/>
              </w:rPr>
              <w:t>2036</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w:t>
            </w:r>
          </w:p>
        </w:tc>
        <w:tc>
          <w:tcPr>
            <w:tcW w:w="20" w:type="dxa"/>
            <w:vAlign w:val="bottom"/>
          </w:tcPr>
          <w:p>
            <w:pPr>
              <w:spacing w:after="0"/>
              <w:rPr>
                <w:sz w:val="16"/>
                <w:szCs w:val="16"/>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2037</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62</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2038</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32</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2039</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115</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2040</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863</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2041</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21,856</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2042</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16,019</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2043</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10,704</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2044</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24,397</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2045</w:t>
            </w:r>
          </w:p>
        </w:tc>
        <w:tc>
          <w:tcPr>
            <w:tcW w:w="248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3,229</w:t>
            </w:r>
          </w:p>
        </w:tc>
        <w:tc>
          <w:tcPr>
            <w:tcW w:w="20" w:type="dxa"/>
            <w:vAlign w:val="bottom"/>
          </w:tcPr>
          <w:p>
            <w:pPr>
              <w:spacing w:after="0"/>
              <w:rPr>
                <w:sz w:val="17"/>
                <w:szCs w:val="17"/>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1"/>
        </w:trPr>
        <w:tc>
          <w:tcPr>
            <w:tcW w:w="69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479"/>
              <w:spacing w:after="0" w:line="192" w:lineRule="exact"/>
              <w:rPr>
                <w:sz w:val="20"/>
                <w:szCs w:val="20"/>
                <w:color w:val="auto"/>
              </w:rPr>
            </w:pPr>
            <w:r>
              <w:rPr>
                <w:rFonts w:ascii="Calibri" w:cs="Calibri" w:eastAsia="Calibri" w:hAnsi="Calibri"/>
                <w:sz w:val="16"/>
                <w:szCs w:val="16"/>
                <w:b w:val="1"/>
                <w:bCs w:val="1"/>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77,278</w:t>
            </w:r>
          </w:p>
        </w:tc>
        <w:tc>
          <w:tcPr>
            <w:tcW w:w="20" w:type="dxa"/>
            <w:vAlign w:val="bottom"/>
            <w:tcBorders>
              <w:bottom w:val="single" w:sz="8" w:color="auto"/>
            </w:tcBorders>
          </w:tcPr>
          <w:p>
            <w:pPr>
              <w:spacing w:after="0"/>
              <w:rPr>
                <w:sz w:val="16"/>
                <w:szCs w:val="16"/>
                <w:color w:val="auto"/>
              </w:rPr>
            </w:pPr>
          </w:p>
        </w:tc>
      </w:tr>
      <w:tr>
        <w:trPr>
          <w:trHeight w:val="425"/>
        </w:trPr>
        <w:tc>
          <w:tcPr>
            <w:tcW w:w="6980" w:type="dxa"/>
            <w:vAlign w:val="bottom"/>
          </w:tcPr>
          <w:p>
            <w:pPr>
              <w:spacing w:after="0"/>
              <w:rPr>
                <w:sz w:val="20"/>
                <w:szCs w:val="20"/>
                <w:color w:val="auto"/>
              </w:rPr>
            </w:pPr>
            <w:r>
              <w:rPr>
                <w:rFonts w:ascii="Calibri" w:cs="Calibri" w:eastAsia="Calibri" w:hAnsi="Calibri"/>
                <w:sz w:val="16"/>
                <w:szCs w:val="16"/>
                <w:color w:val="auto"/>
              </w:rPr>
              <w:t>This loss carryforward in the United States, stated in Canadian dollars consists of:</w:t>
            </w:r>
          </w:p>
        </w:tc>
        <w:tc>
          <w:tcPr>
            <w:tcW w:w="2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6"/>
        </w:trPr>
        <w:tc>
          <w:tcPr>
            <w:tcW w:w="6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6980" w:type="dxa"/>
            <w:vAlign w:val="bottom"/>
          </w:tcPr>
          <w:p>
            <w:pPr>
              <w:ind w:left="20"/>
              <w:spacing w:after="0" w:line="185" w:lineRule="exact"/>
              <w:rPr>
                <w:sz w:val="20"/>
                <w:szCs w:val="20"/>
                <w:color w:val="auto"/>
              </w:rPr>
            </w:pPr>
            <w:r>
              <w:rPr>
                <w:rFonts w:ascii="Calibri" w:cs="Calibri" w:eastAsia="Calibri" w:hAnsi="Calibri"/>
                <w:sz w:val="16"/>
                <w:szCs w:val="16"/>
                <w:color w:val="auto"/>
              </w:rPr>
              <w:t>Pre-acquisiton loss generated in the period ended December 4, 2020</w:t>
            </w:r>
          </w:p>
        </w:tc>
        <w:tc>
          <w:tcPr>
            <w:tcW w:w="2480" w:type="dxa"/>
            <w:vAlign w:val="bottom"/>
          </w:tcPr>
          <w:p>
            <w:pPr>
              <w:jc w:val="right"/>
              <w:ind w:right="499"/>
              <w:spacing w:after="0" w:line="185" w:lineRule="exact"/>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1,003</w:t>
            </w:r>
          </w:p>
        </w:tc>
        <w:tc>
          <w:tcPr>
            <w:tcW w:w="20" w:type="dxa"/>
            <w:vAlign w:val="bottom"/>
          </w:tcPr>
          <w:p>
            <w:pPr>
              <w:spacing w:after="0"/>
              <w:rPr>
                <w:sz w:val="16"/>
                <w:szCs w:val="16"/>
                <w:color w:val="auto"/>
              </w:rPr>
            </w:pPr>
          </w:p>
        </w:tc>
      </w:tr>
      <w:tr>
        <w:trPr>
          <w:trHeight w:val="198"/>
        </w:trPr>
        <w:tc>
          <w:tcPr>
            <w:tcW w:w="6980" w:type="dxa"/>
            <w:vAlign w:val="bottom"/>
          </w:tcPr>
          <w:p>
            <w:pPr>
              <w:ind w:left="20"/>
              <w:spacing w:after="0"/>
              <w:rPr>
                <w:sz w:val="20"/>
                <w:szCs w:val="20"/>
                <w:color w:val="auto"/>
              </w:rPr>
            </w:pPr>
            <w:r>
              <w:rPr>
                <w:rFonts w:ascii="Calibri" w:cs="Calibri" w:eastAsia="Calibri" w:hAnsi="Calibri"/>
                <w:sz w:val="16"/>
                <w:szCs w:val="16"/>
                <w:color w:val="auto"/>
              </w:rPr>
              <w:t>Post-acquisiton loss generated in the period ending March 31, 2021</w:t>
            </w:r>
          </w:p>
        </w:tc>
        <w:tc>
          <w:tcPr>
            <w:tcW w:w="24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1,338</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2022</w:t>
            </w:r>
          </w:p>
        </w:tc>
        <w:tc>
          <w:tcPr>
            <w:tcW w:w="24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5,849</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2023</w:t>
            </w:r>
          </w:p>
        </w:tc>
        <w:tc>
          <w:tcPr>
            <w:tcW w:w="24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5,311</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2024</w:t>
            </w:r>
          </w:p>
        </w:tc>
        <w:tc>
          <w:tcPr>
            <w:tcW w:w="24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2,792</w:t>
            </w:r>
          </w:p>
        </w:tc>
        <w:tc>
          <w:tcPr>
            <w:tcW w:w="20" w:type="dxa"/>
            <w:vAlign w:val="bottom"/>
          </w:tcPr>
          <w:p>
            <w:pPr>
              <w:spacing w:after="0"/>
              <w:rPr>
                <w:sz w:val="17"/>
                <w:szCs w:val="17"/>
                <w:color w:val="auto"/>
              </w:rPr>
            </w:pPr>
          </w:p>
        </w:tc>
      </w:tr>
      <w:tr>
        <w:trPr>
          <w:trHeight w:val="206"/>
        </w:trPr>
        <w:tc>
          <w:tcPr>
            <w:tcW w:w="6980" w:type="dxa"/>
            <w:vAlign w:val="bottom"/>
          </w:tcPr>
          <w:p>
            <w:pPr>
              <w:ind w:left="20"/>
              <w:spacing w:after="0"/>
              <w:rPr>
                <w:sz w:val="20"/>
                <w:szCs w:val="20"/>
                <w:color w:val="auto"/>
              </w:rPr>
            </w:pPr>
            <w:r>
              <w:rPr>
                <w:rFonts w:ascii="Calibri" w:cs="Calibri" w:eastAsia="Calibri" w:hAnsi="Calibri"/>
                <w:sz w:val="16"/>
                <w:szCs w:val="16"/>
                <w:color w:val="auto"/>
              </w:rPr>
              <w:t>Loss generated in the three-month period ended June 30, 2024</w:t>
            </w:r>
          </w:p>
        </w:tc>
        <w:tc>
          <w:tcPr>
            <w:tcW w:w="248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1,503</w:t>
            </w:r>
          </w:p>
        </w:tc>
        <w:tc>
          <w:tcPr>
            <w:tcW w:w="20" w:type="dxa"/>
            <w:vAlign w:val="bottom"/>
          </w:tcPr>
          <w:p>
            <w:pPr>
              <w:spacing w:after="0"/>
              <w:rPr>
                <w:sz w:val="17"/>
                <w:szCs w:val="17"/>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69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17,796</w:t>
            </w:r>
          </w:p>
        </w:tc>
        <w:tc>
          <w:tcPr>
            <w:tcW w:w="20" w:type="dxa"/>
            <w:vAlign w:val="bottom"/>
          </w:tcPr>
          <w:p>
            <w:pPr>
              <w:spacing w:after="0"/>
              <w:rPr>
                <w:sz w:val="16"/>
                <w:szCs w:val="16"/>
                <w:color w:val="auto"/>
              </w:rPr>
            </w:pPr>
          </w:p>
        </w:tc>
      </w:tr>
    </w:tbl>
    <w:p>
      <w:pPr>
        <w:spacing w:after="0" w:line="294" w:lineRule="exact"/>
        <w:rPr>
          <w:sz w:val="20"/>
          <w:szCs w:val="20"/>
          <w:color w:val="auto"/>
        </w:rPr>
      </w:pPr>
    </w:p>
    <w:p>
      <w:pPr>
        <w:ind w:left="220" w:right="340"/>
        <w:spacing w:after="0" w:line="264"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22 of 23</w:t>
      </w:r>
    </w:p>
    <w:p>
      <w:pPr>
        <w:sectPr>
          <w:pgSz w:w="11900" w:h="16838" w:orient="portrait"/>
          <w:cols w:equalWidth="0" w:num="1">
            <w:col w:w="11200"/>
          </w:cols>
          <w:pgMar w:left="380" w:top="209" w:right="319" w:bottom="1440" w:gutter="0" w:footer="0" w:header="0"/>
        </w:sectPr>
      </w:pPr>
    </w:p>
    <w:bookmarkStart w:id="25" w:name="page26"/>
    <w:bookmarkEnd w:id="25"/>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238" w:lineRule="auto"/>
        <w:rPr>
          <w:sz w:val="20"/>
          <w:szCs w:val="20"/>
          <w:color w:val="auto"/>
        </w:rPr>
      </w:pPr>
      <w:r>
        <w:rPr>
          <w:rFonts w:ascii="Calibri" w:cs="Calibri" w:eastAsia="Calibri" w:hAnsi="Calibri"/>
          <w:sz w:val="19"/>
          <w:szCs w:val="19"/>
          <w:b w:val="1"/>
          <w:bCs w:val="1"/>
          <w:color w:val="auto"/>
        </w:rPr>
        <w:t>June 30, 2024</w:t>
      </w:r>
    </w:p>
    <w:p>
      <w:pPr>
        <w:spacing w:after="0" w:line="3" w:lineRule="exact"/>
        <w:rPr>
          <w:sz w:val="20"/>
          <w:szCs w:val="20"/>
          <w:color w:val="auto"/>
        </w:rPr>
      </w:pPr>
    </w:p>
    <w:p>
      <w:pPr>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in the year of deducton. The pre-acquisiton loss is further restricted to an annual limitaton under Secton 382. As at June 30, 2024, the annual limitaton was $146.</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non-capital losses in Ireland , stated in Canadian Dollars, expire as follows:</w:t>
      </w:r>
    </w:p>
    <w:p>
      <w:pPr>
        <w:spacing w:after="0" w:line="200" w:lineRule="exact"/>
        <w:rPr>
          <w:sz w:val="20"/>
          <w:szCs w:val="20"/>
          <w:color w:val="auto"/>
        </w:rPr>
      </w:pPr>
    </w:p>
    <w:p>
      <w:pPr>
        <w:spacing w:after="0" w:line="294"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51435</wp:posOffset>
            </wp:positionV>
            <wp:extent cx="67703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0370" cy="7620"/>
                    </a:xfrm>
                    <a:prstGeom prst="rect">
                      <a:avLst/>
                    </a:prstGeom>
                    <a:noFill/>
                  </pic:spPr>
                </pic:pic>
              </a:graphicData>
            </a:graphic>
          </wp:anchor>
        </w:drawing>
      </w:r>
    </w:p>
    <w:p>
      <w:pPr>
        <w:spacing w:after="0" w:line="6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580" w:type="dxa"/>
            <w:vAlign w:val="bottom"/>
            <w:vMerge w:val="restart"/>
          </w:tcPr>
          <w:p>
            <w:pPr>
              <w:jc w:val="right"/>
              <w:ind w:right="4159"/>
              <w:spacing w:after="0"/>
              <w:rPr>
                <w:sz w:val="20"/>
                <w:szCs w:val="20"/>
                <w:color w:val="auto"/>
              </w:rPr>
            </w:pPr>
            <w:r>
              <w:rPr>
                <w:rFonts w:ascii="Calibri" w:cs="Calibri" w:eastAsia="Calibri" w:hAnsi="Calibri"/>
                <w:sz w:val="16"/>
                <w:szCs w:val="16"/>
                <w:color w:val="auto"/>
                <w:w w:val="98"/>
              </w:rPr>
              <w:t>2042</w:t>
            </w:r>
          </w:p>
        </w:tc>
        <w:tc>
          <w:tcPr>
            <w:tcW w:w="496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22,965</w:t>
            </w:r>
          </w:p>
        </w:tc>
        <w:tc>
          <w:tcPr>
            <w:tcW w:w="0" w:type="dxa"/>
            <w:vAlign w:val="bottom"/>
          </w:tcPr>
          <w:p>
            <w:pPr>
              <w:spacing w:after="0"/>
              <w:rPr>
                <w:sz w:val="1"/>
                <w:szCs w:val="1"/>
                <w:color w:val="auto"/>
              </w:rPr>
            </w:pPr>
          </w:p>
        </w:tc>
      </w:tr>
      <w:tr>
        <w:trPr>
          <w:trHeight w:val="60"/>
        </w:trPr>
        <w:tc>
          <w:tcPr>
            <w:tcW w:w="4580" w:type="dxa"/>
            <w:vAlign w:val="bottom"/>
            <w:vMerge w:val="continue"/>
          </w:tcPr>
          <w:p>
            <w:pPr>
              <w:spacing w:after="0"/>
              <w:rPr>
                <w:sz w:val="5"/>
                <w:szCs w:val="5"/>
                <w:color w:val="auto"/>
              </w:rPr>
            </w:pPr>
          </w:p>
        </w:tc>
        <w:tc>
          <w:tcPr>
            <w:tcW w:w="4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580" w:type="dxa"/>
            <w:vAlign w:val="bottom"/>
            <w:vMerge w:val="restart"/>
          </w:tcPr>
          <w:p>
            <w:pPr>
              <w:jc w:val="right"/>
              <w:ind w:right="4159"/>
              <w:spacing w:after="0"/>
              <w:rPr>
                <w:sz w:val="20"/>
                <w:szCs w:val="20"/>
                <w:color w:val="auto"/>
              </w:rPr>
            </w:pPr>
            <w:r>
              <w:rPr>
                <w:rFonts w:ascii="Calibri" w:cs="Calibri" w:eastAsia="Calibri" w:hAnsi="Calibri"/>
                <w:sz w:val="16"/>
                <w:szCs w:val="16"/>
                <w:color w:val="auto"/>
                <w:w w:val="98"/>
              </w:rPr>
              <w:t>2043</w:t>
            </w:r>
          </w:p>
        </w:tc>
        <w:tc>
          <w:tcPr>
            <w:tcW w:w="496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23,017</w:t>
            </w:r>
          </w:p>
        </w:tc>
        <w:tc>
          <w:tcPr>
            <w:tcW w:w="0" w:type="dxa"/>
            <w:vAlign w:val="bottom"/>
          </w:tcPr>
          <w:p>
            <w:pPr>
              <w:spacing w:after="0"/>
              <w:rPr>
                <w:sz w:val="1"/>
                <w:szCs w:val="1"/>
                <w:color w:val="auto"/>
              </w:rPr>
            </w:pPr>
          </w:p>
        </w:tc>
      </w:tr>
      <w:tr>
        <w:trPr>
          <w:trHeight w:val="73"/>
        </w:trPr>
        <w:tc>
          <w:tcPr>
            <w:tcW w:w="4580" w:type="dxa"/>
            <w:vAlign w:val="bottom"/>
            <w:vMerge w:val="continue"/>
          </w:tcPr>
          <w:p>
            <w:pPr>
              <w:spacing w:after="0"/>
              <w:rPr>
                <w:sz w:val="6"/>
                <w:szCs w:val="6"/>
                <w:color w:val="auto"/>
              </w:rPr>
            </w:pPr>
          </w:p>
        </w:tc>
        <w:tc>
          <w:tcPr>
            <w:tcW w:w="4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4580" w:type="dxa"/>
            <w:vAlign w:val="bottom"/>
            <w:vMerge w:val="restart"/>
          </w:tcPr>
          <w:p>
            <w:pPr>
              <w:jc w:val="right"/>
              <w:ind w:right="4159"/>
              <w:spacing w:after="0"/>
              <w:rPr>
                <w:sz w:val="20"/>
                <w:szCs w:val="20"/>
                <w:color w:val="auto"/>
              </w:rPr>
            </w:pPr>
            <w:r>
              <w:rPr>
                <w:rFonts w:ascii="Calibri" w:cs="Calibri" w:eastAsia="Calibri" w:hAnsi="Calibri"/>
                <w:sz w:val="16"/>
                <w:szCs w:val="16"/>
                <w:color w:val="auto"/>
                <w:w w:val="98"/>
              </w:rPr>
              <w:t>2044</w:t>
            </w:r>
          </w:p>
        </w:tc>
        <w:tc>
          <w:tcPr>
            <w:tcW w:w="496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33,857</w:t>
            </w:r>
          </w:p>
        </w:tc>
        <w:tc>
          <w:tcPr>
            <w:tcW w:w="0" w:type="dxa"/>
            <w:vAlign w:val="bottom"/>
          </w:tcPr>
          <w:p>
            <w:pPr>
              <w:spacing w:after="0"/>
              <w:rPr>
                <w:sz w:val="1"/>
                <w:szCs w:val="1"/>
                <w:color w:val="auto"/>
              </w:rPr>
            </w:pPr>
          </w:p>
        </w:tc>
      </w:tr>
      <w:tr>
        <w:trPr>
          <w:trHeight w:val="73"/>
        </w:trPr>
        <w:tc>
          <w:tcPr>
            <w:tcW w:w="4580" w:type="dxa"/>
            <w:vAlign w:val="bottom"/>
            <w:vMerge w:val="continue"/>
          </w:tcPr>
          <w:p>
            <w:pPr>
              <w:spacing w:after="0"/>
              <w:rPr>
                <w:sz w:val="6"/>
                <w:szCs w:val="6"/>
                <w:color w:val="auto"/>
              </w:rPr>
            </w:pPr>
          </w:p>
        </w:tc>
        <w:tc>
          <w:tcPr>
            <w:tcW w:w="4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4580" w:type="dxa"/>
            <w:vAlign w:val="bottom"/>
            <w:vMerge w:val="restart"/>
          </w:tcPr>
          <w:p>
            <w:pPr>
              <w:jc w:val="right"/>
              <w:ind w:right="4159"/>
              <w:spacing w:after="0"/>
              <w:rPr>
                <w:sz w:val="20"/>
                <w:szCs w:val="20"/>
                <w:color w:val="auto"/>
              </w:rPr>
            </w:pPr>
            <w:r>
              <w:rPr>
                <w:rFonts w:ascii="Calibri" w:cs="Calibri" w:eastAsia="Calibri" w:hAnsi="Calibri"/>
                <w:sz w:val="16"/>
                <w:szCs w:val="16"/>
                <w:color w:val="auto"/>
                <w:w w:val="98"/>
              </w:rPr>
              <w:t>2045</w:t>
            </w:r>
          </w:p>
        </w:tc>
        <w:tc>
          <w:tcPr>
            <w:tcW w:w="496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4,828</w:t>
            </w:r>
          </w:p>
        </w:tc>
        <w:tc>
          <w:tcPr>
            <w:tcW w:w="0" w:type="dxa"/>
            <w:vAlign w:val="bottom"/>
          </w:tcPr>
          <w:p>
            <w:pPr>
              <w:spacing w:after="0"/>
              <w:rPr>
                <w:sz w:val="1"/>
                <w:szCs w:val="1"/>
                <w:color w:val="auto"/>
              </w:rPr>
            </w:pPr>
          </w:p>
        </w:tc>
      </w:tr>
      <w:tr>
        <w:trPr>
          <w:trHeight w:val="73"/>
        </w:trPr>
        <w:tc>
          <w:tcPr>
            <w:tcW w:w="4580" w:type="dxa"/>
            <w:vAlign w:val="bottom"/>
            <w:vMerge w:val="continue"/>
          </w:tcPr>
          <w:p>
            <w:pPr>
              <w:spacing w:after="0"/>
              <w:rPr>
                <w:sz w:val="6"/>
                <w:szCs w:val="6"/>
                <w:color w:val="auto"/>
              </w:rPr>
            </w:pPr>
          </w:p>
        </w:tc>
        <w:tc>
          <w:tcPr>
            <w:tcW w:w="4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9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58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84,667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right="3860"/>
        <w:spacing w:after="0" w:line="264" w:lineRule="auto"/>
        <w:rPr>
          <w:sz w:val="20"/>
          <w:szCs w:val="20"/>
          <w:color w:val="auto"/>
        </w:rPr>
      </w:pPr>
      <w:r>
        <w:rPr>
          <w:rFonts w:ascii="Calibri" w:cs="Calibri" w:eastAsia="Calibri" w:hAnsi="Calibri"/>
          <w:sz w:val="16"/>
          <w:szCs w:val="16"/>
          <w:color w:val="auto"/>
        </w:rPr>
        <w:t>As at June 30, 2024 the Company had $44,070 of non-capital losses in UK which under certain circumstances can be used to reduce the taxable income of future years. These losses do not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Calibri" w:cs="Calibri" w:eastAsia="Calibri" w:hAnsi="Calibri"/>
          <w:sz w:val="16"/>
          <w:szCs w:val="16"/>
          <w:b w:val="1"/>
          <w:bCs w:val="1"/>
          <w:color w:val="auto"/>
        </w:rPr>
        <w:t>Page 23 of 23</w:t>
      </w:r>
    </w:p>
    <w:p>
      <w:pPr>
        <w:sectPr>
          <w:pgSz w:w="11900" w:h="16838" w:orient="portrait"/>
          <w:cols w:equalWidth="0" w:num="1">
            <w:col w:w="11000"/>
          </w:cols>
          <w:pgMar w:left="380" w:top="209" w:right="5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3126105</wp:posOffset>
            </wp:positionH>
            <wp:positionV relativeFrom="page">
              <wp:posOffset>2737485</wp:posOffset>
            </wp:positionV>
            <wp:extent cx="1304925" cy="76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0492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of Financial Condition and Operating Performance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three months ended June 30, 2024</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August 7, 2024</w:t>
      </w:r>
    </w:p>
    <w:p>
      <w:pPr>
        <w:sectPr>
          <w:pgSz w:w="11900" w:h="16838" w:orient="portrait"/>
          <w:cols w:equalWidth="0" w:num="1">
            <w:col w:w="9019"/>
          </w:cols>
          <w:pgMar w:left="1440" w:top="14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w:t>
      </w:r>
    </w:p>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This Management’s Discussion and Analysis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has been prepared by management of Cybin Inc.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should be read in conjunction with Cybin’s unaudited condensed interim consolidated financial statements and notes for the three months ended June 30, 2024 (the “ Financial Statements”).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on SEDAR+. The Financial Statements have been prepared using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All amounts are in Canadian dollars unless otherwise indicated. The Financial Statements may be viewed on the SEDAR+ profile of Cybin at www.sedarplus.ca.</w:t>
      </w:r>
    </w:p>
    <w:p>
      <w:pPr>
        <w:spacing w:after="0" w:line="18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August 7, 2024. Unless otherwise indicated, all amounts in this MD&amp;A are in thousands of Canadian dollars.</w:t>
      </w:r>
    </w:p>
    <w:p>
      <w:pPr>
        <w:spacing w:after="0" w:line="1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3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301" w:right="319" w:bottom="1440" w:gutter="0" w:footer="0" w:header="0"/>
        </w:sectPr>
      </w:pPr>
    </w:p>
    <w:bookmarkStart w:id="28" w:name="page29"/>
    <w:bookmarkEnd w:id="28"/>
    <w:p>
      <w:pPr>
        <w:jc w:val="both"/>
        <w:spacing w:after="0" w:line="301" w:lineRule="auto"/>
        <w:rPr>
          <w:sz w:val="20"/>
          <w:szCs w:val="20"/>
          <w:color w:val="auto"/>
        </w:rPr>
      </w:pPr>
      <w:r>
        <w:rPr>
          <w:rFonts w:ascii="Times New Roman" w:cs="Times New Roman" w:eastAsia="Times New Roman" w:hAnsi="Times New Roman"/>
          <w:sz w:val="18"/>
          <w:szCs w:val="18"/>
          <w:color w:val="auto"/>
        </w:rPr>
        <w:t>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5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32" w:lineRule="exact"/>
        <w:rPr>
          <w:sz w:val="20"/>
          <w:szCs w:val="20"/>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operating history;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speculative nature of investment risk;</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regulatory risks and uncertainties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of operating in European countries;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“foreign private issuer” status under U.S. Securities Laws;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plans for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assurance of commercial success;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profits or significant revenues;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contract manufacturers;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safety and efficacy of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completion of clinical trials;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commercial grade product manufacturing;</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nature of regulatory approvals;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market access and acceptance;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social media;</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employee misconduct;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business expansion and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liability;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enforcing contracts;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and material recalls;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difficulty to forecast;</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promoting the brand;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viability;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success of quality control systems;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key inputs;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liability arising from fraudulent or illegal activity;</w:t>
      </w:r>
    </w:p>
    <w:p>
      <w:pPr>
        <w:sectPr>
          <w:pgSz w:w="11900" w:h="16838" w:orient="portrait"/>
          <w:cols w:equalWidth="0" w:num="1">
            <w:col w:w="11260"/>
          </w:cols>
          <w:pgMar w:left="320" w:top="130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303" w:right="319" w:bottom="1440" w:gutter="0" w:footer="0" w:header="0"/>
          <w:type w:val="continuous"/>
        </w:sectPr>
      </w:pPr>
    </w:p>
    <w:bookmarkStart w:id="29" w:name="page30"/>
    <w:bookmarkEnd w:id="29"/>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operating risk and insurance coverage;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costs of operating as public company;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management of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conflicts of interest;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foreign operations;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exchange rate fluctuations;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cybersecurity and privacy risk;</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environmental regulation and risks;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decriminalization of psychedelics;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forward-looking statements may prove to be inaccurate;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effects of inflation;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political and economic conditions;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application and interpretation of tax laws;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enforcement of civil liabilities;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pandemics;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52" w:lineRule="exact"/>
        <w:rPr>
          <w:sz w:val="20"/>
          <w:szCs w:val="20"/>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trademark protection;</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trade secrets;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patent law reform;</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protection of intellectual property;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third-party licences;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264" w:lineRule="exact"/>
        <w:rPr>
          <w:sz w:val="20"/>
          <w:szCs w:val="20"/>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number of authorized but unissued Common Shares (as defined herein);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dilution;</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negative cash flow from operating activities;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additional capital requirements;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lack of significant product revenue;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inadequate internal controls;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264" w:lineRule="exact"/>
        <w:rPr>
          <w:sz w:val="20"/>
          <w:szCs w:val="20"/>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market for the Common Shares;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significant sales of Common Shares;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tax issues; and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dividends.</w:t>
      </w:r>
    </w:p>
    <w:p>
      <w:pPr>
        <w:spacing w:after="0" w:line="276"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w:t>
      </w:r>
    </w:p>
    <w:p>
      <w:pPr>
        <w:sectPr>
          <w:pgSz w:w="11900" w:h="16838" w:orient="portrait"/>
          <w:cols w:equalWidth="0" w:num="1">
            <w:col w:w="11240"/>
          </w:cols>
          <w:pgMar w:left="320" w:top="13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303" w:right="339" w:bottom="1440" w:gutter="0" w:footer="0" w:header="0"/>
          <w:type w:val="continuous"/>
        </w:sectPr>
      </w:pPr>
    </w:p>
    <w:bookmarkStart w:id="30" w:name="page31"/>
    <w:bookmarkEnd w:id="30"/>
    <w:p>
      <w:pPr>
        <w:ind w:right="20"/>
        <w:spacing w:after="0" w:line="323" w:lineRule="auto"/>
        <w:rPr>
          <w:sz w:val="20"/>
          <w:szCs w:val="20"/>
          <w:color w:val="auto"/>
        </w:rPr>
      </w:pPr>
      <w:r>
        <w:rPr>
          <w:rFonts w:ascii="Times New Roman" w:cs="Times New Roman" w:eastAsia="Times New Roman" w:hAnsi="Times New Roman"/>
          <w:sz w:val="18"/>
          <w:szCs w:val="18"/>
          <w:color w:val="auto"/>
        </w:rPr>
        <w:t>that actual results, performance or achievements will be consistent with these forward-looking statements. In particular, the Company has made assumptions regarding, among other things:</w:t>
      </w:r>
    </w:p>
    <w:p>
      <w:pPr>
        <w:spacing w:after="0" w:line="132" w:lineRule="exact"/>
        <w:rPr>
          <w:sz w:val="20"/>
          <w:szCs w:val="20"/>
          <w:color w:val="auto"/>
        </w:rPr>
      </w:pPr>
    </w:p>
    <w:p>
      <w:pPr>
        <w:ind w:left="580" w:right="20" w:hanging="296"/>
        <w:spacing w:after="0" w:line="292" w:lineRule="auto"/>
        <w:tabs>
          <w:tab w:leader="none" w:pos="576"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pandemics;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56" w:lineRule="exact"/>
        <w:rPr>
          <w:rFonts w:ascii="Calibri" w:cs="Calibri" w:eastAsia="Calibri" w:hAnsi="Calibri"/>
          <w:sz w:val="18"/>
          <w:szCs w:val="18"/>
          <w:color w:val="auto"/>
        </w:rPr>
      </w:pPr>
    </w:p>
    <w:p>
      <w:pPr>
        <w:ind w:left="580" w:right="20" w:hanging="296"/>
        <w:spacing w:after="0" w:line="326" w:lineRule="auto"/>
        <w:tabs>
          <w:tab w:leader="none" w:pos="578"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the Netherlands, Ireland and other jurisdictions in which the Company operates.</w:t>
      </w:r>
    </w:p>
    <w:p>
      <w:pPr>
        <w:spacing w:after="0" w:line="14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303" w:right="319" w:bottom="1440" w:gutter="0" w:footer="0" w:header="0"/>
        </w:sectPr>
      </w:pPr>
    </w:p>
    <w:bookmarkStart w:id="31" w:name="page32"/>
    <w:bookmarkEnd w:id="31"/>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STRUCTURE OVERVIEW</w:t>
      </w:r>
    </w:p>
    <w:p>
      <w:pPr>
        <w:spacing w:after="0" w:line="230"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The Company is a clinical-stage breakthrough neuropsychiatry company focused on advancing next-generation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5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6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 connection with the Reverse Takeover, Clarmin Explorations Inc. (“</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8"/>
          <w:szCs w:val="18"/>
          <w:color w:val="auto"/>
        </w:rPr>
        <w:t>”) changed its name to “Cybin Inc.” and the common shares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became listed for trading on Cboe Canada Inc.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under the trading symbol “CYBN”.</w:t>
      </w:r>
    </w:p>
    <w:p>
      <w:pPr>
        <w:spacing w:after="0" w:line="19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7"/>
          <w:szCs w:val="17"/>
          <w:color w:val="auto"/>
        </w:rPr>
        <w:t>On August 5, 2021, the Common Shares commenced trading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Concurrent with the commencement of trading on the NYSE American, the Common Shares ceased to be quoted on the OTCQB® Venture Market.</w:t>
      </w:r>
    </w:p>
    <w:p>
      <w:pPr>
        <w:spacing w:after="0" w:line="9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acquisition by Cybin of Small Pharma Inc. (“</w:t>
      </w:r>
      <w:r>
        <w:rPr>
          <w:rFonts w:ascii="Times New Roman" w:cs="Times New Roman" w:eastAsia="Times New Roman" w:hAnsi="Times New Roman"/>
          <w:sz w:val="18"/>
          <w:szCs w:val="18"/>
          <w:b w:val="1"/>
          <w:bCs w:val="1"/>
          <w:color w:val="auto"/>
        </w:rPr>
        <w:t>Small Pharma</w:t>
      </w:r>
      <w:r>
        <w:rPr>
          <w:rFonts w:ascii="Times New Roman" w:cs="Times New Roman" w:eastAsia="Times New Roman" w:hAnsi="Times New Roman"/>
          <w:sz w:val="18"/>
          <w:szCs w:val="18"/>
          <w:color w:val="auto"/>
        </w:rPr>
        <w:t xml:space="preserve">”) by way of a statutory plan of arrangement under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a result of the Arrangement, Small Pharma is now a wholly-owned subsidiary of Cybin.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440" w:right="319" w:bottom="1440" w:gutter="0" w:footer="0" w:header="0"/>
        </w:sectPr>
      </w:pPr>
    </w:p>
    <w:bookmarkStart w:id="32" w:name="page33"/>
    <w:bookmarkEnd w:id="32"/>
    <w:p>
      <w:pPr>
        <w:jc w:val="both"/>
        <w:ind w:left="3" w:right="20"/>
        <w:spacing w:after="0" w:line="297"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General Development of the Business</w:t>
      </w:r>
      <w:r>
        <w:rPr>
          <w:rFonts w:ascii="Times New Roman" w:cs="Times New Roman" w:eastAsia="Times New Roman" w:hAnsi="Times New Roman"/>
          <w:sz w:val="18"/>
          <w:szCs w:val="18"/>
          <w:color w:val="auto"/>
        </w:rPr>
        <w:t>” in the AIF for additional information on the background and operational highlights of Cybin. The AIF may be viewed under the SEDAR+ profile of Cybin at www.sedarplus.ca.</w:t>
      </w:r>
    </w:p>
    <w:p>
      <w:pPr>
        <w:spacing w:after="0" w:line="17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66"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Cybin is a clinical-stage breakthrough neuropsychiatry company on a mission to create safe and effective next-generation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3"/>
          <w:szCs w:val="23"/>
          <w:color w:val="auto"/>
          <w:vertAlign w:val="superscript"/>
        </w:rPr>
        <w:t>1</w:t>
      </w:r>
    </w:p>
    <w:p>
      <w:pPr>
        <w:spacing w:after="0" w:line="108" w:lineRule="exact"/>
        <w:rPr>
          <w:sz w:val="20"/>
          <w:szCs w:val="20"/>
          <w:color w:val="auto"/>
        </w:rPr>
      </w:pPr>
    </w:p>
    <w:p>
      <w:pPr>
        <w:jc w:val="both"/>
        <w:ind w:left="3" w:right="20"/>
        <w:spacing w:after="0" w:line="321" w:lineRule="auto"/>
        <w:rPr>
          <w:sz w:val="20"/>
          <w:szCs w:val="20"/>
          <w:color w:val="auto"/>
        </w:rPr>
      </w:pPr>
      <w:r>
        <w:rPr>
          <w:rFonts w:ascii="Times New Roman" w:cs="Times New Roman" w:eastAsia="Times New Roman" w:hAnsi="Times New Roman"/>
          <w:sz w:val="17"/>
          <w:szCs w:val="17"/>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17"/>
          <w:szCs w:val="17"/>
          <w:b w:val="1"/>
          <w:bCs w:val="1"/>
          <w:color w:val="auto"/>
        </w:rPr>
        <w:t>IP</w:t>
      </w:r>
      <w:r>
        <w:rPr>
          <w:rFonts w:ascii="Times New Roman" w:cs="Times New Roman" w:eastAsia="Times New Roman" w:hAnsi="Times New Roman"/>
          <w:sz w:val="17"/>
          <w:szCs w:val="17"/>
          <w:color w:val="auto"/>
        </w:rPr>
        <w:t>”) focused on developing the Company’s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17"/>
          <w:szCs w:val="17"/>
          <w:b w:val="1"/>
          <w:bCs w:val="1"/>
          <w:color w:val="auto"/>
        </w:rPr>
        <w:t>DMT</w:t>
      </w:r>
      <w:r>
        <w:rPr>
          <w:rFonts w:ascii="Times New Roman" w:cs="Times New Roman" w:eastAsia="Times New Roman" w:hAnsi="Times New Roman"/>
          <w:sz w:val="17"/>
          <w:szCs w:val="17"/>
          <w:color w:val="auto"/>
        </w:rPr>
        <w:t>”), CYB005, phenethylamine derivatives, and an expansive list of preclinical molecules to facilitate future drug development opportunities.</w:t>
      </w:r>
    </w:p>
    <w:p>
      <w:pPr>
        <w:spacing w:after="0" w:line="151" w:lineRule="exact"/>
        <w:rPr>
          <w:sz w:val="20"/>
          <w:szCs w:val="20"/>
          <w:color w:val="auto"/>
        </w:rPr>
      </w:pPr>
    </w:p>
    <w:p>
      <w:pPr>
        <w:jc w:val="both"/>
        <w:ind w:left="3" w:right="20"/>
        <w:spacing w:after="0" w:line="263" w:lineRule="auto"/>
        <w:rPr>
          <w:sz w:val="20"/>
          <w:szCs w:val="20"/>
          <w:color w:val="auto"/>
        </w:rPr>
      </w:pPr>
      <w:r>
        <w:rPr>
          <w:rFonts w:ascii="Times New Roman" w:cs="Times New Roman" w:eastAsia="Times New Roman" w:hAnsi="Times New Roman"/>
          <w:sz w:val="18"/>
          <w:szCs w:val="18"/>
          <w:color w:val="auto"/>
        </w:rPr>
        <w:t>On October 23, 2023, the Company completed the acquisition of Small Pharma by way of the Arrangement pursuant to which Small Pharma became a wholly-owned subsidiary of Cybin. Small Pharma is a biotechnology company focused on developing short-duration psychedelic-assisted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 w:cs="Times New Roman" w:eastAsia="Times New Roman" w:hAnsi="Times New Roman"/>
          <w:sz w:val="18"/>
          <w:szCs w:val="18"/>
          <w:b w:val="1"/>
          <w:bCs w:val="1"/>
          <w:color w:val="auto"/>
        </w:rPr>
        <w:t>LSD</w:t>
      </w:r>
      <w:r>
        <w:rPr>
          <w:rFonts w:ascii="Times New Roman" w:cs="Times New Roman" w:eastAsia="Times New Roman" w:hAnsi="Times New Roman"/>
          <w:sz w:val="18"/>
          <w:szCs w:val="18"/>
          <w:color w:val="auto"/>
        </w:rPr>
        <w:t>”). Second-generation psychedelics refer to those that have been chemically modified with the aim to optimize their therapeutic benefit.</w:t>
      </w:r>
    </w:p>
    <w:p>
      <w:pPr>
        <w:spacing w:after="0" w:line="184" w:lineRule="exact"/>
        <w:rPr>
          <w:sz w:val="20"/>
          <w:szCs w:val="20"/>
          <w:color w:val="auto"/>
        </w:rPr>
      </w:pPr>
    </w:p>
    <w:p>
      <w:pPr>
        <w:jc w:val="both"/>
        <w:ind w:left="3" w:right="20"/>
        <w:spacing w:after="0" w:line="280" w:lineRule="auto"/>
        <w:rPr>
          <w:sz w:val="20"/>
          <w:szCs w:val="20"/>
          <w:color w:val="auto"/>
        </w:rPr>
      </w:pPr>
      <w:r>
        <w:rPr>
          <w:rFonts w:ascii="Times New Roman" w:cs="Times New Roman" w:eastAsia="Times New Roman" w:hAnsi="Times New Roman"/>
          <w:sz w:val="18"/>
          <w:szCs w:val="18"/>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94"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As a result of the acquisition of Small Pharma by way of the Arrangement, Cybin currently now has over 70 granted patents and over 220 pending applications. See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15354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 w:right="20" w:hanging="3"/>
        <w:spacing w:after="0" w:line="235" w:lineRule="auto"/>
        <w:tabs>
          <w:tab w:leader="none" w:pos="86"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3"/>
          </w:cols>
          <w:pgMar w:left="317" w:top="1289" w:right="319" w:bottom="1440" w:gutter="0" w:footer="0" w:header="0"/>
        </w:sectPr>
      </w:pPr>
    </w:p>
    <w:bookmarkStart w:id="33" w:name="page34"/>
    <w:bookmarkEnd w:id="33"/>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Advancement of Mental Healthcare</w:t>
      </w:r>
    </w:p>
    <w:p>
      <w:pPr>
        <w:spacing w:after="0" w:line="230" w:lineRule="exact"/>
        <w:rPr>
          <w:sz w:val="20"/>
          <w:szCs w:val="20"/>
          <w:color w:val="auto"/>
        </w:rPr>
      </w:pPr>
    </w:p>
    <w:p>
      <w:pPr>
        <w:jc w:val="both"/>
        <w:ind w:left="3"/>
        <w:spacing w:after="0" w:line="301"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52"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psychedelic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 subcutaneous administration.</w:t>
      </w:r>
      <w:r>
        <w:rPr>
          <w:rFonts w:ascii="Times New Roman" w:cs="Times New Roman" w:eastAsia="Times New Roman" w:hAnsi="Times New Roman"/>
          <w:sz w:val="23"/>
          <w:szCs w:val="23"/>
          <w:color w:val="auto"/>
          <w:vertAlign w:val="superscript"/>
        </w:rPr>
        <w:t>2</w:t>
      </w:r>
    </w:p>
    <w:p>
      <w:pPr>
        <w:spacing w:after="0" w:line="63" w:lineRule="exact"/>
        <w:rPr>
          <w:sz w:val="20"/>
          <w:szCs w:val="20"/>
          <w:color w:val="auto"/>
        </w:rPr>
      </w:pPr>
    </w:p>
    <w:p>
      <w:pPr>
        <w:jc w:val="both"/>
        <w:ind w:left="3" w:right="20"/>
        <w:spacing w:after="0" w:line="255"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The Company is also developing compounds that may have the potential to address neuroinflammation, central nervous system (“</w:t>
      </w:r>
      <w:r>
        <w:rPr>
          <w:rFonts w:ascii="Times New Roman" w:cs="Times New Roman" w:eastAsia="Times New Roman" w:hAnsi="Times New Roman"/>
          <w:sz w:val="18"/>
          <w:szCs w:val="18"/>
          <w:b w:val="1"/>
          <w:bCs w:val="1"/>
          <w:color w:val="auto"/>
        </w:rPr>
        <w:t>CN”</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4</w:t>
      </w:r>
    </w:p>
    <w:p>
      <w:pPr>
        <w:spacing w:after="0" w:line="139"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new psychedelic-based compounds and novel delivery mechanisms.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6</w:t>
      </w:r>
    </w:p>
    <w:p>
      <w:pPr>
        <w:spacing w:after="0" w:line="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Stage of Development</w:t>
      </w:r>
    </w:p>
    <w:p>
      <w:pPr>
        <w:spacing w:after="0" w:line="184" w:lineRule="exact"/>
        <w:rPr>
          <w:sz w:val="20"/>
          <w:szCs w:val="20"/>
          <w:color w:val="auto"/>
        </w:rPr>
      </w:pPr>
    </w:p>
    <w:p>
      <w:pPr>
        <w:jc w:val="both"/>
        <w:ind w:left="3"/>
        <w:spacing w:after="0" w:line="356" w:lineRule="auto"/>
        <w:rPr>
          <w:sz w:val="20"/>
          <w:szCs w:val="20"/>
          <w:color w:val="auto"/>
        </w:rPr>
      </w:pPr>
      <w:r>
        <w:rPr>
          <w:rFonts w:ascii="Times New Roman" w:cs="Times New Roman" w:eastAsia="Times New Roman" w:hAnsi="Times New Roman"/>
          <w:sz w:val="17"/>
          <w:szCs w:val="17"/>
          <w:color w:val="auto"/>
        </w:rPr>
        <w:t>Like most life sciences and pharmaceutical companies, the Company’s psychedelic business is focused on research and development and any future revenue will be dependent on a number of factors, including the outcome of the Company’s clinical trials and the receipt of all necessary regulatory approvals.</w:t>
      </w:r>
    </w:p>
    <w:p>
      <w:pPr>
        <w:spacing w:after="0" w:line="109"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European Union (the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15354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24" w:lineRule="exact"/>
        <w:rPr>
          <w:sz w:val="20"/>
          <w:szCs w:val="20"/>
          <w:color w:val="auto"/>
        </w:rPr>
      </w:pPr>
    </w:p>
    <w:p>
      <w:pPr>
        <w:ind w:left="83" w:hanging="83"/>
        <w:spacing w:after="0"/>
        <w:tabs>
          <w:tab w:leader="none" w:pos="8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footnote 1.</w:t>
      </w:r>
    </w:p>
    <w:p>
      <w:pPr>
        <w:ind w:left="3"/>
        <w:spacing w:after="0" w:line="22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xml:space="preserve"> See footnote 1.</w:t>
      </w:r>
    </w:p>
    <w:p>
      <w:pPr>
        <w:ind w:left="3"/>
        <w:spacing w:after="0" w:line="22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5"/>
          <w:szCs w:val="15"/>
          <w:color w:val="auto"/>
        </w:rPr>
        <w:t xml:space="preserve"> See footnote 1.</w:t>
      </w:r>
    </w:p>
    <w:p>
      <w:pPr>
        <w:ind w:left="3"/>
        <w:spacing w:after="0" w:line="196"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5"/>
          <w:szCs w:val="15"/>
          <w:color w:val="auto"/>
        </w:rPr>
        <w:t xml:space="preserve"> A material factor and assumption underlying this forward-looking statement is that the Company will be able to successfully negotiate strategic partnerships.</w:t>
      </w:r>
    </w:p>
    <w:p>
      <w:pPr>
        <w:jc w:val="both"/>
        <w:ind w:left="3" w:right="20"/>
        <w:spacing w:after="0" w:line="23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ind w:left="3" w:right="20"/>
        <w:spacing w:after="0" w:line="22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5"/>
          <w:szCs w:val="15"/>
          <w:color w:val="auto"/>
        </w:rPr>
        <w:t xml:space="preserve"> 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3"/>
          </w:cols>
          <w:pgMar w:left="317" w:top="1265" w:right="319" w:bottom="1440" w:gutter="0" w:footer="0" w:header="0"/>
        </w:sectPr>
      </w:pPr>
    </w:p>
    <w:bookmarkStart w:id="34" w:name="page35"/>
    <w:bookmarkEnd w:id="34"/>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49"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3"/>
        <w:spacing w:after="0" w:line="294" w:lineRule="auto"/>
        <w:rPr>
          <w:sz w:val="20"/>
          <w:szCs w:val="20"/>
          <w:color w:val="auto"/>
        </w:rPr>
      </w:pPr>
      <w:r>
        <w:rPr>
          <w:rFonts w:ascii="Times New Roman" w:cs="Times New Roman" w:eastAsia="Times New Roman" w:hAnsi="Times New Roman"/>
          <w:sz w:val="18"/>
          <w:szCs w:val="18"/>
          <w:color w:val="auto"/>
        </w:rPr>
        <w:t>On November 4, 2021, the Company announced that it had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81"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On March 13, 2024, the Company announced that it had been granted Breakthrough Therapy Designation (“</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i w:val="1"/>
          <w:iCs w:val="1"/>
          <w:color w:val="auto"/>
          <w:vertAlign w:val="superscript"/>
        </w:rPr>
        <w:t>8</w:t>
      </w:r>
    </w:p>
    <w:p>
      <w:pPr>
        <w:spacing w:after="0" w:line="1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228" w:lineRule="exact"/>
        <w:rPr>
          <w:sz w:val="20"/>
          <w:szCs w:val="20"/>
          <w:color w:val="auto"/>
        </w:rPr>
      </w:pPr>
    </w:p>
    <w:p>
      <w:pPr>
        <w:ind w:left="583" w:hanging="293"/>
        <w:spacing w:after="0"/>
        <w:tabs>
          <w:tab w:leader="none" w:pos="5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Psilocybin Analog Program (CYB003)</w:t>
      </w:r>
    </w:p>
    <w:p>
      <w:pPr>
        <w:spacing w:after="0" w:line="46" w:lineRule="exact"/>
        <w:rPr>
          <w:rFonts w:ascii="Times New Roman" w:cs="Times New Roman" w:eastAsia="Times New Roman" w:hAnsi="Times New Roman"/>
          <w:sz w:val="18"/>
          <w:szCs w:val="18"/>
          <w:color w:val="auto"/>
        </w:rPr>
      </w:pPr>
    </w:p>
    <w:p>
      <w:pPr>
        <w:ind w:left="583" w:hanging="293"/>
        <w:spacing w:after="0"/>
        <w:tabs>
          <w:tab w:leader="none" w:pos="5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 SPL028, and SPL026)</w:t>
      </w:r>
    </w:p>
    <w:p>
      <w:pPr>
        <w:spacing w:after="0" w:line="34" w:lineRule="exact"/>
        <w:rPr>
          <w:rFonts w:ascii="Times New Roman" w:cs="Times New Roman" w:eastAsia="Times New Roman" w:hAnsi="Times New Roman"/>
          <w:sz w:val="18"/>
          <w:szCs w:val="18"/>
          <w:color w:val="auto"/>
        </w:rPr>
      </w:pPr>
    </w:p>
    <w:p>
      <w:pPr>
        <w:ind w:left="583" w:hanging="293"/>
        <w:spacing w:after="0"/>
        <w:tabs>
          <w:tab w:leader="none" w:pos="5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46" w:lineRule="exact"/>
        <w:rPr>
          <w:rFonts w:ascii="Times New Roman" w:cs="Times New Roman" w:eastAsia="Times New Roman" w:hAnsi="Times New Roman"/>
          <w:sz w:val="18"/>
          <w:szCs w:val="18"/>
          <w:color w:val="auto"/>
        </w:rPr>
      </w:pPr>
    </w:p>
    <w:p>
      <w:pPr>
        <w:ind w:left="583" w:hanging="293"/>
        <w:spacing w:after="0"/>
        <w:tabs>
          <w:tab w:leader="none" w:pos="5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228"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The Company has developed EMBARK, a psychological support model that integrates leading clinical approaches to promote supportive healing with psychedelic medicine.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elational,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eeping Momentum) represent the broad spectrum of ways in which therapeutic benefits may arise in psychedelic treatment and the equally broad training needed to prepare therapists to support them all. The Company launched its EMBARK training program in June 2021, which prepares facilitators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354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66" w:lineRule="exact"/>
        <w:rPr>
          <w:sz w:val="20"/>
          <w:szCs w:val="20"/>
          <w:color w:val="auto"/>
        </w:rPr>
      </w:pPr>
    </w:p>
    <w:p>
      <w:pPr>
        <w:ind w:left="83" w:hanging="83"/>
        <w:spacing w:after="0"/>
        <w:tabs>
          <w:tab w:leader="none" w:pos="83"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quarter references in this section are based on calendar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3"/>
          </w:cols>
          <w:pgMar w:left="317" w:top="1301" w:right="319" w:bottom="1440" w:gutter="0" w:footer="0" w:header="0"/>
        </w:sectPr>
      </w:pPr>
    </w:p>
    <w:bookmarkStart w:id="35" w:name="page36"/>
    <w:bookmarkEnd w:id="35"/>
    <w:p>
      <w:pPr>
        <w:jc w:val="both"/>
        <w:spacing w:after="0" w:line="270" w:lineRule="auto"/>
        <w:rPr>
          <w:sz w:val="20"/>
          <w:szCs w:val="20"/>
          <w:color w:val="auto"/>
        </w:rPr>
      </w:pPr>
      <w:r>
        <w:rPr>
          <w:rFonts w:ascii="Times New Roman" w:cs="Times New Roman" w:eastAsia="Times New Roman" w:hAnsi="Times New Roman"/>
          <w:sz w:val="18"/>
          <w:szCs w:val="18"/>
          <w:color w:val="auto"/>
        </w:rPr>
        <w:t>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18"/>
          <w:szCs w:val="18"/>
          <w:b w:val="1"/>
          <w:bCs w:val="1"/>
          <w:color w:val="auto"/>
        </w:rPr>
        <w:t>EMBARK OA</w:t>
      </w:r>
      <w:r>
        <w:rPr>
          <w:rFonts w:ascii="Times New Roman" w:cs="Times New Roman" w:eastAsia="Times New Roman" w:hAnsi="Times New Roman"/>
          <w:sz w:val="18"/>
          <w:szCs w:val="18"/>
          <w:color w:val="auto"/>
        </w:rPr>
        <w:t>”), a free online foundational training course for psychedelic facilitation. EMBARK Open Access is the first and only free massive open online course that offers foundational psychedelic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which is designed for individuals with existing knowledge, skills, and experience in psychedelic facilitation. The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is continuing to assess the research and development programs of Small Pharma acquired through the acquisition of Small Pharma by way of the Arrangement and will provide further information and updates upon completion of the integration of Small Pharma’s business, including the anticipated spend associated with any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Deuterated Psilocybin Analog Program (CYB003)</w:t>
      </w:r>
    </w:p>
    <w:p>
      <w:pPr>
        <w:spacing w:after="0" w:line="25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7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psilocybin analog program that has been granted FDA BTD for the adjunctive treatment of MDD. CYB003 aims to address the limitations of oral psilocybin, including side effects, scalability and accessibility of treatment.</w:t>
      </w:r>
    </w:p>
    <w:p>
      <w:pPr>
        <w:spacing w:after="0" w:line="1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 moderate to severe MDD. 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1/2a clinical trial of CYB003. On August 30, 2022, the Company announced that the first two participants had been dosed in the Phase 1/2a study.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CYB003 Phase 1/2a Clinical Trial</w:t>
      </w:r>
    </w:p>
    <w:p>
      <w:pPr>
        <w:spacing w:after="0" w:line="24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Phase 1/2a trial was a randomized, double-blind, placebo-controlled study evaluating CYB003 in participants with moderate to severe MDD and in healthy volunteers. Per a protocol amendment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303" w:right="319" w:bottom="1440" w:gutter="0" w:footer="0" w:header="0"/>
        </w:sectPr>
      </w:pPr>
    </w:p>
    <w:bookmarkStart w:id="36" w:name="page37"/>
    <w:bookmarkEnd w:id="36"/>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psychedelic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study investigated the safety, tolerability, pharmacokinetics (“</w:t>
      </w:r>
      <w:r>
        <w:rPr>
          <w:rFonts w:ascii="Times New Roman" w:cs="Times New Roman" w:eastAsia="Times New Roman" w:hAnsi="Times New Roman"/>
          <w:sz w:val="18"/>
          <w:szCs w:val="18"/>
          <w:b w:val="1"/>
          <w:bCs w:val="1"/>
          <w:color w:val="auto"/>
        </w:rPr>
        <w:t>PK</w:t>
      </w:r>
      <w:r>
        <w:rPr>
          <w:rFonts w:ascii="Times New Roman" w:cs="Times New Roman" w:eastAsia="Times New Roman" w:hAnsi="Times New Roman"/>
          <w:sz w:val="18"/>
          <w:szCs w:val="18"/>
          <w:color w:val="auto"/>
        </w:rPr>
        <w:t>”) and pharmacodynamics (“</w:t>
      </w:r>
      <w:r>
        <w:rPr>
          <w:rFonts w:ascii="Times New Roman" w:cs="Times New Roman" w:eastAsia="Times New Roman" w:hAnsi="Times New Roman"/>
          <w:sz w:val="18"/>
          <w:szCs w:val="18"/>
          <w:b w:val="1"/>
          <w:bCs w:val="1"/>
          <w:color w:val="auto"/>
        </w:rPr>
        <w:t>PD</w:t>
      </w:r>
      <w:r>
        <w:rPr>
          <w:rFonts w:ascii="Times New Roman" w:cs="Times New Roman" w:eastAsia="Times New Roman" w:hAnsi="Times New Roman"/>
          <w:sz w:val="18"/>
          <w:szCs w:val="18"/>
          <w:color w:val="auto"/>
        </w:rPr>
        <w:t>”), and psychedelic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18"/>
          <w:szCs w:val="18"/>
          <w:b w:val="1"/>
          <w:bCs w:val="1"/>
          <w:color w:val="auto"/>
        </w:rPr>
        <w:t>MADRS</w:t>
      </w:r>
      <w:r>
        <w:rPr>
          <w:rFonts w:ascii="Times New Roman" w:cs="Times New Roman" w:eastAsia="Times New Roman" w:hAnsi="Times New Roman"/>
          <w:sz w:val="18"/>
          <w:szCs w:val="18"/>
          <w:color w:val="auto"/>
        </w:rPr>
        <w:t>”), and evaluated the incremental benefit of a second dose of CYB003 when administered at Week 3. An optional period of assessment will help determine the durability of treatment effect out to 12 months. The study is listed on ClinicalTrials.gov under Identifier: NCT05385783.</w:t>
      </w:r>
    </w:p>
    <w:p>
      <w:pPr>
        <w:spacing w:after="0" w:line="20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12mg doses of CYB003. On August 2, 2023, the Company announced that it had initiated dosing in Cohort 6, the final cohort of the CYB003 Phase 2a study.</w:t>
      </w:r>
    </w:p>
    <w:p>
      <w:pPr>
        <w:spacing w:after="0" w:line="18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On September 21, 2023, the Company announced that it had completed enrollment in its Phase 2a study of CYB003, its proprietary deuterated psilocybin analog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189"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7"/>
          <w:szCs w:val="17"/>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6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On October 31, 2023, the Company announced Phase 2a interim results for CYB003, its proprietary deuterated psilocybin analog, demonstrating a rapid, robust and statistically significant reduction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291" w:right="319" w:bottom="1440" w:gutter="0" w:footer="0" w:header="0"/>
        </w:sectPr>
      </w:pPr>
    </w:p>
    <w:bookmarkStart w:id="37" w:name="page38"/>
    <w:bookmarkEnd w:id="37"/>
    <w:p>
      <w:pPr>
        <w:jc w:val="both"/>
        <w:ind w:left="3"/>
        <w:spacing w:after="0" w:line="301" w:lineRule="auto"/>
        <w:rPr>
          <w:sz w:val="20"/>
          <w:szCs w:val="20"/>
          <w:color w:val="auto"/>
        </w:rPr>
      </w:pPr>
      <w:r>
        <w:rPr>
          <w:rFonts w:ascii="Times New Roman" w:cs="Times New Roman" w:eastAsia="Times New Roman" w:hAnsi="Times New Roman"/>
          <w:sz w:val="18"/>
          <w:szCs w:val="18"/>
          <w:color w:val="auto"/>
        </w:rPr>
        <w:t>symptoms of depression three weeks following a single 12mg dose compared to placebo, in participants with moderate to severe MDD. At the 3-week primary efficacy endpoint, the reduction in MDD symptoms, defined as change from baseline in the MADRS total score, was superior in participants assigned to CYB003 compared to the participants who received placebo by 14.08 points (p=0.0005, Cohen’s d=2.15).</w:t>
      </w:r>
    </w:p>
    <w:p>
      <w:pPr>
        <w:spacing w:after="0" w:line="176"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 These results support progression to a Phase 3 study in MDD which is expected to begin in late summer of 2024.</w:t>
      </w:r>
    </w:p>
    <w:p>
      <w:pPr>
        <w:spacing w:after="0" w:line="199" w:lineRule="exact"/>
        <w:rPr>
          <w:sz w:val="20"/>
          <w:szCs w:val="20"/>
          <w:color w:val="auto"/>
        </w:rPr>
      </w:pPr>
    </w:p>
    <w:p>
      <w:pPr>
        <w:jc w:val="both"/>
        <w:ind w:left="3"/>
        <w:spacing w:after="0" w:line="294" w:lineRule="auto"/>
        <w:rPr>
          <w:sz w:val="20"/>
          <w:szCs w:val="20"/>
          <w:color w:val="auto"/>
        </w:rPr>
      </w:pPr>
      <w:r>
        <w:rPr>
          <w:rFonts w:ascii="Times New Roman" w:cs="Times New Roman" w:eastAsia="Times New Roman" w:hAnsi="Times New Roman"/>
          <w:sz w:val="18"/>
          <w:szCs w:val="18"/>
          <w:color w:val="auto"/>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spacing w:after="0" w:line="183" w:lineRule="exact"/>
        <w:rPr>
          <w:sz w:val="20"/>
          <w:szCs w:val="20"/>
          <w:color w:val="auto"/>
        </w:rPr>
      </w:pPr>
    </w:p>
    <w:p>
      <w:pPr>
        <w:ind w:left="563" w:hanging="276"/>
        <w:spacing w:after="0"/>
        <w:tabs>
          <w:tab w:leader="none" w:pos="563" w:val="left"/>
        </w:tabs>
        <w:numPr>
          <w:ilvl w:val="0"/>
          <w:numId w:val="16"/>
        </w:numPr>
        <w:rPr>
          <w:rFonts w:ascii="Calibri" w:cs="Calibri" w:eastAsia="Calibri" w:hAnsi="Calibri"/>
          <w:sz w:val="17"/>
          <w:szCs w:val="17"/>
          <w:color w:val="auto"/>
        </w:rPr>
      </w:pPr>
      <w:r>
        <w:rPr>
          <w:rFonts w:ascii="Times New Roman" w:cs="Times New Roman" w:eastAsia="Times New Roman" w:hAnsi="Times New Roman"/>
          <w:sz w:val="17"/>
          <w:szCs w:val="17"/>
          <w:color w:val="auto"/>
        </w:rPr>
        <w:t>Average mean reduction from baseline in the MADRS total score across 2 cohorts was approximately 22 points from baseline in both dosing cohorts.</w:t>
      </w:r>
    </w:p>
    <w:p>
      <w:pPr>
        <w:spacing w:after="0" w:line="58" w:lineRule="exact"/>
        <w:rPr>
          <w:rFonts w:ascii="Calibri" w:cs="Calibri" w:eastAsia="Calibri" w:hAnsi="Calibri"/>
          <w:sz w:val="17"/>
          <w:szCs w:val="17"/>
          <w:color w:val="auto"/>
        </w:rPr>
      </w:pPr>
    </w:p>
    <w:p>
      <w:pPr>
        <w:ind w:left="563" w:hanging="276"/>
        <w:spacing w:after="0"/>
        <w:tabs>
          <w:tab w:leader="none" w:pos="563"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60% of patients on 12 mg and 75% on 16 mg were in remission from depression following 2 doses (MADRS score &lt;/= 10).</w:t>
      </w:r>
    </w:p>
    <w:p>
      <w:pPr>
        <w:spacing w:after="0" w:line="2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The Company spent approximately $3,375 on the Deuterated Psilocybin Analog Program during the three months ended </w:t>
      </w:r>
      <w:r>
        <w:rPr>
          <w:rFonts w:ascii="Times New Roman" w:cs="Times New Roman" w:eastAsia="Times New Roman" w:hAnsi="Times New Roman"/>
          <w:sz w:val="19"/>
          <w:szCs w:val="19"/>
          <w:color w:val="auto"/>
        </w:rPr>
        <w:t>June 30, 2024.</w:t>
      </w:r>
    </w:p>
    <w:p>
      <w:pPr>
        <w:spacing w:after="0" w:line="257" w:lineRule="exact"/>
        <w:rPr>
          <w:sz w:val="20"/>
          <w:szCs w:val="20"/>
          <w:color w:val="auto"/>
        </w:rPr>
      </w:pPr>
    </w:p>
    <w:p>
      <w:pPr>
        <w:ind w:left="3" w:right="20"/>
        <w:spacing w:after="0" w:line="295"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its clinical development have been identified. The Company intends to:</w:t>
      </w:r>
    </w:p>
    <w:p>
      <w:pPr>
        <w:spacing w:after="0" w:line="180" w:lineRule="exact"/>
        <w:rPr>
          <w:sz w:val="20"/>
          <w:szCs w:val="20"/>
          <w:color w:val="auto"/>
        </w:rPr>
      </w:pPr>
    </w:p>
    <w:p>
      <w:pPr>
        <w:ind w:left="583" w:right="20" w:hanging="296"/>
        <w:spacing w:after="0" w:line="249" w:lineRule="auto"/>
        <w:tabs>
          <w:tab w:leader="none" w:pos="579" w:val="left"/>
        </w:tabs>
        <w:numPr>
          <w:ilvl w:val="0"/>
          <w:numId w:val="17"/>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Initiate a Phase 3 study of CYB003 in MDD in late summer of 2024 to further evaluate the safety and efficacy of CYB003 capsules as a potential adjunctive treatment in a larger MDD patient population.</w:t>
      </w:r>
      <w:r>
        <w:rPr>
          <w:rFonts w:ascii="Times New Roman" w:cs="Times New Roman" w:eastAsia="Times New Roman" w:hAnsi="Times New Roman"/>
          <w:sz w:val="25"/>
          <w:szCs w:val="25"/>
          <w:color w:val="auto"/>
          <w:vertAlign w:val="superscript"/>
        </w:rPr>
        <w:t>9</w:t>
      </w:r>
    </w:p>
    <w:p>
      <w:pPr>
        <w:spacing w:after="0" w:line="1" w:lineRule="exact"/>
        <w:rPr>
          <w:rFonts w:ascii="Calibri" w:cs="Calibri" w:eastAsia="Calibri" w:hAnsi="Calibri"/>
          <w:sz w:val="18"/>
          <w:szCs w:val="18"/>
          <w:color w:val="auto"/>
        </w:rPr>
      </w:pPr>
    </w:p>
    <w:p>
      <w:pPr>
        <w:ind w:left="563" w:hanging="276"/>
        <w:spacing w:after="0" w:line="231" w:lineRule="auto"/>
        <w:tabs>
          <w:tab w:leader="none" w:pos="563" w:val="left"/>
        </w:tabs>
        <w:numPr>
          <w:ilvl w:val="0"/>
          <w:numId w:val="1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12-month efficacy data from the Phase 2 MDD study in Q4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5354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325" w:lineRule="exact"/>
        <w:rPr>
          <w:sz w:val="20"/>
          <w:szCs w:val="20"/>
          <w:color w:val="auto"/>
        </w:rPr>
      </w:pPr>
    </w:p>
    <w:p>
      <w:pPr>
        <w:jc w:val="both"/>
        <w:ind w:left="3" w:right="20" w:hanging="3"/>
        <w:spacing w:after="0" w:line="274" w:lineRule="auto"/>
        <w:tabs>
          <w:tab w:leader="none" w:pos="98"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3"/>
          </w:cols>
          <w:pgMar w:left="317" w:top="1303" w:right="319" w:bottom="1440" w:gutter="0" w:footer="0" w:header="0"/>
        </w:sectPr>
      </w:pPr>
    </w:p>
    <w:bookmarkStart w:id="38" w:name="page39"/>
    <w:bookmarkEnd w:id="38"/>
    <w:p>
      <w:pPr>
        <w:spacing w:after="0" w:line="69" w:lineRule="exact"/>
        <w:rPr>
          <w:sz w:val="20"/>
          <w:szCs w:val="20"/>
          <w:color w:val="auto"/>
        </w:rPr>
      </w:pPr>
    </w:p>
    <w:p>
      <w:pPr>
        <w:jc w:val="both"/>
        <w:ind w:left="3"/>
        <w:spacing w:after="0" w:line="262" w:lineRule="auto"/>
        <w:rPr>
          <w:sz w:val="20"/>
          <w:szCs w:val="20"/>
          <w:color w:val="auto"/>
        </w:rPr>
      </w:pPr>
      <w:r>
        <w:rPr>
          <w:rFonts w:ascii="Times New Roman" w:cs="Times New Roman" w:eastAsia="Times New Roman" w:hAnsi="Times New Roman"/>
          <w:sz w:val="18"/>
          <w:szCs w:val="18"/>
          <w:color w:val="auto"/>
        </w:rPr>
        <w:t>The Company expects to spend approximately $13,276</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to initiate a Phase 3 study of CYB003 in MDD in summer 2024, of which approximately $2,311 was spent during the three months ended June 30, 2024 and approximately $2,978 was spent during the twelve months ended March 31, 2024, resulting in an approximate remaining spend as of June 30, 2024 of $7,987. The Company expects to spend approximately $664 to provide 12-month efficacy data from the Phase 2 MDD study in Q4 2024 of which approximately $22 was spent during the three months ended June 30, 2024, resulting in an approximate remaining spend as of June 30, 2024 of $642.The Company intends to continue funding the Deuterated Psilocybin Analog (CYB003) Program.</w:t>
      </w:r>
    </w:p>
    <w:p>
      <w:pPr>
        <w:spacing w:after="0" w:line="2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40" w:lineRule="exact"/>
        <w:rPr>
          <w:sz w:val="20"/>
          <w:szCs w:val="20"/>
          <w:color w:val="auto"/>
        </w:rPr>
      </w:pPr>
    </w:p>
    <w:p>
      <w:pPr>
        <w:ind w:left="3" w:right="180"/>
        <w:spacing w:after="0" w:line="295" w:lineRule="auto"/>
        <w:rPr>
          <w:sz w:val="20"/>
          <w:szCs w:val="20"/>
          <w:color w:val="auto"/>
        </w:rPr>
      </w:pPr>
      <w:r>
        <w:rPr>
          <w:rFonts w:ascii="Times New Roman" w:cs="Times New Roman" w:eastAsia="Times New Roman" w:hAnsi="Times New Roman"/>
          <w:sz w:val="18"/>
          <w:szCs w:val="18"/>
          <w:color w:val="auto"/>
        </w:rPr>
        <w:t>The Phase 3 CYB003 study will include thirty sites in the United States and Europe with deep clinical expertise in depression studies. Clinical site selection has been completed for the Phase 3 study, and the Company is on track to commence enrollment shortly.</w:t>
      </w:r>
    </w:p>
    <w:p>
      <w:pPr>
        <w:spacing w:after="0" w:line="19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Deuterated Dimethyltryptamine Program</w:t>
      </w:r>
    </w:p>
    <w:p>
      <w:pPr>
        <w:spacing w:after="0" w:line="238" w:lineRule="exact"/>
        <w:rPr>
          <w:sz w:val="20"/>
          <w:szCs w:val="20"/>
          <w:color w:val="auto"/>
        </w:rPr>
      </w:pPr>
    </w:p>
    <w:p>
      <w:pPr>
        <w:jc w:val="both"/>
        <w:ind w:left="3"/>
        <w:spacing w:after="0" w:line="288" w:lineRule="auto"/>
        <w:rPr>
          <w:sz w:val="20"/>
          <w:szCs w:val="20"/>
          <w:color w:val="auto"/>
        </w:rPr>
      </w:pPr>
      <w:r>
        <w:rPr>
          <w:rFonts w:ascii="Times New Roman" w:cs="Times New Roman" w:eastAsia="Times New Roman" w:hAnsi="Times New Roman"/>
          <w:sz w:val="18"/>
          <w:szCs w:val="18"/>
          <w:color w:val="auto"/>
        </w:rPr>
        <w:t>The Company’s proprietary deuterated dimethyltryptamine (“</w:t>
      </w:r>
      <w:r>
        <w:rPr>
          <w:rFonts w:ascii="Times New Roman" w:cs="Times New Roman" w:eastAsia="Times New Roman" w:hAnsi="Times New Roman"/>
          <w:sz w:val="18"/>
          <w:szCs w:val="18"/>
          <w:b w:val="1"/>
          <w:bCs w:val="1"/>
          <w:color w:val="auto"/>
        </w:rPr>
        <w:t>dDMT</w:t>
      </w:r>
      <w:r>
        <w:rPr>
          <w:rFonts w:ascii="Times New Roman" w:cs="Times New Roman" w:eastAsia="Times New Roman" w:hAnsi="Times New Roman"/>
          <w:sz w:val="18"/>
          <w:szCs w:val="18"/>
          <w:color w:val="auto"/>
        </w:rPr>
        <w:t>”) program CYB004 is being developed as an intermittent treatment with the potential for less invasive, more convenient and patient-friendly dosing methods for the potential treatment of GAD with or without MDD. A single intramuscular (“IM”) dose is expected to result in acute psychedelic effects lasting an average of 90 minutes.</w:t>
      </w:r>
    </w:p>
    <w:p>
      <w:pPr>
        <w:spacing w:after="0" w:line="188" w:lineRule="exact"/>
        <w:rPr>
          <w:sz w:val="20"/>
          <w:szCs w:val="20"/>
          <w:color w:val="auto"/>
        </w:rPr>
      </w:pPr>
    </w:p>
    <w:p>
      <w:pPr>
        <w:jc w:val="both"/>
        <w:ind w:left="3"/>
        <w:spacing w:after="0" w:line="301" w:lineRule="auto"/>
        <w:rPr>
          <w:sz w:val="20"/>
          <w:szCs w:val="20"/>
          <w:color w:val="auto"/>
        </w:rPr>
      </w:pPr>
      <w:r>
        <w:rPr>
          <w:rFonts w:ascii="Times New Roman" w:cs="Times New Roman" w:eastAsia="Times New Roman" w:hAnsi="Times New Roman"/>
          <w:sz w:val="17"/>
          <w:szCs w:val="17"/>
          <w:color w:val="auto"/>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Key findings from these completed studies are as follows:</w:t>
      </w:r>
    </w:p>
    <w:p>
      <w:pPr>
        <w:spacing w:after="0" w:line="252" w:lineRule="exact"/>
        <w:rPr>
          <w:sz w:val="20"/>
          <w:szCs w:val="20"/>
          <w:color w:val="auto"/>
        </w:rPr>
      </w:pPr>
    </w:p>
    <w:p>
      <w:pPr>
        <w:ind w:left="563" w:hanging="276"/>
        <w:spacing w:after="0"/>
        <w:tabs>
          <w:tab w:leader="none" w:pos="563" w:val="left"/>
        </w:tabs>
        <w:numPr>
          <w:ilvl w:val="0"/>
          <w:numId w:val="19"/>
        </w:numPr>
        <w:rPr>
          <w:rFonts w:ascii="Calibri" w:cs="Calibri" w:eastAsia="Calibri" w:hAnsi="Calibri"/>
          <w:sz w:val="17"/>
          <w:szCs w:val="17"/>
          <w:color w:val="auto"/>
        </w:rPr>
      </w:pPr>
      <w:r>
        <w:rPr>
          <w:rFonts w:ascii="Times New Roman" w:cs="Times New Roman" w:eastAsia="Times New Roman" w:hAnsi="Times New Roman"/>
          <w:sz w:val="17"/>
          <w:szCs w:val="17"/>
          <w:color w:val="auto"/>
        </w:rPr>
        <w:t>Phase 2a safety and efficacy data for SPL026 (IV DMT) in 34 participants with MDD, demonstrating a clinically relevant and statistically significant</w:t>
      </w:r>
    </w:p>
    <w:p>
      <w:pPr>
        <w:spacing w:after="0" w:line="70" w:lineRule="exact"/>
        <w:rPr>
          <w:rFonts w:ascii="Calibri" w:cs="Calibri" w:eastAsia="Calibri" w:hAnsi="Calibri"/>
          <w:sz w:val="17"/>
          <w:szCs w:val="17"/>
          <w:color w:val="auto"/>
        </w:rPr>
      </w:pPr>
    </w:p>
    <w:p>
      <w:pPr>
        <w:jc w:val="both"/>
        <w:ind w:left="583"/>
        <w:spacing w:after="0" w:line="285"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ind w:left="583" w:hanging="296"/>
        <w:spacing w:after="0" w:line="322" w:lineRule="auto"/>
        <w:tabs>
          <w:tab w:leader="none" w:pos="579" w:val="left"/>
        </w:tabs>
        <w:numPr>
          <w:ilvl w:val="0"/>
          <w:numId w:val="1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study evaluating IM SPL026 supporting IM administration for patient-friendly dosing. The study demonstrated that IM DMT is well-tolerated and generates a breakthrough psychedelic experience lasting approximately 45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15354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60" w:lineRule="exact"/>
        <w:rPr>
          <w:sz w:val="20"/>
          <w:szCs w:val="20"/>
          <w:color w:val="auto"/>
        </w:rPr>
      </w:pPr>
    </w:p>
    <w:p>
      <w:pPr>
        <w:ind w:left="123" w:hanging="123"/>
        <w:spacing w:after="0"/>
        <w:tabs>
          <w:tab w:leader="none" w:pos="123"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3"/>
          </w:cols>
          <w:pgMar w:left="317" w:top="1440" w:right="339" w:bottom="1440" w:gutter="0" w:footer="0" w:header="0"/>
        </w:sectPr>
      </w:pPr>
    </w:p>
    <w:bookmarkStart w:id="39" w:name="page40"/>
    <w:bookmarkEnd w:id="39"/>
    <w:p>
      <w:pPr>
        <w:ind w:left="560" w:hanging="276"/>
        <w:spacing w:after="0"/>
        <w:tabs>
          <w:tab w:leader="none" w:pos="560" w:val="left"/>
        </w:tabs>
        <w:numPr>
          <w:ilvl w:val="0"/>
          <w:numId w:val="21"/>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study evaluating IM SPL028 supporting IM administration for patient-friendly dosing. The completed Phase 1 study of IV/IM SPL028 in</w:t>
      </w:r>
    </w:p>
    <w:p>
      <w:pPr>
        <w:spacing w:after="0" w:line="58" w:lineRule="exact"/>
        <w:rPr>
          <w:rFonts w:ascii="Calibri" w:cs="Calibri" w:eastAsia="Calibri" w:hAnsi="Calibri"/>
          <w:sz w:val="18"/>
          <w:szCs w:val="18"/>
          <w:color w:val="auto"/>
        </w:rPr>
      </w:pPr>
    </w:p>
    <w:p>
      <w:pPr>
        <w:ind w:left="580" w:right="20"/>
        <w:spacing w:after="0" w:line="279"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healthy volunteers showed that SPL028 is safe and well-tolerated, and demonstrated that IM dosing of SPL028 produced robust psychedelic effects lasting a short duration (average approximately 90 minutes) in the majority of subjects.</w:t>
      </w:r>
    </w:p>
    <w:p>
      <w:pPr>
        <w:ind w:left="560" w:hanging="276"/>
        <w:spacing w:after="0"/>
        <w:tabs>
          <w:tab w:leader="none" w:pos="560" w:val="left"/>
        </w:tabs>
        <w:numPr>
          <w:ilvl w:val="0"/>
          <w:numId w:val="21"/>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1b study evaluating the safety and efficacy of SPL026 in conjunction with selective serotonin reuptake inhibitors (“</w:t>
      </w:r>
      <w:r>
        <w:rPr>
          <w:rFonts w:ascii="Times New Roman" w:cs="Times New Roman" w:eastAsia="Times New Roman" w:hAnsi="Times New Roman"/>
          <w:sz w:val="18"/>
          <w:szCs w:val="18"/>
          <w:b w:val="1"/>
          <w:bCs w:val="1"/>
          <w:color w:val="auto"/>
        </w:rPr>
        <w:t>SSRIs</w:t>
      </w:r>
      <w:r>
        <w:rPr>
          <w:rFonts w:ascii="Times New Roman" w:cs="Times New Roman" w:eastAsia="Times New Roman" w:hAnsi="Times New Roman"/>
          <w:sz w:val="18"/>
          <w:szCs w:val="18"/>
          <w:color w:val="auto"/>
        </w:rPr>
        <w:t>”) in 17 participants</w:t>
      </w:r>
    </w:p>
    <w:p>
      <w:pPr>
        <w:spacing w:after="0" w:line="60" w:lineRule="exact"/>
        <w:rPr>
          <w:rFonts w:ascii="Calibri" w:cs="Calibri" w:eastAsia="Calibri" w:hAnsi="Calibri"/>
          <w:sz w:val="18"/>
          <w:szCs w:val="18"/>
          <w:color w:val="auto"/>
        </w:rPr>
      </w:pPr>
    </w:p>
    <w:p>
      <w:pPr>
        <w:ind w:left="580" w:right="20"/>
        <w:spacing w:after="0" w:line="280"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with MDD, demonstrating no relevant drug-drug interactions, a favorable safety profile and enhanced efficacy when SPL026 was administered with SSRIs, and a 92% remission rate at 4 weeks in the DMT + SSRI combination cohort (n=12).</w:t>
      </w:r>
    </w:p>
    <w:p>
      <w:pPr>
        <w:ind w:left="580" w:right="20" w:hanging="296"/>
        <w:spacing w:after="0" w:line="336" w:lineRule="auto"/>
        <w:tabs>
          <w:tab w:leader="none" w:pos="576" w:val="left"/>
        </w:tabs>
        <w:numPr>
          <w:ilvl w:val="0"/>
          <w:numId w:val="21"/>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results for IV CYB004 demonstrated robust and rapid-onset psychedelic effects at lower doses compared to native DMT, suggesting potential as a short-acting, scalable treatment.</w:t>
      </w:r>
    </w:p>
    <w:p>
      <w:pPr>
        <w:spacing w:after="0" w:line="12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8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is currently advancing CYB004, a deuterated version of DMT, for the potential treatment of GAD. DMT has been shown to exert its psychedelic effects by activating the 5-HT2A receptor.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18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CYB004 is secured by a U.S. composition of matter patent with protection through 2041. The patent covers a range of deuteration forms of DMT and protects CYB004 as a putative new chemical entity.</w:t>
      </w:r>
    </w:p>
    <w:p>
      <w:pPr>
        <w:spacing w:after="0" w:line="1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the Company announced that it has selected GAD as the target indication for its proprietary deuterated DMT molecule, CYB004.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Phase 1 CYB004-E DMT Study</w:t>
      </w:r>
    </w:p>
    <w:p>
      <w:pPr>
        <w:spacing w:after="0" w:line="25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0"/>
          </w:cols>
          <w:pgMar w:left="320" w:top="1303" w:right="319" w:bottom="1440" w:gutter="0" w:footer="0" w:header="0"/>
        </w:sectPr>
      </w:pPr>
    </w:p>
    <w:bookmarkStart w:id="40" w:name="page41"/>
    <w:bookmarkEnd w:id="40"/>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17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2023, the Company announced that it had completed dosing for the last subject in Part B of the Phase 1 CYB004-E trial.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2023, the Company announced that it had initiated first-in-human dosing of CYB004 in Part C of the Phase 1 CYB004-E trial.</w:t>
      </w:r>
    </w:p>
    <w:p>
      <w:pPr>
        <w:spacing w:after="0" w:line="24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w:t>
      </w:r>
    </w:p>
    <w:p>
      <w:pPr>
        <w:spacing w:after="0" w:line="180" w:lineRule="exact"/>
        <w:rPr>
          <w:sz w:val="20"/>
          <w:szCs w:val="20"/>
          <w:color w:val="auto"/>
        </w:rPr>
      </w:pPr>
    </w:p>
    <w:p>
      <w:pPr>
        <w:ind w:left="560" w:hanging="276"/>
        <w:spacing w:after="0"/>
        <w:tabs>
          <w:tab w:leader="none" w:pos="560" w:val="left"/>
        </w:tabs>
        <w:numPr>
          <w:ilvl w:val="0"/>
          <w:numId w:val="2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Phase 1 CYB004 study results showed that IV CYB004 demonstrated robust and rapid-onset psychedelic effects at lower doses compared to</w:t>
      </w:r>
    </w:p>
    <w:p>
      <w:pPr>
        <w:spacing w:after="0" w:line="58" w:lineRule="exact"/>
        <w:rPr>
          <w:rFonts w:ascii="Calibri" w:cs="Calibri" w:eastAsia="Calibri" w:hAnsi="Calibri"/>
          <w:sz w:val="18"/>
          <w:szCs w:val="18"/>
          <w:color w:val="auto"/>
        </w:rPr>
      </w:pPr>
    </w:p>
    <w:p>
      <w:pPr>
        <w:ind w:left="580" w:right="20"/>
        <w:spacing w:after="0" w:line="287"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native DMT. These psychedelic effects were rapid in onset when administered as an IV bolus over five minutes and persisted for about 40 minutes after the bolus without the need for an extended infusion.</w:t>
      </w:r>
    </w:p>
    <w:p>
      <w:pPr>
        <w:ind w:left="580" w:right="20" w:hanging="296"/>
        <w:spacing w:after="0" w:line="285" w:lineRule="auto"/>
        <w:tabs>
          <w:tab w:leader="none" w:pos="576" w:val="left"/>
        </w:tabs>
        <w:numPr>
          <w:ilvl w:val="0"/>
          <w:numId w:val="2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Phase 1 SPL028 study identified an IM dose of SPL028 that resulted in a breakthrough psychedelic experience, with a total duration ranging from 55 to 120 minutes.</w:t>
      </w:r>
    </w:p>
    <w:p>
      <w:pPr>
        <w:spacing w:after="0" w:line="1" w:lineRule="exact"/>
        <w:rPr>
          <w:rFonts w:ascii="Calibri" w:cs="Calibri" w:eastAsia="Calibri" w:hAnsi="Calibri"/>
          <w:sz w:val="18"/>
          <w:szCs w:val="18"/>
          <w:color w:val="auto"/>
        </w:rPr>
      </w:pPr>
    </w:p>
    <w:p>
      <w:pPr>
        <w:ind w:left="580" w:hanging="296"/>
        <w:spacing w:after="0" w:line="336" w:lineRule="auto"/>
        <w:tabs>
          <w:tab w:leader="none" w:pos="576" w:val="left"/>
        </w:tabs>
        <w:numPr>
          <w:ilvl w:val="0"/>
          <w:numId w:val="22"/>
        </w:numPr>
        <w:rPr>
          <w:rFonts w:ascii="Calibri" w:cs="Calibri" w:eastAsia="Calibri" w:hAnsi="Calibri"/>
          <w:sz w:val="18"/>
          <w:szCs w:val="18"/>
          <w:color w:val="auto"/>
        </w:rPr>
      </w:pPr>
      <w:r>
        <w:rPr>
          <w:rFonts w:ascii="Times New Roman" w:cs="Times New Roman" w:eastAsia="Times New Roman" w:hAnsi="Times New Roman"/>
          <w:sz w:val="18"/>
          <w:szCs w:val="18"/>
          <w:color w:val="auto"/>
        </w:rPr>
        <w:t>Both CYB004 (IV) and SPL028 (IM and IV) were well-tolerated with no serious adverse events, and the majority of adverse events were mild to moderate and self-limiting.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1303" w:right="319" w:bottom="1440" w:gutter="0" w:footer="0" w:header="0"/>
        </w:sectPr>
      </w:pPr>
    </w:p>
    <w:bookmarkStart w:id="41" w:name="page42"/>
    <w:bookmarkEnd w:id="41"/>
    <w:p>
      <w:pPr>
        <w:spacing w:after="0" w:line="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 study of CYB004 in GAD.</w:t>
      </w:r>
    </w:p>
    <w:p>
      <w:pPr>
        <w:spacing w:after="0" w:line="2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March 15, 2024, the Company announced that it had initiated a Phase 2 study of IM CYB004 in participants with moderate to severe GAD.</w:t>
      </w:r>
    </w:p>
    <w:p>
      <w:pPr>
        <w:spacing w:after="0" w:line="2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About the Phase 2 CYB004 Study in GAD</w:t>
      </w:r>
    </w:p>
    <w:p>
      <w:pPr>
        <w:spacing w:after="0" w:line="240" w:lineRule="exact"/>
        <w:rPr>
          <w:sz w:val="20"/>
          <w:szCs w:val="20"/>
          <w:color w:val="auto"/>
        </w:rPr>
      </w:pPr>
    </w:p>
    <w:p>
      <w:pPr>
        <w:jc w:val="both"/>
        <w:ind w:left="3"/>
        <w:spacing w:after="0" w:line="272" w:lineRule="auto"/>
        <w:rPr>
          <w:sz w:val="20"/>
          <w:szCs w:val="20"/>
          <w:color w:val="auto"/>
        </w:rPr>
      </w:pPr>
      <w:r>
        <w:rPr>
          <w:rFonts w:ascii="Times New Roman" w:cs="Times New Roman" w:eastAsia="Times New Roman" w:hAnsi="Times New Roman"/>
          <w:sz w:val="18"/>
          <w:szCs w:val="18"/>
          <w:color w:val="auto"/>
        </w:rPr>
        <w:t>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sub-psychedelic doses of CYB004. The primary endpoint is a change in the Hamilton Anxiety Rating Scale score from baseline at six weeks following the second dose. Other endpoints include the MADRS depression assessment, safety assessments, MEQ30 (psychedelic experience assessment) and EQ-5D-5L (quality of life assessment). Participants will be followed for up to a year. Results from this study are expected to provide proof of concept for CYB004’s efficacy in GAD, the time to onset of effects, as well as durability of effects to one year.</w:t>
      </w:r>
    </w:p>
    <w:p>
      <w:pPr>
        <w:spacing w:after="0" w:line="203"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The Company spent approximately $1,478 on its Deuterated Dimethyltryptamine Program during the three months ended June 30, 2024, related to the milestones detailed below.</w:t>
      </w:r>
    </w:p>
    <w:p>
      <w:pPr>
        <w:spacing w:after="0" w:line="144"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spacing w:after="0" w:line="180" w:lineRule="exact"/>
        <w:rPr>
          <w:sz w:val="20"/>
          <w:szCs w:val="20"/>
          <w:color w:val="auto"/>
        </w:rPr>
      </w:pPr>
    </w:p>
    <w:p>
      <w:pPr>
        <w:ind w:left="583" w:right="20" w:hanging="296"/>
        <w:spacing w:after="0" w:line="319" w:lineRule="auto"/>
        <w:tabs>
          <w:tab w:leader="none" w:pos="579" w:val="left"/>
        </w:tabs>
        <w:numPr>
          <w:ilvl w:val="0"/>
          <w:numId w:val="23"/>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topline safety and efficacy data from Phase 2 GAD study around year end 2024 or early Q1 2025. Dosing is underway in the Phase 2 GAD study.</w:t>
      </w:r>
      <w:r>
        <w:rPr>
          <w:rFonts w:ascii="Times New Roman" w:cs="Times New Roman" w:eastAsia="Times New Roman" w:hAnsi="Times New Roman"/>
          <w:sz w:val="23"/>
          <w:szCs w:val="23"/>
          <w:color w:val="auto"/>
          <w:vertAlign w:val="superscript"/>
        </w:rPr>
        <w:t>11</w:t>
      </w:r>
    </w:p>
    <w:p>
      <w:pPr>
        <w:spacing w:after="0" w:line="82" w:lineRule="exact"/>
        <w:rPr>
          <w:sz w:val="20"/>
          <w:szCs w:val="20"/>
          <w:color w:val="auto"/>
        </w:rPr>
      </w:pPr>
    </w:p>
    <w:p>
      <w:pPr>
        <w:jc w:val="both"/>
        <w:ind w:left="3" w:right="20"/>
        <w:spacing w:after="0" w:line="283" w:lineRule="auto"/>
        <w:rPr>
          <w:sz w:val="20"/>
          <w:szCs w:val="20"/>
          <w:color w:val="auto"/>
        </w:rPr>
      </w:pPr>
      <w:r>
        <w:rPr>
          <w:rFonts w:ascii="Times New Roman" w:cs="Times New Roman" w:eastAsia="Times New Roman" w:hAnsi="Times New Roman"/>
          <w:sz w:val="18"/>
          <w:szCs w:val="18"/>
          <w:color w:val="auto"/>
        </w:rPr>
        <w:t>The Company expects to spend approximately $5,521 to provide topline safety and efficacy data from Phase 2 GAD study around year end 2024 or early Q1 2025 of which approximately $1,124 was spent during the three months ended June 30, 2024 and approximately $58 was spent during the financial year ended March 31, 2024, resulting in an approximate remaining spend as of June 30, 2024 of $4,339 by Q4 2024.</w:t>
      </w:r>
      <w:r>
        <w:rPr>
          <w:rFonts w:ascii="Times New Roman" w:cs="Times New Roman" w:eastAsia="Times New Roman" w:hAnsi="Times New Roman"/>
          <w:sz w:val="23"/>
          <w:szCs w:val="23"/>
          <w:color w:val="auto"/>
          <w:vertAlign w:val="superscript"/>
        </w:rPr>
        <w:t>12</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continue funding the Deuterated Dimethyltryptamine (CYB004) Program.</w:t>
      </w:r>
    </w:p>
    <w:p>
      <w:pPr>
        <w:spacing w:after="0" w:line="252" w:lineRule="exact"/>
        <w:rPr>
          <w:sz w:val="20"/>
          <w:szCs w:val="20"/>
          <w:color w:val="auto"/>
        </w:rPr>
      </w:pPr>
    </w:p>
    <w:p>
      <w:pPr>
        <w:jc w:val="both"/>
        <w:ind w:left="3" w:right="20"/>
        <w:spacing w:after="0" w:line="297" w:lineRule="auto"/>
        <w:rPr>
          <w:sz w:val="20"/>
          <w:szCs w:val="20"/>
          <w:color w:val="auto"/>
        </w:rPr>
      </w:pPr>
      <w:r>
        <w:rPr>
          <w:rFonts w:ascii="Times New Roman" w:cs="Times New Roman" w:eastAsia="Times New Roman" w:hAnsi="Times New Roman"/>
          <w:sz w:val="18"/>
          <w:szCs w:val="18"/>
          <w:color w:val="auto"/>
        </w:rPr>
        <w:t>In addition, following the acquisition of Small Pharma, the Company is continuing to assess and will provide further information and updates upon completion of the integration of Small Pharma’s business, including the anticipated spend associated with the SPL028 study.</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15354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318" w:lineRule="exact"/>
        <w:rPr>
          <w:sz w:val="20"/>
          <w:szCs w:val="20"/>
          <w:color w:val="auto"/>
        </w:rPr>
      </w:pPr>
    </w:p>
    <w:p>
      <w:pPr>
        <w:ind w:left="123" w:hanging="123"/>
        <w:spacing w:after="0"/>
        <w:tabs>
          <w:tab w:leader="none" w:pos="123"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9.</w:t>
      </w:r>
    </w:p>
    <w:p>
      <w:pPr>
        <w:spacing w:after="0" w:line="32" w:lineRule="exact"/>
        <w:rPr>
          <w:rFonts w:ascii="Times New Roman" w:cs="Times New Roman" w:eastAsia="Times New Roman" w:hAnsi="Times New Roman"/>
          <w:sz w:val="18"/>
          <w:szCs w:val="18"/>
          <w:color w:val="auto"/>
          <w:vertAlign w:val="superscript"/>
        </w:rPr>
      </w:pPr>
    </w:p>
    <w:p>
      <w:pPr>
        <w:ind w:left="123" w:hanging="123"/>
        <w:spacing w:after="0" w:line="200" w:lineRule="auto"/>
        <w:tabs>
          <w:tab w:leader="none" w:pos="123"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9.</w:t>
      </w:r>
    </w:p>
    <w:p>
      <w:pPr>
        <w:spacing w:after="0" w:line="20" w:lineRule="exact"/>
        <w:rPr>
          <w:rFonts w:ascii="Times New Roman" w:cs="Times New Roman" w:eastAsia="Times New Roman" w:hAnsi="Times New Roman"/>
          <w:sz w:val="18"/>
          <w:szCs w:val="18"/>
          <w:color w:val="auto"/>
          <w:vertAlign w:val="superscript"/>
        </w:rPr>
      </w:pPr>
    </w:p>
    <w:p>
      <w:pPr>
        <w:ind w:left="123" w:hanging="123"/>
        <w:spacing w:after="0" w:line="200" w:lineRule="auto"/>
        <w:tabs>
          <w:tab w:leader="none" w:pos="123"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3"/>
          </w:cols>
          <w:pgMar w:left="317" w:top="1440" w:right="319" w:bottom="1440" w:gutter="0" w:footer="0" w:header="0"/>
        </w:sectPr>
      </w:pPr>
    </w:p>
    <w:bookmarkStart w:id="42" w:name="page43"/>
    <w:bookmarkEnd w:id="42"/>
    <w:p>
      <w:pPr>
        <w:ind w:left="3"/>
        <w:spacing w:after="0"/>
        <w:rPr>
          <w:sz w:val="20"/>
          <w:szCs w:val="20"/>
          <w:color w:val="auto"/>
        </w:rPr>
      </w:pPr>
      <w:r>
        <w:rPr>
          <w:rFonts w:ascii="Times New Roman" w:cs="Times New Roman" w:eastAsia="Times New Roman" w:hAnsi="Times New Roman"/>
          <w:sz w:val="18"/>
          <w:szCs w:val="18"/>
          <w:u w:val="single" w:color="auto"/>
          <w:color w:val="auto"/>
        </w:rPr>
        <w:t>Phenethylamine Derivatives Program (CYB005)</w:t>
      </w:r>
    </w:p>
    <w:p>
      <w:pPr>
        <w:spacing w:after="0" w:line="240" w:lineRule="exact"/>
        <w:rPr>
          <w:sz w:val="20"/>
          <w:szCs w:val="20"/>
          <w:color w:val="auto"/>
        </w:rPr>
      </w:pPr>
    </w:p>
    <w:p>
      <w:pPr>
        <w:jc w:val="both"/>
        <w:ind w:left="3"/>
        <w:spacing w:after="0" w:line="289" w:lineRule="auto"/>
        <w:rPr>
          <w:sz w:val="20"/>
          <w:szCs w:val="20"/>
          <w:color w:val="auto"/>
        </w:rPr>
      </w:pPr>
      <w:r>
        <w:rPr>
          <w:rFonts w:ascii="Times New Roman" w:cs="Times New Roman" w:eastAsia="Times New Roman" w:hAnsi="Times New Roman"/>
          <w:sz w:val="18"/>
          <w:szCs w:val="18"/>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psychiatric disorders, neuroinflammation and other neurological conditions.</w:t>
      </w:r>
      <w:r>
        <w:rPr>
          <w:rFonts w:ascii="Times New Roman" w:cs="Times New Roman" w:eastAsia="Times New Roman" w:hAnsi="Times New Roman"/>
          <w:sz w:val="23"/>
          <w:szCs w:val="23"/>
          <w:color w:val="auto"/>
          <w:vertAlign w:val="superscript"/>
        </w:rPr>
        <w:t>14</w:t>
      </w:r>
    </w:p>
    <w:p>
      <w:pPr>
        <w:spacing w:after="0" w:line="128"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99" w:lineRule="exact"/>
        <w:rPr>
          <w:sz w:val="20"/>
          <w:szCs w:val="20"/>
          <w:color w:val="auto"/>
        </w:rPr>
      </w:pPr>
    </w:p>
    <w:p>
      <w:pPr>
        <w:jc w:val="both"/>
        <w:ind w:left="3" w:right="20"/>
        <w:spacing w:after="0" w:line="291"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 w:cs="Times New Roman" w:eastAsia="Times New Roman" w:hAnsi="Times New Roman"/>
          <w:sz w:val="18"/>
          <w:szCs w:val="18"/>
          <w:b w:val="1"/>
          <w:bCs w:val="1"/>
          <w:color w:val="auto"/>
        </w:rPr>
        <w:t>ADME</w:t>
      </w:r>
      <w:r>
        <w:rPr>
          <w:rFonts w:ascii="Times New Roman" w:cs="Times New Roman" w:eastAsia="Times New Roman" w:hAnsi="Times New Roman"/>
          <w:sz w:val="18"/>
          <w:szCs w:val="18"/>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96"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15354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398" w:lineRule="exact"/>
        <w:rPr>
          <w:sz w:val="20"/>
          <w:szCs w:val="20"/>
          <w:color w:val="auto"/>
        </w:rPr>
      </w:pPr>
    </w:p>
    <w:p>
      <w:pPr>
        <w:jc w:val="both"/>
        <w:ind w:left="3" w:hanging="3"/>
        <w:spacing w:after="0" w:line="255" w:lineRule="auto"/>
        <w:tabs>
          <w:tab w:leader="none" w:pos="146"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3"/>
          </w:cols>
          <w:pgMar w:left="317" w:top="1303" w:right="319" w:bottom="1440" w:gutter="0" w:footer="0" w:header="0"/>
        </w:sectPr>
      </w:pPr>
    </w:p>
    <w:bookmarkStart w:id="43" w:name="page44"/>
    <w:bookmarkEnd w:id="43"/>
    <w:p>
      <w:pPr>
        <w:ind w:left="3"/>
        <w:spacing w:after="0"/>
        <w:rPr>
          <w:sz w:val="20"/>
          <w:szCs w:val="20"/>
          <w:color w:val="auto"/>
        </w:rPr>
      </w:pPr>
      <w:r>
        <w:rPr>
          <w:rFonts w:ascii="Times New Roman" w:cs="Times New Roman" w:eastAsia="Times New Roman" w:hAnsi="Times New Roman"/>
          <w:sz w:val="18"/>
          <w:szCs w:val="18"/>
          <w:color w:val="auto"/>
        </w:rPr>
        <w:t>The Company spent approximately $nil on its preclinical Phenethylamine Derivatives Program during the three months ended June 30, 2024.</w:t>
      </w:r>
    </w:p>
    <w:p>
      <w:pPr>
        <w:spacing w:after="0" w:line="264"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2024.</w:t>
      </w:r>
      <w:r>
        <w:rPr>
          <w:rFonts w:ascii="Times New Roman" w:cs="Times New Roman" w:eastAsia="Times New Roman" w:hAnsi="Times New Roman"/>
          <w:sz w:val="23"/>
          <w:szCs w:val="23"/>
          <w:color w:val="auto"/>
          <w:vertAlign w:val="superscript"/>
        </w:rPr>
        <w:t>15</w:t>
      </w:r>
    </w:p>
    <w:p>
      <w:pPr>
        <w:spacing w:after="0" w:line="106" w:lineRule="exact"/>
        <w:rPr>
          <w:sz w:val="20"/>
          <w:szCs w:val="20"/>
          <w:color w:val="auto"/>
        </w:rPr>
      </w:pPr>
    </w:p>
    <w:p>
      <w:pPr>
        <w:jc w:val="both"/>
        <w:ind w:left="3"/>
        <w:spacing w:after="0" w:line="252" w:lineRule="auto"/>
        <w:rPr>
          <w:sz w:val="20"/>
          <w:szCs w:val="20"/>
          <w:color w:val="auto"/>
        </w:rPr>
      </w:pPr>
      <w:r>
        <w:rPr>
          <w:rFonts w:ascii="Times New Roman" w:cs="Times New Roman" w:eastAsia="Times New Roman" w:hAnsi="Times New Roman"/>
          <w:sz w:val="18"/>
          <w:szCs w:val="18"/>
          <w:color w:val="auto"/>
        </w:rPr>
        <w:t>The Company expects to spend approximately $900</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xml:space="preserve"> to complete preclinical development of a phenethylamine drug candidate by 2024,</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of which approximately $nil was spent in three months ended June 30, 2024, approximately $83 was spent during the twelve months ended March 31, 2024, and approximately $782 was spent during the financial year ended March 31, 2023 resulting in an approximate remaining spend as of June 30, 2024 of $35. The Company intends to continue funding the Phenethylamine Derivatives Program (CYB005) Program.</w:t>
      </w:r>
    </w:p>
    <w:p>
      <w:pPr>
        <w:spacing w:after="0" w:line="2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Programs</w:t>
      </w:r>
    </w:p>
    <w:p>
      <w:pPr>
        <w:spacing w:after="0" w:line="2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266"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51" w:lineRule="exact"/>
        <w:rPr>
          <w:sz w:val="20"/>
          <w:szCs w:val="20"/>
          <w:color w:val="auto"/>
        </w:rPr>
      </w:pPr>
    </w:p>
    <w:p>
      <w:pPr>
        <w:jc w:val="both"/>
        <w:ind w:left="3"/>
        <w:spacing w:after="0" w:line="301"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76"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480695</wp:posOffset>
            </wp:positionV>
            <wp:extent cx="15354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3" w:hanging="123"/>
        <w:spacing w:after="0"/>
        <w:tabs>
          <w:tab w:leader="none" w:pos="123"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9.</w:t>
      </w:r>
    </w:p>
    <w:p>
      <w:pPr>
        <w:ind w:left="123" w:hanging="123"/>
        <w:spacing w:after="0" w:line="200" w:lineRule="auto"/>
        <w:tabs>
          <w:tab w:leader="none" w:pos="123"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actual spend during the financial year ended March 31, 2024, the three months ended June 30, 2024, and expected spend during the period from July 1, 2024 until the achievement of</w:t>
      </w:r>
    </w:p>
    <w:p>
      <w:pPr>
        <w:spacing w:after="0" w:line="21" w:lineRule="exact"/>
        <w:rPr>
          <w:sz w:val="20"/>
          <w:szCs w:val="20"/>
          <w:color w:val="auto"/>
        </w:rPr>
      </w:pPr>
    </w:p>
    <w:p>
      <w:pPr>
        <w:jc w:val="both"/>
        <w:ind w:left="3" w:right="20"/>
        <w:spacing w:after="0" w:line="259" w:lineRule="auto"/>
        <w:rPr>
          <w:sz w:val="20"/>
          <w:szCs w:val="20"/>
          <w:color w:val="auto"/>
        </w:rPr>
      </w:pPr>
      <w:r>
        <w:rPr>
          <w:rFonts w:ascii="Times New Roman" w:cs="Times New Roman" w:eastAsia="Times New Roman" w:hAnsi="Times New Roman"/>
          <w:sz w:val="15"/>
          <w:szCs w:val="15"/>
          <w:color w:val="auto"/>
        </w:rPr>
        <w:t>preclinical development of a phenethylamine drug candidate by December 31, 2024.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sz w:val="20"/>
          <w:szCs w:val="20"/>
          <w:color w:val="auto"/>
        </w:rPr>
      </w:pPr>
    </w:p>
    <w:p>
      <w:pPr>
        <w:jc w:val="both"/>
        <w:ind w:left="3" w:right="20" w:hanging="3"/>
        <w:spacing w:after="0" w:line="262" w:lineRule="auto"/>
        <w:tabs>
          <w:tab w:leader="none" w:pos="161"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Q3 2023. The Company now expects to complete preclinical development of phenethylamine drug candidate by the end of Q4 2024.Change in anticipated timing due to the prioritization of the CYB003 Program. Anticipated spending and timelines regarding drug development are based on reasonable assumptions informed by current knowledge and information available to the Company. See also footnote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3"/>
          </w:cols>
          <w:pgMar w:left="317" w:top="1303" w:right="319" w:bottom="1440" w:gutter="0" w:footer="0" w:header="0"/>
        </w:sectPr>
      </w:pPr>
    </w:p>
    <w:bookmarkStart w:id="44" w:name="page45"/>
    <w:bookmarkEnd w:id="44"/>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30" w:lineRule="exact"/>
        <w:rPr>
          <w:sz w:val="20"/>
          <w:szCs w:val="20"/>
          <w:color w:val="auto"/>
        </w:rPr>
      </w:pPr>
    </w:p>
    <w:p>
      <w:pPr>
        <w:jc w:val="both"/>
        <w:ind w:left="3" w:right="20"/>
        <w:spacing w:after="0" w:line="311"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55"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79" w:lineRule="exact"/>
        <w:rPr>
          <w:sz w:val="20"/>
          <w:szCs w:val="20"/>
          <w:color w:val="auto"/>
        </w:rPr>
      </w:pPr>
    </w:p>
    <w:p>
      <w:pPr>
        <w:jc w:val="both"/>
        <w:ind w:left="3"/>
        <w:spacing w:after="0" w:line="288"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 and pulse rate variability (“</w:t>
      </w:r>
      <w:r>
        <w:rPr>
          <w:rFonts w:ascii="Times New Roman" w:cs="Times New Roman" w:eastAsia="Times New Roman" w:hAnsi="Times New Roman"/>
          <w:sz w:val="18"/>
          <w:szCs w:val="18"/>
          <w:b w:val="1"/>
          <w:bCs w:val="1"/>
          <w:color w:val="auto"/>
        </w:rPr>
        <w:t>PRV</w:t>
      </w:r>
      <w:r>
        <w:rPr>
          <w:rFonts w:ascii="Times New Roman" w:cs="Times New Roman" w:eastAsia="Times New Roman" w:hAnsi="Times New Roman"/>
          <w:sz w:val="18"/>
          <w:szCs w:val="18"/>
          <w:color w:val="auto"/>
        </w:rPr>
        <w:t>”),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201" w:lineRule="exact"/>
        <w:rPr>
          <w:sz w:val="20"/>
          <w:szCs w:val="20"/>
          <w:color w:val="auto"/>
        </w:rPr>
      </w:pPr>
    </w:p>
    <w:p>
      <w:pPr>
        <w:jc w:val="both"/>
        <w:ind w:left="3"/>
        <w:spacing w:after="0" w:line="288" w:lineRule="auto"/>
        <w:rPr>
          <w:sz w:val="20"/>
          <w:szCs w:val="20"/>
          <w:color w:val="auto"/>
        </w:rPr>
      </w:pPr>
      <w:r>
        <w:rPr>
          <w:rFonts w:ascii="Times New Roman" w:cs="Times New Roman" w:eastAsia="Times New Roman" w:hAnsi="Times New Roman"/>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Times New Roman" w:cs="Times New Roman" w:eastAsia="Times New Roman" w:hAnsi="Times New Roman"/>
          <w:sz w:val="18"/>
          <w:szCs w:val="18"/>
          <w:b w:val="1"/>
          <w:bCs w:val="1"/>
          <w:color w:val="auto"/>
        </w:rPr>
        <w:t>fNIRS</w:t>
      </w:r>
      <w:r>
        <w:rPr>
          <w:rFonts w:ascii="Times New Roman" w:cs="Times New Roman" w:eastAsia="Times New Roman" w:hAnsi="Times New Roman"/>
          <w:sz w:val="18"/>
          <w:szCs w:val="18"/>
          <w:color w:val="auto"/>
        </w:rPr>
        <w:t>”)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15354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left="3" w:hanging="3"/>
        <w:spacing w:after="0" w:line="235" w:lineRule="auto"/>
        <w:tabs>
          <w:tab w:leader="none" w:pos="14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3"/>
          </w:cols>
          <w:pgMar w:left="317" w:top="126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About the Phase 1 Kernel Flow Feasibility Study</w:t>
      </w:r>
    </w:p>
    <w:p>
      <w:pPr>
        <w:spacing w:after="0" w:line="26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8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on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Prospectus Supplement</w:t>
      </w:r>
    </w:p>
    <w:p>
      <w:pPr>
        <w:spacing w:after="0" w:line="2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table below covers the period beginning July 1, 2023 until June 30, 2024. There were no differences between the Company’s anticipated use of proceeds of $10,018 as previously disclosed in the Company’s prospectus supplement dated August 1, 2023 (the “</w:t>
      </w:r>
      <w:r>
        <w:rPr>
          <w:rFonts w:ascii="Times New Roman" w:cs="Times New Roman" w:eastAsia="Times New Roman" w:hAnsi="Times New Roman"/>
          <w:sz w:val="18"/>
          <w:szCs w:val="18"/>
          <w:b w:val="1"/>
          <w:bCs w:val="1"/>
          <w:color w:val="auto"/>
        </w:rPr>
        <w:t>August Prospectus Supplement</w:t>
      </w:r>
      <w:r>
        <w:rPr>
          <w:rFonts w:ascii="Times New Roman" w:cs="Times New Roman" w:eastAsia="Times New Roman" w:hAnsi="Times New Roman"/>
          <w:sz w:val="18"/>
          <w:szCs w:val="18"/>
          <w:color w:val="auto"/>
        </w:rPr>
        <w:t>”) to the Company’s short form base shelf prospectus dated July 5, 2021 (the “</w:t>
      </w:r>
      <w:r>
        <w:rPr>
          <w:rFonts w:ascii="Times New Roman" w:cs="Times New Roman" w:eastAsia="Times New Roman" w:hAnsi="Times New Roman"/>
          <w:sz w:val="18"/>
          <w:szCs w:val="18"/>
          <w:b w:val="1"/>
          <w:bCs w:val="1"/>
          <w:color w:val="auto"/>
        </w:rPr>
        <w:t>2021 Base Shelf Prospectus</w:t>
      </w:r>
      <w:r>
        <w:rPr>
          <w:rFonts w:ascii="Times New Roman" w:cs="Times New Roman" w:eastAsia="Times New Roman" w:hAnsi="Times New Roman"/>
          <w:sz w:val="18"/>
          <w:szCs w:val="18"/>
          <w:color w:val="auto"/>
        </w:rPr>
        <w:t>”) and the actual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1303" w:right="319" w:bottom="1440" w:gutter="0" w:footer="0" w:header="0"/>
        </w:sectPr>
      </w:pPr>
    </w:p>
    <w:bookmarkStart w:id="46" w:name="page47"/>
    <w:bookmarkEnd w:id="46"/>
    <w:tbl>
      <w:tblPr>
        <w:tblLayout w:type="fixed"/>
        <w:tblInd w:w="13" w:type="dxa"/>
        <w:tblCellMar>
          <w:top w:w="0" w:type="dxa"/>
          <w:left w:w="0" w:type="dxa"/>
          <w:bottom w:w="0" w:type="dxa"/>
          <w:right w:w="0" w:type="dxa"/>
        </w:tblCellMar>
      </w:tblPr>
      <w:tr>
        <w:trPr>
          <w:trHeight w:val="225"/>
        </w:trPr>
        <w:tc>
          <w:tcPr>
            <w:tcW w:w="5460" w:type="dxa"/>
            <w:vAlign w:val="bottom"/>
            <w:tcBorders>
              <w:top w:val="single" w:sz="8" w:color="auto"/>
              <w:left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84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Regarding Use</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Actual Use of Proceeds as at</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Revised Estimated Use of</w:t>
            </w:r>
          </w:p>
        </w:tc>
        <w:tc>
          <w:tcPr>
            <w:tcW w:w="0" w:type="dxa"/>
            <w:vAlign w:val="bottom"/>
          </w:tcPr>
          <w:p>
            <w:pPr>
              <w:spacing w:after="0"/>
              <w:rPr>
                <w:sz w:val="1"/>
                <w:szCs w:val="1"/>
                <w:color w:val="auto"/>
              </w:rPr>
            </w:pPr>
          </w:p>
        </w:tc>
      </w:tr>
      <w:tr>
        <w:trPr>
          <w:trHeight w:val="89"/>
        </w:trPr>
        <w:tc>
          <w:tcPr>
            <w:tcW w:w="5460" w:type="dxa"/>
            <w:vAlign w:val="bottom"/>
            <w:tcBorders>
              <w:left w:val="single" w:sz="8" w:color="auto"/>
              <w:right w:val="single" w:sz="8" w:color="auto"/>
            </w:tcBorders>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 August</w:t>
            </w:r>
          </w:p>
        </w:tc>
        <w:tc>
          <w:tcPr>
            <w:tcW w:w="184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4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June 30, 2024</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Proceeds</w:t>
            </w:r>
          </w:p>
        </w:tc>
        <w:tc>
          <w:tcPr>
            <w:tcW w:w="0" w:type="dxa"/>
            <w:vAlign w:val="bottom"/>
          </w:tcPr>
          <w:p>
            <w:pPr>
              <w:spacing w:after="0"/>
              <w:rPr>
                <w:sz w:val="1"/>
                <w:szCs w:val="1"/>
                <w:color w:val="auto"/>
              </w:rPr>
            </w:pPr>
          </w:p>
        </w:tc>
      </w:tr>
      <w:tr>
        <w:trPr>
          <w:trHeight w:val="75"/>
        </w:trPr>
        <w:tc>
          <w:tcPr>
            <w:tcW w:w="54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Prospectus Supplement</w:t>
            </w:r>
          </w:p>
        </w:tc>
        <w:tc>
          <w:tcPr>
            <w:tcW w:w="184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546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5460" w:type="dxa"/>
            <w:vAlign w:val="bottom"/>
            <w:tcBorders>
              <w:left w:val="single" w:sz="8" w:color="auto"/>
              <w:bottom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5"/>
                <w:szCs w:val="15"/>
                <w:b w:val="1"/>
                <w:bCs w:val="1"/>
                <w:color w:val="auto"/>
              </w:rPr>
              <w:t>Use of Available Funds ($000’s)</w:t>
            </w:r>
            <w:r>
              <w:rPr>
                <w:rFonts w:ascii="Times New Roman" w:cs="Times New Roman" w:eastAsia="Times New Roman" w:hAnsi="Times New Roman"/>
                <w:sz w:val="18"/>
                <w:szCs w:val="18"/>
                <w:b w:val="1"/>
                <w:bCs w:val="1"/>
                <w:color w:val="auto"/>
                <w:vertAlign w:val="superscript"/>
              </w:rPr>
              <w:t>(1)(2)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(July 1, 2023 to June 30 2024)</w:t>
            </w:r>
          </w:p>
        </w:tc>
        <w:tc>
          <w:tcPr>
            <w:tcW w:w="18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Complete FDA submission of Phase 1/2a data</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$2,500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Provide topline data from Phase 1 CYB004-E trial</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$1,269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46"/>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Complete FDA IND submission</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$1,373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7"/>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92"/>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$4,876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5"/>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$10,018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w:t>
            </w:r>
          </w:p>
        </w:tc>
        <w:tc>
          <w:tcPr>
            <w:tcW w:w="0" w:type="dxa"/>
            <w:vAlign w:val="bottom"/>
          </w:tcPr>
          <w:p>
            <w:pPr>
              <w:spacing w:after="0"/>
              <w:rPr>
                <w:sz w:val="1"/>
                <w:szCs w:val="1"/>
                <w:color w:val="auto"/>
              </w:rPr>
            </w:pP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83" w:lineRule="exact"/>
        <w:rPr>
          <w:sz w:val="20"/>
          <w:szCs w:val="20"/>
          <w:color w:val="auto"/>
        </w:rPr>
      </w:pPr>
    </w:p>
    <w:p>
      <w:pPr>
        <w:ind w:left="403" w:hanging="403"/>
        <w:spacing w:after="0"/>
        <w:tabs>
          <w:tab w:leader="none" w:pos="403"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have been converted from USD to CAD at an exchange rate of 1.35:1.</w:t>
      </w:r>
    </w:p>
    <w:p>
      <w:pPr>
        <w:spacing w:after="0" w:line="16"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jc w:val="both"/>
        <w:ind w:left="403" w:right="20" w:hanging="403"/>
        <w:spacing w:after="0" w:line="297" w:lineRule="auto"/>
        <w:tabs>
          <w:tab w:leader="none" w:pos="396"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November Prospectus Supplement</w:t>
      </w:r>
    </w:p>
    <w:p>
      <w:pPr>
        <w:spacing w:after="0" w:line="244" w:lineRule="exact"/>
        <w:rPr>
          <w:sz w:val="20"/>
          <w:szCs w:val="20"/>
          <w:color w:val="auto"/>
        </w:rPr>
      </w:pPr>
    </w:p>
    <w:p>
      <w:pPr>
        <w:jc w:val="both"/>
        <w:ind w:left="3" w:right="20"/>
        <w:spacing w:after="0" w:line="280" w:lineRule="auto"/>
        <w:rPr>
          <w:sz w:val="20"/>
          <w:szCs w:val="20"/>
          <w:color w:val="auto"/>
        </w:rPr>
      </w:pPr>
      <w:r>
        <w:rPr>
          <w:rFonts w:ascii="Times New Roman" w:cs="Times New Roman" w:eastAsia="Times New Roman" w:hAnsi="Times New Roman"/>
          <w:sz w:val="18"/>
          <w:szCs w:val="18"/>
          <w:color w:val="auto"/>
        </w:rPr>
        <w:t>The table below covers the period beginning November 1, 2023 until October 31, 2024, and describes the differences between the Company’s anticipated use of proceeds of $28,070 as previously disclosed in the Company’s prospectus supplement dated November 10, 2023 (the “</w:t>
      </w:r>
      <w:r>
        <w:rPr>
          <w:rFonts w:ascii="Times New Roman" w:cs="Times New Roman" w:eastAsia="Times New Roman" w:hAnsi="Times New Roman"/>
          <w:sz w:val="18"/>
          <w:szCs w:val="18"/>
          <w:b w:val="1"/>
          <w:bCs w:val="1"/>
          <w:color w:val="auto"/>
        </w:rPr>
        <w:t>November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to the Company’s base shelf prospectus dated August 17, 2023 (the “</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the revised estimated costs as at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for the same period, and the actual use of proceeds as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3"/>
          </w:cols>
          <w:pgMar w:left="317" w:top="1304" w:right="319" w:bottom="1440" w:gutter="0" w:footer="0" w:header="0"/>
        </w:sectPr>
      </w:pPr>
    </w:p>
    <w:bookmarkStart w:id="47" w:name="page48"/>
    <w:bookmarkEnd w:id="47"/>
    <w:tbl>
      <w:tblPr>
        <w:tblLayout w:type="fixed"/>
        <w:tblInd w:w="13" w:type="dxa"/>
        <w:tblCellMar>
          <w:top w:w="0" w:type="dxa"/>
          <w:left w:w="0" w:type="dxa"/>
          <w:bottom w:w="0" w:type="dxa"/>
          <w:right w:w="0" w:type="dxa"/>
        </w:tblCellMar>
      </w:tblPr>
      <w:tr>
        <w:trPr>
          <w:trHeight w:val="225"/>
        </w:trPr>
        <w:tc>
          <w:tcPr>
            <w:tcW w:w="5460" w:type="dxa"/>
            <w:vAlign w:val="bottom"/>
            <w:tcBorders>
              <w:top w:val="single" w:sz="8" w:color="auto"/>
              <w:left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84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r>
      <w:tr>
        <w:trPr>
          <w:trHeight w:val="218"/>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Regarding Use</w:t>
            </w:r>
          </w:p>
        </w:tc>
        <w:tc>
          <w:tcPr>
            <w:tcW w:w="18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198"/>
        </w:trPr>
        <w:tc>
          <w:tcPr>
            <w:tcW w:w="54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 November</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Actual Use of Proceeds as at</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Revised Estimated Use of</w:t>
            </w:r>
          </w:p>
        </w:tc>
      </w:tr>
      <w:tr>
        <w:trPr>
          <w:trHeight w:val="213"/>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Prospectus Supplement</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June 30, 2024</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Proceeds</w:t>
            </w:r>
          </w:p>
        </w:tc>
      </w:tr>
      <w:tr>
        <w:trPr>
          <w:trHeight w:val="218"/>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(November 1, 2023, to</w:t>
            </w:r>
          </w:p>
        </w:tc>
        <w:tc>
          <w:tcPr>
            <w:tcW w:w="18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46"/>
        </w:trPr>
        <w:tc>
          <w:tcPr>
            <w:tcW w:w="5460" w:type="dxa"/>
            <w:vAlign w:val="bottom"/>
            <w:tcBorders>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5"/>
                <w:szCs w:val="15"/>
                <w:b w:val="1"/>
                <w:bCs w:val="1"/>
                <w:color w:val="auto"/>
              </w:rPr>
              <w:t>Use of Available Funds (USD $000’s)</w:t>
            </w:r>
            <w:r>
              <w:rPr>
                <w:rFonts w:ascii="Times New Roman" w:cs="Times New Roman" w:eastAsia="Times New Roman" w:hAnsi="Times New Roman"/>
                <w:sz w:val="18"/>
                <w:szCs w:val="18"/>
                <w:b w:val="1"/>
                <w:bCs w:val="1"/>
                <w:color w:val="auto"/>
                <w:vertAlign w:val="superscript"/>
              </w:rPr>
              <w:t>(1)(2)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October 31, 2024)</w:t>
            </w:r>
          </w:p>
        </w:tc>
        <w:tc>
          <w:tcPr>
            <w:tcW w:w="184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184"/>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r>
      <w:tr>
        <w:trPr>
          <w:trHeight w:val="206"/>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Phase 3 Study of CYB003 in MDD</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$6,393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$3,914</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$6,393</w:t>
            </w: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184"/>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r>
      <w:tr>
        <w:trPr>
          <w:trHeight w:val="282"/>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Phase 2 Proof-Of-Concept Study</w:t>
            </w:r>
            <w:r>
              <w:rPr>
                <w:rFonts w:ascii="Times New Roman" w:cs="Times New Roman" w:eastAsia="Times New Roman" w:hAnsi="Times New Roman"/>
                <w:sz w:val="18"/>
                <w:szCs w:val="18"/>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$597</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r>
      <w:tr>
        <w:trPr>
          <w:trHeight w:val="245"/>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Subcutaneous Formulation Study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r>
      <w:tr>
        <w:trPr>
          <w:trHeight w:val="187"/>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r>
      <w:tr>
        <w:trPr>
          <w:trHeight w:val="239"/>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r>
      <w:tr>
        <w:trPr>
          <w:trHeight w:val="192"/>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r>
      <w:tr>
        <w:trPr>
          <w:trHeight w:val="247"/>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(4)</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$20,300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$20,300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$21,080</w:t>
            </w:r>
          </w:p>
        </w:tc>
      </w:tr>
      <w:tr>
        <w:trPr>
          <w:trHeight w:val="205"/>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$28,070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$24,811</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$28,070</w:t>
            </w: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bl>
    <w:p>
      <w:pPr>
        <w:spacing w:after="0" w:line="3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23" w:lineRule="exact"/>
        <w:rPr>
          <w:sz w:val="20"/>
          <w:szCs w:val="20"/>
          <w:color w:val="auto"/>
        </w:rPr>
      </w:pPr>
    </w:p>
    <w:p>
      <w:pPr>
        <w:ind w:left="403" w:hanging="403"/>
        <w:spacing w:after="0"/>
        <w:tabs>
          <w:tab w:leader="none" w:pos="403"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the chart are in USD. Certain amounts have been converted from USD to CAD at an exchange rate of 1:0.74.</w:t>
      </w:r>
    </w:p>
    <w:p>
      <w:pPr>
        <w:spacing w:after="0" w:line="16"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milestone is now denoted as ‘initiate a Phase 2a GAD study’. For further information see “Deuterated Dimethyltryptamine Program”.</w:t>
      </w:r>
    </w:p>
    <w:p>
      <w:pPr>
        <w:spacing w:after="0" w:line="33"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w:t>
      </w:r>
    </w:p>
    <w:p>
      <w:pPr>
        <w:spacing w:after="0" w:line="33" w:lineRule="exact"/>
        <w:rPr>
          <w:rFonts w:ascii="Times New Roman" w:cs="Times New Roman" w:eastAsia="Times New Roman" w:hAnsi="Times New Roman"/>
          <w:sz w:val="15"/>
          <w:szCs w:val="15"/>
          <w:color w:val="auto"/>
        </w:rPr>
      </w:pPr>
    </w:p>
    <w:p>
      <w:pPr>
        <w:ind w:left="403" w:right="20"/>
        <w:spacing w:after="0" w:line="29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200"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83" w:lineRule="exact"/>
        <w:rPr>
          <w:sz w:val="20"/>
          <w:szCs w:val="20"/>
          <w:color w:val="auto"/>
        </w:rPr>
      </w:pPr>
    </w:p>
    <w:p>
      <w:pPr>
        <w:jc w:val="both"/>
        <w:ind w:left="3" w:right="20"/>
        <w:spacing w:after="0" w:line="315" w:lineRule="auto"/>
        <w:rPr>
          <w:sz w:val="20"/>
          <w:szCs w:val="20"/>
          <w:color w:val="auto"/>
        </w:rPr>
      </w:pPr>
      <w:r>
        <w:rPr>
          <w:rFonts w:ascii="Times New Roman" w:cs="Times New Roman" w:eastAsia="Times New Roman" w:hAnsi="Times New Roman"/>
          <w:sz w:val="17"/>
          <w:szCs w:val="17"/>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3"/>
          </w:cols>
          <w:pgMar w:left="317" w:top="1304" w:right="319" w:bottom="1440" w:gutter="0" w:footer="0" w:header="0"/>
        </w:sectPr>
      </w:pPr>
    </w:p>
    <w:bookmarkStart w:id="48" w:name="page49"/>
    <w:bookmarkEnd w:id="48"/>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Relationships with Third Parties</w:t>
      </w:r>
    </w:p>
    <w:p>
      <w:pPr>
        <w:spacing w:after="0" w:line="24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w:t>
      </w:r>
    </w:p>
    <w:p>
      <w:pPr>
        <w:spacing w:after="0" w:line="2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 has licensed the use of its EMBARK psychological support model to the University of Washington for a randomized, placebo-controlled clinical trial of psilocybin for frontline clinicians experiencing COVID-19 related distress.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Greenbrook TMS</w:t>
      </w:r>
    </w:p>
    <w:p>
      <w:pPr>
        <w:spacing w:after="0" w:line="2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25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25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On September 27, 2022, the Company entered into an agreement, as amended, with Mindset Pharma Inc. (“</w:t>
      </w:r>
      <w:r>
        <w:rPr>
          <w:rFonts w:ascii="Times New Roman" w:cs="Times New Roman" w:eastAsia="Times New Roman" w:hAnsi="Times New Roman"/>
          <w:sz w:val="17"/>
          <w:szCs w:val="17"/>
          <w:b w:val="1"/>
          <w:bCs w:val="1"/>
          <w:color w:val="auto"/>
        </w:rPr>
        <w:t>Mindset</w:t>
      </w:r>
      <w:r>
        <w:rPr>
          <w:rFonts w:ascii="Times New Roman" w:cs="Times New Roman" w:eastAsia="Times New Roman" w:hAnsi="Times New Roman"/>
          <w:sz w:val="17"/>
          <w:szCs w:val="17"/>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0"/>
          </w:cols>
          <w:pgMar w:left="320" w:top="1440" w:right="319" w:bottom="1440" w:gutter="0" w:footer="0" w:header="0"/>
        </w:sectPr>
      </w:pPr>
    </w:p>
    <w:bookmarkStart w:id="49" w:name="page50"/>
    <w:bookmarkEnd w:id="49"/>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approximately 2% for all commercialized licensed products within the scope of the agreement, which is customary for drug licensing agreements of this nature.</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Worldwide Clinical Trials</w:t>
      </w:r>
    </w:p>
    <w:p>
      <w:pPr>
        <w:spacing w:after="0" w:line="268"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256" w:lineRule="exact"/>
        <w:rPr>
          <w:sz w:val="20"/>
          <w:szCs w:val="20"/>
          <w:color w:val="auto"/>
        </w:rPr>
      </w:pPr>
    </w:p>
    <w:p>
      <w:pPr>
        <w:jc w:val="both"/>
        <w:ind w:left="3" w:right="20"/>
        <w:spacing w:after="0" w:line="276"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0"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44"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99"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5354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87" w:lineRule="exact"/>
        <w:rPr>
          <w:sz w:val="20"/>
          <w:szCs w:val="20"/>
          <w:color w:val="auto"/>
        </w:rPr>
      </w:pPr>
    </w:p>
    <w:p>
      <w:pPr>
        <w:ind w:left="3" w:right="20" w:hanging="3"/>
        <w:spacing w:after="0" w:line="227" w:lineRule="auto"/>
        <w:tabs>
          <w:tab w:leader="none" w:pos="152"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3"/>
          </w:cols>
          <w:pgMar w:left="317" w:top="130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patent and other intellectual property rights and could result in the breach of confidentiality obligations.</w:t>
      </w:r>
    </w:p>
    <w:p>
      <w:pPr>
        <w:spacing w:after="0" w:line="2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MD&amp;A or unforeseen events.</w:t>
      </w:r>
    </w:p>
    <w:p>
      <w:pPr>
        <w:spacing w:after="0" w:line="19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5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6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Cybin has title to fifteen granted US patents and fifty seven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11,242,318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11,724,985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11,746,088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11,834,410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11,958,807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2018311307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2020378647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2020381103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2021334933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2021204158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1120220000000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Brazil</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3104072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Drug Substance Compositions Comprising N,N-Dimethyltryptamine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3160337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0"/>
          </w:cols>
          <w:pgMar w:left="320" w:top="1303" w:right="31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3179161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3160334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3179335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ZL202180046463.X</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046951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Eurasian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3463323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2R,6R-Hydroxynorketamine or Derivatives Thereof</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3687515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Ketamine Derivatives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3532457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3826632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3844147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3873883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3902541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4031529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40010285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40042383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40035970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Ketamine Derivatives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40056359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40060666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40065709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40064531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40045846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40060891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40078818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507114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528813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292753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Israel</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7288154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7423131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7523474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A therapeutic composition comprising a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ZL202180046463.X</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404310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411316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412331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0"/>
          </w:cols>
          <w:pgMar w:left="320" w:top="1304" w:right="31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788543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derivatives and their use in psychedelic-assisted psychotherapy</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794833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2589605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Republic of Korea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2636385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Republic of Korea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2023/01086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South Africa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2585978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2586940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2592822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2595776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11,377,416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11,771,681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11,773,062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Deuterated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11,643,390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11,471,417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11,406,619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11,697,638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5-Methoxy-N,N-Dimethyltryptamine Crystalline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11,660,289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11,578,039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12,042,564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bl>
    <w:p>
      <w:pPr>
        <w:spacing w:after="0" w:line="30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addition, Cybin has title to nine provisional patent applications, twenty nine US non-provisional patent applications, one hundred and sixty eight national (non-US) patent applications, and fourteen Patent Cooperation Treaty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applications, including claims directed to compositions of matter and methods of use in support of its research and development and preclinical and clinical trial programs.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18/056,958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17/999,310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PCT/EP2023/050702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PCT/EP2023/053744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PCT/EP2023/053752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18/041,731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18/041,728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18/027,810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PCT/EP2023/057939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PCT/EP2023/058107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PCT/EP2023/066900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18/353,492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1304" w:right="31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63/519,992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18/547,100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PCT/EP2023/073122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Tryptamine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PCT/EP2023/080027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63/599,483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Pharmaceutical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18/561,152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63/600,179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Companion Animal Treatments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63/602,888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63/603,262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63/603,886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18/576,487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Integrated Data Collection Devices for Use in Various Therapeutic and Wellness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Applications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63/553,321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18/588,132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PCT/EP2024/054897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18/688,125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18/600,018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PCT/EP2024/062406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Pharmaceutical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18/707,825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PCT/EP2024/065453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Companion Animal Treatments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18/720,922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PCT/EP2024/067458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Processes For Preparing Phenethylamine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18/730,397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18/730,423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793553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812214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297492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312785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3177454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NC2022/0016662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Colombia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MX/a/2022/014605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MX/a/2024/006467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202203191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10-2022-7040243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1304" w:right="31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10-2024-7019118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EP21808464.8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24175524.8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202180036163.3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202410728550.9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1120220235658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2021276656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2024203974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11202254530T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10202401521X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202213256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2201007493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1-2022-553135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202227065770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2022-571175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2024-080101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62023078320.6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3186357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10-2023-7003815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2021327136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2023-512063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21766581.9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62023079716.4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3186359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10-2023-7006128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2021328671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2023-512107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21763068.0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62023079718.0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21786852.0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320" w:top="1304" w:right="31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04"/>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3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10-2023-7007858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2021354006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2023-519831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3194558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62023079720.6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802136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305457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3212563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NC2023/0013714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Columbia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MX/a/2023/010843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202302731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10-2023-7032581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22716857.2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202280022029.2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1120230188946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2022239825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11202305618U</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202309486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2301005753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1-2023-552572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202327063524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2023-556906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62024086011.9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2022277515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3216799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22729558.1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202327074210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2023-571283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10-2023-7041239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62024089505.7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2022342266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3231021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0"/>
          </w:cols>
          <w:pgMar w:left="320" w:top="1304" w:right="31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22716971.1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2024-515026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10-2024-7008355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2022381220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1120240088332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3236624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202280073355.6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22783493.4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202417038272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2024-526529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10-2024-7017594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810005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1120242311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202411034735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Processes For Preparing Phenethylamine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2023207801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1120240139522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23700949.3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313889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MX/a/2024/008691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PI2024003160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811765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1120243886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2023222126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1120220089198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202291378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202217028822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Compounds, Compositions Comprising Same, and Uses Thereof in the</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Treatment of Psychiatric or Neurological Disorders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2023-202672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10-2023-7033500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18/152,465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110143066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Taiwan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Deuterated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2021391581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3203020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202180090269.1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23198784.3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40078818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304" w:right="31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202317043169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303288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2023-533243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800961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18/163,388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21 816489.5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18/252,949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18/056,771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PCT/EP2022/082486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2022393234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11 2024 009571 1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3238583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22 818741.5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202417045861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312859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2024-529536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10-2024-7020007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MX/a/2024/005955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811102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11202403174T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2024/03906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PI 2024002791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1120242659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202401452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2401003192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12024551165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18/056,771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18/711,130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NC2024/0007518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Colombia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202280084101.4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202390295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21769080.9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62023077767.9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298129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PI 2023000584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MX/a/2022/014128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793361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11202300697X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17/806,526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63/585,000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Administration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18/619,547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Administration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0"/>
          </w:cols>
          <w:pgMar w:left="320" w:top="1304" w:right="31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04"/>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5"/>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PCT/EP2024/058587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Administration</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PCT/EP2023/078480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7"/>
              </w:rPr>
              <w:t>Method of Administration of a Parenteral Formulation Comprising a</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Psychedelic Agent</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PCT/EP2024/051569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Treatment of Psychiatric or Neurological Disorders by Parenteral</w:t>
            </w:r>
          </w:p>
        </w:tc>
        <w:tc>
          <w:tcPr>
            <w:tcW w:w="0" w:type="dxa"/>
            <w:vAlign w:val="bottom"/>
          </w:tcPr>
          <w:p>
            <w:pPr>
              <w:spacing w:after="0"/>
              <w:rPr>
                <w:sz w:val="1"/>
                <w:szCs w:val="1"/>
                <w:color w:val="auto"/>
              </w:rPr>
            </w:pPr>
          </w:p>
        </w:tc>
      </w:tr>
      <w:tr>
        <w:trPr>
          <w:trHeight w:val="145"/>
        </w:trPr>
        <w:tc>
          <w:tcPr>
            <w:tcW w:w="2980" w:type="dxa"/>
            <w:vAlign w:val="bottom"/>
            <w:tcBorders>
              <w:left w:val="single" w:sz="8" w:color="auto"/>
              <w:right w:val="single" w:sz="8" w:color="auto"/>
            </w:tcBorders>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47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5"/>
                <w:szCs w:val="15"/>
                <w:color w:val="auto"/>
                <w:w w:val="96"/>
              </w:rPr>
              <w:t>Administration of a Single, Effective Parenteral Dose of A Short-Acting</w:t>
            </w:r>
          </w:p>
        </w:tc>
        <w:tc>
          <w:tcPr>
            <w:tcW w:w="0" w:type="dxa"/>
            <w:vAlign w:val="bottom"/>
          </w:tcPr>
          <w:p>
            <w:pPr>
              <w:spacing w:after="0"/>
              <w:rPr>
                <w:sz w:val="1"/>
                <w:szCs w:val="1"/>
                <w:color w:val="auto"/>
              </w:rPr>
            </w:pPr>
          </w:p>
        </w:tc>
      </w:tr>
      <w:tr>
        <w:trPr>
          <w:trHeight w:val="191"/>
        </w:trPr>
        <w:tc>
          <w:tcPr>
            <w:tcW w:w="2980" w:type="dxa"/>
            <w:vAlign w:val="bottom"/>
            <w:tcBorders>
              <w:left w:val="single" w:sz="8" w:color="auto"/>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Psychedelic Agent</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22214748.0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202217028688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292754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21203394.8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Solid Oral Dosage Forms of 2R,6R-Hydroxynorketamine or Derivatives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Thereof</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18/193,866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18/602,171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110119792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Taiwan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Compositions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1120220245661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202180046463.X</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202293451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42023070531.1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202217076779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298541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2020286709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1120210243330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3142290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202080050439.9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22173907.1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288617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783166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10-2021-7043410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17/616,345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0"/>
          </w:cols>
          <w:pgMar w:left="320" w:top="1304" w:right="31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04"/>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3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18/779,611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2021284861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21725377.2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202217076899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298542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2022-574098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794813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3118556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202180046533.1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18/748,483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63/699,449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Pharmaceutical Compositions Comprising Deuterated N,N-Dimethyltryptamine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7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7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also filed applications for registration of twenty-six trademarks, including Changing Minds®, Cybin®, Embark®It’s not magic. It’s mushrooms™, It’s not magic, its science™, Journey™, Mushroom &amp; Friends™, Psilotonin™, Psychedelics to Therapeutics®, MindClef™, CYB™, and Revolutionizing Mental Healthcare™. The Company has registered the CYBIN trademark in the EU (reg. 18495520), the UK (reg. UK00003656496), and the US (reg. 6,852,975) the mark PSYCHEDELICS TO THERAPEUTICS in the UK (reg. UK00003717706), the mark CHANGING MINDS in Canada (TMA1195700) and in the US (reg. 7,442,497), and the mark EMBARK in Canada (TMA1196747).</w:t>
      </w:r>
    </w:p>
    <w:p>
      <w:pPr>
        <w:spacing w:after="0" w:line="19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As a result of the Arrangement, the Company has registered trademarks with the United Kingdom Intellectual Property Office (registration no. UK00003244617), and the European Union Intellectual Property Office (registration no. 018396486), , and has filed an application for registration with the USPTO (application no. 90523956) and the Canadian Intellectual Property Office (application no 2084387).</w:t>
      </w:r>
    </w:p>
    <w:p>
      <w:pPr>
        <w:spacing w:after="0" w:line="19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1304" w:right="319" w:bottom="1440" w:gutter="0" w:footer="0" w:header="0"/>
        </w:sectPr>
      </w:pPr>
    </w:p>
    <w:bookmarkStart w:id="60" w:name="page61"/>
    <w:bookmarkEnd w:id="60"/>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uses for compounds and formulations. As the Company generates new data it will continue to file or acquire additional patent applications throughout the Company’s development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Framework and Licensing Regime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psilocybin,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Health Canada has not approved psilocybin as a drug for any indication. However, there are legal routes through which psilocybin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1303" w:right="319" w:bottom="1440" w:gutter="0" w:footer="0" w:header="0"/>
        </w:sectPr>
      </w:pPr>
    </w:p>
    <w:bookmarkStart w:id="61" w:name="page62"/>
    <w:bookmarkEnd w:id="61"/>
    <w:p>
      <w:pPr>
        <w:ind w:left="3"/>
        <w:spacing w:after="0"/>
        <w:rPr>
          <w:sz w:val="20"/>
          <w:szCs w:val="20"/>
          <w:color w:val="auto"/>
        </w:rPr>
      </w:pPr>
      <w:r>
        <w:rPr>
          <w:rFonts w:ascii="Times New Roman" w:cs="Times New Roman" w:eastAsia="Times New Roman" w:hAnsi="Times New Roman"/>
          <w:sz w:val="18"/>
          <w:szCs w:val="18"/>
          <w:color w:val="auto"/>
        </w:rPr>
        <w:t>send, deliver, import or export a restricted drug (as listed in Part J in the Food and Drugs Regulations – which includes psilocybin and psilocin) (see s.</w:t>
      </w:r>
    </w:p>
    <w:p>
      <w:pPr>
        <w:spacing w:after="0" w:line="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J.01.009 (1) of the Food and Drug Regulations).</w:t>
      </w:r>
    </w:p>
    <w:p>
      <w:pPr>
        <w:spacing w:after="0" w:line="250"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44" w:lineRule="exact"/>
        <w:rPr>
          <w:sz w:val="20"/>
          <w:szCs w:val="20"/>
          <w:color w:val="auto"/>
        </w:rPr>
      </w:pPr>
    </w:p>
    <w:p>
      <w:pPr>
        <w:jc w:val="both"/>
        <w:ind w:left="3" w:right="20"/>
        <w:spacing w:after="0" w:line="278"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 xml:space="preserve"> Anticipated timelines related to regulatory filings are based on reasonable assumptions informed by current knowledge and information available to the Company.</w:t>
      </w:r>
    </w:p>
    <w:p>
      <w:pPr>
        <w:spacing w:after="0" w:line="201" w:lineRule="exact"/>
        <w:rPr>
          <w:sz w:val="20"/>
          <w:szCs w:val="20"/>
          <w:color w:val="auto"/>
        </w:rPr>
      </w:pPr>
    </w:p>
    <w:p>
      <w:pPr>
        <w:jc w:val="both"/>
        <w:ind w:left="3"/>
        <w:spacing w:after="0" w:line="288"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15354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3" w:right="20" w:hanging="3"/>
        <w:spacing w:after="0" w:line="238" w:lineRule="auto"/>
        <w:tabs>
          <w:tab w:leader="none" w:pos="136"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3"/>
          </w:cols>
          <w:pgMar w:left="317" w:top="1291" w:right="319" w:bottom="1440" w:gutter="0" w:footer="0" w:header="0"/>
        </w:sectPr>
      </w:pPr>
    </w:p>
    <w:bookmarkStart w:id="62" w:name="page63"/>
    <w:bookmarkEnd w:id="62"/>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Europe/Netherlands</w:t>
      </w:r>
    </w:p>
    <w:p>
      <w:pPr>
        <w:spacing w:after="0" w:line="23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87" w:lineRule="exact"/>
        <w:rPr>
          <w:sz w:val="20"/>
          <w:szCs w:val="20"/>
          <w:color w:val="auto"/>
        </w:rPr>
      </w:pPr>
    </w:p>
    <w:p>
      <w:pPr>
        <w:ind w:left="580" w:right="20" w:hanging="296"/>
        <w:spacing w:after="0" w:line="292" w:lineRule="auto"/>
        <w:tabs>
          <w:tab w:leader="none" w:pos="576" w:val="left"/>
        </w:tabs>
        <w:numPr>
          <w:ilvl w:val="0"/>
          <w:numId w:val="33"/>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60" w:hanging="276"/>
        <w:spacing w:after="0"/>
        <w:tabs>
          <w:tab w:leader="none" w:pos="560" w:val="left"/>
        </w:tabs>
        <w:numPr>
          <w:ilvl w:val="0"/>
          <w:numId w:val="33"/>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33"/>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275" w:lineRule="exact"/>
        <w:rPr>
          <w:rFonts w:ascii="Calibri" w:cs="Calibri" w:eastAsia="Calibri" w:hAnsi="Calibri"/>
          <w:sz w:val="18"/>
          <w:szCs w:val="18"/>
          <w:color w:val="auto"/>
        </w:rPr>
      </w:pPr>
    </w:p>
    <w:p>
      <w:pPr>
        <w:ind w:left="560" w:hanging="276"/>
        <w:spacing w:after="0"/>
        <w:tabs>
          <w:tab w:leader="none" w:pos="560" w:val="left"/>
        </w:tabs>
        <w:numPr>
          <w:ilvl w:val="0"/>
          <w:numId w:val="33"/>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46"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33"/>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ind w:left="560" w:hanging="276"/>
        <w:spacing w:after="0"/>
        <w:tabs>
          <w:tab w:leader="none" w:pos="560" w:val="left"/>
        </w:tabs>
        <w:numPr>
          <w:ilvl w:val="0"/>
          <w:numId w:val="33"/>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w:t>
      </w:r>
    </w:p>
    <w:p>
      <w:pPr>
        <w:spacing w:after="0" w:line="46" w:lineRule="exact"/>
        <w:rPr>
          <w:rFonts w:ascii="Calibri" w:cs="Calibri" w:eastAsia="Calibri" w:hAnsi="Calibri"/>
          <w:sz w:val="18"/>
          <w:szCs w:val="18"/>
          <w:color w:val="auto"/>
        </w:rPr>
      </w:pPr>
    </w:p>
    <w:p>
      <w:pPr>
        <w:ind w:left="580"/>
        <w:spacing w:after="0" w:line="323"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country or region, respectively, or other persons or enterprises which are specifically authorized by the competent authorities of their country or region for the purpose.</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1440" w:right="319" w:bottom="1440" w:gutter="0" w:footer="0" w:header="0"/>
        </w:sectPr>
      </w:pPr>
    </w:p>
    <w:bookmarkStart w:id="63" w:name="page64"/>
    <w:bookmarkEnd w:id="63"/>
    <w:p>
      <w:pPr>
        <w:jc w:val="both"/>
        <w:ind w:right="20"/>
        <w:spacing w:after="0" w:line="325" w:lineRule="auto"/>
        <w:rPr>
          <w:sz w:val="20"/>
          <w:szCs w:val="20"/>
          <w:color w:val="auto"/>
        </w:rPr>
      </w:pPr>
      <w:r>
        <w:rPr>
          <w:rFonts w:ascii="Times New Roman" w:cs="Times New Roman" w:eastAsia="Times New Roman" w:hAnsi="Times New Roman"/>
          <w:sz w:val="18"/>
          <w:szCs w:val="18"/>
          <w:color w:val="auto"/>
        </w:rPr>
        <w:t>(Opiumwet)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25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w:t>
      </w:r>
      <w:r>
        <w:rPr>
          <w:rFonts w:ascii="Times New Roman" w:cs="Times New Roman" w:eastAsia="Times New Roman" w:hAnsi="Times New Roman"/>
          <w:sz w:val="18"/>
          <w:szCs w:val="18"/>
          <w:i w:val="1"/>
          <w:iCs w:val="1"/>
          <w:color w:val="auto"/>
        </w:rPr>
        <w:t>Centrale Commissie Mensgebonden Onderzoek</w:t>
      </w:r>
      <w:r>
        <w:rPr>
          <w:rFonts w:ascii="Times New Roman" w:cs="Times New Roman" w:eastAsia="Times New Roman" w:hAnsi="Times New Roman"/>
          <w:sz w:val="18"/>
          <w:szCs w:val="18"/>
          <w:color w:val="auto"/>
        </w:rPr>
        <w:t>’. In cases where the study involves a substance subject to the Dutch Opium Act (such as DMT), an official exemption by Farmatec is needed, which needs to be included in the CTA.</w:t>
      </w:r>
    </w:p>
    <w:p>
      <w:pPr>
        <w:spacing w:after="0" w:line="19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3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5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51"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1301" w:right="319" w:bottom="1440" w:gutter="0" w:footer="0" w:header="0"/>
        </w:sectPr>
      </w:pPr>
    </w:p>
    <w:bookmarkStart w:id="64" w:name="page65"/>
    <w:bookmarkEnd w:id="64"/>
    <w:p>
      <w:pPr>
        <w:jc w:val="both"/>
        <w:ind w:left="3" w:right="80"/>
        <w:spacing w:after="0" w:line="294"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API.DMT is also considered a Class A drug under the MDA and as a Schedule I drug under the MDR.</w:t>
      </w:r>
    </w:p>
    <w:p>
      <w:pPr>
        <w:spacing w:after="0" w:line="170" w:lineRule="exact"/>
        <w:rPr>
          <w:sz w:val="20"/>
          <w:szCs w:val="20"/>
          <w:color w:val="auto"/>
        </w:rPr>
      </w:pPr>
    </w:p>
    <w:p>
      <w:pPr>
        <w:jc w:val="both"/>
        <w:ind w:left="3" w:right="100"/>
        <w:spacing w:after="0" w:line="294"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reference number 1355388, issued on July 24, 2023, expiring July 23, 2024.</w:t>
      </w:r>
    </w:p>
    <w:p>
      <w:pPr>
        <w:spacing w:after="0" w:line="1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28" w:lineRule="exact"/>
        <w:rPr>
          <w:sz w:val="20"/>
          <w:szCs w:val="20"/>
          <w:color w:val="auto"/>
        </w:rPr>
      </w:pPr>
    </w:p>
    <w:p>
      <w:pPr>
        <w:jc w:val="both"/>
        <w:ind w:left="3" w:right="80"/>
        <w:spacing w:after="0" w:line="311" w:lineRule="auto"/>
        <w:rPr>
          <w:sz w:val="20"/>
          <w:szCs w:val="20"/>
          <w:color w:val="auto"/>
        </w:rPr>
      </w:pPr>
      <w:r>
        <w:rPr>
          <w:rFonts w:ascii="Times New Roman" w:cs="Times New Roman" w:eastAsia="Times New Roman" w:hAnsi="Times New Roman"/>
          <w:sz w:val="17"/>
          <w:szCs w:val="17"/>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2"/>
          <w:szCs w:val="22"/>
          <w:color w:val="auto"/>
          <w:vertAlign w:val="superscript"/>
        </w:rPr>
        <w:t>21</w:t>
      </w:r>
    </w:p>
    <w:p>
      <w:pPr>
        <w:spacing w:after="0" w:line="109" w:lineRule="exact"/>
        <w:rPr>
          <w:sz w:val="20"/>
          <w:szCs w:val="20"/>
          <w:color w:val="auto"/>
        </w:rPr>
      </w:pPr>
    </w:p>
    <w:p>
      <w:pPr>
        <w:jc w:val="both"/>
        <w:ind w:left="3" w:right="80"/>
        <w:spacing w:after="0" w:line="288"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66" w:lineRule="exact"/>
        <w:rPr>
          <w:sz w:val="20"/>
          <w:szCs w:val="20"/>
          <w:color w:val="auto"/>
        </w:rPr>
      </w:pPr>
    </w:p>
    <w:p>
      <w:pPr>
        <w:jc w:val="both"/>
        <w:ind w:left="3" w:right="100"/>
        <w:spacing w:after="0" w:line="297"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22</w:t>
      </w:r>
    </w:p>
    <w:p>
      <w:pPr>
        <w:spacing w:after="0" w:line="106" w:lineRule="exact"/>
        <w:rPr>
          <w:sz w:val="20"/>
          <w:szCs w:val="20"/>
          <w:color w:val="auto"/>
        </w:rPr>
      </w:pPr>
    </w:p>
    <w:p>
      <w:pPr>
        <w:jc w:val="both"/>
        <w:ind w:left="3" w:right="100"/>
        <w:spacing w:after="0" w:line="309"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5354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65" w:lineRule="exact"/>
        <w:rPr>
          <w:sz w:val="20"/>
          <w:szCs w:val="20"/>
          <w:color w:val="auto"/>
        </w:rPr>
      </w:pPr>
    </w:p>
    <w:p>
      <w:pPr>
        <w:jc w:val="both"/>
        <w:ind w:left="3" w:right="80" w:hanging="3"/>
        <w:spacing w:after="0" w:line="235" w:lineRule="auto"/>
        <w:tabs>
          <w:tab w:leader="none" w:pos="146"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ind w:left="3" w:hanging="3"/>
        <w:spacing w:after="0" w:line="228" w:lineRule="auto"/>
        <w:tabs>
          <w:tab w:leader="none" w:pos="134"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 https://assets.publishing.service.gov.uk/government/uploads/system/uploads/attachment_data/file/1125889/Security_Guidance_for_all_Businesses_and_Other_Organisations_v1.5_Nov_2022.pdf.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3"/>
          </w:cols>
          <w:pgMar w:left="317" w:top="1303" w:right="239" w:bottom="1440" w:gutter="0" w:footer="0" w:header="0"/>
        </w:sectPr>
      </w:pPr>
    </w:p>
    <w:bookmarkStart w:id="65" w:name="page66"/>
    <w:bookmarkEnd w:id="65"/>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23</w:t>
      </w:r>
    </w:p>
    <w:p>
      <w:pPr>
        <w:spacing w:after="0" w:line="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Small Pharma holds the appropriate UK Home Office licence required to sponsor clinical trials using Schedule I compounds.</w:t>
      </w: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28" w:lineRule="exact"/>
        <w:rPr>
          <w:sz w:val="20"/>
          <w:szCs w:val="20"/>
          <w:color w:val="auto"/>
        </w:rPr>
      </w:pPr>
    </w:p>
    <w:p>
      <w:pPr>
        <w:jc w:val="both"/>
        <w:ind w:left="3" w:right="20"/>
        <w:spacing w:after="0" w:line="299"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77" w:lineRule="exact"/>
        <w:rPr>
          <w:sz w:val="20"/>
          <w:szCs w:val="20"/>
          <w:color w:val="auto"/>
        </w:rPr>
      </w:pPr>
    </w:p>
    <w:p>
      <w:pPr>
        <w:jc w:val="both"/>
        <w:ind w:left="3" w:right="20"/>
        <w:spacing w:after="0" w:line="301"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76" w:lineRule="exact"/>
        <w:rPr>
          <w:sz w:val="20"/>
          <w:szCs w:val="20"/>
          <w:color w:val="auto"/>
        </w:rPr>
      </w:pPr>
    </w:p>
    <w:p>
      <w:pPr>
        <w:jc w:val="both"/>
        <w:ind w:left="3"/>
        <w:spacing w:after="0" w:line="294"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238" w:lineRule="exact"/>
        <w:rPr>
          <w:sz w:val="20"/>
          <w:szCs w:val="20"/>
          <w:color w:val="auto"/>
        </w:rPr>
      </w:pPr>
    </w:p>
    <w:p>
      <w:pPr>
        <w:ind w:left="563" w:hanging="276"/>
        <w:spacing w:after="0"/>
        <w:tabs>
          <w:tab w:leader="none" w:pos="563" w:val="left"/>
        </w:tabs>
        <w:numPr>
          <w:ilvl w:val="0"/>
          <w:numId w:val="35"/>
        </w:numPr>
        <w:rPr>
          <w:rFonts w:ascii="Calibri" w:cs="Calibri" w:eastAsia="Calibri" w:hAnsi="Calibri"/>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w:t>
      </w:r>
    </w:p>
    <w:p>
      <w:pPr>
        <w:spacing w:after="0" w:line="48" w:lineRule="exact"/>
        <w:rPr>
          <w:rFonts w:ascii="Calibri" w:cs="Calibri" w:eastAsia="Calibri" w:hAnsi="Calibri"/>
          <w:sz w:val="18"/>
          <w:szCs w:val="18"/>
          <w:color w:val="auto"/>
        </w:rPr>
      </w:pPr>
    </w:p>
    <w:p>
      <w:pPr>
        <w:ind w:left="583" w:right="20"/>
        <w:spacing w:after="0" w:line="287"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must register with the MHRA and provide the MHRA with 60 days’ notice of the intended start of manufacture/distribution of the API, and comply with GMP and GDP for active substances; and</w:t>
      </w:r>
    </w:p>
    <w:p>
      <w:pPr>
        <w:ind w:left="563" w:hanging="276"/>
        <w:spacing w:after="0"/>
        <w:tabs>
          <w:tab w:leader="none" w:pos="563" w:val="left"/>
        </w:tabs>
        <w:numPr>
          <w:ilvl w:val="0"/>
          <w:numId w:val="35"/>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w:t>
      </w:r>
    </w:p>
    <w:p>
      <w:pPr>
        <w:spacing w:after="0" w:line="44" w:lineRule="exact"/>
        <w:rPr>
          <w:rFonts w:ascii="Calibri" w:cs="Calibri" w:eastAsia="Calibri" w:hAnsi="Calibri"/>
          <w:sz w:val="18"/>
          <w:szCs w:val="18"/>
          <w:color w:val="auto"/>
        </w:rPr>
      </w:pPr>
    </w:p>
    <w:p>
      <w:pPr>
        <w:ind w:left="583" w:right="20"/>
        <w:spacing w:after="0" w:line="311"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153543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79" w:lineRule="exact"/>
        <w:rPr>
          <w:sz w:val="20"/>
          <w:szCs w:val="20"/>
          <w:color w:val="auto"/>
        </w:rPr>
      </w:pPr>
    </w:p>
    <w:p>
      <w:pPr>
        <w:ind w:left="3" w:right="3560" w:hanging="3"/>
        <w:spacing w:after="0" w:line="243" w:lineRule="auto"/>
        <w:tabs>
          <w:tab w:leader="none" w:pos="134"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Home Office guidance; Guidelines for Standard Operating Procedures (SOPs); 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3"/>
          </w:cols>
          <w:pgMar w:left="317" w:top="1303" w:right="319" w:bottom="1440" w:gutter="0" w:footer="0" w:header="0"/>
        </w:sectPr>
      </w:pPr>
    </w:p>
    <w:bookmarkStart w:id="66" w:name="page67"/>
    <w:bookmarkEnd w:id="66"/>
    <w:p>
      <w:pPr>
        <w:spacing w:after="0" w:line="8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4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6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7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IV, and by way of inhalation.</w:t>
      </w:r>
    </w:p>
    <w:p>
      <w:pPr>
        <w:spacing w:after="0" w:line="19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4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67" w:name="page68"/>
    <w:bookmarkEnd w:id="67"/>
    <w:p>
      <w:pPr>
        <w:ind w:right="20"/>
        <w:spacing w:after="0" w:line="323" w:lineRule="auto"/>
        <w:rPr>
          <w:sz w:val="20"/>
          <w:szCs w:val="20"/>
          <w:color w:val="auto"/>
        </w:rPr>
      </w:pPr>
      <w:r>
        <w:rPr>
          <w:rFonts w:ascii="Times New Roman" w:cs="Times New Roman" w:eastAsia="Times New Roman" w:hAnsi="Times New Roman"/>
          <w:sz w:val="18"/>
          <w:szCs w:val="18"/>
          <w:color w:val="auto"/>
        </w:rPr>
        <w:t>These regulatory authorities regulate, among other things, the research, manufacture, promotion and distribution of drugs in specific jurisdictions under applicable laws and regulations.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238" w:lineRule="exact"/>
        <w:rPr>
          <w:sz w:val="20"/>
          <w:szCs w:val="20"/>
          <w:color w:val="auto"/>
        </w:rPr>
      </w:pPr>
    </w:p>
    <w:p>
      <w:pPr>
        <w:ind w:left="580" w:right="20" w:hanging="296"/>
        <w:spacing w:after="0" w:line="324" w:lineRule="auto"/>
        <w:tabs>
          <w:tab w:leader="none" w:pos="576" w:val="left"/>
        </w:tabs>
        <w:numPr>
          <w:ilvl w:val="0"/>
          <w:numId w:val="37"/>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49" w:lineRule="exact"/>
        <w:rPr>
          <w:rFonts w:ascii="Calibri" w:cs="Calibri" w:eastAsia="Calibri" w:hAnsi="Calibri"/>
          <w:sz w:val="18"/>
          <w:szCs w:val="18"/>
          <w:color w:val="auto"/>
        </w:rPr>
      </w:pPr>
    </w:p>
    <w:p>
      <w:pPr>
        <w:ind w:left="580" w:hanging="296"/>
        <w:spacing w:after="0" w:line="338" w:lineRule="auto"/>
        <w:tabs>
          <w:tab w:leader="none" w:pos="576" w:val="left"/>
        </w:tabs>
        <w:numPr>
          <w:ilvl w:val="0"/>
          <w:numId w:val="37"/>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36" w:lineRule="exact"/>
        <w:rPr>
          <w:rFonts w:ascii="Calibri" w:cs="Calibri" w:eastAsia="Calibri" w:hAnsi="Calibri"/>
          <w:sz w:val="18"/>
          <w:szCs w:val="18"/>
          <w:color w:val="auto"/>
        </w:rPr>
      </w:pPr>
    </w:p>
    <w:p>
      <w:pPr>
        <w:ind w:left="560" w:hanging="276"/>
        <w:spacing w:after="0"/>
        <w:tabs>
          <w:tab w:leader="none" w:pos="560" w:val="left"/>
        </w:tabs>
        <w:numPr>
          <w:ilvl w:val="0"/>
          <w:numId w:val="37"/>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p>
    <w:p>
      <w:pPr>
        <w:spacing w:after="0" w:line="58" w:lineRule="exact"/>
        <w:rPr>
          <w:rFonts w:ascii="Calibri" w:cs="Calibri" w:eastAsia="Calibri" w:hAnsi="Calibri"/>
          <w:sz w:val="18"/>
          <w:szCs w:val="18"/>
          <w:color w:val="auto"/>
        </w:rPr>
      </w:pPr>
    </w:p>
    <w:p>
      <w:pPr>
        <w:jc w:val="both"/>
        <w:ind w:left="580"/>
        <w:spacing w:after="0" w:line="295"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91" w:lineRule="exact"/>
        <w:rPr>
          <w:rFonts w:ascii="Calibri" w:cs="Calibri" w:eastAsia="Calibri" w:hAnsi="Calibri"/>
          <w:sz w:val="18"/>
          <w:szCs w:val="18"/>
          <w:color w:val="auto"/>
        </w:rPr>
      </w:pPr>
    </w:p>
    <w:p>
      <w:pPr>
        <w:ind w:left="560" w:hanging="276"/>
        <w:spacing w:after="0"/>
        <w:tabs>
          <w:tab w:leader="none" w:pos="560" w:val="left"/>
        </w:tabs>
        <w:numPr>
          <w:ilvl w:val="0"/>
          <w:numId w:val="37"/>
        </w:numPr>
        <w:rPr>
          <w:rFonts w:ascii="Calibri" w:cs="Calibri" w:eastAsia="Calibri" w:hAnsi="Calibri"/>
          <w:sz w:val="17"/>
          <w:szCs w:val="17"/>
          <w:color w:val="auto"/>
        </w:rPr>
      </w:pPr>
      <w:r>
        <w:rPr>
          <w:rFonts w:ascii="Times New Roman" w:cs="Times New Roman" w:eastAsia="Times New Roman" w:hAnsi="Times New Roman"/>
          <w:sz w:val="17"/>
          <w:szCs w:val="17"/>
          <w:i w:val="1"/>
          <w:iCs w:val="1"/>
          <w:color w:val="auto"/>
        </w:rPr>
        <w:t xml:space="preserve">Clinical Trials – Phase 2 - Phase 2 </w:t>
      </w:r>
      <w:r>
        <w:rPr>
          <w:rFonts w:ascii="Times New Roman" w:cs="Times New Roman" w:eastAsia="Times New Roman" w:hAnsi="Times New Roman"/>
          <w:sz w:val="17"/>
          <w:szCs w:val="17"/>
          <w:color w:val="auto"/>
        </w:rPr>
        <w:t>trials are carried out on people with the target condition, who are usually otherwise healthy, with no other medical</w:t>
      </w:r>
    </w:p>
    <w:p>
      <w:pPr>
        <w:spacing w:after="0" w:line="60" w:lineRule="exact"/>
        <w:rPr>
          <w:rFonts w:ascii="Calibri" w:cs="Calibri" w:eastAsia="Calibri" w:hAnsi="Calibri"/>
          <w:sz w:val="17"/>
          <w:szCs w:val="17"/>
          <w:color w:val="auto"/>
        </w:rPr>
      </w:pPr>
    </w:p>
    <w:p>
      <w:pPr>
        <w:ind w:left="580" w:right="20"/>
        <w:spacing w:after="0" w:line="309"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78" w:lineRule="exact"/>
        <w:rPr>
          <w:rFonts w:ascii="Calibri" w:cs="Calibri" w:eastAsia="Calibri" w:hAnsi="Calibri"/>
          <w:sz w:val="17"/>
          <w:szCs w:val="17"/>
          <w:color w:val="auto"/>
        </w:rPr>
      </w:pPr>
    </w:p>
    <w:p>
      <w:pPr>
        <w:ind w:left="560" w:hanging="276"/>
        <w:spacing w:after="0"/>
        <w:tabs>
          <w:tab w:leader="none" w:pos="560" w:val="left"/>
        </w:tabs>
        <w:numPr>
          <w:ilvl w:val="0"/>
          <w:numId w:val="37"/>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p>
    <w:p>
      <w:pPr>
        <w:spacing w:after="0" w:line="48" w:lineRule="exact"/>
        <w:rPr>
          <w:rFonts w:ascii="Calibri" w:cs="Calibri" w:eastAsia="Calibri" w:hAnsi="Calibri"/>
          <w:sz w:val="18"/>
          <w:szCs w:val="18"/>
          <w:color w:val="auto"/>
        </w:rPr>
      </w:pPr>
    </w:p>
    <w:p>
      <w:pPr>
        <w:ind w:left="580"/>
        <w:spacing w:after="0"/>
        <w:rPr>
          <w:rFonts w:ascii="Calibri" w:cs="Calibri" w:eastAsia="Calibri" w:hAnsi="Calibri"/>
          <w:sz w:val="18"/>
          <w:szCs w:val="18"/>
          <w:color w:val="auto"/>
        </w:rPr>
      </w:pP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w:t>
      </w:r>
    </w:p>
    <w:p>
      <w:pPr>
        <w:spacing w:after="0" w:line="46" w:lineRule="exact"/>
        <w:rPr>
          <w:rFonts w:ascii="Calibri" w:cs="Calibri" w:eastAsia="Calibri" w:hAnsi="Calibri"/>
          <w:sz w:val="18"/>
          <w:szCs w:val="18"/>
          <w:color w:val="auto"/>
        </w:rPr>
      </w:pPr>
    </w:p>
    <w:p>
      <w:pPr>
        <w:ind w:left="580" w:right="20"/>
        <w:spacing w:after="0" w:line="309"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profile, in people who better represent the general population. Further information will also be obtained on how the drug should be used, the optimal dosage regimen and the possible side effects.</w:t>
      </w:r>
    </w:p>
    <w:p>
      <w:pPr>
        <w:spacing w:after="0" w:line="166" w:lineRule="exact"/>
        <w:rPr>
          <w:rFonts w:ascii="Calibri" w:cs="Calibri" w:eastAsia="Calibri" w:hAnsi="Calibri"/>
          <w:sz w:val="18"/>
          <w:szCs w:val="18"/>
          <w:color w:val="auto"/>
        </w:rPr>
      </w:pPr>
    </w:p>
    <w:p>
      <w:pPr>
        <w:ind w:left="560" w:hanging="276"/>
        <w:spacing w:after="0"/>
        <w:tabs>
          <w:tab w:leader="none" w:pos="560" w:val="left"/>
        </w:tabs>
        <w:numPr>
          <w:ilvl w:val="0"/>
          <w:numId w:val="37"/>
        </w:numPr>
        <w:rPr>
          <w:rFonts w:ascii="Calibri" w:cs="Calibri" w:eastAsia="Calibri" w:hAnsi="Calibri"/>
          <w:sz w:val="17"/>
          <w:szCs w:val="17"/>
          <w:color w:val="auto"/>
        </w:rPr>
      </w:pPr>
      <w:r>
        <w:rPr>
          <w:rFonts w:ascii="Times New Roman" w:cs="Times New Roman" w:eastAsia="Times New Roman" w:hAnsi="Times New Roman"/>
          <w:sz w:val="17"/>
          <w:szCs w:val="17"/>
          <w:i w:val="1"/>
          <w:iCs w:val="1"/>
          <w:color w:val="auto"/>
        </w:rPr>
        <w:t xml:space="preserve">New Drug Submission – </w:t>
      </w:r>
      <w:r>
        <w:rPr>
          <w:rFonts w:ascii="Times New Roman" w:cs="Times New Roman" w:eastAsia="Times New Roman" w:hAnsi="Times New Roman"/>
          <w:sz w:val="17"/>
          <w:szCs w:val="17"/>
          <w:color w:val="auto"/>
        </w:rPr>
        <w:t>If the results from phase III continue to be favourable, the drug manufacturer can submit a new drug submission (“</w:t>
      </w:r>
      <w:r>
        <w:rPr>
          <w:rFonts w:ascii="Times New Roman" w:cs="Times New Roman" w:eastAsia="Times New Roman" w:hAnsi="Times New Roman"/>
          <w:sz w:val="17"/>
          <w:szCs w:val="17"/>
          <w:b w:val="1"/>
          <w:bCs w:val="1"/>
          <w:color w:val="auto"/>
        </w:rPr>
        <w:t>NDS</w:t>
      </w:r>
      <w:r>
        <w:rPr>
          <w:rFonts w:ascii="Times New Roman" w:cs="Times New Roman" w:eastAsia="Times New Roman" w:hAnsi="Times New Roman"/>
          <w:sz w:val="17"/>
          <w:szCs w:val="17"/>
          <w:color w:val="auto"/>
        </w:rPr>
        <w:t>”) to</w:t>
      </w:r>
    </w:p>
    <w:p>
      <w:pPr>
        <w:spacing w:after="0" w:line="72" w:lineRule="exact"/>
        <w:rPr>
          <w:rFonts w:ascii="Calibri" w:cs="Calibri" w:eastAsia="Calibri" w:hAnsi="Calibri"/>
          <w:sz w:val="17"/>
          <w:szCs w:val="17"/>
          <w:color w:val="auto"/>
        </w:rPr>
      </w:pPr>
    </w:p>
    <w:p>
      <w:pPr>
        <w:jc w:val="both"/>
        <w:ind w:left="580"/>
        <w:spacing w:after="0" w:line="294"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72"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psilocybin or any Schedule I substance to be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0"/>
          </w:cols>
          <w:pgMar w:left="320" w:top="1303" w:right="319" w:bottom="1440" w:gutter="0" w:footer="0" w:header="0"/>
        </w:sectPr>
      </w:pPr>
    </w:p>
    <w:bookmarkStart w:id="68" w:name="page69"/>
    <w:bookmarkEnd w:id="68"/>
    <w:p>
      <w:pPr>
        <w:ind w:right="20"/>
        <w:spacing w:after="0" w:line="295" w:lineRule="auto"/>
        <w:rPr>
          <w:sz w:val="20"/>
          <w:szCs w:val="20"/>
          <w:color w:val="auto"/>
        </w:rPr>
      </w:pPr>
      <w:r>
        <w:rPr>
          <w:rFonts w:ascii="Times New Roman" w:cs="Times New Roman" w:eastAsia="Times New Roman" w:hAnsi="Times New Roman"/>
          <w:sz w:val="18"/>
          <w:szCs w:val="18"/>
          <w:color w:val="auto"/>
        </w:rPr>
        <w:t>commercial marketing in the United States, such substance must be rescheduled, or the product itself must be scheduled, by the DEA to Schedule II, III, IV or 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264" w:lineRule="exact"/>
        <w:rPr>
          <w:sz w:val="20"/>
          <w:szCs w:val="20"/>
          <w:color w:val="auto"/>
        </w:rPr>
      </w:pPr>
    </w:p>
    <w:p>
      <w:pPr>
        <w:ind w:left="580" w:hanging="296"/>
        <w:spacing w:after="0" w:line="292" w:lineRule="auto"/>
        <w:tabs>
          <w:tab w:leader="none" w:pos="576"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w:t>
      </w:r>
    </w:p>
    <w:p>
      <w:pPr>
        <w:spacing w:after="0" w:line="46" w:lineRule="exact"/>
        <w:rPr>
          <w:rFonts w:ascii="Calibri" w:cs="Calibri" w:eastAsia="Calibri" w:hAnsi="Calibri"/>
          <w:sz w:val="18"/>
          <w:szCs w:val="18"/>
          <w:color w:val="auto"/>
        </w:rPr>
      </w:pPr>
    </w:p>
    <w:p>
      <w:pPr>
        <w:ind w:left="580" w:right="20"/>
        <w:spacing w:after="0" w:line="286"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regulations, including Good Clinical Practices, to establish the safety and efficacy of the prescription drug product candidate for each proposed indication;</w:t>
      </w: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48" w:lineRule="exact"/>
        <w:rPr>
          <w:rFonts w:ascii="Calibri" w:cs="Calibri" w:eastAsia="Calibri" w:hAnsi="Calibri"/>
          <w:sz w:val="18"/>
          <w:szCs w:val="18"/>
          <w:color w:val="auto"/>
        </w:rPr>
      </w:pP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w:t>
      </w:r>
    </w:p>
    <w:p>
      <w:pPr>
        <w:spacing w:after="0" w:line="46" w:lineRule="exact"/>
        <w:rPr>
          <w:rFonts w:ascii="Calibri" w:cs="Calibri" w:eastAsia="Calibri" w:hAnsi="Calibri"/>
          <w:sz w:val="18"/>
          <w:szCs w:val="18"/>
          <w:color w:val="auto"/>
        </w:rPr>
      </w:pPr>
    </w:p>
    <w:p>
      <w:pPr>
        <w:ind w:left="580" w:right="20"/>
        <w:spacing w:after="0" w:line="287"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assess compliance with cGMP requirements to assure that the facilities, methods and controls are adequate to preserve the drug’s identity, strength, quality, and purity; and</w:t>
      </w: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6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1291" w:right="319" w:bottom="1440" w:gutter="0" w:footer="0" w:header="0"/>
        </w:sectPr>
      </w:pPr>
    </w:p>
    <w:bookmarkStart w:id="69" w:name="page70"/>
    <w:bookmarkEnd w:id="69"/>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7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1303" w:right="319" w:bottom="1440" w:gutter="0" w:footer="0" w:header="0"/>
        </w:sectPr>
      </w:pPr>
    </w:p>
    <w:bookmarkStart w:id="70" w:name="page71"/>
    <w:bookmarkEnd w:id="70"/>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manufacturing, product seizures, injunctions, civil penalties or criminal prosecution. There is also a continuing, annual prescription drug product program user fee.</w:t>
      </w:r>
    </w:p>
    <w:p>
      <w:pPr>
        <w:spacing w:after="0" w:line="1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9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9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1303" w:right="319" w:bottom="1440" w:gutter="0" w:footer="0" w:header="0"/>
        </w:sectPr>
      </w:pPr>
    </w:p>
    <w:bookmarkStart w:id="71" w:name="page72"/>
    <w:bookmarkEnd w:id="71"/>
    <w:p>
      <w:pPr>
        <w:ind w:left="3"/>
        <w:spacing w:after="0"/>
        <w:rPr>
          <w:sz w:val="20"/>
          <w:szCs w:val="20"/>
          <w:color w:val="auto"/>
        </w:rPr>
      </w:pPr>
      <w:r>
        <w:rPr>
          <w:rFonts w:ascii="Times New Roman" w:cs="Times New Roman" w:eastAsia="Times New Roman" w:hAnsi="Times New Roman"/>
          <w:sz w:val="18"/>
          <w:szCs w:val="18"/>
          <w:color w:val="auto"/>
        </w:rPr>
        <w:t>made in the previous calendar year. There are a number of states that have various types of additional reporting requirements.</w:t>
      </w:r>
    </w:p>
    <w:p>
      <w:pPr>
        <w:spacing w:after="0" w:line="2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Controlled Substances</w:t>
      </w:r>
    </w:p>
    <w:p>
      <w:pPr>
        <w:spacing w:after="0" w:line="252"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70"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6"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94" w:lineRule="exact"/>
        <w:rPr>
          <w:sz w:val="20"/>
          <w:szCs w:val="20"/>
          <w:color w:val="auto"/>
        </w:rPr>
      </w:pPr>
    </w:p>
    <w:p>
      <w:pPr>
        <w:jc w:val="both"/>
        <w:ind w:left="3" w:right="20"/>
        <w:spacing w:after="0" w:line="301" w:lineRule="auto"/>
        <w:rPr>
          <w:sz w:val="20"/>
          <w:szCs w:val="20"/>
          <w:color w:val="auto"/>
        </w:rPr>
      </w:pPr>
      <w:r>
        <w:rPr>
          <w:rFonts w:ascii="Times New Roman" w:cs="Times New Roman" w:eastAsia="Times New Roman" w:hAnsi="Times New Roman"/>
          <w:sz w:val="17"/>
          <w:szCs w:val="17"/>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w:t>
      </w:r>
    </w:p>
    <w:p>
      <w:pPr>
        <w:spacing w:after="0" w:line="2" w:lineRule="exact"/>
        <w:rPr>
          <w:sz w:val="20"/>
          <w:szCs w:val="20"/>
          <w:color w:val="auto"/>
        </w:rPr>
      </w:pPr>
    </w:p>
    <w:p>
      <w:pPr>
        <w:jc w:val="both"/>
        <w:ind w:left="3" w:right="20" w:hanging="3"/>
        <w:spacing w:after="0" w:line="304" w:lineRule="auto"/>
        <w:tabs>
          <w:tab w:leader="none" w:pos="17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w:t>
      </w:r>
    </w:p>
    <w:p>
      <w:pPr>
        <w:jc w:val="both"/>
        <w:ind w:left="3" w:right="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w:t>
      </w:r>
    </w:p>
    <w:p>
      <w:pPr>
        <w:jc w:val="both"/>
        <w:ind w:left="3"/>
        <w:spacing w:after="0" w:line="29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3"/>
          </w:cols>
          <w:pgMar w:left="317" w:top="130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Schedule III, IV and V narcotic, and submit import or export declarations for Schedule III, IV and V non-narcotics.</w:t>
      </w:r>
    </w:p>
    <w:p>
      <w:pPr>
        <w:spacing w:after="0" w:line="26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9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Europe/Netherlands</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Regulation (EU) No 536/2014 on Clinical Trials on Medicinal Products for Human Use ( the “</w:t>
      </w:r>
      <w:r>
        <w:rPr>
          <w:rFonts w:ascii="Times New Roman" w:cs="Times New Roman" w:eastAsia="Times New Roman" w:hAnsi="Times New Roman"/>
          <w:sz w:val="18"/>
          <w:szCs w:val="18"/>
          <w:b w:val="1"/>
          <w:bCs w:val="1"/>
          <w:color w:val="auto"/>
        </w:rPr>
        <w:t>CTR</w:t>
      </w:r>
      <w:r>
        <w:rPr>
          <w:rFonts w:ascii="Times New Roman" w:cs="Times New Roman" w:eastAsia="Times New Roman" w:hAnsi="Times New Roman"/>
          <w:sz w:val="18"/>
          <w:szCs w:val="18"/>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8"/>
          <w:szCs w:val="18"/>
          <w:b w:val="1"/>
          <w:bCs w:val="1"/>
          <w:color w:val="auto"/>
        </w:rPr>
        <w:t>CTSI</w:t>
      </w:r>
      <w:r>
        <w:rPr>
          <w:rFonts w:ascii="Times New Roman" w:cs="Times New Roman" w:eastAsia="Times New Roman" w:hAnsi="Times New Roman"/>
          <w:sz w:val="18"/>
          <w:szCs w:val="18"/>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Final implementation of these new rules is expected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1303" w:right="319" w:bottom="1440" w:gutter="0" w:footer="0" w:header="0"/>
        </w:sectPr>
      </w:pPr>
    </w:p>
    <w:bookmarkStart w:id="73" w:name="page74"/>
    <w:bookmarkEnd w:id="73"/>
    <w:p>
      <w:pPr>
        <w:jc w:val="both"/>
        <w:spacing w:after="0" w:line="291" w:lineRule="auto"/>
        <w:rPr>
          <w:sz w:val="20"/>
          <w:szCs w:val="20"/>
          <w:color w:val="auto"/>
        </w:rPr>
      </w:pPr>
      <w:r>
        <w:rPr>
          <w:rFonts w:ascii="Times New Roman" w:cs="Times New Roman" w:eastAsia="Times New Roman" w:hAnsi="Times New Roman"/>
          <w:sz w:val="18"/>
          <w:szCs w:val="18"/>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8"/>
          <w:szCs w:val="18"/>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6.7) that should be read in conjunction with the quick guide and with the “Clinical Trials Information System (CTIS): online training modules” in order to gain a better understanding of the legislative changes that are effected by the CTR.</w:t>
      </w:r>
    </w:p>
    <w:p>
      <w:pPr>
        <w:spacing w:after="0" w:line="18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Investigational Medical Product Dossier (“</w:t>
      </w:r>
      <w:r>
        <w:rPr>
          <w:rFonts w:ascii="Times New Roman" w:cs="Times New Roman" w:eastAsia="Times New Roman" w:hAnsi="Times New Roman"/>
          <w:sz w:val="18"/>
          <w:szCs w:val="18"/>
          <w:b w:val="1"/>
          <w:bCs w:val="1"/>
          <w:color w:val="auto"/>
        </w:rPr>
        <w:t>IMPD</w:t>
      </w:r>
      <w:r>
        <w:rPr>
          <w:rFonts w:ascii="Times New Roman" w:cs="Times New Roman" w:eastAsia="Times New Roman" w:hAnsi="Times New Roman"/>
          <w:sz w:val="18"/>
          <w:szCs w:val="18"/>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8"/>
          <w:szCs w:val="18"/>
          <w:b w:val="1"/>
          <w:bCs w:val="1"/>
          <w:color w:val="auto"/>
        </w:rPr>
        <w:t>Clinical Trials Directive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8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8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130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Study, the Leiden University Medical Center, have all the required approvals to possess and handle DMT for the Phase 1 Study.</w:t>
      </w:r>
    </w:p>
    <w:p>
      <w:pPr>
        <w:spacing w:after="0" w:line="2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6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accordance with the Dutch Medicines Act (</w:t>
      </w:r>
      <w:r>
        <w:rPr>
          <w:rFonts w:ascii="Times New Roman" w:cs="Times New Roman" w:eastAsia="Times New Roman" w:hAnsi="Times New Roman"/>
          <w:sz w:val="18"/>
          <w:szCs w:val="18"/>
          <w:i w:val="1"/>
          <w:iCs w:val="1"/>
          <w:color w:val="auto"/>
        </w:rPr>
        <w:t>Geneesmiddelenwet</w:t>
      </w:r>
      <w:r>
        <w:rPr>
          <w:rFonts w:ascii="Times New Roman" w:cs="Times New Roman" w:eastAsia="Times New Roman" w:hAnsi="Times New Roman"/>
          <w:sz w:val="18"/>
          <w:szCs w:val="18"/>
          <w:color w:val="auto"/>
        </w:rPr>
        <w: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04" w:lineRule="exact"/>
        <w:rPr>
          <w:sz w:val="20"/>
          <w:szCs w:val="20"/>
          <w:color w:val="auto"/>
        </w:rPr>
      </w:pPr>
    </w:p>
    <w:p>
      <w:pPr>
        <w:jc w:val="both"/>
        <w:ind w:right="20"/>
        <w:spacing w:after="0" w:line="341" w:lineRule="auto"/>
        <w:rPr>
          <w:sz w:val="20"/>
          <w:szCs w:val="20"/>
          <w:color w:val="auto"/>
        </w:rPr>
      </w:pPr>
      <w:r>
        <w:rPr>
          <w:rFonts w:ascii="Times New Roman" w:cs="Times New Roman" w:eastAsia="Times New Roman" w:hAnsi="Times New Roman"/>
          <w:sz w:val="17"/>
          <w:szCs w:val="17"/>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0"/>
          </w:cols>
          <w:pgMar w:left="320" w:top="1303" w:right="319" w:bottom="1440" w:gutter="0" w:footer="0" w:header="0"/>
        </w:sectPr>
      </w:pPr>
    </w:p>
    <w:bookmarkStart w:id="75" w:name="page76"/>
    <w:bookmarkEnd w:id="75"/>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7"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Authorization Regulatory Process</w:t>
      </w:r>
    </w:p>
    <w:p>
      <w:pPr>
        <w:spacing w:after="0" w:line="25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1303" w:right="319" w:bottom="1440" w:gutter="0" w:footer="0" w:header="0"/>
        </w:sectPr>
      </w:pPr>
    </w:p>
    <w:bookmarkStart w:id="76" w:name="page77"/>
    <w:bookmarkEnd w:id="76"/>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Ireland</w:t>
      </w:r>
    </w:p>
    <w:p>
      <w:pPr>
        <w:spacing w:after="0" w:line="2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83" w:lineRule="exact"/>
        <w:rPr>
          <w:sz w:val="20"/>
          <w:szCs w:val="20"/>
          <w:color w:val="auto"/>
        </w:rPr>
      </w:pPr>
    </w:p>
    <w:p>
      <w:pPr>
        <w:jc w:val="both"/>
        <w:ind w:right="20"/>
        <w:spacing w:after="0" w:line="356" w:lineRule="auto"/>
        <w:rPr>
          <w:sz w:val="20"/>
          <w:szCs w:val="20"/>
          <w:color w:val="auto"/>
        </w:rPr>
      </w:pPr>
      <w:r>
        <w:rPr>
          <w:rFonts w:ascii="Times New Roman" w:cs="Times New Roman" w:eastAsia="Times New Roman" w:hAnsi="Times New Roman"/>
          <w:sz w:val="17"/>
          <w:szCs w:val="17"/>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1303" w:right="319" w:bottom="1440" w:gutter="0" w:footer="0" w:header="0"/>
        </w:sectPr>
      </w:pPr>
    </w:p>
    <w:bookmarkStart w:id="77" w:name="page78"/>
    <w:bookmarkEnd w:id="77"/>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Applicable Laws</w:t>
      </w:r>
    </w:p>
    <w:p>
      <w:pPr>
        <w:spacing w:after="0" w:line="21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1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70" w:lineRule="exact"/>
        <w:rPr>
          <w:sz w:val="20"/>
          <w:szCs w:val="20"/>
          <w:color w:val="auto"/>
        </w:rPr>
      </w:pPr>
    </w:p>
    <w:p>
      <w:pPr>
        <w:jc w:val="both"/>
        <w:ind w:right="20"/>
        <w:spacing w:after="0" w:line="341"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0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9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5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320" w:top="1303" w:right="319" w:bottom="1440" w:gutter="0" w:footer="0" w:header="0"/>
        </w:sectPr>
      </w:pPr>
    </w:p>
    <w:bookmarkStart w:id="78" w:name="page79"/>
    <w:bookmarkEnd w:id="78"/>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Cooperation Treaty</w:t>
      </w:r>
    </w:p>
    <w:p>
      <w:pPr>
        <w:spacing w:after="0" w:line="25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3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Quarterly Information</w:t>
      </w:r>
    </w:p>
    <w:p>
      <w:pPr>
        <w:spacing w:after="0" w:line="25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auto"/>
        </w:rPr>
        <w:t xml:space="preserve">The following table sets forth selected consolidated financial information for the periods indicated that are derived </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rom, and should be read in conjunction with, the Financial Statements and related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1303"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w:t>
            </w: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3"/>
        </w:trPr>
        <w:tc>
          <w:tcPr>
            <w:tcW w:w="1840" w:type="dxa"/>
            <w:vAlign w:val="bottom"/>
          </w:tcPr>
          <w:p>
            <w:pPr>
              <w:ind w:left="60"/>
              <w:spacing w:after="0" w:line="133" w:lineRule="exact"/>
              <w:rPr>
                <w:sz w:val="20"/>
                <w:szCs w:val="20"/>
                <w:color w:val="auto"/>
              </w:rPr>
            </w:pPr>
            <w:r>
              <w:rPr>
                <w:rFonts w:ascii="Times New Roman" w:cs="Times New Roman" w:eastAsia="Times New Roman" w:hAnsi="Times New Roman"/>
                <w:sz w:val="14"/>
                <w:szCs w:val="14"/>
                <w:i w:val="1"/>
                <w:iCs w:val="1"/>
                <w:color w:val="auto"/>
              </w:rPr>
              <w:t>thousands, except per share</w:t>
            </w:r>
          </w:p>
        </w:tc>
        <w:tc>
          <w:tcPr>
            <w:tcW w:w="1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and share figures)</w:t>
            </w: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2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tc>
        <w:tc>
          <w:tcPr>
            <w:tcW w:w="12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40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 2023 December 31, 2022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180" w:type="dxa"/>
            <w:vAlign w:val="bottom"/>
          </w:tcPr>
          <w:p>
            <w:pPr>
              <w:jc w:val="right"/>
              <w:ind w:right="94"/>
              <w:spacing w:after="0"/>
              <w:rPr>
                <w:sz w:val="20"/>
                <w:szCs w:val="20"/>
                <w:color w:val="auto"/>
              </w:rPr>
            </w:pPr>
            <w:r>
              <w:rPr>
                <w:rFonts w:ascii="Arial" w:cs="Arial" w:eastAsia="Arial" w:hAnsi="Arial"/>
                <w:sz w:val="13"/>
                <w:szCs w:val="13"/>
                <w:b w:val="1"/>
                <w:bCs w:val="1"/>
                <w:color w:val="auto"/>
              </w:rPr>
              <w:t>20,317</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25,195</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27,024</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13,910</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12,707</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13,703</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12,093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12,327</w:t>
            </w:r>
          </w:p>
        </w:tc>
        <w:tc>
          <w:tcPr>
            <w:tcW w:w="0" w:type="dxa"/>
            <w:vAlign w:val="bottom"/>
          </w:tcPr>
          <w:p>
            <w:pPr>
              <w:spacing w:after="0"/>
              <w:rPr>
                <w:sz w:val="1"/>
                <w:szCs w:val="1"/>
                <w:color w:val="auto"/>
              </w:rPr>
            </w:pPr>
          </w:p>
        </w:tc>
      </w:tr>
      <w:tr>
        <w:trPr>
          <w:trHeight w:val="188"/>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180" w:type="dxa"/>
            <w:vAlign w:val="bottom"/>
          </w:tcPr>
          <w:p>
            <w:pPr>
              <w:jc w:val="right"/>
              <w:ind w:right="74"/>
              <w:spacing w:after="0"/>
              <w:rPr>
                <w:sz w:val="20"/>
                <w:szCs w:val="20"/>
                <w:color w:val="auto"/>
              </w:rPr>
            </w:pPr>
            <w:r>
              <w:rPr>
                <w:rFonts w:ascii="Arial" w:cs="Arial" w:eastAsia="Arial" w:hAnsi="Arial"/>
                <w:sz w:val="13"/>
                <w:szCs w:val="13"/>
                <w:b w:val="1"/>
                <w:bCs w:val="1"/>
                <w:color w:val="auto"/>
              </w:rPr>
              <w:t>(14,824)</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(21,346)</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(30,330)</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(11,890)</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(14,514)</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(13,720)</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(10,742)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(9,973)</w:t>
            </w:r>
          </w:p>
        </w:tc>
        <w:tc>
          <w:tcPr>
            <w:tcW w:w="0" w:type="dxa"/>
            <w:vAlign w:val="bottom"/>
          </w:tcPr>
          <w:p>
            <w:pPr>
              <w:spacing w:after="0"/>
              <w:rPr>
                <w:sz w:val="1"/>
                <w:szCs w:val="1"/>
                <w:color w:val="auto"/>
              </w:rPr>
            </w:pPr>
          </w:p>
        </w:tc>
      </w:tr>
      <w:tr>
        <w:trPr>
          <w:trHeight w:val="375"/>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180" w:type="dxa"/>
            <w:vAlign w:val="bottom"/>
          </w:tcPr>
          <w:p>
            <w:pPr>
              <w:jc w:val="right"/>
              <w:ind w:right="94"/>
              <w:spacing w:after="0"/>
              <w:rPr>
                <w:sz w:val="20"/>
                <w:szCs w:val="20"/>
                <w:color w:val="auto"/>
              </w:rPr>
            </w:pPr>
            <w:r>
              <w:rPr>
                <w:rFonts w:ascii="Arial" w:cs="Arial" w:eastAsia="Arial" w:hAnsi="Arial"/>
                <w:sz w:val="13"/>
                <w:szCs w:val="13"/>
                <w:b w:val="1"/>
                <w:bCs w:val="1"/>
                <w:color w:val="auto"/>
              </w:rPr>
              <w:t>760,053,342</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457,727,760</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333,679,544</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234,584,277</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206,157,780</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196,144,381</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188,887,344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180,837,176</w:t>
            </w:r>
          </w:p>
        </w:tc>
        <w:tc>
          <w:tcPr>
            <w:tcW w:w="0" w:type="dxa"/>
            <w:vAlign w:val="bottom"/>
          </w:tcPr>
          <w:p>
            <w:pPr>
              <w:spacing w:after="0"/>
              <w:rPr>
                <w:sz w:val="1"/>
                <w:szCs w:val="1"/>
                <w:color w:val="auto"/>
              </w:rPr>
            </w:pPr>
          </w:p>
        </w:tc>
      </w:tr>
      <w:tr>
        <w:trPr>
          <w:trHeight w:val="188"/>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180" w:type="dxa"/>
            <w:vAlign w:val="bottom"/>
          </w:tcPr>
          <w:p>
            <w:pPr>
              <w:jc w:val="right"/>
              <w:ind w:right="74"/>
              <w:spacing w:after="0"/>
              <w:rPr>
                <w:sz w:val="20"/>
                <w:szCs w:val="20"/>
                <w:color w:val="auto"/>
              </w:rPr>
            </w:pPr>
            <w:r>
              <w:rPr>
                <w:rFonts w:ascii="Arial" w:cs="Arial" w:eastAsia="Arial" w:hAnsi="Arial"/>
                <w:sz w:val="13"/>
                <w:szCs w:val="13"/>
                <w:b w:val="1"/>
                <w:bCs w:val="1"/>
                <w:color w:val="auto"/>
              </w:rPr>
              <w:t>(0.02)</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(0.05)</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(0.09)</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(0.05)</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(0.07)</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(0.07)</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375"/>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180" w:type="dxa"/>
            <w:vAlign w:val="bottom"/>
          </w:tcPr>
          <w:p>
            <w:pPr>
              <w:jc w:val="right"/>
              <w:ind w:right="94"/>
              <w:spacing w:after="0"/>
              <w:rPr>
                <w:sz w:val="20"/>
                <w:szCs w:val="20"/>
                <w:color w:val="auto"/>
              </w:rPr>
            </w:pPr>
            <w:r>
              <w:rPr>
                <w:rFonts w:ascii="Arial" w:cs="Arial" w:eastAsia="Arial" w:hAnsi="Arial"/>
                <w:sz w:val="13"/>
                <w:szCs w:val="13"/>
                <w:b w:val="1"/>
                <w:bCs w:val="1"/>
                <w:color w:val="auto"/>
              </w:rPr>
              <w:t>760,053,342</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457,727,760</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333,679,544</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234,584,277</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206,157,780</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196,144,381</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188,887,344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180,837,176</w:t>
            </w:r>
          </w:p>
        </w:tc>
        <w:tc>
          <w:tcPr>
            <w:tcW w:w="0" w:type="dxa"/>
            <w:vAlign w:val="bottom"/>
          </w:tcPr>
          <w:p>
            <w:pPr>
              <w:spacing w:after="0"/>
              <w:rPr>
                <w:sz w:val="1"/>
                <w:szCs w:val="1"/>
                <w:color w:val="auto"/>
              </w:rPr>
            </w:pPr>
          </w:p>
        </w:tc>
      </w:tr>
      <w:tr>
        <w:trPr>
          <w:trHeight w:val="188"/>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180" w:type="dxa"/>
            <w:vAlign w:val="bottom"/>
          </w:tcPr>
          <w:p>
            <w:pPr>
              <w:jc w:val="right"/>
              <w:ind w:right="74"/>
              <w:spacing w:after="0"/>
              <w:rPr>
                <w:sz w:val="20"/>
                <w:szCs w:val="20"/>
                <w:color w:val="auto"/>
              </w:rPr>
            </w:pPr>
            <w:r>
              <w:rPr>
                <w:rFonts w:ascii="Arial" w:cs="Arial" w:eastAsia="Arial" w:hAnsi="Arial"/>
                <w:sz w:val="13"/>
                <w:szCs w:val="13"/>
                <w:b w:val="1"/>
                <w:bCs w:val="1"/>
                <w:color w:val="auto"/>
              </w:rPr>
              <w:t>(0.02)</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(0.05)</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(0.09)</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(0.05)</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(0.07)</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(0.07)</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416"/>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180" w:type="dxa"/>
            <w:vAlign w:val="bottom"/>
          </w:tcPr>
          <w:p>
            <w:pPr>
              <w:jc w:val="right"/>
              <w:ind w:right="94"/>
              <w:spacing w:after="0"/>
              <w:rPr>
                <w:sz w:val="20"/>
                <w:szCs w:val="20"/>
                <w:color w:val="auto"/>
              </w:rPr>
            </w:pPr>
            <w:r>
              <w:rPr>
                <w:rFonts w:ascii="Arial" w:cs="Arial" w:eastAsia="Arial" w:hAnsi="Arial"/>
                <w:sz w:val="13"/>
                <w:szCs w:val="13"/>
                <w:b w:val="1"/>
                <w:bCs w:val="1"/>
                <w:color w:val="auto"/>
              </w:rPr>
              <w:t>183,275</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208,992</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38,999</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18,118</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9,349</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16,633</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22,511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29,937</w:t>
            </w:r>
          </w:p>
        </w:tc>
        <w:tc>
          <w:tcPr>
            <w:tcW w:w="0" w:type="dxa"/>
            <w:vAlign w:val="bottom"/>
          </w:tcPr>
          <w:p>
            <w:pPr>
              <w:spacing w:after="0"/>
              <w:rPr>
                <w:sz w:val="1"/>
                <w:szCs w:val="1"/>
                <w:color w:val="auto"/>
              </w:rPr>
            </w:pPr>
          </w:p>
        </w:tc>
      </w:tr>
      <w:tr>
        <w:trPr>
          <w:trHeight w:val="181"/>
        </w:trPr>
        <w:tc>
          <w:tcPr>
            <w:tcW w:w="1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180" w:type="dxa"/>
            <w:vAlign w:val="bottom"/>
          </w:tcPr>
          <w:p>
            <w:pPr>
              <w:jc w:val="right"/>
              <w:ind w:right="94"/>
              <w:spacing w:after="0"/>
              <w:rPr>
                <w:sz w:val="20"/>
                <w:szCs w:val="20"/>
                <w:color w:val="auto"/>
              </w:rPr>
            </w:pPr>
            <w:r>
              <w:rPr>
                <w:rFonts w:ascii="Arial" w:cs="Arial" w:eastAsia="Arial" w:hAnsi="Arial"/>
                <w:sz w:val="13"/>
                <w:szCs w:val="13"/>
                <w:b w:val="1"/>
                <w:bCs w:val="1"/>
                <w:color w:val="auto"/>
              </w:rPr>
              <w:t>284,647</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302,023</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129,724</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57,627</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45,691</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53,897</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60,694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69,113</w:t>
            </w:r>
          </w:p>
        </w:tc>
        <w:tc>
          <w:tcPr>
            <w:tcW w:w="0" w:type="dxa"/>
            <w:vAlign w:val="bottom"/>
          </w:tcPr>
          <w:p>
            <w:pPr>
              <w:spacing w:after="0"/>
              <w:rPr>
                <w:sz w:val="1"/>
                <w:szCs w:val="1"/>
                <w:color w:val="auto"/>
              </w:rPr>
            </w:pPr>
          </w:p>
        </w:tc>
      </w:tr>
      <w:tr>
        <w:trPr>
          <w:trHeight w:val="140"/>
        </w:trPr>
        <w:tc>
          <w:tcPr>
            <w:tcW w:w="18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Total Non-Current</w:t>
            </w: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vMerge w:val="restart"/>
          </w:tcPr>
          <w:p>
            <w:pPr>
              <w:jc w:val="right"/>
              <w:ind w:right="171"/>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91"/>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tcPr>
          <w:p>
            <w:pPr>
              <w:jc w:val="right"/>
              <w:ind w:right="191"/>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1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 ($)</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42</w:t>
            </w:r>
          </w:p>
        </w:tc>
        <w:tc>
          <w:tcPr>
            <w:tcW w:w="12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Total assets decreased by $17,376 from April 1, 2024 to June 30, 2024 mainly as a result of decrease of cash and cash equivalents related to payment of accounts payable and accrued liabilities, payment of operating expenses and increase of prepaid expenses for clinical research programs. As at June 30, 2024, the Company had prepaid expenses related to future clinical work of $10,856 (US$8,653).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29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6740" w:type="dxa"/>
            <w:vAlign w:val="bottom"/>
            <w:tcBorders>
              <w:top w:val="single" w:sz="8" w:color="auto"/>
              <w:left w:val="single" w:sz="8" w:color="auto"/>
              <w:bottom w:val="single" w:sz="8" w:color="auto"/>
            </w:tcBorders>
          </w:tcPr>
          <w:p>
            <w:pPr>
              <w:spacing w:after="0"/>
              <w:rPr>
                <w:sz w:val="17"/>
                <w:szCs w:val="17"/>
                <w:color w:val="auto"/>
              </w:rPr>
            </w:pPr>
          </w:p>
        </w:tc>
        <w:tc>
          <w:tcPr>
            <w:tcW w:w="320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1080" w:type="dxa"/>
            <w:vAlign w:val="bottom"/>
            <w:tcBorders>
              <w:top w:val="single" w:sz="8" w:color="auto"/>
              <w:bottom w:val="single" w:sz="8" w:color="auto"/>
              <w:right w:val="single" w:sz="8" w:color="auto"/>
            </w:tcBorders>
          </w:tcPr>
          <w:p>
            <w:pPr>
              <w:spacing w:after="0"/>
              <w:rPr>
                <w:sz w:val="17"/>
                <w:szCs w:val="17"/>
                <w:color w:val="auto"/>
              </w:rPr>
            </w:pPr>
          </w:p>
        </w:tc>
      </w:tr>
      <w:tr>
        <w:trPr>
          <w:trHeight w:val="186"/>
        </w:trPr>
        <w:tc>
          <w:tcPr>
            <w:tcW w:w="67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tcBorders>
          </w:tcPr>
          <w:p>
            <w:pPr>
              <w:jc w:val="right"/>
              <w:ind w:right="112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r>
      <w:tr>
        <w:trPr>
          <w:trHeight w:val="255"/>
        </w:trPr>
        <w:tc>
          <w:tcPr>
            <w:tcW w:w="67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320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r>
      <w:tr>
        <w:trPr>
          <w:trHeight w:val="254"/>
        </w:trPr>
        <w:tc>
          <w:tcPr>
            <w:tcW w:w="67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Research</w:t>
            </w:r>
          </w:p>
        </w:tc>
        <w:tc>
          <w:tcPr>
            <w:tcW w:w="3200" w:type="dxa"/>
            <w:vAlign w:val="bottom"/>
          </w:tcPr>
          <w:p>
            <w:pPr>
              <w:jc w:val="right"/>
              <w:ind w:right="1267"/>
              <w:spacing w:after="0"/>
              <w:rPr>
                <w:sz w:val="20"/>
                <w:szCs w:val="20"/>
                <w:color w:val="auto"/>
              </w:rPr>
            </w:pPr>
            <w:r>
              <w:rPr>
                <w:rFonts w:ascii="Times New Roman" w:cs="Times New Roman" w:eastAsia="Times New Roman" w:hAnsi="Times New Roman"/>
                <w:sz w:val="15"/>
                <w:szCs w:val="15"/>
                <w:b w:val="1"/>
                <w:bCs w:val="1"/>
                <w:color w:val="auto"/>
              </w:rPr>
              <w:t>8,041</w:t>
            </w:r>
          </w:p>
        </w:tc>
        <w:tc>
          <w:tcPr>
            <w:tcW w:w="10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6,384</w:t>
            </w:r>
          </w:p>
        </w:tc>
      </w:tr>
      <w:tr>
        <w:trPr>
          <w:trHeight w:val="326"/>
        </w:trPr>
        <w:tc>
          <w:tcPr>
            <w:tcW w:w="67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General and administrative costs</w:t>
            </w:r>
          </w:p>
        </w:tc>
        <w:tc>
          <w:tcPr>
            <w:tcW w:w="3200" w:type="dxa"/>
            <w:vAlign w:val="bottom"/>
          </w:tcPr>
          <w:p>
            <w:pPr>
              <w:jc w:val="right"/>
              <w:ind w:right="1267"/>
              <w:spacing w:after="0"/>
              <w:rPr>
                <w:sz w:val="20"/>
                <w:szCs w:val="20"/>
                <w:color w:val="auto"/>
              </w:rPr>
            </w:pPr>
            <w:r>
              <w:rPr>
                <w:rFonts w:ascii="Times New Roman" w:cs="Times New Roman" w:eastAsia="Times New Roman" w:hAnsi="Times New Roman"/>
                <w:sz w:val="15"/>
                <w:szCs w:val="15"/>
                <w:b w:val="1"/>
                <w:bCs w:val="1"/>
                <w:color w:val="auto"/>
              </w:rPr>
              <w:t>8,303</w:t>
            </w:r>
          </w:p>
        </w:tc>
        <w:tc>
          <w:tcPr>
            <w:tcW w:w="10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5,048</w:t>
            </w:r>
          </w:p>
        </w:tc>
      </w:tr>
      <w:tr>
        <w:trPr>
          <w:trHeight w:val="326"/>
        </w:trPr>
        <w:tc>
          <w:tcPr>
            <w:tcW w:w="67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Share-based compensation</w:t>
            </w:r>
          </w:p>
        </w:tc>
        <w:tc>
          <w:tcPr>
            <w:tcW w:w="3200" w:type="dxa"/>
            <w:vAlign w:val="bottom"/>
          </w:tcPr>
          <w:p>
            <w:pPr>
              <w:jc w:val="right"/>
              <w:ind w:right="1267"/>
              <w:spacing w:after="0"/>
              <w:rPr>
                <w:sz w:val="20"/>
                <w:szCs w:val="20"/>
                <w:color w:val="auto"/>
              </w:rPr>
            </w:pPr>
            <w:r>
              <w:rPr>
                <w:rFonts w:ascii="Times New Roman" w:cs="Times New Roman" w:eastAsia="Times New Roman" w:hAnsi="Times New Roman"/>
                <w:sz w:val="15"/>
                <w:szCs w:val="15"/>
                <w:b w:val="1"/>
                <w:bCs w:val="1"/>
                <w:color w:val="auto"/>
              </w:rPr>
              <w:t>3,973</w:t>
            </w:r>
          </w:p>
        </w:tc>
        <w:tc>
          <w:tcPr>
            <w:tcW w:w="10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1,275</w:t>
            </w:r>
          </w:p>
        </w:tc>
      </w:tr>
      <w:tr>
        <w:trPr>
          <w:trHeight w:val="162"/>
        </w:trPr>
        <w:tc>
          <w:tcPr>
            <w:tcW w:w="6740" w:type="dxa"/>
            <w:vAlign w:val="bottom"/>
            <w:tcBorders>
              <w:left w:val="single" w:sz="8" w:color="auto"/>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r>
      <w:tr>
        <w:trPr>
          <w:trHeight w:val="184"/>
        </w:trPr>
        <w:tc>
          <w:tcPr>
            <w:tcW w:w="67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3200" w:type="dxa"/>
            <w:vAlign w:val="bottom"/>
            <w:tcBorders>
              <w:bottom w:val="single" w:sz="8" w:color="auto"/>
            </w:tcBorders>
          </w:tcPr>
          <w:p>
            <w:pPr>
              <w:jc w:val="right"/>
              <w:ind w:right="1267"/>
              <w:spacing w:after="0"/>
              <w:rPr>
                <w:sz w:val="20"/>
                <w:szCs w:val="20"/>
                <w:color w:val="auto"/>
              </w:rPr>
            </w:pPr>
            <w:r>
              <w:rPr>
                <w:rFonts w:ascii="Times New Roman" w:cs="Times New Roman" w:eastAsia="Times New Roman" w:hAnsi="Times New Roman"/>
                <w:sz w:val="15"/>
                <w:szCs w:val="15"/>
                <w:b w:val="1"/>
                <w:bCs w:val="1"/>
                <w:color w:val="auto"/>
              </w:rPr>
              <w:t>20,317</w:t>
            </w:r>
          </w:p>
        </w:tc>
        <w:tc>
          <w:tcPr>
            <w:tcW w:w="1080" w:type="dxa"/>
            <w:vAlign w:val="bottom"/>
            <w:tcBorders>
              <w:bottom w:val="single" w:sz="8" w:color="auto"/>
              <w:right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12,707</w:t>
            </w:r>
          </w:p>
        </w:tc>
      </w:tr>
      <w:tr>
        <w:trPr>
          <w:trHeight w:val="255"/>
        </w:trPr>
        <w:tc>
          <w:tcPr>
            <w:tcW w:w="67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320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r>
      <w:tr>
        <w:trPr>
          <w:trHeight w:val="254"/>
        </w:trPr>
        <w:tc>
          <w:tcPr>
            <w:tcW w:w="67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3200" w:type="dxa"/>
            <w:vAlign w:val="bottom"/>
          </w:tcPr>
          <w:p>
            <w:pPr>
              <w:jc w:val="right"/>
              <w:ind w:right="1267"/>
              <w:spacing w:after="0"/>
              <w:rPr>
                <w:sz w:val="20"/>
                <w:szCs w:val="20"/>
                <w:color w:val="auto"/>
              </w:rPr>
            </w:pPr>
            <w:r>
              <w:rPr>
                <w:rFonts w:ascii="Times New Roman" w:cs="Times New Roman" w:eastAsia="Times New Roman" w:hAnsi="Times New Roman"/>
                <w:sz w:val="15"/>
                <w:szCs w:val="15"/>
                <w:b w:val="1"/>
                <w:bCs w:val="1"/>
                <w:color w:val="auto"/>
              </w:rPr>
              <w:t>2,141</w:t>
            </w:r>
          </w:p>
        </w:tc>
        <w:tc>
          <w:tcPr>
            <w:tcW w:w="10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84</w:t>
            </w:r>
          </w:p>
        </w:tc>
      </w:tr>
      <w:tr>
        <w:trPr>
          <w:trHeight w:val="338"/>
        </w:trPr>
        <w:tc>
          <w:tcPr>
            <w:tcW w:w="67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gain (loss)</w:t>
            </w:r>
          </w:p>
        </w:tc>
        <w:tc>
          <w:tcPr>
            <w:tcW w:w="3200" w:type="dxa"/>
            <w:vAlign w:val="bottom"/>
          </w:tcPr>
          <w:p>
            <w:pPr>
              <w:jc w:val="right"/>
              <w:ind w:right="1267"/>
              <w:spacing w:after="0"/>
              <w:rPr>
                <w:sz w:val="20"/>
                <w:szCs w:val="20"/>
                <w:color w:val="auto"/>
              </w:rPr>
            </w:pPr>
            <w:r>
              <w:rPr>
                <w:rFonts w:ascii="Times New Roman" w:cs="Times New Roman" w:eastAsia="Times New Roman" w:hAnsi="Times New Roman"/>
                <w:sz w:val="15"/>
                <w:szCs w:val="15"/>
                <w:color w:val="auto"/>
              </w:rPr>
              <w:t>3,352</w:t>
            </w:r>
          </w:p>
        </w:tc>
        <w:tc>
          <w:tcPr>
            <w:tcW w:w="10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(1,891)</w:t>
            </w:r>
          </w:p>
        </w:tc>
      </w:tr>
      <w:tr>
        <w:trPr>
          <w:trHeight w:val="149"/>
        </w:trPr>
        <w:tc>
          <w:tcPr>
            <w:tcW w:w="6740" w:type="dxa"/>
            <w:vAlign w:val="bottom"/>
            <w:tcBorders>
              <w:left w:val="single" w:sz="8" w:color="auto"/>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84"/>
        </w:trPr>
        <w:tc>
          <w:tcPr>
            <w:tcW w:w="67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OTHER INCOME (EXPENSES)</w:t>
            </w:r>
          </w:p>
        </w:tc>
        <w:tc>
          <w:tcPr>
            <w:tcW w:w="3200" w:type="dxa"/>
            <w:vAlign w:val="bottom"/>
            <w:tcBorders>
              <w:bottom w:val="single" w:sz="8" w:color="auto"/>
            </w:tcBorders>
          </w:tcPr>
          <w:p>
            <w:pPr>
              <w:jc w:val="right"/>
              <w:ind w:right="1267"/>
              <w:spacing w:after="0"/>
              <w:rPr>
                <w:sz w:val="20"/>
                <w:szCs w:val="20"/>
                <w:color w:val="auto"/>
              </w:rPr>
            </w:pPr>
            <w:r>
              <w:rPr>
                <w:rFonts w:ascii="Times New Roman" w:cs="Times New Roman" w:eastAsia="Times New Roman" w:hAnsi="Times New Roman"/>
                <w:sz w:val="15"/>
                <w:szCs w:val="15"/>
                <w:b w:val="1"/>
                <w:bCs w:val="1"/>
                <w:color w:val="auto"/>
              </w:rPr>
              <w:t>5,493</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(1,807)</w:t>
            </w:r>
          </w:p>
        </w:tc>
      </w:tr>
      <w:tr>
        <w:trPr>
          <w:trHeight w:val="126"/>
        </w:trPr>
        <w:tc>
          <w:tcPr>
            <w:tcW w:w="6740" w:type="dxa"/>
            <w:vAlign w:val="bottom"/>
            <w:tcBorders>
              <w:left w:val="single" w:sz="8" w:color="auto"/>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r>
      <w:tr>
        <w:trPr>
          <w:trHeight w:val="184"/>
        </w:trPr>
        <w:tc>
          <w:tcPr>
            <w:tcW w:w="6740" w:type="dxa"/>
            <w:vAlign w:val="bottom"/>
            <w:tcBorders>
              <w:left w:val="single" w:sz="8" w:color="auto"/>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PERIOD</w:t>
            </w:r>
          </w:p>
        </w:tc>
        <w:tc>
          <w:tcPr>
            <w:tcW w:w="3200" w:type="dxa"/>
            <w:vAlign w:val="bottom"/>
            <w:tcBorders>
              <w:bottom w:val="single" w:sz="8" w:color="auto"/>
            </w:tcBorders>
            <w:shd w:val="clear" w:color="auto" w:fill="DBDBDB"/>
          </w:tcPr>
          <w:p>
            <w:pPr>
              <w:jc w:val="right"/>
              <w:ind w:right="1127"/>
              <w:spacing w:after="0"/>
              <w:rPr>
                <w:sz w:val="20"/>
                <w:szCs w:val="20"/>
                <w:color w:val="auto"/>
              </w:rPr>
            </w:pPr>
            <w:r>
              <w:rPr>
                <w:rFonts w:ascii="Times New Roman" w:cs="Times New Roman" w:eastAsia="Times New Roman" w:hAnsi="Times New Roman"/>
                <w:sz w:val="15"/>
                <w:szCs w:val="15"/>
                <w:b w:val="1"/>
                <w:bCs w:val="1"/>
                <w:color w:val="auto"/>
              </w:rPr>
              <w:t>(14,824)</w:t>
            </w:r>
          </w:p>
        </w:tc>
        <w:tc>
          <w:tcPr>
            <w:tcW w:w="10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(14,514)</w:t>
            </w:r>
          </w:p>
        </w:tc>
      </w:tr>
      <w:tr>
        <w:trPr>
          <w:trHeight w:val="475"/>
        </w:trPr>
        <w:tc>
          <w:tcPr>
            <w:tcW w:w="67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Basic loss per share for the period attributable to common shareholders</w:t>
            </w:r>
          </w:p>
        </w:tc>
        <w:tc>
          <w:tcPr>
            <w:tcW w:w="3200" w:type="dxa"/>
            <w:vAlign w:val="bottom"/>
            <w:tcBorders>
              <w:bottom w:val="single" w:sz="8" w:color="auto"/>
            </w:tcBorders>
          </w:tcPr>
          <w:p>
            <w:pPr>
              <w:jc w:val="right"/>
              <w:ind w:right="1127"/>
              <w:spacing w:after="0"/>
              <w:rPr>
                <w:sz w:val="20"/>
                <w:szCs w:val="20"/>
                <w:color w:val="auto"/>
              </w:rPr>
            </w:pPr>
            <w:r>
              <w:rPr>
                <w:rFonts w:ascii="Times New Roman" w:cs="Times New Roman" w:eastAsia="Times New Roman" w:hAnsi="Times New Roman"/>
                <w:sz w:val="15"/>
                <w:szCs w:val="15"/>
                <w:b w:val="1"/>
                <w:bCs w:val="1"/>
                <w:color w:val="auto"/>
              </w:rPr>
              <w:t>(0.02)</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(0.07)</w:t>
            </w:r>
          </w:p>
        </w:tc>
      </w:tr>
      <w:tr>
        <w:trPr>
          <w:trHeight w:val="187"/>
        </w:trPr>
        <w:tc>
          <w:tcPr>
            <w:tcW w:w="67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 - basic</w:t>
            </w:r>
          </w:p>
        </w:tc>
        <w:tc>
          <w:tcPr>
            <w:tcW w:w="3200" w:type="dxa"/>
            <w:vAlign w:val="bottom"/>
            <w:tcBorders>
              <w:bottom w:val="single" w:sz="8" w:color="auto"/>
            </w:tcBorders>
          </w:tcPr>
          <w:p>
            <w:pPr>
              <w:jc w:val="right"/>
              <w:ind w:right="1267"/>
              <w:spacing w:after="0"/>
              <w:rPr>
                <w:sz w:val="20"/>
                <w:szCs w:val="20"/>
                <w:color w:val="auto"/>
              </w:rPr>
            </w:pPr>
            <w:r>
              <w:rPr>
                <w:rFonts w:ascii="Times New Roman" w:cs="Times New Roman" w:eastAsia="Times New Roman" w:hAnsi="Times New Roman"/>
                <w:sz w:val="15"/>
                <w:szCs w:val="15"/>
                <w:b w:val="1"/>
                <w:bCs w:val="1"/>
                <w:color w:val="auto"/>
              </w:rPr>
              <w:t>760,053,342</w:t>
            </w:r>
          </w:p>
        </w:tc>
        <w:tc>
          <w:tcPr>
            <w:tcW w:w="1080" w:type="dxa"/>
            <w:vAlign w:val="bottom"/>
            <w:tcBorders>
              <w:bottom w:val="single" w:sz="8" w:color="auto"/>
              <w:right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206,157,780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2024 Cybin incurred a net loss of $14,824, compared to a net loss of $14,514 during the same period in prior year.</w:t>
      </w:r>
    </w:p>
    <w:p>
      <w:pPr>
        <w:spacing w:after="0" w:line="2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During the three month period ended June 30, 2024, the Company was focused on progressing its various research programs, with a focus on its Deuterated Psilocybin Analog Program (CYB003) and Deuterated Dimethyltryptamine Program (CYB004), and raising awareness of the Company and its industry. During the period, the Company launched EMBARK OA, a free online foundational training course for psychedelic facilitation; completed dosing in its last patient in Part B of the Phase 1 CYB004-E trial, and initiated first-in-human dosing of CYB004 in Part C of the Phase 1 CYB004-E trial.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LPC Agreement</w:t>
      </w:r>
    </w:p>
    <w:p>
      <w:pPr>
        <w:spacing w:after="0" w:line="25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On May 30, 2023, the Company entered into a Common Share purchase agreement (the “</w:t>
      </w:r>
      <w:r>
        <w:rPr>
          <w:rFonts w:ascii="Times New Roman" w:cs="Times New Roman" w:eastAsia="Times New Roman" w:hAnsi="Times New Roman"/>
          <w:sz w:val="18"/>
          <w:szCs w:val="18"/>
          <w:b w:val="1"/>
          <w:bCs w:val="1"/>
          <w:color w:val="auto"/>
        </w:rPr>
        <w:t>LPC Purchase Agreement</w:t>
      </w:r>
      <w:r>
        <w:rPr>
          <w:rFonts w:ascii="Times New Roman" w:cs="Times New Roman" w:eastAsia="Times New Roman" w:hAnsi="Times New Roman"/>
          <w:sz w:val="18"/>
          <w:szCs w:val="18"/>
          <w:color w:val="auto"/>
        </w:rPr>
        <w:t>”) with Lincoln Park Capital Fund, LLC (“</w:t>
      </w:r>
      <w:r>
        <w:rPr>
          <w:rFonts w:ascii="Times New Roman" w:cs="Times New Roman" w:eastAsia="Times New Roman" w:hAnsi="Times New Roman"/>
          <w:sz w:val="18"/>
          <w:szCs w:val="18"/>
          <w:b w:val="1"/>
          <w:bCs w:val="1"/>
          <w:color w:val="auto"/>
        </w:rPr>
        <w:t>LPC</w:t>
      </w:r>
      <w:r>
        <w:rPr>
          <w:rFonts w:ascii="Times New Roman" w:cs="Times New Roman" w:eastAsia="Times New Roman" w:hAnsi="Times New Roman"/>
          <w:sz w:val="18"/>
          <w:szCs w:val="18"/>
          <w:color w:val="auto"/>
        </w:rPr>
        <w:t>”).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2,538,844 Common Shares to LPC as a commitment fee on May 30, 2023. The LPC Purchase Agreement provides that Cybin may not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1299" w:right="319" w:bottom="1440" w:gutter="0" w:footer="0" w:header="0"/>
        </w:sectPr>
      </w:pPr>
    </w:p>
    <w:bookmarkStart w:id="81" w:name="page82"/>
    <w:bookmarkEnd w:id="81"/>
    <w:p>
      <w:pPr>
        <w:jc w:val="both"/>
        <w:ind w:left="3"/>
        <w:spacing w:after="0" w:line="294" w:lineRule="auto"/>
        <w:rPr>
          <w:sz w:val="20"/>
          <w:szCs w:val="20"/>
          <w:color w:val="auto"/>
        </w:rPr>
      </w:pPr>
      <w:r>
        <w:rPr>
          <w:rFonts w:ascii="Times New Roman" w:cs="Times New Roman" w:eastAsia="Times New Roman" w:hAnsi="Times New Roman"/>
          <w:sz w:val="18"/>
          <w:szCs w:val="18"/>
          <w:color w:val="auto"/>
        </w:rPr>
        <w:t>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the Company announced that it had suspended all sales under the LPC Purchase Agreement in connection with the August 2023 Offering.</w:t>
      </w:r>
    </w:p>
    <w:p>
      <w:pPr>
        <w:spacing w:after="0" w:line="195"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On August 23, 2023, the Company also announced the filing of a prospectus supplement under the 2023 Base Shelf Prospectus, requalifying the Company’s LPC Purchase Agreement on the same terms as those entered into on May 30, 2023 with LPC.</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2023 ATM Program</w:t>
      </w:r>
    </w:p>
    <w:p>
      <w:pPr>
        <w:spacing w:after="0" w:line="266"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8"/>
          <w:szCs w:val="18"/>
          <w:color w:val="auto"/>
        </w:rPr>
        <w:t>On August 23, 2023, the Company announced the filing of a prospectus supplement (the “</w:t>
      </w:r>
      <w:r>
        <w:rPr>
          <w:rFonts w:ascii="Times New Roman" w:cs="Times New Roman" w:eastAsia="Times New Roman" w:hAnsi="Times New Roman"/>
          <w:sz w:val="18"/>
          <w:szCs w:val="18"/>
          <w:b w:val="1"/>
          <w:bCs w:val="1"/>
          <w:color w:val="auto"/>
        </w:rPr>
        <w:t>ATM Prospectus Supplement</w:t>
      </w:r>
      <w:r>
        <w:rPr>
          <w:rFonts w:ascii="Times New Roman" w:cs="Times New Roman" w:eastAsia="Times New Roman" w:hAnsi="Times New Roman"/>
          <w:sz w:val="18"/>
          <w:szCs w:val="18"/>
          <w:color w:val="auto"/>
        </w:rPr>
        <w:t>”) under the 2023 Base Shelf Prospectus to renew its previously established at-the-market equity program (the “</w:t>
      </w:r>
      <w:r>
        <w:rPr>
          <w:rFonts w:ascii="Times New Roman" w:cs="Times New Roman" w:eastAsia="Times New Roman" w:hAnsi="Times New Roman"/>
          <w:sz w:val="18"/>
          <w:szCs w:val="18"/>
          <w:b w:val="1"/>
          <w:bCs w:val="1"/>
          <w:color w:val="auto"/>
        </w:rPr>
        <w:t>2023 ATM Program</w:t>
      </w:r>
      <w:r>
        <w:rPr>
          <w:rFonts w:ascii="Times New Roman" w:cs="Times New Roman" w:eastAsia="Times New Roman" w:hAnsi="Times New Roman"/>
          <w:sz w:val="18"/>
          <w:szCs w:val="18"/>
          <w:color w:val="auto"/>
        </w:rPr>
        <w:t xml:space="preserve">”) that allows the Company to issue and sell up to US$35,000 of Common Shares from treasury to the public, from time to time. Distributions of Common Shares under the 2023 ATM Program will be made pursuant to the terms and conditions of an at-the-market equity distribution agreement (the </w:t>
      </w:r>
      <w:r>
        <w:rPr>
          <w:rFonts w:ascii="Times New Roman" w:cs="Times New Roman" w:eastAsia="Times New Roman" w:hAnsi="Times New Roman"/>
          <w:sz w:val="18"/>
          <w:szCs w:val="18"/>
          <w:b w:val="1"/>
          <w:bCs w:val="1"/>
          <w:color w:val="auto"/>
        </w:rPr>
        <w:t>“2023 Distribution Agreement”</w:t>
      </w:r>
      <w:r>
        <w:rPr>
          <w:rFonts w:ascii="Times New Roman" w:cs="Times New Roman" w:eastAsia="Times New Roman" w:hAnsi="Times New Roman"/>
          <w:sz w:val="18"/>
          <w:szCs w:val="18"/>
          <w:color w:val="auto"/>
        </w:rPr>
        <w:t>) dated August 23, 2023 among the Company, Cantor Fitzgerald Canada Corporation and Cantor Fitzgerald &amp; Co.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85"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As at June 30, 2024, the Company sold 34,140,507 Common Shares under the ATM Programs at an average price of $0.4549 (US$0.3374) per Common Share, for aggregate gross proceeds of $15,532 (US$11,518). Share issuance costs related to the ATM Programs for the period were $nil.</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266" w:lineRule="exact"/>
        <w:rPr>
          <w:sz w:val="20"/>
          <w:szCs w:val="20"/>
          <w:color w:val="auto"/>
        </w:rPr>
      </w:pPr>
    </w:p>
    <w:p>
      <w:pPr>
        <w:jc w:val="both"/>
        <w:ind w:left="3"/>
        <w:spacing w:after="0" w:line="296" w:lineRule="auto"/>
        <w:rPr>
          <w:sz w:val="20"/>
          <w:szCs w:val="20"/>
          <w:color w:val="auto"/>
        </w:rPr>
      </w:pPr>
      <w:r>
        <w:rPr>
          <w:rFonts w:ascii="Times New Roman" w:cs="Times New Roman" w:eastAsia="Times New Roman" w:hAnsi="Times New Roman"/>
          <w:sz w:val="17"/>
          <w:szCs w:val="17"/>
          <w:color w:val="auto"/>
        </w:rPr>
        <w:t>On August 4, 2023, the Company completed a public offering (the “</w:t>
      </w:r>
      <w:r>
        <w:rPr>
          <w:rFonts w:ascii="Times New Roman" w:cs="Times New Roman" w:eastAsia="Times New Roman" w:hAnsi="Times New Roman"/>
          <w:sz w:val="17"/>
          <w:szCs w:val="17"/>
          <w:b w:val="1"/>
          <w:bCs w:val="1"/>
          <w:color w:val="auto"/>
        </w:rPr>
        <w:t>August 2023 Offering</w:t>
      </w:r>
      <w:r>
        <w:rPr>
          <w:rFonts w:ascii="Times New Roman" w:cs="Times New Roman" w:eastAsia="Times New Roman" w:hAnsi="Times New Roman"/>
          <w:sz w:val="17"/>
          <w:szCs w:val="17"/>
          <w:color w:val="auto"/>
        </w:rPr>
        <w:t>”) of 24,264,706 units of the Company (the “</w:t>
      </w:r>
      <w:r>
        <w:rPr>
          <w:rFonts w:ascii="Times New Roman" w:cs="Times New Roman" w:eastAsia="Times New Roman" w:hAnsi="Times New Roman"/>
          <w:sz w:val="17"/>
          <w:szCs w:val="17"/>
          <w:b w:val="1"/>
          <w:bCs w:val="1"/>
          <w:color w:val="auto"/>
        </w:rPr>
        <w:t>August 2023 Units</w:t>
      </w:r>
      <w:r>
        <w:rPr>
          <w:rFonts w:ascii="Times New Roman" w:cs="Times New Roman" w:eastAsia="Times New Roman" w:hAnsi="Times New Roman"/>
          <w:sz w:val="17"/>
          <w:szCs w:val="17"/>
          <w:color w:val="auto"/>
        </w:rPr>
        <w:t>”) at a price of US$0.34 per August 2023 Unit for gross proceeds of US$8,250 pursuant to the August Prospectus Supplement to the 2021 Base Shelf Prospectus</w:t>
      </w:r>
    </w:p>
    <w:p>
      <w:pPr>
        <w:spacing w:after="0" w:line="1" w:lineRule="exact"/>
        <w:rPr>
          <w:sz w:val="20"/>
          <w:szCs w:val="20"/>
          <w:color w:val="auto"/>
        </w:rPr>
      </w:pPr>
    </w:p>
    <w:p>
      <w:pPr>
        <w:ind w:left="103" w:hanging="103"/>
        <w:spacing w:after="0"/>
        <w:tabs>
          <w:tab w:leader="none" w:pos="1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August 2023 Unit is comprised of one Common Share and one Common Share purchase warrant (the </w:t>
      </w:r>
      <w:r>
        <w:rPr>
          <w:rFonts w:ascii="Times New Roman" w:cs="Times New Roman" w:eastAsia="Times New Roman" w:hAnsi="Times New Roman"/>
          <w:sz w:val="18"/>
          <w:szCs w:val="18"/>
          <w:b w:val="1"/>
          <w:bCs w:val="1"/>
          <w:color w:val="auto"/>
        </w:rPr>
        <w:t>“August 2023 Warrants</w:t>
      </w:r>
      <w:r>
        <w:rPr>
          <w:rFonts w:ascii="Times New Roman" w:cs="Times New Roman" w:eastAsia="Times New Roman" w:hAnsi="Times New Roman"/>
          <w:sz w:val="18"/>
          <w:szCs w:val="18"/>
          <w:color w:val="auto"/>
        </w:rPr>
        <w:t>”). Each August 2023</w:t>
      </w:r>
    </w:p>
    <w:p>
      <w:pPr>
        <w:spacing w:after="0" w:line="48" w:lineRule="exact"/>
        <w:rPr>
          <w:rFonts w:ascii="Times New Roman" w:cs="Times New Roman" w:eastAsia="Times New Roman" w:hAnsi="Times New Roman"/>
          <w:sz w:val="18"/>
          <w:szCs w:val="18"/>
          <w:color w:val="auto"/>
        </w:rPr>
      </w:pPr>
    </w:p>
    <w:p>
      <w:pPr>
        <w:jc w:val="both"/>
        <w:ind w:left="3" w:right="20"/>
        <w:spacing w:after="0" w:line="29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is exercisable to acquire one Common Share at a price of US$0.40 per Common Share for a period of 60 months from issuance, subject to acceleration in certain circumstances. In connection with the August 2023 Offering, Cybin paid the underwriters a cash commission of US$379 and incurred additional share issuance costs related to professional fees of US$458.</w:t>
      </w:r>
    </w:p>
    <w:p>
      <w:pPr>
        <w:spacing w:after="0" w:line="192"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On November 14, 2023, the Company completed a public offering (the “</w:t>
      </w:r>
      <w:r>
        <w:rPr>
          <w:rFonts w:ascii="Times New Roman" w:cs="Times New Roman" w:eastAsia="Times New Roman" w:hAnsi="Times New Roman"/>
          <w:sz w:val="18"/>
          <w:szCs w:val="18"/>
          <w:b w:val="1"/>
          <w:bCs w:val="1"/>
          <w:color w:val="auto"/>
        </w:rPr>
        <w:t>November 2023 Offering</w:t>
      </w:r>
      <w:r>
        <w:rPr>
          <w:rFonts w:ascii="Times New Roman" w:cs="Times New Roman" w:eastAsia="Times New Roman" w:hAnsi="Times New Roman"/>
          <w:sz w:val="18"/>
          <w:szCs w:val="18"/>
          <w:color w:val="auto"/>
        </w:rPr>
        <w:t>”) of 66,666,667 units of the Company (the “</w:t>
      </w:r>
      <w:r>
        <w:rPr>
          <w:rFonts w:ascii="Times New Roman" w:cs="Times New Roman" w:eastAsia="Times New Roman" w:hAnsi="Times New Roman"/>
          <w:sz w:val="18"/>
          <w:szCs w:val="18"/>
          <w:b w:val="1"/>
          <w:bCs w:val="1"/>
          <w:color w:val="auto"/>
        </w:rPr>
        <w:t>November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Units</w:t>
      </w:r>
      <w:r>
        <w:rPr>
          <w:rFonts w:ascii="Times New Roman" w:cs="Times New Roman" w:eastAsia="Times New Roman" w:hAnsi="Times New Roman"/>
          <w:sz w:val="18"/>
          <w:szCs w:val="18"/>
          <w:color w:val="auto"/>
        </w:rPr>
        <w:t>”) at a price of US$0.45 per November 2023 Unit for gross proceeds of $41,107 (US$30,000) pursuant to the November Prospectus Supplement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2023 Base Shelf Prospectus. Each November 2023 Unit is comprised of one Common Share and one Common Share purchase warrant (the “</w:t>
      </w:r>
      <w:r>
        <w:rPr>
          <w:rFonts w:ascii="Times New Roman" w:cs="Times New Roman" w:eastAsia="Times New Roman" w:hAnsi="Times New Roman"/>
          <w:sz w:val="18"/>
          <w:szCs w:val="18"/>
          <w:b w:val="1"/>
          <w:bCs w:val="1"/>
          <w:color w:val="auto"/>
        </w:rPr>
        <w:t>November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Warrants</w:t>
      </w:r>
      <w:r>
        <w:rPr>
          <w:rFonts w:ascii="Times New Roman" w:cs="Times New Roman" w:eastAsia="Times New Roman" w:hAnsi="Times New Roman"/>
          <w:sz w:val="18"/>
          <w:szCs w:val="18"/>
          <w:color w:val="auto"/>
        </w:rPr>
        <w:t>”). Each November 2023 Warrant is exercisable to acquire one Common Share at a price of $0.70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3"/>
          </w:cols>
          <w:pgMar w:left="317" w:top="1303" w:right="319" w:bottom="1440" w:gutter="0" w:footer="0" w:header="0"/>
        </w:sectPr>
      </w:pPr>
    </w:p>
    <w:bookmarkStart w:id="82" w:name="page83"/>
    <w:bookmarkEnd w:id="82"/>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(US$0.51) per Common Share between May 14, 2024 and May 14, 2029, subject to acceleration in certain circumstances. In connection with the November 2023 Offering, Cybin paid the underwriters a cash commission of $2,096 (US$1,530) and incurred additional share issuance costs related to professional fees of $341(US$248).</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March 19, 2024, the Company completed a private placement (the “</w:t>
      </w:r>
      <w:r>
        <w:rPr>
          <w:rFonts w:ascii="Times New Roman" w:cs="Times New Roman" w:eastAsia="Times New Roman" w:hAnsi="Times New Roman"/>
          <w:sz w:val="18"/>
          <w:szCs w:val="18"/>
          <w:b w:val="1"/>
          <w:bCs w:val="1"/>
          <w:color w:val="auto"/>
        </w:rPr>
        <w:t>March 2024 Offering</w:t>
      </w:r>
      <w:r>
        <w:rPr>
          <w:rFonts w:ascii="Times New Roman" w:cs="Times New Roman" w:eastAsia="Times New Roman" w:hAnsi="Times New Roman"/>
          <w:sz w:val="18"/>
          <w:szCs w:val="18"/>
          <w:color w:val="auto"/>
        </w:rPr>
        <w:t>”) of 348,837,210 Common Shares at a price of US$0.43 per Common Share for gross proceeds of $202,995 (US$150,000). Pursuant to the terms of the March 2024 Offering, on April 8, 2024, the Company amended the 2023 Base Shelf Prospectus to provide that the securities that may be offered and issued thereunder will include distributions by various selling securityholders. Further, on April 17, 2024, the Company filed a prospectus supplement to the 2023 Base Shelf Prospectus, in order to qualify the periodic resale of 333,029,767 Common Shares issued to certain non-Canadian investors pursuant to the March 2024 Offering. In connection with the March 2024 Offering, Cybin paid the agents a cash commission of $11,726 (US$8,665) and incurred additional share issuance costs being professional fees of $169 (US$125).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For the three months ended June 30, 2024, operating expenses totaled $20,317 (2023 - $12,707). The operating expenses include a non-cash component of $3,973 (2023 - $1,275) related to share-based compensation. The remaining operating expenses were incurred to support raising capital, research &amp; development and the overall development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the three month period ended June 30, 2024, the Company’s research expenses totaled $8,041 compared to $6,384 during the same period in prior year. Research expenses for the three month period are comprised of advancement of the development programs of $4,632 (2023 - $4,405), payroll related expenses of $2,949 (2023 - $1,679 ), professional and consulting fees of $168 (2023 - $92), and lab and administration expenses of $292 (2023 - $208).</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overall increase in research expenses is due the progression of the Company’s various research programs, including two programs in clinical trials. As of the date of this MD&amp;A, Cybin’s research and development team has completed over 250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Administration Costs</w:t>
      </w: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the three month period ended June 30, 2024, general and administrative expenses were $8,303 compared to $5,048 during the same period in the prior year. General and administrative expenses for the three-month period are comprised of capital market expenses of $2,607 (2023 - $2,161), payroll related expenses of $3,022 (2023 - $1,449), office and administration expenses of $767 (2023 - $608),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1303" w:right="319" w:bottom="1440" w:gutter="0" w:footer="0" w:header="0"/>
        </w:sectPr>
      </w:pPr>
    </w:p>
    <w:bookmarkStart w:id="83" w:name="page84"/>
    <w:bookmarkEnd w:id="83"/>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investor relations expenses of $511 (2023 - $126), professional and consulting fees of $629 (2023 -$418 ), listing fees of $101 (2023 - $71), business development expenses of $635 (2023 - $203), and marketing media fees of $31 (2023 - $12). The overall increase in general and administrative expenses due to increase in capital market spend and investors relations spend as the Company continues to raise awareness of the Company and its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During the three month period ended June 30, 2024, Cybin issued warrants and options incurring share-based payment expense of $3,973, compared to $1,275 during the same period in the prior year. The increase is largely related to the new options grants issued to consultants, officers and employees.</w:t>
      </w:r>
    </w:p>
    <w:p>
      <w:pPr>
        <w:spacing w:after="0" w:line="13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these warrants and options the equity reserve balances will be moved to share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 Gain (Loss)</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For the three-month period ended June 30, 2024, the Company incurred a foreign currency translation gain from operations and revaluation of balance sheet assets and liabilities held in foreign currencies of $3,352. The Company holds assets and liabilities in Canadian dollars, U.S. dollars, Euros, and British pounds.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25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For the three month period ended June 30, 2024 the Company recorded interest income of $2,141 compared to $84 during the same period in prior year. The increase is largely related to an increase on the cash balance earning interest.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Borders>
              <w:top w:val="single" w:sz="8" w:color="auto"/>
              <w:bottom w:val="single" w:sz="8" w:color="auto"/>
            </w:tcBorders>
          </w:tcPr>
          <w:p>
            <w:pPr>
              <w:spacing w:after="0"/>
              <w:rPr>
                <w:sz w:val="17"/>
                <w:szCs w:val="17"/>
                <w:color w:val="auto"/>
              </w:rPr>
            </w:pPr>
          </w:p>
        </w:tc>
        <w:tc>
          <w:tcPr>
            <w:tcW w:w="4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660" w:type="dxa"/>
            <w:vAlign w:val="bottom"/>
            <w:tcBorders>
              <w:top w:val="single" w:sz="8" w:color="auto"/>
              <w:bottom w:val="single" w:sz="8" w:color="auto"/>
            </w:tcBorders>
            <w:shd w:val="clear" w:color="auto" w:fill="DBDBDB"/>
          </w:tcPr>
          <w:p>
            <w:pPr>
              <w:spacing w:after="0"/>
              <w:rPr>
                <w:sz w:val="17"/>
                <w:szCs w:val="17"/>
                <w:color w:val="auto"/>
              </w:rPr>
            </w:pPr>
          </w:p>
        </w:tc>
        <w:tc>
          <w:tcPr>
            <w:tcW w:w="960" w:type="dxa"/>
            <w:vAlign w:val="bottom"/>
            <w:tcBorders>
              <w:top w:val="single" w:sz="8" w:color="auto"/>
              <w:bottom w:val="single" w:sz="8" w:color="auto"/>
            </w:tcBorders>
            <w:gridSpan w:val="2"/>
            <w:shd w:val="clear" w:color="auto" w:fill="DBDBDB"/>
          </w:tcPr>
          <w:p>
            <w:pPr>
              <w:ind w:left="3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80" w:type="dxa"/>
            <w:vAlign w:val="bottom"/>
            <w:tcBorders>
              <w:top w:val="single" w:sz="8" w:color="auto"/>
              <w:bottom w:val="single" w:sz="8" w:color="auto"/>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r>
      <w:tr>
        <w:trPr>
          <w:trHeight w:val="18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30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6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bottom w:val="single" w:sz="8" w:color="auto"/>
            </w:tcBorders>
            <w:shd w:val="clear" w:color="auto" w:fill="DBDBDB"/>
          </w:tcPr>
          <w:p>
            <w:pPr>
              <w:spacing w:after="0"/>
              <w:rPr>
                <w:sz w:val="16"/>
                <w:szCs w:val="16"/>
                <w:color w:val="auto"/>
              </w:rPr>
            </w:pPr>
          </w:p>
        </w:tc>
        <w:tc>
          <w:tcPr>
            <w:tcW w:w="42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auto"/>
            </w:tcBorders>
            <w:shd w:val="clear" w:color="auto" w:fill="DBDBDB"/>
          </w:tcPr>
          <w:p>
            <w:pPr>
              <w:spacing w:after="0"/>
              <w:rPr>
                <w:sz w:val="16"/>
                <w:szCs w:val="16"/>
                <w:color w:val="auto"/>
              </w:rPr>
            </w:pPr>
          </w:p>
        </w:tc>
      </w:tr>
      <w:tr>
        <w:trPr>
          <w:trHeight w:val="184"/>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302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(27,214)</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(10,697)</w:t>
            </w:r>
          </w:p>
        </w:tc>
        <w:tc>
          <w:tcPr>
            <w:tcW w:w="66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7"/>
              </w:rPr>
              <w:t>(16,517)</w:t>
            </w:r>
          </w:p>
        </w:tc>
        <w:tc>
          <w:tcPr>
            <w:tcW w:w="420" w:type="dxa"/>
            <w:vAlign w:val="bottom"/>
            <w:shd w:val="clear" w:color="auto" w:fill="DBDBDB"/>
          </w:tcPr>
          <w:p>
            <w:pPr>
              <w:spacing w:after="0"/>
              <w:rPr>
                <w:sz w:val="16"/>
                <w:szCs w:val="16"/>
                <w:color w:val="auto"/>
              </w:rPr>
            </w:pPr>
          </w:p>
        </w:tc>
        <w:tc>
          <w:tcPr>
            <w:tcW w:w="8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02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(237)</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66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420" w:type="dxa"/>
            <w:vAlign w:val="bottom"/>
            <w:shd w:val="clear" w:color="auto" w:fill="DBDBDB"/>
          </w:tcPr>
          <w:p>
            <w:pPr>
              <w:spacing w:after="0"/>
              <w:rPr>
                <w:sz w:val="16"/>
                <w:szCs w:val="16"/>
                <w:color w:val="auto"/>
              </w:rPr>
            </w:pPr>
          </w:p>
        </w:tc>
        <w:tc>
          <w:tcPr>
            <w:tcW w:w="8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265 %</w:t>
            </w:r>
          </w:p>
        </w:tc>
      </w:tr>
      <w:tr>
        <w:trPr>
          <w:trHeight w:val="19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cash from financing activities</w:t>
            </w:r>
          </w:p>
        </w:tc>
        <w:tc>
          <w:tcPr>
            <w:tcW w:w="30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(235)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3,520</w:t>
            </w:r>
          </w:p>
        </w:tc>
        <w:tc>
          <w:tcPr>
            <w:tcW w:w="660" w:type="dxa"/>
            <w:vAlign w:val="bottom"/>
            <w:tcBorders>
              <w:bottom w:val="single" w:sz="8" w:color="auto"/>
            </w:tcBorders>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(3,755)</w:t>
            </w:r>
          </w:p>
        </w:tc>
        <w:tc>
          <w:tcPr>
            <w:tcW w:w="4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185"/>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 in cash</w:t>
            </w:r>
          </w:p>
        </w:tc>
        <w:tc>
          <w:tcPr>
            <w:tcW w:w="302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(27,686)</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(7,242)</w:t>
            </w:r>
          </w:p>
        </w:tc>
        <w:tc>
          <w:tcPr>
            <w:tcW w:w="66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7"/>
              </w:rPr>
              <w:t>(20,444)</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3020" w:type="dxa"/>
            <w:vAlign w:val="bottom"/>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1,969</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66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2,011</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(4788)</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19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0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208,992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16,633</w:t>
            </w:r>
          </w:p>
        </w:tc>
        <w:tc>
          <w:tcPr>
            <w:tcW w:w="660" w:type="dxa"/>
            <w:vAlign w:val="bottom"/>
            <w:tcBorders>
              <w:bottom w:val="single" w:sz="8" w:color="auto"/>
            </w:tcBorders>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4"/>
              </w:rPr>
              <w:t>192,359</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187"/>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0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183,275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66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4"/>
              </w:rPr>
              <w:t>173,926</w:t>
            </w: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6353810</wp:posOffset>
            </wp:positionH>
            <wp:positionV relativeFrom="paragraph">
              <wp:posOffset>-636270</wp:posOffset>
            </wp:positionV>
            <wp:extent cx="698500" cy="629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500" cy="62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1303" w:right="31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04"/>
        </w:trPr>
        <w:tc>
          <w:tcPr>
            <w:tcW w:w="4240" w:type="dxa"/>
            <w:vAlign w:val="bottom"/>
            <w:tcBorders>
              <w:top w:val="single" w:sz="8" w:color="auto"/>
              <w:left w:val="single" w:sz="8" w:color="auto"/>
              <w:bottom w:val="single" w:sz="8" w:color="auto"/>
            </w:tcBorders>
          </w:tcPr>
          <w:p>
            <w:pPr>
              <w:spacing w:after="0"/>
              <w:rPr>
                <w:sz w:val="17"/>
                <w:szCs w:val="17"/>
                <w:color w:val="auto"/>
              </w:rPr>
            </w:pPr>
          </w:p>
        </w:tc>
        <w:tc>
          <w:tcPr>
            <w:tcW w:w="7040" w:type="dxa"/>
            <w:vAlign w:val="bottom"/>
            <w:tcBorders>
              <w:top w:val="single" w:sz="8" w:color="auto"/>
              <w:left w:val="single" w:sz="8" w:color="auto"/>
              <w:bottom w:val="single" w:sz="8" w:color="auto"/>
              <w:right w:val="single" w:sz="8" w:color="auto"/>
            </w:tcBorders>
          </w:tcPr>
          <w:p>
            <w:pPr>
              <w:ind w:left="2440"/>
              <w:spacing w:after="0"/>
              <w:rPr>
                <w:sz w:val="20"/>
                <w:szCs w:val="20"/>
                <w:color w:val="auto"/>
              </w:rPr>
            </w:pPr>
            <w:r>
              <w:rPr>
                <w:rFonts w:ascii="Times New Roman" w:cs="Times New Roman" w:eastAsia="Times New Roman" w:hAnsi="Times New Roman"/>
                <w:sz w:val="15"/>
                <w:szCs w:val="15"/>
                <w:b w:val="1"/>
                <w:bCs w:val="1"/>
                <w:color w:val="auto"/>
              </w:rPr>
              <w:t>Three months ended June 30, 2024</w:t>
            </w:r>
          </w:p>
        </w:tc>
        <w:tc>
          <w:tcPr>
            <w:tcW w:w="0" w:type="dxa"/>
            <w:vAlign w:val="bottom"/>
          </w:tcPr>
          <w:p>
            <w:pPr>
              <w:spacing w:after="0"/>
              <w:rPr>
                <w:sz w:val="1"/>
                <w:szCs w:val="1"/>
                <w:color w:val="auto"/>
              </w:rPr>
            </w:pPr>
          </w:p>
        </w:tc>
      </w:tr>
      <w:tr>
        <w:trPr>
          <w:trHeight w:val="138"/>
        </w:trPr>
        <w:tc>
          <w:tcPr>
            <w:tcW w:w="4240" w:type="dxa"/>
            <w:vAlign w:val="bottom"/>
            <w:tcBorders>
              <w:left w:val="single" w:sz="8" w:color="auto"/>
            </w:tcBorders>
            <w:shd w:val="clear" w:color="auto" w:fill="DBDBDB"/>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704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5"/>
                <w:szCs w:val="15"/>
                <w:color w:val="auto"/>
                <w:w w:val="98"/>
              </w:rPr>
              <w:t>Primarily relates to cash used for operating expenses including research and development expenses, salaries, and other</w:t>
            </w:r>
          </w:p>
        </w:tc>
        <w:tc>
          <w:tcPr>
            <w:tcW w:w="0" w:type="dxa"/>
            <w:vAlign w:val="bottom"/>
          </w:tcPr>
          <w:p>
            <w:pPr>
              <w:spacing w:after="0"/>
              <w:rPr>
                <w:sz w:val="1"/>
                <w:szCs w:val="1"/>
                <w:color w:val="auto"/>
              </w:rPr>
            </w:pPr>
          </w:p>
        </w:tc>
      </w:tr>
      <w:tr>
        <w:trPr>
          <w:trHeight w:val="145"/>
        </w:trPr>
        <w:tc>
          <w:tcPr>
            <w:tcW w:w="4240" w:type="dxa"/>
            <w:vAlign w:val="bottom"/>
            <w:tcBorders>
              <w:left w:val="single" w:sz="8" w:color="auto"/>
            </w:tcBorders>
            <w:shd w:val="clear" w:color="auto" w:fill="DBDBDB"/>
          </w:tcPr>
          <w:p>
            <w:pPr>
              <w:spacing w:after="0"/>
              <w:rPr>
                <w:sz w:val="12"/>
                <w:szCs w:val="12"/>
                <w:color w:val="auto"/>
              </w:rPr>
            </w:pPr>
          </w:p>
        </w:tc>
        <w:tc>
          <w:tcPr>
            <w:tcW w:w="704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5"/>
                <w:szCs w:val="15"/>
                <w:color w:val="auto"/>
                <w:w w:val="97"/>
              </w:rPr>
              <w:t>general and administration expenses. Cash flows from operating activities exclude expenses not affecting cash, such as</w:t>
            </w:r>
          </w:p>
        </w:tc>
        <w:tc>
          <w:tcPr>
            <w:tcW w:w="0" w:type="dxa"/>
            <w:vAlign w:val="bottom"/>
          </w:tcPr>
          <w:p>
            <w:pPr>
              <w:spacing w:after="0"/>
              <w:rPr>
                <w:sz w:val="1"/>
                <w:szCs w:val="1"/>
                <w:color w:val="auto"/>
              </w:rPr>
            </w:pPr>
          </w:p>
        </w:tc>
      </w:tr>
      <w:tr>
        <w:trPr>
          <w:trHeight w:val="145"/>
        </w:trPr>
        <w:tc>
          <w:tcPr>
            <w:tcW w:w="4240" w:type="dxa"/>
            <w:vAlign w:val="bottom"/>
            <w:tcBorders>
              <w:left w:val="single" w:sz="8" w:color="auto"/>
            </w:tcBorders>
            <w:shd w:val="clear" w:color="auto" w:fill="DBDBDB"/>
          </w:tcPr>
          <w:p>
            <w:pPr>
              <w:spacing w:after="0"/>
              <w:rPr>
                <w:sz w:val="12"/>
                <w:szCs w:val="12"/>
                <w:color w:val="auto"/>
              </w:rPr>
            </w:pPr>
          </w:p>
        </w:tc>
        <w:tc>
          <w:tcPr>
            <w:tcW w:w="704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5"/>
                <w:szCs w:val="15"/>
                <w:color w:val="auto"/>
                <w:w w:val="98"/>
              </w:rPr>
              <w:t>share based compensation expense, depreciation, unrealized foreign exchange gains or losses, and net changes in non-</w:t>
            </w:r>
          </w:p>
        </w:tc>
        <w:tc>
          <w:tcPr>
            <w:tcW w:w="0" w:type="dxa"/>
            <w:vAlign w:val="bottom"/>
          </w:tcPr>
          <w:p>
            <w:pPr>
              <w:spacing w:after="0"/>
              <w:rPr>
                <w:sz w:val="1"/>
                <w:szCs w:val="1"/>
                <w:color w:val="auto"/>
              </w:rPr>
            </w:pPr>
          </w:p>
        </w:tc>
      </w:tr>
      <w:tr>
        <w:trPr>
          <w:trHeight w:val="189"/>
        </w:trPr>
        <w:tc>
          <w:tcPr>
            <w:tcW w:w="4240" w:type="dxa"/>
            <w:vAlign w:val="bottom"/>
            <w:tcBorders>
              <w:left w:val="single" w:sz="8" w:color="auto"/>
            </w:tcBorders>
            <w:shd w:val="clear" w:color="auto" w:fill="DBDBDB"/>
          </w:tcPr>
          <w:p>
            <w:pPr>
              <w:spacing w:after="0"/>
              <w:rPr>
                <w:sz w:val="16"/>
                <w:szCs w:val="16"/>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balances relating to operations.</w:t>
            </w:r>
          </w:p>
        </w:tc>
        <w:tc>
          <w:tcPr>
            <w:tcW w:w="0" w:type="dxa"/>
            <w:vAlign w:val="bottom"/>
          </w:tcPr>
          <w:p>
            <w:pPr>
              <w:spacing w:after="0"/>
              <w:rPr>
                <w:sz w:val="1"/>
                <w:szCs w:val="1"/>
                <w:color w:val="auto"/>
              </w:rPr>
            </w:pPr>
          </w:p>
        </w:tc>
      </w:tr>
      <w:tr>
        <w:trPr>
          <w:trHeight w:val="254"/>
        </w:trPr>
        <w:tc>
          <w:tcPr>
            <w:tcW w:w="4240" w:type="dxa"/>
            <w:vAlign w:val="bottom"/>
            <w:tcBorders>
              <w:left w:val="single" w:sz="8" w:color="auto"/>
            </w:tcBorders>
            <w:shd w:val="clear" w:color="auto" w:fill="DBDBDB"/>
          </w:tcPr>
          <w:p>
            <w:pPr>
              <w:spacing w:after="0"/>
              <w:rPr>
                <w:sz w:val="22"/>
                <w:szCs w:val="22"/>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For the three months ended June 30, 2024, cash used in operating activities was $27,214 driven by a net loss for the</w:t>
            </w:r>
          </w:p>
        </w:tc>
        <w:tc>
          <w:tcPr>
            <w:tcW w:w="0" w:type="dxa"/>
            <w:vAlign w:val="bottom"/>
          </w:tcPr>
          <w:p>
            <w:pPr>
              <w:spacing w:after="0"/>
              <w:rPr>
                <w:sz w:val="1"/>
                <w:szCs w:val="1"/>
                <w:color w:val="auto"/>
              </w:rPr>
            </w:pPr>
          </w:p>
        </w:tc>
      </w:tr>
      <w:tr>
        <w:trPr>
          <w:trHeight w:val="206"/>
        </w:trPr>
        <w:tc>
          <w:tcPr>
            <w:tcW w:w="4240" w:type="dxa"/>
            <w:vAlign w:val="bottom"/>
            <w:tcBorders>
              <w:left w:val="single" w:sz="8" w:color="auto"/>
            </w:tcBorders>
            <w:shd w:val="clear" w:color="auto" w:fill="DBDBDB"/>
          </w:tcPr>
          <w:p>
            <w:pPr>
              <w:spacing w:after="0"/>
              <w:rPr>
                <w:sz w:val="17"/>
                <w:szCs w:val="17"/>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period of $14,824 partially offset by the following non-cash items: an unrealized foreign exchange gain of $3,352,</w:t>
            </w:r>
          </w:p>
        </w:tc>
        <w:tc>
          <w:tcPr>
            <w:tcW w:w="0" w:type="dxa"/>
            <w:vAlign w:val="bottom"/>
          </w:tcPr>
          <w:p>
            <w:pPr>
              <w:spacing w:after="0"/>
              <w:rPr>
                <w:sz w:val="1"/>
                <w:szCs w:val="1"/>
                <w:color w:val="auto"/>
              </w:rPr>
            </w:pPr>
          </w:p>
        </w:tc>
      </w:tr>
      <w:tr>
        <w:trPr>
          <w:trHeight w:val="218"/>
        </w:trPr>
        <w:tc>
          <w:tcPr>
            <w:tcW w:w="4240" w:type="dxa"/>
            <w:vAlign w:val="bottom"/>
            <w:tcBorders>
              <w:left w:val="single" w:sz="8" w:color="auto"/>
            </w:tcBorders>
            <w:shd w:val="clear" w:color="auto" w:fill="DBDBDB"/>
          </w:tcPr>
          <w:p>
            <w:pPr>
              <w:spacing w:after="0"/>
              <w:rPr>
                <w:sz w:val="18"/>
                <w:szCs w:val="18"/>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8"/>
              </w:rPr>
              <w:t>share-based compensation of $3,973, a increase in working capital of $13,152 , depreciation and amortization of $138</w:t>
            </w:r>
          </w:p>
        </w:tc>
        <w:tc>
          <w:tcPr>
            <w:tcW w:w="0" w:type="dxa"/>
            <w:vAlign w:val="bottom"/>
          </w:tcPr>
          <w:p>
            <w:pPr>
              <w:spacing w:after="0"/>
              <w:rPr>
                <w:sz w:val="1"/>
                <w:szCs w:val="1"/>
                <w:color w:val="auto"/>
              </w:rPr>
            </w:pPr>
          </w:p>
        </w:tc>
      </w:tr>
      <w:tr>
        <w:trPr>
          <w:trHeight w:val="206"/>
        </w:trPr>
        <w:tc>
          <w:tcPr>
            <w:tcW w:w="4240" w:type="dxa"/>
            <w:vAlign w:val="bottom"/>
            <w:tcBorders>
              <w:left w:val="single" w:sz="8" w:color="auto"/>
            </w:tcBorders>
            <w:shd w:val="clear" w:color="auto" w:fill="DBDBDB"/>
          </w:tcPr>
          <w:p>
            <w:pPr>
              <w:spacing w:after="0"/>
              <w:rPr>
                <w:sz w:val="17"/>
                <w:szCs w:val="17"/>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and lease interest $3</w:t>
            </w:r>
          </w:p>
        </w:tc>
        <w:tc>
          <w:tcPr>
            <w:tcW w:w="0" w:type="dxa"/>
            <w:vAlign w:val="bottom"/>
          </w:tcPr>
          <w:p>
            <w:pPr>
              <w:spacing w:after="0"/>
              <w:rPr>
                <w:sz w:val="1"/>
                <w:szCs w:val="1"/>
                <w:color w:val="auto"/>
              </w:rPr>
            </w:pPr>
          </w:p>
        </w:tc>
      </w:tr>
      <w:tr>
        <w:trPr>
          <w:trHeight w:val="65"/>
        </w:trPr>
        <w:tc>
          <w:tcPr>
            <w:tcW w:w="4240" w:type="dxa"/>
            <w:vAlign w:val="bottom"/>
            <w:tcBorders>
              <w:left w:val="single" w:sz="8" w:color="auto"/>
              <w:bottom w:val="single" w:sz="8" w:color="auto"/>
            </w:tcBorders>
            <w:shd w:val="clear" w:color="auto" w:fill="DBDBDB"/>
          </w:tcPr>
          <w:p>
            <w:pPr>
              <w:spacing w:after="0"/>
              <w:rPr>
                <w:sz w:val="5"/>
                <w:szCs w:val="5"/>
                <w:color w:val="auto"/>
              </w:rPr>
            </w:pPr>
          </w:p>
        </w:tc>
        <w:tc>
          <w:tcPr>
            <w:tcW w:w="7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240" w:type="dxa"/>
            <w:vAlign w:val="bottom"/>
            <w:tcBorders>
              <w:lef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70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w w:val="99"/>
              </w:rPr>
              <w:t>For the three months ended June 30, 2024, cash used in investing activities were driven by the purchase of intangible</w:t>
            </w:r>
          </w:p>
        </w:tc>
        <w:tc>
          <w:tcPr>
            <w:tcW w:w="0" w:type="dxa"/>
            <w:vAlign w:val="bottom"/>
          </w:tcPr>
          <w:p>
            <w:pPr>
              <w:spacing w:after="0"/>
              <w:rPr>
                <w:sz w:val="1"/>
                <w:szCs w:val="1"/>
                <w:color w:val="auto"/>
              </w:rPr>
            </w:pPr>
          </w:p>
        </w:tc>
      </w:tr>
      <w:tr>
        <w:trPr>
          <w:trHeight w:val="46"/>
        </w:trPr>
        <w:tc>
          <w:tcPr>
            <w:tcW w:w="4240" w:type="dxa"/>
            <w:vAlign w:val="bottom"/>
            <w:tcBorders>
              <w:left w:val="single" w:sz="8" w:color="auto"/>
            </w:tcBorders>
            <w:shd w:val="clear" w:color="auto" w:fill="DBDBDB"/>
          </w:tcPr>
          <w:p>
            <w:pPr>
              <w:spacing w:after="0"/>
              <w:rPr>
                <w:sz w:val="4"/>
                <w:szCs w:val="4"/>
                <w:color w:val="auto"/>
              </w:rPr>
            </w:pPr>
          </w:p>
        </w:tc>
        <w:tc>
          <w:tcPr>
            <w:tcW w:w="7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240" w:type="dxa"/>
            <w:vAlign w:val="bottom"/>
            <w:tcBorders>
              <w:left w:val="single" w:sz="8" w:color="auto"/>
              <w:bottom w:val="single" w:sz="8" w:color="DBDBDB"/>
            </w:tcBorders>
            <w:shd w:val="clear" w:color="auto" w:fill="DBDBDB"/>
          </w:tcPr>
          <w:p>
            <w:pPr>
              <w:spacing w:after="0"/>
              <w:rPr>
                <w:sz w:val="22"/>
                <w:szCs w:val="22"/>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assets of $237</w:t>
            </w:r>
          </w:p>
        </w:tc>
        <w:tc>
          <w:tcPr>
            <w:tcW w:w="0" w:type="dxa"/>
            <w:vAlign w:val="bottom"/>
          </w:tcPr>
          <w:p>
            <w:pPr>
              <w:spacing w:after="0"/>
              <w:rPr>
                <w:sz w:val="1"/>
                <w:szCs w:val="1"/>
                <w:color w:val="auto"/>
              </w:rPr>
            </w:pPr>
          </w:p>
        </w:tc>
      </w:tr>
      <w:tr>
        <w:trPr>
          <w:trHeight w:val="137"/>
        </w:trPr>
        <w:tc>
          <w:tcPr>
            <w:tcW w:w="4240" w:type="dxa"/>
            <w:vAlign w:val="bottom"/>
            <w:tcBorders>
              <w:top w:val="single" w:sz="8" w:color="auto"/>
              <w:left w:val="single" w:sz="8" w:color="auto"/>
            </w:tcBorders>
            <w:shd w:val="clear" w:color="auto" w:fill="DBDBDB"/>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Net cash from financing activities</w:t>
            </w:r>
          </w:p>
        </w:tc>
        <w:tc>
          <w:tcPr>
            <w:tcW w:w="7040" w:type="dxa"/>
            <w:vAlign w:val="bottom"/>
            <w:tcBorders>
              <w:top w:val="single" w:sz="8" w:color="auto"/>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5"/>
                <w:szCs w:val="15"/>
                <w:color w:val="auto"/>
                <w:w w:val="96"/>
              </w:rPr>
              <w:t>For the three months ended June 30, 2024, cash outflow from financing activities were related to share issuance costs of</w:t>
            </w:r>
          </w:p>
        </w:tc>
        <w:tc>
          <w:tcPr>
            <w:tcW w:w="0" w:type="dxa"/>
            <w:vAlign w:val="bottom"/>
          </w:tcPr>
          <w:p>
            <w:pPr>
              <w:spacing w:after="0"/>
              <w:rPr>
                <w:sz w:val="1"/>
                <w:szCs w:val="1"/>
                <w:color w:val="auto"/>
              </w:rPr>
            </w:pPr>
          </w:p>
        </w:tc>
      </w:tr>
      <w:tr>
        <w:trPr>
          <w:trHeight w:val="191"/>
        </w:trPr>
        <w:tc>
          <w:tcPr>
            <w:tcW w:w="4240" w:type="dxa"/>
            <w:vAlign w:val="bottom"/>
            <w:tcBorders>
              <w:left w:val="single" w:sz="8" w:color="auto"/>
              <w:bottom w:val="single" w:sz="8" w:color="auto"/>
            </w:tcBorders>
            <w:shd w:val="clear" w:color="auto" w:fill="DBDBDB"/>
          </w:tcPr>
          <w:p>
            <w:pPr>
              <w:spacing w:after="0"/>
              <w:rPr>
                <w:sz w:val="16"/>
                <w:szCs w:val="16"/>
                <w:color w:val="auto"/>
              </w:rPr>
            </w:pPr>
          </w:p>
        </w:tc>
        <w:tc>
          <w:tcPr>
            <w:tcW w:w="70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($149) , and lease payments of ($86).</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On August 8, 2022, the Company established an at-the-market program (“</w:t>
      </w:r>
      <w:r>
        <w:rPr>
          <w:rFonts w:ascii="Times New Roman" w:cs="Times New Roman" w:eastAsia="Times New Roman" w:hAnsi="Times New Roman"/>
          <w:sz w:val="17"/>
          <w:szCs w:val="17"/>
          <w:b w:val="1"/>
          <w:bCs w:val="1"/>
          <w:color w:val="auto"/>
        </w:rPr>
        <w:t>2022 ATM Program</w:t>
      </w:r>
      <w:r>
        <w:rPr>
          <w:rFonts w:ascii="Times New Roman" w:cs="Times New Roman" w:eastAsia="Times New Roman" w:hAnsi="Times New Roman"/>
          <w:sz w:val="17"/>
          <w:szCs w:val="17"/>
          <w:color w:val="auto"/>
        </w:rPr>
        <w:t>”) that allowed the Company to issue and sell up to US$35,000 of Common Shares in the capital of the Company from treasury to the public, from time to time, which was qualified by way of a prospectus supplement</w:t>
      </w:r>
    </w:p>
    <w:p>
      <w:pPr>
        <w:spacing w:after="0" w:line="1"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dated August 8, 2022 to the 2021 Base Shelf Prospectus. The 2021 Base Shelf Prospectus was effective for a period of 25 months, ending on August 5, 2023 (the “</w:t>
      </w:r>
      <w:r>
        <w:rPr>
          <w:rFonts w:ascii="Times New Roman" w:cs="Times New Roman" w:eastAsia="Times New Roman" w:hAnsi="Times New Roman"/>
          <w:sz w:val="18"/>
          <w:szCs w:val="18"/>
          <w:b w:val="1"/>
          <w:bCs w:val="1"/>
          <w:color w:val="auto"/>
        </w:rPr>
        <w:t>Lapse Date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 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 were issued and sold at the prevailing market price at the time of the applicable sale, prices varied among purchasers through the duration of the 2022 ATM Program. During the three months ended June 30, 2024, no Common Shares were issued under the 2022 ATM Program. As at June 30, 2024, the Company has sold 10,625,951 Common Shares under the 2022 ATM Program at an average price of $0.4301 (US$0.3208) per Common Share, for aggregate gross proceeds of $4,571 (US$3,409).</w:t>
      </w:r>
    </w:p>
    <w:p>
      <w:pPr>
        <w:spacing w:after="0" w:line="2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On May 30, 2023, the Company entered into the LPC Purchase Agreement. Subject to the terms and conditions of the LPC Purchase Agreement, the Company had the right to sell, and LPC was obligated to purchase, up to US$30,000 of Common Shares over a 36-month period at prices that are based on the market price at the time of each sale to LPC. Cybin, in its sole discretion, controls the timing and amount of all sales of Common Shares under the LPC Purchase Agreement. On July 31, 2023, Cybin announced that it had suspended all sales under the LPC Purchase Agreement in connection with the August 2023 Offering. On August 23, 2023, the Company also announced the filing of a prospectus supplement under the 2023 Base Shelf Prospectus, requalifying the LPC Purchase Agreement on the same terms as those entered into on May 30, 2023, with LPC. During the three months ended June 30, 2024, no Common Shares were issued under the LPC Purchase Agreement. As at June 30, 2024, Company has sold 1,925,000 Common Shares, at an average price of $0.3236 (US$0.2417) per Common Share, for aggregate gross proceeds of $623 (US$465) pursuant to the LPC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1304" w:right="319" w:bottom="1440" w:gutter="0" w:footer="0" w:header="0"/>
        </w:sectPr>
      </w:pPr>
    </w:p>
    <w:bookmarkStart w:id="85" w:name="page86"/>
    <w:bookmarkEnd w:id="85"/>
    <w:p>
      <w:pPr>
        <w:jc w:val="both"/>
        <w:spacing w:after="0" w:line="294" w:lineRule="auto"/>
        <w:rPr>
          <w:sz w:val="20"/>
          <w:szCs w:val="20"/>
          <w:color w:val="auto"/>
        </w:rPr>
      </w:pPr>
      <w:r>
        <w:rPr>
          <w:rFonts w:ascii="Times New Roman" w:cs="Times New Roman" w:eastAsia="Times New Roman" w:hAnsi="Times New Roman"/>
          <w:sz w:val="18"/>
          <w:szCs w:val="18"/>
          <w:color w:val="auto"/>
        </w:rPr>
        <w:t>On August 4, 2023, the Company completed the August 2023 Offering of the August 2023 Units at a price of US$0.34 per August 2023 Unit for gross proceeds of $11,018 (US$8,250) pursuant to the August Prospectus Supplement to the 2021 Base Shelf Prospectus. Each August 2023 Unit is comprised of one Common Share and one August 2023 Warrant. Each August 2023 Warrant is exercisable to acquire one Common Share at a price of $0.53 (US$0.40) per Common Share for a period of 60 months from issuance, subject to acceleration in certain circumstances. In connection with the Offering, Cybin paid the underwriters a cash commission of $506 (US$379) and incurred additional share issuance costs, being professional fees of $619 (US$458).</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August 23, 2023, the Company announced the filing of the ATM Prospectus Supplement under the 2023 Base Shelf Prospectus to renew its previously established at-the-market equity program that allows the Company to issue and sell up to US$35,000 of Common Shares from treasury to the public, from time to time. Distributions of Common Shares under the 2023 ATM Program will be made pursuant to the terms and conditions of the 2023 Distribution Agreement.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From August 23, 2023, being the date of the launch of the 2023 ATM Program to June 30, 2024 the Company sold 23,514,556 Common Shares under the 2023 ATM Program, at an average price of $0.4662 (US$0.3449) per Common Share, for aggregate gross proceeds of $10,962 (US$8,109). Share issuance costs related to the 2023 ATM Program were $329 (US$243).</w:t>
      </w:r>
    </w:p>
    <w:p>
      <w:pPr>
        <w:spacing w:after="0" w:line="18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On November 14, 2023, the Company completed the November 2023 Offering of the November 2023 Units at a price of US$0.45 per November 2023 Unit for gross proceeds of $41,107 (US$30,000) pursuant to the November Prospectus Supplement to the 2023 Base Shelf Prospectus. Each November 2023 Unit is comprised of one Common Share and one November 2023 Warrant. Each November 2023 Warrant is exercisable to acquire one Common Share at a price of $0.70 (US$0.51) per Common Share between May 14, 2024 and May 14, 2029, subject to acceleration in certain circumstances. In connection with the November 2023 Offering, Cybin paid the underwriters a cash commission of $2,096 (US$1,530) and incurred additional share issuance costs being professional fees of $341 (US$248).</w:t>
      </w:r>
    </w:p>
    <w:p>
      <w:pPr>
        <w:spacing w:after="0" w:line="18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On March 19, 2024, the Company completed the March 2024 Offering of 348,837,210 Common Shares at a price of US$0.43 per Common Share for gross proceeds of $202,995 (US$150,000). Pursuant to the terms of the March 2024 Offering, on April 8, 2024, the Company amended the 2023 Base Shelf Prospectus to provide that the securities that may be offered and issued thereunder will include distributions by various selling securityholders. Further, on April 17, 2024, the Company filed a prospectus supplement to the 2023 Base Shelf Prospectus, in order to qualify the periodic resale of 333,029,767 Common Shares issued to certain non-Canadian investors pursuant to the March 2024 Offering. In connection with the March 2024 Offering, Cybin paid the agents a cash commission of $11,726 (US$8,665) and incurred additional share issuance costs being professional fees of $169 (US$125).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60"/>
          </w:cols>
          <w:pgMar w:left="320" w:top="1303" w:right="319" w:bottom="1440" w:gutter="0" w:footer="0" w:header="0"/>
        </w:sectPr>
      </w:pPr>
    </w:p>
    <w:bookmarkStart w:id="86" w:name="page87"/>
    <w:bookmarkEnd w:id="86"/>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9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As at June 30, 2024, the Company had working capital of $195,954.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spacing w:after="0" w:line="18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73"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 xml:space="preserve">The Company’s current expenditure obligations include commitments for those projects described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60"/>
          </w:cols>
          <w:pgMar w:left="320" w:top="1303" w:right="319" w:bottom="1440" w:gutter="0" w:footer="0" w:header="0"/>
        </w:sectPr>
      </w:pPr>
    </w:p>
    <w:bookmarkStart w:id="87" w:name="page88"/>
    <w:bookmarkEnd w:id="87"/>
    <w:p>
      <w:pPr>
        <w:jc w:val="both"/>
        <w:spacing w:after="0" w:line="301"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June 30, 2024, the Company had a cash balance of $183,275 and current liabilities of $4,815. The Company’s current resources are sufficient to settle its current liabilities.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4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at June 30, 2024, the Company had sold 54,894,627 Common Shares under the 2022 ATM Program and 2023 ATM Program at an average price of US$0.4018 per Common Share, for aggregate gross proceeds of US$22,059. The Company also raised capital pursuant to the LPC Purchase Agreement. As at June 30, 2024, the Company sold 1,925,000 Common Shares, at an average price of US$0.2417 per Common Share, for aggregate gross proceeds of US$465 pursuant to the LPC Purchase Agreement.</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after the completion of the March 2024 Offering, August 2023 Offering and the November 2023 Offering to manage its short- and long-term cash flow needs as it continues to invest into its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4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As at June 30, 2024, the Company had also entered into agreements for various studies which may require the Company to spend up to an additional 18,197. The Company expects to pay this amount within the next 12 months, however the timing and certainty of the payments are contingent on availability of materials and successful completion of certain milestones. The Company has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30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to cancel the studies at its discretion, in which case a cancellation fee may apply, however the Company is not liable to pay the full amount of the study.</w:t>
      </w:r>
    </w:p>
    <w:p>
      <w:pPr>
        <w:spacing w:after="0" w:line="2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Exchange. There is no assurance that the aforementioned milestones will be met.</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8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legal proceedings and claims. As at June 30, 2024, there was no ongoing litigation and therefore no contingent liabilities have been recorded.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Share Data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June 30, 2024, and as of the date of this MD&amp;A:</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320" w:type="dxa"/>
            <w:vAlign w:val="bottom"/>
            <w:tcBorders>
              <w:top w:val="single" w:sz="8" w:color="auto"/>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Class of Security</w:t>
            </w:r>
          </w:p>
        </w:tc>
        <w:tc>
          <w:tcPr>
            <w:tcW w:w="3260" w:type="dxa"/>
            <w:vAlign w:val="bottom"/>
            <w:tcBorders>
              <w:top w:val="single" w:sz="8" w:color="auto"/>
              <w:bottom w:val="single" w:sz="8" w:color="auto"/>
              <w:right w:val="single" w:sz="8" w:color="auto"/>
            </w:tcBorders>
            <w:shd w:val="clear" w:color="auto" w:fill="DBDBDB"/>
          </w:tcPr>
          <w:p>
            <w:pPr>
              <w:ind w:left="1020"/>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3700" w:type="dxa"/>
            <w:vAlign w:val="bottom"/>
            <w:tcBorders>
              <w:top w:val="single" w:sz="8" w:color="auto"/>
              <w:bottom w:val="single" w:sz="8" w:color="auto"/>
              <w:right w:val="single" w:sz="8" w:color="auto"/>
            </w:tcBorders>
            <w:shd w:val="clear" w:color="auto" w:fill="DBDBDB"/>
          </w:tcPr>
          <w:p>
            <w:pPr>
              <w:ind w:left="940"/>
              <w:spacing w:after="0"/>
              <w:rPr>
                <w:sz w:val="20"/>
                <w:szCs w:val="20"/>
                <w:color w:val="auto"/>
              </w:rPr>
            </w:pPr>
            <w:r>
              <w:rPr>
                <w:rFonts w:ascii="Times New Roman" w:cs="Times New Roman" w:eastAsia="Times New Roman" w:hAnsi="Times New Roman"/>
                <w:sz w:val="15"/>
                <w:szCs w:val="15"/>
                <w:b w:val="1"/>
                <w:bCs w:val="1"/>
                <w:color w:val="auto"/>
              </w:rPr>
              <w:t>As of the date of this MD&amp;A</w:t>
            </w:r>
          </w:p>
        </w:tc>
        <w:tc>
          <w:tcPr>
            <w:tcW w:w="0" w:type="dxa"/>
            <w:vAlign w:val="bottom"/>
          </w:tcPr>
          <w:p>
            <w:pPr>
              <w:spacing w:after="0"/>
              <w:rPr>
                <w:sz w:val="1"/>
                <w:szCs w:val="1"/>
                <w:color w:val="auto"/>
              </w:rPr>
            </w:pPr>
          </w:p>
        </w:tc>
      </w:tr>
      <w:tr>
        <w:trPr>
          <w:trHeight w:val="185"/>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Common Shares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759,692,495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759,692,495</w:t>
            </w:r>
          </w:p>
        </w:tc>
        <w:tc>
          <w:tcPr>
            <w:tcW w:w="0" w:type="dxa"/>
            <w:vAlign w:val="bottom"/>
          </w:tcPr>
          <w:p>
            <w:pPr>
              <w:spacing w:after="0"/>
              <w:rPr>
                <w:sz w:val="1"/>
                <w:szCs w:val="1"/>
                <w:color w:val="auto"/>
              </w:rPr>
            </w:pPr>
          </w:p>
        </w:tc>
      </w:tr>
      <w:tr>
        <w:trPr>
          <w:trHeight w:val="186"/>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Stock options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32,329,100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32,329,100</w:t>
            </w:r>
          </w:p>
        </w:tc>
        <w:tc>
          <w:tcPr>
            <w:tcW w:w="0" w:type="dxa"/>
            <w:vAlign w:val="bottom"/>
          </w:tcPr>
          <w:p>
            <w:pPr>
              <w:spacing w:after="0"/>
              <w:rPr>
                <w:sz w:val="1"/>
                <w:szCs w:val="1"/>
                <w:color w:val="auto"/>
              </w:rPr>
            </w:pPr>
          </w:p>
        </w:tc>
      </w:tr>
      <w:tr>
        <w:trPr>
          <w:trHeight w:val="186"/>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Common Share purchase warrants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106,255,498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106,255,498</w:t>
            </w:r>
          </w:p>
        </w:tc>
        <w:tc>
          <w:tcPr>
            <w:tcW w:w="0" w:type="dxa"/>
            <w:vAlign w:val="bottom"/>
          </w:tcPr>
          <w:p>
            <w:pPr>
              <w:spacing w:after="0"/>
              <w:rPr>
                <w:sz w:val="1"/>
                <w:szCs w:val="1"/>
                <w:color w:val="auto"/>
              </w:rPr>
            </w:pPr>
          </w:p>
        </w:tc>
      </w:tr>
      <w:tr>
        <w:trPr>
          <w:trHeight w:val="236"/>
        </w:trPr>
        <w:tc>
          <w:tcPr>
            <w:tcW w:w="4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 xml:space="preserve">Class B Shares (as defined below) </w:t>
            </w:r>
            <w:r>
              <w:rPr>
                <w:rFonts w:ascii="Times New Roman" w:cs="Times New Roman" w:eastAsia="Times New Roman" w:hAnsi="Times New Roman"/>
                <w:sz w:val="18"/>
                <w:szCs w:val="18"/>
                <w:color w:val="auto"/>
                <w:w w:val="94"/>
                <w:vertAlign w:val="superscript"/>
              </w:rPr>
              <w:t>(1)</w:t>
            </w:r>
          </w:p>
        </w:tc>
        <w:tc>
          <w:tcPr>
            <w:tcW w:w="3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36,084.7</w:t>
            </w:r>
          </w:p>
        </w:tc>
        <w:tc>
          <w:tcPr>
            <w:tcW w:w="3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36,084.7</w:t>
            </w:r>
          </w:p>
        </w:tc>
        <w:tc>
          <w:tcPr>
            <w:tcW w:w="0" w:type="dxa"/>
            <w:vAlign w:val="bottom"/>
          </w:tcPr>
          <w:p>
            <w:pPr>
              <w:spacing w:after="0"/>
              <w:rPr>
                <w:sz w:val="1"/>
                <w:szCs w:val="1"/>
                <w:color w:val="auto"/>
              </w:rPr>
            </w:pPr>
          </w:p>
        </w:tc>
      </w:tr>
      <w:tr>
        <w:trPr>
          <w:trHeight w:val="46"/>
        </w:trPr>
        <w:tc>
          <w:tcPr>
            <w:tcW w:w="4320" w:type="dxa"/>
            <w:vAlign w:val="bottom"/>
            <w:tcBorders>
              <w:left w:val="single" w:sz="8" w:color="auto"/>
              <w:bottom w:val="single" w:sz="8" w:color="auto"/>
              <w:right w:val="single" w:sz="8" w:color="auto"/>
            </w:tcBorders>
          </w:tcPr>
          <w:p>
            <w:pPr>
              <w:spacing w:after="0"/>
              <w:rPr>
                <w:sz w:val="4"/>
                <w:szCs w:val="4"/>
                <w:color w:val="auto"/>
              </w:rPr>
            </w:pPr>
          </w:p>
        </w:tc>
        <w:tc>
          <w:tcPr>
            <w:tcW w:w="3260" w:type="dxa"/>
            <w:vAlign w:val="bottom"/>
            <w:tcBorders>
              <w:bottom w:val="single" w:sz="8" w:color="auto"/>
              <w:right w:val="single" w:sz="8" w:color="auto"/>
            </w:tcBorders>
            <w:vMerge w:val="continue"/>
          </w:tcPr>
          <w:p>
            <w:pPr>
              <w:spacing w:after="0"/>
              <w:rPr>
                <w:sz w:val="4"/>
                <w:szCs w:val="4"/>
                <w:color w:val="auto"/>
              </w:rPr>
            </w:pPr>
          </w:p>
        </w:tc>
        <w:tc>
          <w:tcPr>
            <w:tcW w:w="37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Note:</w:t>
      </w:r>
    </w:p>
    <w:p>
      <w:pPr>
        <w:spacing w:after="0" w:line="83" w:lineRule="exact"/>
        <w:rPr>
          <w:sz w:val="20"/>
          <w:szCs w:val="20"/>
          <w:color w:val="auto"/>
        </w:rPr>
      </w:pPr>
    </w:p>
    <w:p>
      <w:pPr>
        <w:ind w:left="580" w:right="20" w:hanging="3"/>
        <w:spacing w:after="0" w:line="326" w:lineRule="auto"/>
        <w:tabs>
          <w:tab w:leader="none" w:pos="797"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10 Common Shares for each Class B Share, at the option of the holder thereof, subject to customary adjustments.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the date of this MD&amp;A 759,692,495 Common Shares were outstanding and no preferred shares were issued and outstanding.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2024, and the date of this MD&amp;A options to purchase up to 32,329,100 Common Shares were outstanding under Cybin’s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130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 Purchase Warrants</w:t>
      </w:r>
    </w:p>
    <w:p>
      <w:pPr>
        <w:spacing w:after="0" w:line="24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As of June 30, 2024, and the date of this MD&amp;A, warrants to purchase up to 106,255,498 Common Shares were outstanding, exercisable at weighted average exercise price of $ 0.60 per Common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Shares</w:t>
      </w:r>
    </w:p>
    <w:p>
      <w:pPr>
        <w:spacing w:after="0" w:line="26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connection with the Adelia Transaction (see “</w:t>
      </w: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 Cybin U.S. (a subsidiary of the Company) has issued 1,591,625.3 Class B Shares. The Class B Shares are exchangeable at the holder’s option for Common Shares on the basis of 10 Common Shares for 1 Class B Share, subject to customary adjustments. As of June 30, 2024 and the date of this MD&amp;A, 36,084.7 Class B Shares were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Adelia Acquisition</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2"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1299" w:right="319" w:bottom="1440" w:gutter="0" w:footer="0" w:header="0"/>
        </w:sectPr>
      </w:pPr>
    </w:p>
    <w:bookmarkStart w:id="90" w:name="page91"/>
    <w:bookmarkEnd w:id="90"/>
    <w:p>
      <w:pPr>
        <w:jc w:val="both"/>
        <w:spacing w:after="0" w:line="287" w:lineRule="auto"/>
        <w:rPr>
          <w:sz w:val="20"/>
          <w:szCs w:val="20"/>
          <w:color w:val="auto"/>
        </w:rPr>
      </w:pPr>
      <w:r>
        <w:rPr>
          <w:rFonts w:ascii="Times New Roman" w:cs="Times New Roman" w:eastAsia="Times New Roman" w:hAnsi="Times New Roman"/>
          <w:sz w:val="18"/>
          <w:szCs w:val="18"/>
          <w:color w:val="auto"/>
        </w:rPr>
        <w:t>percentage, within five business days following the relevant date at which there is agreement as to the achievement of the Milestone (the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1,555,540.6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8"/>
          <w:szCs w:val="18"/>
          <w:b w:val="1"/>
          <w:bCs w:val="1"/>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9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130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42,247.3 Class B Shares were issued to the Adelia Shareholders in satisfaction of $686 due to them upon meeting such Milestones.</w:t>
      </w:r>
    </w:p>
    <w:p>
      <w:pPr>
        <w:spacing w:after="0" w:line="2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9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7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8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9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1303" w:right="319" w:bottom="1440" w:gutter="0" w:footer="0" w:header="0"/>
        </w:sectPr>
      </w:pPr>
    </w:p>
    <w:bookmarkStart w:id="92" w:name="page93"/>
    <w:bookmarkEnd w:id="92"/>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9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7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2,669,331 Common Shares, representing an effective issue price of $0.762 per Common Share.</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8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331,901 Common Shares, representing an effective issue price of $1.41 per Common Share.</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179"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60"/>
          </w:cols>
          <w:pgMar w:left="320" w:top="1303" w:right="319" w:bottom="1440" w:gutter="0" w:footer="0" w:header="0"/>
        </w:sectPr>
      </w:pPr>
    </w:p>
    <w:bookmarkStart w:id="93" w:name="page94"/>
    <w:bookmarkEnd w:id="93"/>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5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Pharma Acquisition</w:t>
      </w:r>
    </w:p>
    <w:p>
      <w:pPr>
        <w:spacing w:after="0" w:line="24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August 28, 2023, the Company entered into the Arrangement Agreement with Small Pharma pursuant to which Cybin agreed to acquire all of the issued and outstanding shares of Small Pharma (each, a “</w:t>
      </w:r>
      <w:r>
        <w:rPr>
          <w:rFonts w:ascii="Times New Roman" w:cs="Times New Roman" w:eastAsia="Times New Roman" w:hAnsi="Times New Roman"/>
          <w:sz w:val="18"/>
          <w:szCs w:val="18"/>
          <w:b w:val="1"/>
          <w:bCs w:val="1"/>
          <w:color w:val="auto"/>
        </w:rPr>
        <w:t>Small Pharma Share</w:t>
      </w:r>
      <w:r>
        <w:rPr>
          <w:rFonts w:ascii="Times New Roman" w:cs="Times New Roman" w:eastAsia="Times New Roman" w:hAnsi="Times New Roman"/>
          <w:sz w:val="18"/>
          <w:szCs w:val="18"/>
          <w:color w:val="auto"/>
        </w:rPr>
        <w:t>”) in an all-equity business combination transaction to be completed by way the Arrangement.</w:t>
      </w:r>
    </w:p>
    <w:p>
      <w:pPr>
        <w:spacing w:after="0" w:line="19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September 13, 2023, Small Pharma was granted an interim order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by the Supreme Court of British Columbia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9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October 12, 2023, the Company held an annual and special meeting of shareholders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8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On October 23, 2023, the Company completed the Arrangement and issued 0.2409 Common Shares for every one Small Pharma Share outstanding, resulting in a total of 80,945,254 Common Shares being issued to Small Pharma shareholders. As a result of the Arrangement, Small Pharma is now a wholly-owned subsidiary of Cybin.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3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As at June 30, 2024 and the date of this MD&amp;A, other than these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23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8"/>
          <w:szCs w:val="18"/>
          <w:color w:val="auto"/>
        </w:rPr>
        <w:t>For the three month period ended June 30, 2024, the key management personnel of the Company were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Chief Executive Officer,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1303" w:right="319" w:bottom="1440" w:gutter="0" w:footer="0" w:header="0"/>
        </w:sectPr>
      </w:pPr>
    </w:p>
    <w:bookmarkStart w:id="94" w:name="page95"/>
    <w:bookmarkEnd w:id="94"/>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Financial Officer, Chief Operating Officer, Chief Growth Officer, Chief Compliance, Ethics &amp; Administrative Officer, Chief Legal Officer, Chief Innovation Officer, Chief Medical Officer, and Chief Scientific Officer.</w:t>
      </w:r>
    </w:p>
    <w:p>
      <w:pPr>
        <w:spacing w:after="0" w:line="13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month period ended June 30, 2024 consisted of consulting fees, short term benefits and other compensation of $3,625 (three-month period ended June 30, 2023 - $1,589).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 xml:space="preserve">The preparation of the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Financial Statements found on SEDAR+ at </w:t>
      </w:r>
      <w:r>
        <w:rPr>
          <w:rFonts w:ascii="Times New Roman" w:cs="Times New Roman" w:eastAsia="Times New Roman" w:hAnsi="Times New Roman"/>
          <w:sz w:val="18"/>
          <w:szCs w:val="18"/>
          <w:i w:val="1"/>
          <w:iCs w:val="1"/>
          <w:color w:val="auto"/>
        </w:rPr>
        <w:t>www.sedarplus.ca.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set out in note 2 of the Financial Statements, found on SEDAR+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maintains appropriate information systems, procedures and controls to provide reasonable assurance that</w:t>
      </w:r>
    </w:p>
    <w:p>
      <w:pPr>
        <w:spacing w:after="0" w:line="4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information that is publicly disclosed is complete, reliable and timely. The Chief Executive Officer (the “CEO”) and Chief Financial Officer (the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0"/>
          </w:cols>
          <w:pgMar w:left="320" w:top="130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3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76" w:lineRule="exact"/>
        <w:rPr>
          <w:sz w:val="20"/>
          <w:szCs w:val="20"/>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46" w:lineRule="exact"/>
        <w:rPr>
          <w:rFonts w:ascii="Calibri" w:cs="Calibri" w:eastAsia="Calibri" w:hAnsi="Calibri"/>
          <w:sz w:val="18"/>
          <w:szCs w:val="18"/>
          <w:color w:val="auto"/>
        </w:rPr>
      </w:pPr>
    </w:p>
    <w:p>
      <w:pPr>
        <w:ind w:left="580" w:right="20" w:hanging="296"/>
        <w:spacing w:after="0" w:line="322" w:lineRule="auto"/>
        <w:tabs>
          <w:tab w:leader="none" w:pos="576"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5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During the period ended June 30, 2024, the Company did not make any significant changes to its internal controls over financial reporting that would have materially affected, or reasonably likely to materially affect, its internal controls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pacing w:after="0" w:line="256" w:lineRule="exact"/>
        <w:rPr>
          <w:sz w:val="20"/>
          <w:szCs w:val="20"/>
          <w:color w:val="auto"/>
        </w:rPr>
      </w:pPr>
    </w:p>
    <w:p>
      <w:pPr>
        <w:jc w:val="both"/>
        <w:ind w:right="20"/>
        <w:spacing w:after="0" w:line="356" w:lineRule="auto"/>
        <w:rPr>
          <w:sz w:val="20"/>
          <w:szCs w:val="20"/>
          <w:color w:val="auto"/>
        </w:rPr>
      </w:pPr>
      <w:r>
        <w:rPr>
          <w:rFonts w:ascii="Times New Roman" w:cs="Times New Roman" w:eastAsia="Times New Roman" w:hAnsi="Times New Roman"/>
          <w:sz w:val="17"/>
          <w:szCs w:val="17"/>
          <w:color w:val="auto"/>
        </w:rPr>
        <w:t>A number of new standards, amendments to standards and interpretations are not yet effective at June 30, 2024, and have not been applied in preparing the condensed interim consolidated financial statements. Management has determined that none of these will have a significant effect on the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Risk Management</w:t>
      </w:r>
    </w:p>
    <w:p>
      <w:pPr>
        <w:spacing w:after="0" w:line="25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 is exposed to a variety of financial instrument related risks and is exposed to liquidity risk, credit risk, interest rate risk, foreign exchange risk, equity price risk, asset forfeiture risk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60"/>
          </w:cols>
          <w:pgMar w:left="320" w:top="1263" w:right="319" w:bottom="1440" w:gutter="0" w:footer="0" w:header="0"/>
        </w:sectPr>
      </w:pPr>
    </w:p>
    <w:bookmarkStart w:id="96" w:name="page97"/>
    <w:bookmarkEnd w:id="96"/>
    <w:p>
      <w:pPr>
        <w:jc w:val="both"/>
        <w:spacing w:after="0" w:line="294" w:lineRule="auto"/>
        <w:rPr>
          <w:sz w:val="20"/>
          <w:szCs w:val="20"/>
          <w:color w:val="auto"/>
        </w:rPr>
      </w:pPr>
      <w:r>
        <w:rPr>
          <w:rFonts w:ascii="Times New Roman" w:cs="Times New Roman" w:eastAsia="Times New Roman" w:hAnsi="Times New Roman"/>
          <w:sz w:val="18"/>
          <w:szCs w:val="18"/>
          <w:color w:val="auto"/>
        </w:rPr>
        <w:t xml:space="preserve">banking risk. Management, in conjunction with the Board, mitigates these risks by assessing, monitoring and approving the Company’s risk management processes. See note 15,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5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5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7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AIF, which is incorporated herein by reference. The risks described herein are not the only risks faced 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60"/>
          </w:cols>
          <w:pgMar w:left="320" w:top="1303" w:right="319" w:bottom="1440" w:gutter="0" w:footer="0" w:header="0"/>
        </w:sectPr>
      </w:pPr>
    </w:p>
    <w:bookmarkStart w:id="97" w:name="page98"/>
    <w:bookmarkEnd w:id="97"/>
    <w:p>
      <w:pPr>
        <w:jc w:val="both"/>
        <w:spacing w:after="0" w:line="291" w:lineRule="auto"/>
        <w:rPr>
          <w:sz w:val="20"/>
          <w:szCs w:val="20"/>
          <w:color w:val="auto"/>
        </w:rPr>
      </w:pPr>
      <w:r>
        <w:rPr>
          <w:rFonts w:ascii="Times New Roman" w:cs="Times New Roman" w:eastAsia="Times New Roman" w:hAnsi="Times New Roman"/>
          <w:sz w:val="18"/>
          <w:szCs w:val="18"/>
          <w:color w:val="auto"/>
        </w:rPr>
        <w:t>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Company’s Business and Industry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8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60"/>
          </w:cols>
          <w:pgMar w:left="320" w:top="130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under this heading “Risk Factors” for further disclosure of risks and events that may affect the timing of certain events the Company may announce.</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5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60"/>
          </w:cols>
          <w:pgMar w:left="320" w:top="1303" w:right="319" w:bottom="1440" w:gutter="0" w:footer="0" w:header="0"/>
        </w:sectPr>
      </w:pPr>
    </w:p>
    <w:bookmarkStart w:id="99" w:name="page100"/>
    <w:bookmarkEnd w:id="99"/>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83"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7"/>
          <w:szCs w:val="17"/>
          <w:color w:val="auto"/>
        </w:rPr>
        <w:t xml:space="preserve">The Company’s business relies on its ability to access, develop, and sell psilocybin,DMT-based compounds and other psychedelic compounds. Psilocybin DMT-based compounds and other psychedelic compounds are controlled substances in many jurisdictions, including in Canada under Schedule III of the </w:t>
      </w:r>
      <w:r>
        <w:rPr>
          <w:rFonts w:ascii="Times New Roman" w:cs="Times New Roman" w:eastAsia="Times New Roman" w:hAnsi="Times New Roman"/>
          <w:sz w:val="17"/>
          <w:szCs w:val="17"/>
          <w:i w:val="1"/>
          <w:iCs w:val="1"/>
          <w:color w:val="auto"/>
        </w:rPr>
        <w:t xml:space="preserve">Controlled Drugs and Substances Act </w:t>
      </w:r>
      <w:r>
        <w:rPr>
          <w:rFonts w:ascii="Times New Roman" w:cs="Times New Roman" w:eastAsia="Times New Roman" w:hAnsi="Times New Roman"/>
          <w:sz w:val="17"/>
          <w:szCs w:val="17"/>
          <w:color w:val="auto"/>
        </w:rPr>
        <w:t>and in the United States. The Company may face difficulty accessing the public capital markets in Canada as a result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0"/>
          </w:cols>
          <w:pgMar w:left="320" w:top="1303" w:right="319" w:bottom="1440" w:gutter="0" w:footer="0" w:header="0"/>
        </w:sectPr>
      </w:pPr>
    </w:p>
    <w:bookmarkStart w:id="100" w:name="page101"/>
    <w:bookmarkEnd w:id="100"/>
    <w:p>
      <w:pPr>
        <w:jc w:val="both"/>
        <w:spacing w:after="0" w:line="271" w:lineRule="auto"/>
        <w:rPr>
          <w:sz w:val="20"/>
          <w:szCs w:val="20"/>
          <w:color w:val="auto"/>
        </w:rPr>
      </w:pPr>
      <w:r>
        <w:rPr>
          <w:rFonts w:ascii="Times New Roman" w:cs="Times New Roman" w:eastAsia="Times New Roman" w:hAnsi="Times New Roman"/>
          <w:sz w:val="18"/>
          <w:szCs w:val="18"/>
          <w:color w:val="auto"/>
        </w:rPr>
        <w:t>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0"/>
          </w:cols>
          <w:pgMar w:left="320" w:top="1291" w:right="319" w:bottom="1440" w:gutter="0" w:footer="0" w:header="0"/>
        </w:sectPr>
      </w:pPr>
    </w:p>
    <w:bookmarkStart w:id="101" w:name="page102"/>
    <w:bookmarkEnd w:id="101"/>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7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of Operating in European Countries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8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 Status Under the U.S. Securities Laws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320" w:top="1303" w:right="319" w:bottom="1440" w:gutter="0" w:footer="0" w:header="0"/>
        </w:sectPr>
      </w:pPr>
    </w:p>
    <w:bookmarkStart w:id="102" w:name="page103"/>
    <w:bookmarkEnd w:id="102"/>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8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320" w:top="1291" w:right="319" w:bottom="1440" w:gutter="0" w:footer="0" w:header="0"/>
        </w:sectPr>
      </w:pPr>
    </w:p>
    <w:bookmarkStart w:id="103" w:name="page104"/>
    <w:bookmarkEnd w:id="103"/>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6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6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60"/>
          </w:cols>
          <w:pgMar w:left="320" w:top="1440" w:right="319" w:bottom="1440" w:gutter="0" w:footer="0" w:header="0"/>
        </w:sectPr>
      </w:pPr>
    </w:p>
    <w:bookmarkStart w:id="105" w:name="page106"/>
    <w:bookmarkEnd w:id="105"/>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spacing w:after="0" w:line="20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60"/>
          </w:cols>
          <w:pgMar w:left="320" w:top="1303"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20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9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68" w:lineRule="exact"/>
        <w:rPr>
          <w:sz w:val="20"/>
          <w:szCs w:val="20"/>
          <w:color w:val="auto"/>
        </w:rPr>
      </w:pPr>
    </w:p>
    <w:p>
      <w:pPr>
        <w:ind w:left="560" w:hanging="276"/>
        <w:spacing w:after="0"/>
        <w:tabs>
          <w:tab w:leader="none" w:pos="560" w:val="left"/>
        </w:tabs>
        <w:numPr>
          <w:ilvl w:val="0"/>
          <w:numId w:val="43"/>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43"/>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ind w:left="580" w:right="20" w:hanging="296"/>
        <w:spacing w:after="0" w:line="292" w:lineRule="auto"/>
        <w:tabs>
          <w:tab w:leader="none" w:pos="576" w:val="left"/>
        </w:tabs>
        <w:numPr>
          <w:ilvl w:val="0"/>
          <w:numId w:val="43"/>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ind w:left="580" w:right="20" w:hanging="296"/>
        <w:spacing w:after="0" w:line="292" w:lineRule="auto"/>
        <w:tabs>
          <w:tab w:leader="none" w:pos="576" w:val="left"/>
        </w:tabs>
        <w:numPr>
          <w:ilvl w:val="0"/>
          <w:numId w:val="43"/>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ind w:left="560" w:hanging="276"/>
        <w:spacing w:after="0"/>
        <w:tabs>
          <w:tab w:leader="none" w:pos="560" w:val="left"/>
        </w:tabs>
        <w:numPr>
          <w:ilvl w:val="0"/>
          <w:numId w:val="43"/>
        </w:numPr>
        <w:rPr>
          <w:rFonts w:ascii="Calibri" w:cs="Calibri" w:eastAsia="Calibri" w:hAnsi="Calibri"/>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w:t>
      </w:r>
    </w:p>
    <w:p>
      <w:pPr>
        <w:spacing w:after="0" w:line="46" w:lineRule="exact"/>
        <w:rPr>
          <w:rFonts w:ascii="Calibri" w:cs="Calibri" w:eastAsia="Calibri" w:hAnsi="Calibri"/>
          <w:sz w:val="18"/>
          <w:szCs w:val="18"/>
          <w:color w:val="auto"/>
        </w:rPr>
      </w:pPr>
    </w:p>
    <w:p>
      <w:pPr>
        <w:ind w:left="580"/>
        <w:spacing w:after="0" w:line="323"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consistent with the clinical trial protocol, regulatory requirements or other third parties not performing data collection and analysis in a timely or accurate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20" w:top="1299" w:right="319" w:bottom="1440" w:gutter="0" w:footer="0" w:header="0"/>
        </w:sectPr>
      </w:pPr>
    </w:p>
    <w:bookmarkStart w:id="107" w:name="page108"/>
    <w:bookmarkEnd w:id="107"/>
    <w:p>
      <w:pPr>
        <w:ind w:left="560" w:hanging="276"/>
        <w:spacing w:after="0"/>
        <w:tabs>
          <w:tab w:leader="none" w:pos="5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46"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580" w:right="20" w:hanging="296"/>
        <w:spacing w:after="0" w:line="285" w:lineRule="auto"/>
        <w:tabs>
          <w:tab w:leader="none" w:pos="576"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60" w:hanging="276"/>
        <w:spacing w:after="0"/>
        <w:tabs>
          <w:tab w:leader="none" w:pos="5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96"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7"/>
          <w:szCs w:val="17"/>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8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60"/>
          </w:cols>
          <w:pgMar w:left="320" w:top="1303"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9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320" w:top="1299" w:right="319" w:bottom="1440" w:gutter="0" w:footer="0" w:header="0"/>
        </w:sectPr>
      </w:pPr>
    </w:p>
    <w:bookmarkStart w:id="109" w:name="page110"/>
    <w:bookmarkEnd w:id="109"/>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7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Access and Acceptance</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0"/>
          </w:cols>
          <w:pgMar w:left="320" w:top="130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number of factors, many of which are beyond the Company’s control, including, but not limited to, the following:</w:t>
      </w:r>
    </w:p>
    <w:p>
      <w:pPr>
        <w:spacing w:after="0" w:line="264" w:lineRule="exact"/>
        <w:rPr>
          <w:sz w:val="20"/>
          <w:szCs w:val="20"/>
          <w:color w:val="auto"/>
        </w:rPr>
      </w:pP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acceptance by healthcare professionals, patients and healthcare payors of each product as safe, effective and cost-effective;</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changes in the standard of care for the targeted indications for any product;</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58" w:lineRule="exact"/>
        <w:rPr>
          <w:rFonts w:ascii="Calibri" w:cs="Calibri" w:eastAsia="Calibri" w:hAnsi="Calibri"/>
          <w:sz w:val="18"/>
          <w:szCs w:val="18"/>
          <w:color w:val="auto"/>
        </w:rPr>
      </w:pP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potential product liability claims;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product’s relative convenience, ease of use, ease of administration and other perceived advantages over alternatives;</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prevalence and severity of adverse events or publicity;</w:t>
      </w:r>
    </w:p>
    <w:p>
      <w:pPr>
        <w:spacing w:after="0" w:line="58" w:lineRule="exact"/>
        <w:rPr>
          <w:rFonts w:ascii="Calibri" w:cs="Calibri" w:eastAsia="Calibri" w:hAnsi="Calibri"/>
          <w:sz w:val="18"/>
          <w:szCs w:val="18"/>
          <w:color w:val="auto"/>
        </w:rPr>
      </w:pPr>
    </w:p>
    <w:p>
      <w:pPr>
        <w:ind w:left="580" w:right="20" w:hanging="296"/>
        <w:spacing w:after="0" w:line="292" w:lineRule="auto"/>
        <w:tabs>
          <w:tab w:leader="none" w:pos="627"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limitations, precautions or warnings listed in the summary of product characteristics, patient information leaflet, package labeling or instructions for use;</w:t>
      </w: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cost of treatment with the Company’s product in relation to alternatives;</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steps that prescribers and dispensers must take, as well as the perceived risks based upon its controlled substance status;</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ability to manufacture the Company’s product in sufficient quantities and yields with adequate purity;</w:t>
      </w:r>
    </w:p>
    <w:p>
      <w:pPr>
        <w:spacing w:after="0" w:line="58" w:lineRule="exact"/>
        <w:rPr>
          <w:rFonts w:ascii="Calibri" w:cs="Calibri" w:eastAsia="Calibri" w:hAnsi="Calibri"/>
          <w:sz w:val="18"/>
          <w:szCs w:val="18"/>
          <w:color w:val="auto"/>
        </w:rPr>
      </w:pPr>
    </w:p>
    <w:p>
      <w:pPr>
        <w:ind w:left="580" w:hanging="296"/>
        <w:spacing w:after="0" w:line="285" w:lineRule="auto"/>
        <w:tabs>
          <w:tab w:leader="none" w:pos="576"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availability and amount of coverage and reimbursement from healthcare payors, and the willingness of patients to pay out of pocket in the absence of healthcare payor coverage or adequate reimbursement;</w:t>
      </w:r>
    </w:p>
    <w:p>
      <w:pPr>
        <w:ind w:left="620" w:hanging="336"/>
        <w:spacing w:after="0"/>
        <w:tabs>
          <w:tab w:leader="none" w:pos="62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willingness of the target patient population to try, and of healthcare professionals to prescribe, the product;</w:t>
      </w:r>
    </w:p>
    <w:p>
      <w:pPr>
        <w:spacing w:after="0" w:line="58"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potential unfavorable publicity, including negative publicity associated with recreational use or abuse of psilocybin, DMT-based compounds and other psychedelic compounds; and</w:t>
      </w:r>
    </w:p>
    <w:p>
      <w:pPr>
        <w:ind w:left="560" w:hanging="276"/>
        <w:spacing w:after="0"/>
        <w:tabs>
          <w:tab w:leader="none" w:pos="56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restrictions on the use, sale or distribution of the Company’s future products.</w:t>
      </w:r>
    </w:p>
    <w:p>
      <w:pPr>
        <w:spacing w:after="0" w:line="2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60"/>
          </w:cols>
          <w:pgMar w:left="320" w:top="1303" w:right="319" w:bottom="1440" w:gutter="0" w:footer="0" w:header="0"/>
        </w:sectPr>
      </w:pPr>
    </w:p>
    <w:bookmarkStart w:id="111" w:name="page112"/>
    <w:bookmarkEnd w:id="111"/>
    <w:p>
      <w:pPr>
        <w:jc w:val="both"/>
        <w:spacing w:after="0" w:line="288" w:lineRule="auto"/>
        <w:rPr>
          <w:sz w:val="20"/>
          <w:szCs w:val="20"/>
          <w:color w:val="auto"/>
        </w:rPr>
      </w:pPr>
      <w:r>
        <w:rPr>
          <w:rFonts w:ascii="Times New Roman" w:cs="Times New Roman" w:eastAsia="Times New Roman" w:hAnsi="Times New Roman"/>
          <w:sz w:val="18"/>
          <w:szCs w:val="18"/>
          <w:color w:val="auto"/>
        </w:rPr>
        <w:t>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9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DMT or isolated constituents, regulatory proceedings, litigation, media attention or other research findings or publicity will be favourable to the industry or the Company or any particular product, or consistent with earlier publicity.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60"/>
          </w:cols>
          <w:pgMar w:left="320" w:top="130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some competitors use therapeutic approaches that may compete directly with the Company’s prescription drug product candidates.</w:t>
      </w:r>
    </w:p>
    <w:p>
      <w:pPr>
        <w:spacing w:after="0" w:line="2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83" w:lineRule="exact"/>
        <w:rPr>
          <w:sz w:val="20"/>
          <w:szCs w:val="20"/>
          <w:color w:val="auto"/>
        </w:rPr>
      </w:pPr>
    </w:p>
    <w:p>
      <w:pPr>
        <w:ind w:left="580" w:right="20" w:hanging="296"/>
        <w:spacing w:after="0" w:line="29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58" w:lineRule="exact"/>
        <w:rPr>
          <w:rFonts w:ascii="Calibri" w:cs="Calibri" w:eastAsia="Calibri" w:hAnsi="Calibri"/>
          <w:sz w:val="18"/>
          <w:szCs w:val="18"/>
          <w:color w:val="auto"/>
        </w:rPr>
      </w:pPr>
    </w:p>
    <w:p>
      <w:pPr>
        <w:ind w:left="580" w:right="20" w:hanging="296"/>
        <w:spacing w:after="0" w:line="32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5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183"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8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60"/>
          </w:cols>
          <w:pgMar w:left="320" w:top="130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could materially and adversely affect the business, financial condition and results of operations of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60"/>
          </w:cols>
          <w:pgMar w:left="320" w:top="130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could have a substantial impact on the Company’s business and results of operations, including the imposition of substantial fines or other sanctions.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8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60"/>
          </w:cols>
          <w:pgMar w:left="320" w:top="1303" w:right="319" w:bottom="1440" w:gutter="0" w:footer="0" w:header="0"/>
        </w:sectPr>
      </w:pPr>
    </w:p>
    <w:bookmarkStart w:id="115" w:name="page116"/>
    <w:bookmarkEnd w:id="115"/>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against it. A successful liability claim or series of claims brought against the Company could have a material adverse effect on its business, financial condition and results of operations.</w:t>
      </w:r>
    </w:p>
    <w:p>
      <w:pPr>
        <w:spacing w:after="0" w:line="1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76"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Material Recalls</w:t>
      </w:r>
    </w:p>
    <w:p>
      <w:pPr>
        <w:spacing w:after="0" w:line="25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02" w:lineRule="exact"/>
        <w:rPr>
          <w:sz w:val="20"/>
          <w:szCs w:val="20"/>
          <w:color w:val="auto"/>
        </w:rPr>
      </w:pPr>
    </w:p>
    <w:p>
      <w:pPr>
        <w:jc w:val="both"/>
        <w:ind w:right="20"/>
        <w:spacing w:after="0" w:line="341" w:lineRule="auto"/>
        <w:rPr>
          <w:sz w:val="20"/>
          <w:szCs w:val="20"/>
          <w:color w:val="auto"/>
        </w:rPr>
      </w:pPr>
      <w:r>
        <w:rPr>
          <w:rFonts w:ascii="Times New Roman" w:cs="Times New Roman" w:eastAsia="Times New Roman" w:hAnsi="Times New Roman"/>
          <w:sz w:val="17"/>
          <w:szCs w:val="17"/>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60"/>
          </w:cols>
          <w:pgMar w:left="320" w:top="1303" w:right="319" w:bottom="1440" w:gutter="0" w:footer="0" w:header="0"/>
        </w:sectPr>
      </w:pPr>
    </w:p>
    <w:bookmarkStart w:id="116" w:name="page117"/>
    <w:bookmarkEnd w:id="116"/>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6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60"/>
          </w:cols>
          <w:pgMar w:left="320" w:top="1303" w:right="319" w:bottom="1440" w:gutter="0" w:footer="0" w:header="0"/>
        </w:sectPr>
      </w:pPr>
    </w:p>
    <w:bookmarkStart w:id="117" w:name="page118"/>
    <w:bookmarkEnd w:id="117"/>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psychedelic pharmaceutical products could have certain side effects if not used as directed or if taken by an end user that has certain known or unknown medical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60"/>
          </w:cols>
          <w:pgMar w:left="320" w:top="1303" w:right="319" w:bottom="1440" w:gutter="0" w:footer="0" w:header="0"/>
        </w:sectPr>
      </w:pPr>
    </w:p>
    <w:bookmarkStart w:id="118" w:name="page119"/>
    <w:bookmarkEnd w:id="118"/>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60"/>
          </w:cols>
          <w:pgMar w:left="320" w:top="1303" w:right="319" w:bottom="1440" w:gutter="0" w:footer="0" w:header="0"/>
        </w:sectPr>
      </w:pPr>
    </w:p>
    <w:bookmarkStart w:id="119" w:name="page120"/>
    <w:bookmarkEnd w:id="119"/>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could adversely affect the Company’s operations. These outside business interests could require significant time and attention of the Company’s executive officers and directors.</w:t>
      </w:r>
    </w:p>
    <w:p>
      <w:pPr>
        <w:spacing w:after="0" w:line="1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76" w:lineRule="exact"/>
        <w:rPr>
          <w:sz w:val="20"/>
          <w:szCs w:val="20"/>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differences in the regulatory requirements for drug approvals;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requirements for securing, maintaining or obtaining freedom to operate;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potential for reduced protection for intellectual property rights;</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challenges with compliance to different regulations and court systems of multiple jurisdictions and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compliance with a wide variety of foreign laws, treaties and regulations;</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46" w:lineRule="exact"/>
        <w:rPr>
          <w:rFonts w:ascii="Calibri" w:cs="Calibri" w:eastAsia="Calibri" w:hAnsi="Calibri"/>
          <w:sz w:val="18"/>
          <w:szCs w:val="18"/>
          <w:color w:val="auto"/>
        </w:rPr>
      </w:pPr>
    </w:p>
    <w:p>
      <w:pPr>
        <w:ind w:left="620" w:hanging="336"/>
        <w:spacing w:after="0"/>
        <w:tabs>
          <w:tab w:leader="none" w:pos="62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labor relations that create challenges with staffing and managing international operations; and</w:t>
      </w:r>
    </w:p>
    <w:p>
      <w:pPr>
        <w:spacing w:after="0" w:line="58" w:lineRule="exact"/>
        <w:rPr>
          <w:rFonts w:ascii="Calibri" w:cs="Calibri" w:eastAsia="Calibri" w:hAnsi="Calibri"/>
          <w:sz w:val="18"/>
          <w:szCs w:val="18"/>
          <w:color w:val="auto"/>
        </w:rPr>
      </w:pPr>
    </w:p>
    <w:p>
      <w:pPr>
        <w:ind w:left="620" w:hanging="336"/>
        <w:spacing w:after="0"/>
        <w:tabs>
          <w:tab w:leader="none" w:pos="62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impacts on manufacturing capabilities leading to production shortages.</w:t>
      </w:r>
    </w:p>
    <w:p>
      <w:pPr>
        <w:spacing w:after="0" w:line="2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60"/>
          </w:cols>
          <w:pgMar w:left="320" w:top="1303" w:right="319" w:bottom="1440" w:gutter="0" w:footer="0" w:header="0"/>
        </w:sectPr>
      </w:pPr>
    </w:p>
    <w:bookmarkStart w:id="120" w:name="page121"/>
    <w:bookmarkEnd w:id="120"/>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 may also be hindered or prevented from enforcing its rights with respect to a governmental entity or instrumentality because of the doctrine of sovereign immunity.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w:t>
      </w:r>
    </w:p>
    <w:p>
      <w:pPr>
        <w:spacing w:after="0" w:line="2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9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60"/>
          </w:cols>
          <w:pgMar w:left="320" w:top="1303" w:right="319" w:bottom="1440" w:gutter="0" w:footer="0" w:header="0"/>
        </w:sectPr>
      </w:pPr>
    </w:p>
    <w:bookmarkStart w:id="121" w:name="page122"/>
    <w:bookmarkEnd w:id="121"/>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9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Decriminalization of Psychedelics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60"/>
          </w:cols>
          <w:pgMar w:left="320" w:top="1303" w:right="319" w:bottom="1440" w:gutter="0" w:footer="0" w:header="0"/>
        </w:sectPr>
      </w:pPr>
    </w:p>
    <w:bookmarkStart w:id="122" w:name="page123"/>
    <w:bookmarkEnd w:id="122"/>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DMT,and potentially other psychotropic compounds in the future may also impact commercial sales for the Company due to a reduced barrier to entry leading to a risk of increasing competition.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2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76" w:lineRule="exact"/>
        <w:rPr>
          <w:sz w:val="20"/>
          <w:szCs w:val="20"/>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inflation;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fluctuations in exchange rates;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interest rates and monetary policies;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import and export controls;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60"/>
          </w:cols>
          <w:pgMar w:left="320" w:top="1303" w:right="319" w:bottom="1440" w:gutter="0" w:footer="0" w:header="0"/>
        </w:sectPr>
      </w:pPr>
    </w:p>
    <w:bookmarkStart w:id="123" w:name="page124"/>
    <w:bookmarkEnd w:id="123"/>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fiscal policies; and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9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8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5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7"/>
          <w:szCs w:val="17"/>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5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60"/>
          </w:cols>
          <w:pgMar w:left="320" w:top="1303" w:right="319" w:bottom="1440" w:gutter="0" w:footer="0" w:header="0"/>
        </w:sectPr>
      </w:pPr>
    </w:p>
    <w:bookmarkStart w:id="124" w:name="page125"/>
    <w:bookmarkEnd w:id="124"/>
    <w:p>
      <w:pPr>
        <w:spacing w:after="0" w:line="8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Epidemics and Other Health Risks</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Pandemics, epidemics and other health risks could have an adverse effect on the economy and financial markets, resulting in a decline of commercial activity.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have an adverse effect on the Company’s business and financial performance.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3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4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60"/>
          </w:cols>
          <w:pgMar w:left="320" w:top="1440" w:right="319" w:bottom="1440" w:gutter="0" w:footer="0" w:header="0"/>
        </w:sectPr>
      </w:pPr>
    </w:p>
    <w:bookmarkStart w:id="125" w:name="page126"/>
    <w:bookmarkEnd w:id="125"/>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2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18"/>
          <w:szCs w:val="18"/>
          <w:b w:val="1"/>
          <w:bCs w:val="1"/>
          <w:color w:val="auto"/>
        </w:rPr>
        <w:t>CIPO</w:t>
      </w:r>
      <w:r>
        <w:rPr>
          <w:rFonts w:ascii="Times New Roman" w:cs="Times New Roman" w:eastAsia="Times New Roman" w:hAnsi="Times New Roman"/>
          <w:sz w:val="18"/>
          <w:szCs w:val="18"/>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60"/>
          </w:cols>
          <w:pgMar w:left="320" w:top="1303" w:right="319" w:bottom="1440" w:gutter="0" w:footer="0" w:header="0"/>
        </w:sectPr>
      </w:pPr>
    </w:p>
    <w:bookmarkStart w:id="126" w:name="page127"/>
    <w:bookmarkEnd w:id="126"/>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16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20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18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18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60"/>
          </w:cols>
          <w:pgMar w:left="320" w:top="1291" w:right="319" w:bottom="1440" w:gutter="0" w:footer="0" w:header="0"/>
        </w:sectPr>
      </w:pPr>
    </w:p>
    <w:bookmarkStart w:id="127" w:name="page128"/>
    <w:bookmarkEnd w:id="127"/>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of the foregoing could have a material adverse effect on the Company’s competitive position, business, financial conditions, results of operations, and prospects.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23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5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60"/>
          </w:cols>
          <w:pgMar w:left="320" w:top="1291" w:right="319" w:bottom="1440" w:gutter="0" w:footer="0" w:header="0"/>
        </w:sectPr>
      </w:pPr>
    </w:p>
    <w:bookmarkStart w:id="128" w:name="page129"/>
    <w:bookmarkEnd w:id="128"/>
    <w:p>
      <w:pPr>
        <w:jc w:val="both"/>
        <w:spacing w:after="0" w:line="289" w:lineRule="auto"/>
        <w:rPr>
          <w:sz w:val="20"/>
          <w:szCs w:val="20"/>
          <w:color w:val="auto"/>
        </w:rPr>
      </w:pPr>
      <w:r>
        <w:rPr>
          <w:rFonts w:ascii="Times New Roman" w:cs="Times New Roman" w:eastAsia="Times New Roman" w:hAnsi="Times New Roman"/>
          <w:sz w:val="18"/>
          <w:szCs w:val="18"/>
          <w:color w:val="auto"/>
        </w:rPr>
        <w:t>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7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23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4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60"/>
          </w:cols>
          <w:pgMar w:left="320" w:top="1303" w:right="319" w:bottom="1440" w:gutter="0" w:footer="0" w:header="0"/>
        </w:sectPr>
      </w:pPr>
    </w:p>
    <w:bookmarkStart w:id="129" w:name="page130"/>
    <w:bookmarkEnd w:id="129"/>
    <w:p>
      <w:pPr>
        <w:jc w:val="both"/>
        <w:spacing w:after="0" w:line="291" w:lineRule="auto"/>
        <w:rPr>
          <w:sz w:val="20"/>
          <w:szCs w:val="20"/>
          <w:color w:val="auto"/>
        </w:rPr>
      </w:pPr>
      <w:r>
        <w:rPr>
          <w:rFonts w:ascii="Times New Roman" w:cs="Times New Roman" w:eastAsia="Times New Roman" w:hAnsi="Times New Roman"/>
          <w:sz w:val="17"/>
          <w:szCs w:val="17"/>
          <w:color w:val="auto"/>
        </w:rPr>
        <w:t>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17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3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60"/>
          </w:cols>
          <w:pgMar w:left="320" w:top="1291" w:right="319" w:bottom="1440" w:gutter="0" w:footer="0" w:header="0"/>
        </w:sectPr>
      </w:pPr>
    </w:p>
    <w:bookmarkStart w:id="130" w:name="page131"/>
    <w:bookmarkEnd w:id="130"/>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6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Accounting Risks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60"/>
          </w:cols>
          <w:pgMar w:left="320" w:top="1303"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6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0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60"/>
          </w:cols>
          <w:pgMar w:left="320" w:top="1299"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Company’s business and operations, including without limitation, the Company’s ability to raise additional capital.</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60"/>
          </w:cols>
          <w:pgMar w:left="320" w:top="1303" w:right="319" w:bottom="1440" w:gutter="0" w:footer="0" w:header="0"/>
        </w:sectPr>
      </w:pPr>
    </w:p>
    <w:bookmarkStart w:id="133" w:name="page134"/>
    <w:bookmarkEnd w:id="133"/>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Common Shares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2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2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7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60"/>
          </w:cols>
          <w:pgMar w:left="320" w:top="1440" w:right="319" w:bottom="1440" w:gutter="0" w:footer="0" w:header="0"/>
        </w:sectPr>
      </w:pPr>
    </w:p>
    <w:bookmarkStart w:id="134" w:name="page135"/>
    <w:bookmarkEnd w:id="134"/>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24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24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Company has been filed electronically through SEDAR+ and is available online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60"/>
          </w:cols>
          <w:pgMar w:left="320" w:top="1303"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Douglas Drysdale, as Chief Executive Officer of Cybin Inc., certify the following:</w:t>
      </w:r>
    </w:p>
    <w:p>
      <w:pPr>
        <w:spacing w:after="0" w:line="223" w:lineRule="exact"/>
        <w:rPr>
          <w:sz w:val="20"/>
          <w:szCs w:val="20"/>
          <w:color w:val="auto"/>
        </w:rPr>
      </w:pPr>
    </w:p>
    <w:p>
      <w:pPr>
        <w:ind w:left="580" w:hanging="293"/>
        <w:spacing w:after="0" w:line="290" w:lineRule="auto"/>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June 30, 2024.</w:t>
      </w:r>
    </w:p>
    <w:p>
      <w:pPr>
        <w:spacing w:after="0" w:line="159"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 internal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over financial reporting (ICFR), as those terms are defined in National Instrument 52-109 Certification of Disclosure in Issuers’ Annual and Interim Filings, for the issuer.</w:t>
      </w:r>
    </w:p>
    <w:p>
      <w:pPr>
        <w:spacing w:after="0" w:line="174" w:lineRule="exact"/>
        <w:rPr>
          <w:rFonts w:ascii="Times New Roman" w:cs="Times New Roman" w:eastAsia="Times New Roman" w:hAnsi="Times New Roman"/>
          <w:sz w:val="16"/>
          <w:szCs w:val="16"/>
          <w:color w:val="auto"/>
        </w:rPr>
      </w:pPr>
    </w:p>
    <w:p>
      <w:pPr>
        <w:ind w:left="580" w:hanging="293"/>
        <w:spacing w:after="0" w:line="290" w:lineRule="auto"/>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interim filings</w:t>
      </w:r>
    </w:p>
    <w:p>
      <w:pPr>
        <w:spacing w:after="0" w:line="16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2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6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3"/>
        <w:spacing w:after="0" w:line="285" w:lineRule="auto"/>
        <w:tabs>
          <w:tab w:leader="none" w:pos="116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3" w:lineRule="exact"/>
        <w:rPr>
          <w:sz w:val="20"/>
          <w:szCs w:val="20"/>
          <w:color w:val="auto"/>
        </w:rPr>
      </w:pPr>
    </w:p>
    <w:p>
      <w:pPr>
        <w:ind w:left="580" w:hanging="289"/>
        <w:spacing w:after="0" w:line="290"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60"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580" w:hanging="293"/>
        <w:spacing w:after="0" w:line="290" w:lineRule="auto"/>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April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June 30, 2024 that has materially affected, or is reasonably likely to materially affect, the issuer’s ICFR.</w:t>
      </w:r>
    </w:p>
    <w:p>
      <w:pPr>
        <w:sectPr>
          <w:pgSz w:w="11900" w:h="16838" w:orient="portrait"/>
          <w:cols w:equalWidth="0" w:num="1">
            <w:col w:w="11240"/>
          </w:cols>
          <w:pgMar w:left="320" w:top="1281" w:right="339" w:bottom="1440" w:gutter="0" w:footer="0" w:header="0"/>
        </w:sectPr>
      </w:pPr>
    </w:p>
    <w:bookmarkStart w:id="136" w:name="page137"/>
    <w:bookmarkEnd w:id="136"/>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8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19577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7705" cy="7620"/>
                    </a:xfrm>
                    <a:prstGeom prst="rect">
                      <a:avLst/>
                    </a:prstGeom>
                    <a:noFill/>
                  </pic:spPr>
                </pic:pic>
              </a:graphicData>
            </a:graphic>
          </wp:anchor>
        </w:drawing>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Douglas Drysdale</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0139"/>
          </w:cols>
          <w:pgMar w:left="320" w:top="1440" w:right="14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Greg Cavers, as Chief Financial Officer of Cybin Inc., certify the following:</w:t>
      </w:r>
    </w:p>
    <w:p>
      <w:pPr>
        <w:spacing w:after="0" w:line="199" w:lineRule="exact"/>
        <w:rPr>
          <w:sz w:val="20"/>
          <w:szCs w:val="20"/>
          <w:color w:val="auto"/>
        </w:rPr>
      </w:pPr>
    </w:p>
    <w:p>
      <w:pPr>
        <w:ind w:left="580" w:hanging="293"/>
        <w:spacing w:after="0" w:line="290"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June 30, 2024.</w:t>
      </w:r>
    </w:p>
    <w:p>
      <w:pPr>
        <w:spacing w:after="0" w:line="159"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 internal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over financial reporting (ICFR), as those terms are defined in National Instrument 52-109 Certification of Disclosure in Issuers’ Annual and Interim Filings, for the issuer.</w:t>
      </w:r>
    </w:p>
    <w:p>
      <w:pPr>
        <w:spacing w:after="0" w:line="174" w:lineRule="exact"/>
        <w:rPr>
          <w:rFonts w:ascii="Times New Roman" w:cs="Times New Roman" w:eastAsia="Times New Roman" w:hAnsi="Times New Roman"/>
          <w:sz w:val="16"/>
          <w:szCs w:val="16"/>
          <w:color w:val="auto"/>
        </w:rPr>
      </w:pPr>
    </w:p>
    <w:p>
      <w:pPr>
        <w:ind w:left="580" w:hanging="293"/>
        <w:spacing w:after="0" w:line="290"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interim filings</w:t>
      </w:r>
    </w:p>
    <w:p>
      <w:pPr>
        <w:spacing w:after="0" w:line="16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2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6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3"/>
        <w:spacing w:after="0" w:line="285" w:lineRule="auto"/>
        <w:tabs>
          <w:tab w:leader="none" w:pos="116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3" w:lineRule="exact"/>
        <w:rPr>
          <w:sz w:val="20"/>
          <w:szCs w:val="20"/>
          <w:color w:val="auto"/>
        </w:rPr>
      </w:pPr>
    </w:p>
    <w:p>
      <w:pPr>
        <w:ind w:left="580" w:hanging="289"/>
        <w:spacing w:after="0" w:line="290"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60"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580" w:hanging="293"/>
        <w:spacing w:after="0" w:line="290"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April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June 30, 2024 that has materially affected, or is reasonably likely to materially affect, the issuer’s ICFR.</w:t>
      </w:r>
    </w:p>
    <w:p>
      <w:pPr>
        <w:sectPr>
          <w:pgSz w:w="11900" w:h="16838" w:orient="portrait"/>
          <w:cols w:equalWidth="0" w:num="1">
            <w:col w:w="11240"/>
          </w:cols>
          <w:pgMar w:left="320" w:top="128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t>Date August 8,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19577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7705" cy="762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Greg Cavers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0139"/>
          </w:cols>
          <w:pgMar w:left="320" w:top="1283"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2987675</wp:posOffset>
            </wp:positionH>
            <wp:positionV relativeFrom="page">
              <wp:posOffset>963930</wp:posOffset>
            </wp:positionV>
            <wp:extent cx="1581150" cy="921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581150" cy="92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Cybin Reports First Quarter Fiscal Year 2025 Financial Results and Recent Business Highlights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Phase 3 multinational study of CYB003 expected to begin in late summer 2024 -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- 30 clinical sites selected across the United States and Europe for Phase 3 CYB003 study -</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- 12-month efficacy results from Phase 2 study of CYB003 in MDD expected Q4 2024 -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Additional United States patent granted providing protection for the CYB004 program -</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Strengthened R&amp;D team with additional experienced drug development leaders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Cash totaled C$183 million as of June 30, 2024 -</w:t>
      </w:r>
    </w:p>
    <w:p>
      <w:pPr>
        <w:spacing w:after="0" w:line="240"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i w:val="1"/>
          <w:iCs w:val="1"/>
          <w:color w:val="auto"/>
        </w:rPr>
        <w:t>This news release constitutes a “designated news release” for the purposes of Cybin’s prospectus supplements each dated August 23, 2023, to its short form base shelf prospectus dated August 17, 2023, as amended December 22, 2023, and April 8, 2024.</w:t>
      </w:r>
    </w:p>
    <w:p>
      <w:pPr>
        <w:spacing w:after="0" w:line="15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August 8, 2024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563C1"/>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(NYSE American: CYBN) (Cboe CA:CYBN)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clinical-stage</w:t>
      </w:r>
      <w:r>
        <w:rPr>
          <w:rFonts w:ascii="Arial" w:cs="Arial" w:eastAsia="Arial" w:hAnsi="Arial"/>
          <w:sz w:val="17"/>
          <w:szCs w:val="17"/>
          <w:b w:val="1"/>
          <w:bCs w:val="1"/>
          <w:color w:val="auto"/>
        </w:rPr>
        <w:t xml:space="preserve"> </w:t>
      </w:r>
      <w:r>
        <w:rPr>
          <w:rFonts w:ascii="Arial" w:cs="Arial" w:eastAsia="Arial" w:hAnsi="Arial"/>
          <w:sz w:val="17"/>
          <w:szCs w:val="17"/>
          <w:color w:val="auto"/>
        </w:rPr>
        <w:t>breakthrough neuropsychiatry company committed to revolutionizing mental healthcare by developing new and innovative next-generation treatment options, today reported unaudited financial results for its first quarter ended June 30, 2024, and recent business highlights.</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recent quarter we continued to move quickly, having achieved meaningful progress on the development of our two lead product candidates: CYB003, our proprietary deuterated psilocybin analog program in development for the adjunctive treatment of Major Depressive Disorder, and CYB004, our proprietary deuterated dimethyltryptamine program in development for the treatment of Generalized Anxiety Disorder. The path towards approval and commercialization for our novel therapeutics is coming into focus as we work efficiently to provide improved outcomes for patients and their families,” said Doug Drysdale, Chief Executive Officer of Cybin.</w:t>
      </w:r>
    </w:p>
    <w:p>
      <w:pPr>
        <w:sectPr>
          <w:pgSz w:w="11900" w:h="16838" w:orient="portrait"/>
          <w:cols w:equalWidth="0" w:num="1">
            <w:col w:w="11260"/>
          </w:cols>
          <w:pgMar w:left="320" w:top="1440" w:right="319" w:bottom="1440" w:gutter="0" w:footer="0" w:header="0"/>
        </w:sectPr>
      </w:pPr>
    </w:p>
    <w:bookmarkStart w:id="140" w:name="page141"/>
    <w:bookmarkEnd w:id="140"/>
    <w:p>
      <w:pPr>
        <w:jc w:val="both"/>
        <w:ind w:right="20"/>
        <w:spacing w:after="0" w:line="288" w:lineRule="auto"/>
        <w:rPr>
          <w:sz w:val="20"/>
          <w:szCs w:val="20"/>
          <w:color w:val="auto"/>
        </w:rPr>
      </w:pPr>
      <w:r>
        <w:rPr>
          <w:rFonts w:ascii="Arial" w:cs="Arial" w:eastAsia="Arial" w:hAnsi="Arial"/>
          <w:sz w:val="18"/>
          <w:szCs w:val="18"/>
          <w:color w:val="auto"/>
        </w:rPr>
        <w:t>“To spearhead these programs through the next phases of development, we have hired two talented and experienced drug development experts: Dr. Atul R. Mahableshwarkar, and Dr. Tom Macek, to lead the CYB003 and CYB004 programs, respectively. Both bring in-depth expertise, and we welcome their guidance as we advance toward regulatory approval.”</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“Importantly, CYB003, which is in development for the possible adjunctive treatment of MDD, has received U.S. Food and Drug Administration Breakthrough Therapy Designation. To date, CYB003 has demonstrated a robust, sustained benefit, with 75% of patients in the Phase 2 study in remission from depression four months after two doses (16mg). We expect to report 12-month efficacy data from our Phase 2 study this fall, providing further insights into the long-term efficacy of CYB003 in MDD. We also look forward to commencing our Phase 3 pivotal trial for CYB003 shortly. Concurrently, we are progressing our Phase 2 study of CYB004, in development for the treatment of GAD, where dosing is underway, and expect to share topline safety and efficacy data around year-end, or early Q1 2025. With our two lead programs, we are excited by the prospect of unlocking innovative mental health treatment options that are effective and patient-friendly as we continue our evolution into a late-stage clinical development company,” concluded Drysdale.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4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 xml:space="preserve">Continued progress towards initiation of our Phase 3 multinational study for the CYB003 program in late summer of 2024. </w:t>
      </w:r>
      <w:r>
        <w:rPr>
          <w:rFonts w:ascii="Arial" w:cs="Arial" w:eastAsia="Arial" w:hAnsi="Arial"/>
          <w:sz w:val="18"/>
          <w:szCs w:val="18"/>
          <w:color w:val="auto"/>
        </w:rPr>
        <w:t>The Phase</w:t>
      </w:r>
      <w:r>
        <w:rPr>
          <w:rFonts w:ascii="Arial" w:cs="Arial" w:eastAsia="Arial" w:hAnsi="Arial"/>
          <w:sz w:val="18"/>
          <w:szCs w:val="18"/>
          <w:b w:val="1"/>
          <w:bCs w:val="1"/>
          <w:color w:val="auto"/>
        </w:rPr>
        <w:t xml:space="preserve"> </w:t>
      </w:r>
      <w:r>
        <w:rPr>
          <w:rFonts w:ascii="Arial" w:cs="Arial" w:eastAsia="Arial" w:hAnsi="Arial"/>
          <w:sz w:val="18"/>
          <w:szCs w:val="18"/>
          <w:color w:val="auto"/>
        </w:rPr>
        <w:t>3 MDD study will include thirty sites in the United States and Europe with deep clinical expertise in depression studies. Clinical site selection has been completed for the Phase 3 study, and the Company is on track to commence enrollment shortly.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Strengthened research and development team with two key additions:</w:t>
      </w:r>
    </w:p>
    <w:p>
      <w:pPr>
        <w:spacing w:after="0" w:line="240" w:lineRule="exact"/>
        <w:rPr>
          <w:sz w:val="20"/>
          <w:szCs w:val="20"/>
          <w:color w:val="auto"/>
        </w:rPr>
      </w:pPr>
    </w:p>
    <w:p>
      <w:pPr>
        <w:jc w:val="both"/>
        <w:ind w:left="580" w:right="20" w:hanging="293"/>
        <w:spacing w:after="0" w:line="281" w:lineRule="auto"/>
        <w:tabs>
          <w:tab w:leader="none" w:pos="569"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Dr. Atul R. Mahableshwarkar M.D., DLFAPA, Senior Vice President, Clinical Development. </w:t>
      </w:r>
      <w:r>
        <w:rPr>
          <w:rFonts w:ascii="Arial" w:cs="Arial" w:eastAsia="Arial" w:hAnsi="Arial"/>
          <w:sz w:val="18"/>
          <w:szCs w:val="18"/>
          <w:color w:val="auto"/>
        </w:rPr>
        <w:t>Dr. Mahableshwarkar is leading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CYB003 program, Cybin’s proprietary deuterated psilocybin analog program in development for the adjunctive treatment of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Dr. Mahableshwarkar is a board-certified psychiatrist and accomplished drug development executive with experience in both large global and small startup companies. He brings varied experiences from academia and industry as a site principal investigator for industry-sponsored studies and has submitted several INDs and NDAs leading to drug approvals.</w:t>
      </w:r>
    </w:p>
    <w:p>
      <w:pPr>
        <w:spacing w:after="0" w:line="189" w:lineRule="exact"/>
        <w:rPr>
          <w:rFonts w:ascii="Times New Roman" w:cs="Times New Roman" w:eastAsia="Times New Roman" w:hAnsi="Times New Roman"/>
          <w:sz w:val="18"/>
          <w:szCs w:val="18"/>
          <w:color w:val="auto"/>
        </w:rPr>
      </w:pPr>
    </w:p>
    <w:p>
      <w:pPr>
        <w:jc w:val="both"/>
        <w:ind w:left="580" w:right="20" w:hanging="293"/>
        <w:spacing w:after="0" w:line="281" w:lineRule="auto"/>
        <w:tabs>
          <w:tab w:leader="none" w:pos="569"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Dr. Tom Macek, Pharm.D., Ph.D., Senior Vice President, Clinical Development. </w:t>
      </w:r>
      <w:r>
        <w:rPr>
          <w:rFonts w:ascii="Arial" w:cs="Arial" w:eastAsia="Arial" w:hAnsi="Arial"/>
          <w:sz w:val="18"/>
          <w:szCs w:val="18"/>
          <w:color w:val="auto"/>
        </w:rPr>
        <w:t>Dr. Macek is leading the CYB004 program, Cybin’s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deuterated dimethyltryptamine (“</w:t>
      </w:r>
      <w:r>
        <w:rPr>
          <w:rFonts w:ascii="Arial" w:cs="Arial" w:eastAsia="Arial" w:hAnsi="Arial"/>
          <w:sz w:val="18"/>
          <w:szCs w:val="18"/>
          <w:b w:val="1"/>
          <w:bCs w:val="1"/>
          <w:color w:val="auto"/>
        </w:rPr>
        <w:t>dDMT</w:t>
      </w:r>
      <w:r>
        <w:rPr>
          <w:rFonts w:ascii="Arial" w:cs="Arial" w:eastAsia="Arial" w:hAnsi="Arial"/>
          <w:sz w:val="18"/>
          <w:szCs w:val="18"/>
          <w:color w:val="auto"/>
        </w:rPr>
        <w:t>”) program in development for the treatment of Generalized Anxiety Disorder (“</w:t>
      </w:r>
      <w:r>
        <w:rPr>
          <w:rFonts w:ascii="Arial" w:cs="Arial" w:eastAsia="Arial" w:hAnsi="Arial"/>
          <w:sz w:val="18"/>
          <w:szCs w:val="18"/>
          <w:b w:val="1"/>
          <w:bCs w:val="1"/>
          <w:color w:val="auto"/>
        </w:rPr>
        <w:t>GAD</w:t>
      </w:r>
      <w:r>
        <w:rPr>
          <w:rFonts w:ascii="Arial" w:cs="Arial" w:eastAsia="Arial" w:hAnsi="Arial"/>
          <w:sz w:val="18"/>
          <w:szCs w:val="18"/>
          <w:color w:val="auto"/>
        </w:rPr>
        <w:t>”). Dr. Macek brings decades of pharmaceutical industry experience in new drug development across all phases of research (pre-IND to post-approval) across diverse treatment modalities and has submitted or supported several INDs and NDAs/BLAs leading to drug approvals.</w:t>
      </w:r>
    </w:p>
    <w:p>
      <w:pPr>
        <w:sectPr>
          <w:pgSz w:w="11900" w:h="16838" w:orient="portrait"/>
          <w:cols w:equalWidth="0" w:num="1">
            <w:col w:w="11260"/>
          </w:cols>
          <w:pgMar w:left="320" w:top="1293" w:right="319" w:bottom="1440" w:gutter="0" w:footer="0" w:header="0"/>
        </w:sectPr>
      </w:pPr>
    </w:p>
    <w:bookmarkStart w:id="141" w:name="page142"/>
    <w:bookmarkEnd w:id="141"/>
    <w:p>
      <w:pPr>
        <w:spacing w:after="0" w:line="69" w:lineRule="exact"/>
        <w:rPr>
          <w:sz w:val="20"/>
          <w:szCs w:val="20"/>
          <w:color w:val="auto"/>
        </w:rPr>
      </w:pPr>
    </w:p>
    <w:p>
      <w:pPr>
        <w:ind w:right="20"/>
        <w:spacing w:after="0" w:line="312" w:lineRule="auto"/>
        <w:rPr>
          <w:sz w:val="20"/>
          <w:szCs w:val="20"/>
          <w:color w:val="auto"/>
        </w:rPr>
      </w:pPr>
      <w:r>
        <w:rPr>
          <w:rFonts w:ascii="Arial" w:cs="Arial" w:eastAsia="Arial" w:hAnsi="Arial"/>
          <w:sz w:val="18"/>
          <w:szCs w:val="18"/>
          <w:b w:val="1"/>
          <w:bCs w:val="1"/>
          <w:color w:val="auto"/>
        </w:rPr>
        <w:t xml:space="preserve">Strengthened intellectual property portfolio with additional patent in support of the CYB004 program. </w:t>
      </w:r>
      <w:r>
        <w:rPr>
          <w:rFonts w:ascii="Arial" w:cs="Arial" w:eastAsia="Arial" w:hAnsi="Arial"/>
          <w:sz w:val="18"/>
          <w:szCs w:val="18"/>
          <w:color w:val="auto"/>
        </w:rPr>
        <w:t>On July 23, 2024,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was granted US patent no. 12,042,564, providing additional patent protection for the CYB004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Clinical Milestones and Future Studies:</w:t>
      </w:r>
      <w:r>
        <w:rPr>
          <w:rFonts w:ascii="Arial" w:cs="Arial" w:eastAsia="Arial" w:hAnsi="Arial"/>
          <w:sz w:val="23"/>
          <w:szCs w:val="23"/>
          <w:b w:val="1"/>
          <w:bCs w:val="1"/>
          <w:color w:val="auto"/>
          <w:vertAlign w:val="superscript"/>
        </w:rPr>
        <w:t>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CYB003 - Deuterated Psilocybin Analog Program</w:t>
      </w:r>
    </w:p>
    <w:p>
      <w:pPr>
        <w:spacing w:after="0" w:line="37" w:lineRule="exact"/>
        <w:rPr>
          <w:sz w:val="20"/>
          <w:szCs w:val="20"/>
          <w:color w:val="auto"/>
        </w:rPr>
      </w:pPr>
    </w:p>
    <w:p>
      <w:pPr>
        <w:ind w:left="580" w:hanging="293"/>
        <w:spacing w:after="0"/>
        <w:tabs>
          <w:tab w:leader="none" w:pos="58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8"/>
          <w:szCs w:val="18"/>
          <w:color w:val="auto"/>
        </w:rPr>
        <w:t>12-month efficacy data from Phase 2 MDD study expected Q4 2024.</w:t>
      </w:r>
    </w:p>
    <w:p>
      <w:pPr>
        <w:spacing w:after="0" w:line="22" w:lineRule="exact"/>
        <w:rPr>
          <w:rFonts w:ascii="Times New Roman" w:cs="Times New Roman" w:eastAsia="Times New Roman" w:hAnsi="Times New Roman"/>
          <w:sz w:val="16"/>
          <w:szCs w:val="16"/>
          <w:color w:val="auto"/>
        </w:rPr>
      </w:pPr>
    </w:p>
    <w:p>
      <w:pPr>
        <w:ind w:left="580" w:right="220" w:hanging="293"/>
        <w:spacing w:after="0" w:line="273" w:lineRule="auto"/>
        <w:tabs>
          <w:tab w:leader="none" w:pos="576"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8"/>
          <w:szCs w:val="18"/>
          <w:color w:val="auto"/>
        </w:rPr>
        <w:t>A multinational, multisite Phase 3 program to commence in late summer of 2024 to further evaluate the safety and efficacy of CYB003 capsules as adjunctive treatment in a larger MDD patient population.</w:t>
      </w:r>
    </w:p>
    <w:p>
      <w:pPr>
        <w:ind w:left="580" w:hanging="293"/>
        <w:spacing w:after="0"/>
        <w:tabs>
          <w:tab w:leader="none" w:pos="58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8"/>
          <w:szCs w:val="18"/>
          <w:color w:val="auto"/>
        </w:rPr>
        <w:t>30 clinical sites have been selected across the U.S. and Europe.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CYB004 – Deuterated DMT Program</w:t>
      </w:r>
    </w:p>
    <w:p>
      <w:pPr>
        <w:spacing w:after="0" w:line="37" w:lineRule="exact"/>
        <w:rPr>
          <w:sz w:val="20"/>
          <w:szCs w:val="20"/>
          <w:color w:val="auto"/>
        </w:rPr>
      </w:pPr>
    </w:p>
    <w:p>
      <w:pPr>
        <w:jc w:val="both"/>
        <w:ind w:left="580" w:right="20" w:hanging="293"/>
        <w:spacing w:after="0" w:line="287" w:lineRule="auto"/>
        <w:tabs>
          <w:tab w:leader="none" w:pos="576"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8"/>
          <w:szCs w:val="18"/>
          <w:color w:val="auto"/>
        </w:rPr>
        <w:t>Dosing is underway and topline safety and efficacy readout from Phase 2 GAD study is expected around year end 2024, or early Q1 2025. CYB004 is being developed as a novel intramuscular formulation expected to deliver an experience lasting approximately 90 minutes.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First-Quarter Financial Information</w:t>
      </w:r>
    </w:p>
    <w:p>
      <w:pPr>
        <w:spacing w:after="0" w:line="254" w:lineRule="exact"/>
        <w:rPr>
          <w:sz w:val="20"/>
          <w:szCs w:val="20"/>
          <w:color w:val="auto"/>
        </w:rPr>
      </w:pPr>
    </w:p>
    <w:p>
      <w:pPr>
        <w:ind w:left="560" w:hanging="273"/>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totaled C$183 million as of June 30, 2024.</w:t>
      </w:r>
    </w:p>
    <w:p>
      <w:pPr>
        <w:spacing w:after="0" w:line="25" w:lineRule="exact"/>
        <w:rPr>
          <w:rFonts w:ascii="Arial" w:cs="Arial" w:eastAsia="Arial" w:hAnsi="Arial"/>
          <w:sz w:val="18"/>
          <w:szCs w:val="18"/>
          <w:color w:val="auto"/>
        </w:rPr>
      </w:pPr>
    </w:p>
    <w:p>
      <w:pPr>
        <w:ind w:left="580" w:right="100" w:hanging="293"/>
        <w:spacing w:after="0" w:line="288" w:lineRule="auto"/>
        <w:tabs>
          <w:tab w:leader="none" w:pos="569"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With the previously announced public offerings of units of the Company (the “</w:t>
      </w:r>
      <w:r>
        <w:rPr>
          <w:rFonts w:ascii="Arial" w:cs="Arial" w:eastAsia="Arial" w:hAnsi="Arial"/>
          <w:sz w:val="17"/>
          <w:szCs w:val="17"/>
          <w:b w:val="1"/>
          <w:bCs w:val="1"/>
          <w:color w:val="auto"/>
        </w:rPr>
        <w:t>Units</w:t>
      </w:r>
      <w:r>
        <w:rPr>
          <w:rFonts w:ascii="Arial" w:cs="Arial" w:eastAsia="Arial" w:hAnsi="Arial"/>
          <w:sz w:val="17"/>
          <w:szCs w:val="17"/>
          <w:color w:val="auto"/>
        </w:rPr>
        <w:t>”) and a combination of the Company's current cash position, and assuming the exercise in full of the warrants issued as part of the Units, the Company has access to over C$247 million.</w:t>
      </w:r>
    </w:p>
    <w:p>
      <w:pPr>
        <w:spacing w:after="0" w:line="1" w:lineRule="exact"/>
        <w:rPr>
          <w:rFonts w:ascii="Times New Roman" w:cs="Times New Roman" w:eastAsia="Times New Roman" w:hAnsi="Times New Roman"/>
          <w:sz w:val="17"/>
          <w:szCs w:val="17"/>
          <w:color w:val="auto"/>
        </w:rPr>
      </w:pPr>
    </w:p>
    <w:p>
      <w:pPr>
        <w:ind w:left="560" w:hanging="273"/>
        <w:spacing w:after="0"/>
        <w:tabs>
          <w:tab w:leader="none" w:pos="5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C$15 million for the quarter ended June 30, 2024, compared to a net loss of C$15 million in the same period last year.</w:t>
      </w:r>
    </w:p>
    <w:p>
      <w:pPr>
        <w:spacing w:after="0" w:line="31" w:lineRule="exact"/>
        <w:rPr>
          <w:rFonts w:ascii="Times New Roman" w:cs="Times New Roman" w:eastAsia="Times New Roman" w:hAnsi="Times New Roman"/>
          <w:sz w:val="18"/>
          <w:szCs w:val="18"/>
          <w:color w:val="auto"/>
        </w:rPr>
      </w:pPr>
    </w:p>
    <w:p>
      <w:pPr>
        <w:ind w:left="580" w:right="100" w:hanging="293"/>
        <w:spacing w:after="0" w:line="271" w:lineRule="auto"/>
        <w:tabs>
          <w:tab w:leader="none" w:pos="569"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Cash-based operating expenses consisting of research, general and administrative costs totaled C$16 million for the quarter ended June 30, 2024, compared to C$11 million in the prior year quarter.</w:t>
      </w:r>
    </w:p>
    <w:p>
      <w:pPr>
        <w:spacing w:after="0" w:line="3" w:lineRule="exact"/>
        <w:rPr>
          <w:rFonts w:ascii="Times New Roman" w:cs="Times New Roman" w:eastAsia="Times New Roman" w:hAnsi="Times New Roman"/>
          <w:sz w:val="18"/>
          <w:szCs w:val="18"/>
          <w:color w:val="auto"/>
        </w:rPr>
      </w:pPr>
    </w:p>
    <w:p>
      <w:pPr>
        <w:ind w:left="580" w:right="100" w:hanging="293"/>
        <w:spacing w:after="0" w:line="271" w:lineRule="auto"/>
        <w:tabs>
          <w:tab w:leader="none" w:pos="569"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Cash flows used in operating activities were C$27 million for the quarter ended June 30, 2024, compared to C$11 million in the same period last year.</w:t>
      </w:r>
    </w:p>
    <w:p>
      <w:pPr>
        <w:spacing w:after="0" w:line="3" w:lineRule="exact"/>
        <w:rPr>
          <w:rFonts w:ascii="Times New Roman" w:cs="Times New Roman" w:eastAsia="Times New Roman" w:hAnsi="Times New Roman"/>
          <w:sz w:val="18"/>
          <w:szCs w:val="18"/>
          <w:color w:val="auto"/>
        </w:rPr>
      </w:pPr>
    </w:p>
    <w:p>
      <w:pPr>
        <w:ind w:left="580" w:right="120" w:hanging="293"/>
        <w:spacing w:after="0" w:line="294" w:lineRule="auto"/>
        <w:tabs>
          <w:tab w:leader="none" w:pos="569"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Cash flows used in financing activities were C$0.2 million for the quarter ended June 30, 2024, compared to C$3.5 million received from financing activities in the same period last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4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Cybin is a clinical-stage breakthrough neuropsychiatry company on a mission to create safe and effective next-generation therapeutics to address the large unmet need for new and innovative treatment options for people who suffer from mental health conditions.</w:t>
      </w:r>
    </w:p>
    <w:p>
      <w:pPr>
        <w:sectPr>
          <w:pgSz w:w="11900" w:h="16838" w:orient="portrait"/>
          <w:cols w:equalWidth="0" w:num="1">
            <w:col w:w="11260"/>
          </w:cols>
          <w:pgMar w:left="320" w:top="1440" w:right="319" w:bottom="1440" w:gutter="0" w:footer="0" w:header="0"/>
        </w:sectPr>
      </w:pPr>
    </w:p>
    <w:bookmarkStart w:id="142" w:name="page143"/>
    <w:bookmarkEnd w:id="142"/>
    <w:p>
      <w:pPr>
        <w:jc w:val="both"/>
        <w:ind w:left="3"/>
        <w:spacing w:after="0" w:line="280" w:lineRule="auto"/>
        <w:rPr>
          <w:sz w:val="20"/>
          <w:szCs w:val="20"/>
          <w:color w:val="auto"/>
        </w:rPr>
      </w:pPr>
      <w:r>
        <w:rPr>
          <w:rFonts w:ascii="Arial" w:cs="Arial" w:eastAsia="Arial" w:hAnsi="Arial"/>
          <w:sz w:val="18"/>
          <w:szCs w:val="18"/>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program for the treatment of major depressive disorder and CYB004, a proprietary dDMT molecule for generalized anxiety disorder and has a research pipeline of investigational psychedelic-based compounds.</w:t>
      </w:r>
    </w:p>
    <w:p>
      <w:pPr>
        <w:spacing w:after="0" w:line="195"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8"/>
          <w:szCs w:val="18"/>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Notes</w:t>
      </w:r>
    </w:p>
    <w:p>
      <w:pPr>
        <w:spacing w:after="0" w:line="254" w:lineRule="exact"/>
        <w:rPr>
          <w:sz w:val="20"/>
          <w:szCs w:val="20"/>
          <w:color w:val="auto"/>
        </w:rPr>
      </w:pPr>
    </w:p>
    <w:p>
      <w:pPr>
        <w:jc w:val="both"/>
        <w:ind w:left="3" w:right="20" w:hanging="3"/>
        <w:spacing w:after="0" w:line="288" w:lineRule="auto"/>
        <w:tabs>
          <w:tab w:leader="none" w:pos="2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54" w:lineRule="exact"/>
        <w:rPr>
          <w:sz w:val="20"/>
          <w:szCs w:val="20"/>
          <w:color w:val="auto"/>
        </w:rPr>
      </w:pPr>
    </w:p>
    <w:p>
      <w:pPr>
        <w:jc w:val="both"/>
        <w:ind w:left="3" w:right="20"/>
        <w:spacing w:after="0" w:line="295" w:lineRule="auto"/>
        <w:rPr>
          <w:sz w:val="20"/>
          <w:szCs w:val="20"/>
          <w:color w:val="auto"/>
        </w:rPr>
      </w:pPr>
      <w:r>
        <w:rPr>
          <w:rFonts w:ascii="Arial" w:cs="Arial" w:eastAsia="Arial" w:hAnsi="Arial"/>
          <w:sz w:val="17"/>
          <w:szCs w:val="17"/>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a Phase 3 trial of CYB003 in summer 2024; the release of 12-month durability data from Phase 2 study of CYB003 in Q4 2024; commencing enrollment at 30 clinical sites across the U.S. and Europe; the release of topline Phase 2 CYB004 data around year-end 2024 or early Q1 2025; and the Company’s plans to engineer proprietary drug discovery platforms, innovative drug delivery systems, novel formulation approaches and treatment regimens for mental health conditions.</w:t>
      </w:r>
    </w:p>
    <w:p>
      <w:pPr>
        <w:spacing w:after="0" w:line="171" w:lineRule="exact"/>
        <w:rPr>
          <w:sz w:val="20"/>
          <w:szCs w:val="20"/>
          <w:color w:val="auto"/>
        </w:rPr>
      </w:pPr>
    </w:p>
    <w:p>
      <w:pPr>
        <w:jc w:val="both"/>
        <w:ind w:left="3"/>
        <w:spacing w:after="0" w:line="280"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w:t>
      </w:r>
    </w:p>
    <w:p>
      <w:pPr>
        <w:sectPr>
          <w:pgSz w:w="11900" w:h="16838" w:orient="portrait"/>
          <w:cols w:equalWidth="0" w:num="1">
            <w:col w:w="11263"/>
          </w:cols>
          <w:pgMar w:left="317" w:top="1293" w:right="319" w:bottom="1440" w:gutter="0" w:footer="0" w:header="0"/>
        </w:sectPr>
      </w:pPr>
    </w:p>
    <w:bookmarkStart w:id="143" w:name="page144"/>
    <w:bookmarkEnd w:id="143"/>
    <w:p>
      <w:pPr>
        <w:jc w:val="both"/>
        <w:spacing w:after="0" w:line="276" w:lineRule="auto"/>
        <w:rPr>
          <w:sz w:val="20"/>
          <w:szCs w:val="20"/>
          <w:color w:val="auto"/>
        </w:rPr>
      </w:pPr>
      <w:r>
        <w:rPr>
          <w:rFonts w:ascii="Arial" w:cs="Arial" w:eastAsia="Arial" w:hAnsi="Arial"/>
          <w:sz w:val="18"/>
          <w:szCs w:val="18"/>
          <w:color w:val="auto"/>
        </w:rPr>
        <w:t>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2024 and the Company’s annual information form for the year ended March 31, 2024,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1-866-292-4601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irteam@cybin.com – or – media@cybin.com</w:t>
      </w:r>
    </w:p>
    <w:sectPr>
      <w:pgSz w:w="11900" w:h="16838" w:orient="portrait"/>
      <w:cols w:equalWidth="0" w:num="1">
        <w:col w:w="11260"/>
      </w:cols>
      <w:pgMar w:left="320" w:top="129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bullet"/>
      <w:start w:val="1"/>
    </w:lvl>
  </w:abstractNum>
  <w:abstractNum w:abstractNumId="1">
    <w:nsid w:val="8138641"/>
    <w:multiLevelType w:val="hybridMultilevel"/>
    <w:lvl w:ilvl="0">
      <w:lvlJc w:val="left"/>
      <w:lvlText w:val="%1."/>
      <w:numFmt w:val="decimal"/>
      <w:start w:val="7"/>
    </w:lvl>
    <w:lvl w:ilvl="1">
      <w:lvlJc w:val="left"/>
      <w:lvlText w:val="%2)"/>
      <w:numFmt w:val="lowerLetter"/>
      <w:start w:val="1"/>
    </w:lvl>
  </w:abstractNum>
  <w:abstractNum w:abstractNumId="2">
    <w:nsid w:val="1E7FF521"/>
    <w:multiLevelType w:val="hybridMultilevel"/>
    <w:lvl w:ilvl="0">
      <w:lvlJc w:val="left"/>
      <w:lvlText w:val="%1)"/>
      <w:numFmt w:val="lowerLetter"/>
      <w:start w:val="2"/>
    </w:lvl>
  </w:abstractNum>
  <w:abstractNum w:abstractNumId="3">
    <w:nsid w:val="7C3DBD3D"/>
    <w:multiLevelType w:val="hybridMultilevel"/>
    <w:lvl w:ilvl="0">
      <w:lvlJc w:val="left"/>
      <w:lvlText w:val="%1)"/>
      <w:numFmt w:val="lowerLetter"/>
      <w:start w:val="3"/>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bullet"/>
      <w:start w:val="1"/>
    </w:lvl>
  </w:abstractNum>
  <w:abstractNum w:abstractNumId="12">
    <w:nsid w:val="440BADFC"/>
    <w:multiLevelType w:val="hybridMultilevel"/>
    <w:lvl w:ilvl="0">
      <w:lvlJc w:val="left"/>
      <w:lvlText w:val="2"/>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8"/>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9"/>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0"/>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1"/>
    </w:lvl>
  </w:abstractNum>
  <w:abstractNum w:abstractNumId="24">
    <w:nsid w:val="3855585C"/>
    <w:multiLevelType w:val="hybridMultilevel"/>
    <w:lvl w:ilvl="0">
      <w:lvlJc w:val="left"/>
      <w:lvlText w:val="%1"/>
      <w:numFmt w:val="decimal"/>
      <w:start w:val="14"/>
    </w:lvl>
  </w:abstractNum>
  <w:abstractNum w:abstractNumId="25">
    <w:nsid w:val="70A64E2A"/>
    <w:multiLevelType w:val="hybridMultilevel"/>
    <w:lvl w:ilvl="0">
      <w:lvlJc w:val="left"/>
      <w:lvlText w:val="%1"/>
      <w:numFmt w:val="decimal"/>
      <w:start w:val="15"/>
    </w:lvl>
  </w:abstractNum>
  <w:abstractNum w:abstractNumId="26">
    <w:nsid w:val="6A2342EC"/>
    <w:multiLevelType w:val="hybridMultilevel"/>
    <w:lvl w:ilvl="0">
      <w:lvlJc w:val="left"/>
      <w:lvlText w:val="%1"/>
      <w:numFmt w:val="decimal"/>
      <w:start w:val="17"/>
    </w:lvl>
  </w:abstractNum>
  <w:abstractNum w:abstractNumId="27">
    <w:nsid w:val="2A487CB0"/>
    <w:multiLevelType w:val="hybridMultilevel"/>
    <w:lvl w:ilvl="0">
      <w:lvlJc w:val="left"/>
      <w:lvlText w:val="%1"/>
      <w:numFmt w:val="decimal"/>
      <w:start w:val="18"/>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9"/>
    </w:lvl>
  </w:abstractNum>
  <w:abstractNum w:abstractNumId="31">
    <w:nsid w:val="57E4CCAF"/>
    <w:multiLevelType w:val="hybridMultilevel"/>
    <w:lvl w:ilvl="0">
      <w:lvlJc w:val="left"/>
      <w:lvlText w:val="%1"/>
      <w:numFmt w:val="decimal"/>
      <w:start w:val="20"/>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2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23"/>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upperLetter"/>
      <w:start w:val="35"/>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0">
    <w:nsid w:val="4F4EF005"/>
    <w:multiLevelType w:val="hybridMultilevel"/>
    <w:lvl w:ilvl="0">
      <w:lvlJc w:val="left"/>
      <w:lvlText w:val="%1."/>
      <w:numFmt w:val="decimal"/>
      <w:start w:val="6"/>
    </w:lvl>
  </w:abstractNum>
  <w:abstractNum w:abstractNumId="51">
    <w:nsid w:val="23F9C13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2">
    <w:nsid w:val="649BB77C"/>
    <w:multiLevelType w:val="hybridMultilevel"/>
    <w:lvl w:ilvl="0">
      <w:lvlJc w:val="left"/>
      <w:lvlText w:val="%1."/>
      <w:numFmt w:val="decimal"/>
      <w:start w:val="6"/>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2024-08-08T12:46:18Z</dcterms:created>
  <dcterms:modified xsi:type="dcterms:W3CDTF">2024-08-08T12:46:18Z</dcterms:modified>
</cp:coreProperties>
</file>