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f10a.htm"/>
      <w:bookmarkStart w:id="1" w:name="ksformf10a"/>
      <w:bookmarkStart w:id="2" w:name="formf10a.htm"/>
      <w:bookmarkStart w:id="3" w:name="ksformf10a"/>
      <w:bookmarkEnd w:id="2"/>
      <w:bookmarkEnd w:id="3"/>
    </w:p>
    <w:p>
      <w:pPr>
        <w:pStyle w:val="TextBody"/>
        <w:bidi w:val="0"/>
        <w:jc w:val="center"/>
        <w:rPr>
          <w:b/>
        </w:rPr>
      </w:pPr>
      <w:bookmarkStart w:id="4" w:name="page_1"/>
      <w:bookmarkEnd w:id="4"/>
      <w:r>
        <w:rPr>
          <w:b/>
        </w:rPr>
        <w:t>As filed with the Securities and Exchange Commission on August 17, 2023.</w:t>
      </w:r>
    </w:p>
    <w:p>
      <w:pPr>
        <w:pStyle w:val="TextBody"/>
        <w:bidi w:val="0"/>
        <w:jc w:val="right"/>
        <w:rPr>
          <w:b/>
        </w:rPr>
      </w:pPr>
      <w:r>
        <w:rPr>
          <w:b/>
        </w:rPr>
        <w:t xml:space="preserve">Registration No. 333-272706 </w:t>
      </w:r>
    </w:p>
    <w:p>
      <w:pPr>
        <w:pStyle w:val="TextBody"/>
        <w:bidi w:val="0"/>
        <w:jc w:val="center"/>
        <w:rPr/>
      </w:pPr>
      <w:r>
        <w:rPr>
          <w:b/>
          <w:sz w:val="36"/>
        </w:rPr>
        <w:t>UNITED STATES</w:t>
      </w:r>
      <w:r>
        <w:rPr/>
        <w:br/>
      </w:r>
      <w:r>
        <w:rPr>
          <w:b/>
          <w:sz w:val="36"/>
        </w:rPr>
        <w:t>SECURITIES AND EXCHANGE COMMISSION</w:t>
      </w:r>
      <w:r>
        <w:rPr/>
        <w:br/>
        <w:t>Washington, D.C. 20549</w:t>
      </w:r>
    </w:p>
    <w:p>
      <w:pPr>
        <w:pStyle w:val="TextBody"/>
        <w:bidi w:val="0"/>
        <w:jc w:val="center"/>
        <w:rPr>
          <w:b/>
          <w:sz w:val="36"/>
        </w:rPr>
      </w:pPr>
      <w:r>
        <w:rPr>
          <w:b/>
          <w:sz w:val="36"/>
        </w:rPr>
        <w:t>AMENDMENT NO. 1 </w:t>
        <w:br/>
        <w:t>TO</w:t>
        <w:br/>
        <w:t>FORM F-10</w:t>
      </w:r>
    </w:p>
    <w:p>
      <w:pPr>
        <w:pStyle w:val="TextBody"/>
        <w:bidi w:val="0"/>
        <w:jc w:val="center"/>
        <w:rPr/>
      </w:pPr>
      <w:r>
        <w:rPr>
          <w:b/>
        </w:rPr>
        <w:t xml:space="preserve">REGISTRATION STATEMENT UNDER </w:t>
      </w:r>
      <w:r>
        <w:rPr/>
        <w:br/>
      </w:r>
      <w:r>
        <w:rPr>
          <w:b/>
        </w:rPr>
        <w:t>THE SECURITIES ACT OF 1933</w:t>
      </w:r>
    </w:p>
    <w:p>
      <w:pPr>
        <w:pStyle w:val="TextBody"/>
        <w:bidi w:val="0"/>
        <w:jc w:val="center"/>
        <w:rPr/>
      </w:pPr>
      <w:r>
        <w:rPr>
          <w:b/>
          <w:sz w:val="36"/>
          <w:u w:val="single"/>
        </w:rPr>
        <w:t>CYBIN INC.</w:t>
      </w:r>
      <w:r>
        <w:rPr/>
        <w:br/>
      </w:r>
      <w:r>
        <w:rPr>
          <w:i/>
        </w:rPr>
        <w:t>(Exact name of Registrant as specified in its charter)</w:t>
      </w:r>
    </w:p>
    <w:p>
      <w:pPr>
        <w:pStyle w:val="TextBody"/>
        <w:bidi w:val="0"/>
        <w:jc w:val="center"/>
        <w:rPr/>
      </w:pPr>
      <w:r>
        <w:rPr>
          <w:b/>
          <w:u w:val="single"/>
        </w:rPr>
        <w:t>Ontario, Canada</w:t>
      </w:r>
      <w:r>
        <w:rPr/>
        <w:br/>
        <w:t>(Province or other jurisdiction of incorporation or organization)</w:t>
      </w:r>
    </w:p>
    <w:p>
      <w:pPr>
        <w:pStyle w:val="TextBody"/>
        <w:bidi w:val="0"/>
        <w:jc w:val="center"/>
        <w:rPr/>
      </w:pPr>
      <w:r>
        <w:rPr>
          <w:b/>
          <w:u w:val="single"/>
        </w:rPr>
        <w:t>2834</w:t>
      </w:r>
      <w:r>
        <w:rPr/>
        <w:br/>
        <w:t>(Primary Standard Industrial Classification Code Number, if applicable)</w:t>
      </w:r>
    </w:p>
    <w:p>
      <w:pPr>
        <w:pStyle w:val="TextBody"/>
        <w:bidi w:val="0"/>
        <w:jc w:val="center"/>
        <w:rPr/>
      </w:pPr>
      <w:r>
        <w:rPr>
          <w:b/>
          <w:u w:val="single"/>
        </w:rPr>
        <w:t>N/A</w:t>
      </w:r>
      <w:r>
        <w:rPr/>
        <w:br/>
        <w:t>(I.R.S. Employer Identification No., if applicable)</w:t>
      </w:r>
    </w:p>
    <w:p>
      <w:pPr>
        <w:pStyle w:val="TextBody"/>
        <w:bidi w:val="0"/>
        <w:spacing w:before="0" w:after="0"/>
        <w:jc w:val="center"/>
        <w:rPr>
          <w:b/>
        </w:rPr>
      </w:pPr>
      <w:r>
        <w:rPr>
          <w:b/>
        </w:rPr>
        <w:t>100 King Street West, Suite 5600</w:t>
      </w:r>
    </w:p>
    <w:p>
      <w:pPr>
        <w:pStyle w:val="TextBody"/>
        <w:bidi w:val="0"/>
        <w:spacing w:before="0" w:after="0"/>
        <w:jc w:val="center"/>
        <w:rPr>
          <w:b/>
        </w:rPr>
      </w:pPr>
      <w:r>
        <w:rPr>
          <w:b/>
        </w:rPr>
        <w:t>Toronto, Ontario, Canada M5X 1C9</w:t>
      </w:r>
    </w:p>
    <w:p>
      <w:pPr>
        <w:pStyle w:val="TextBody"/>
        <w:bidi w:val="0"/>
        <w:spacing w:before="0" w:after="283"/>
        <w:jc w:val="center"/>
        <w:rPr/>
      </w:pPr>
      <w:r>
        <w:rPr>
          <w:b/>
          <w:u w:val="single"/>
        </w:rPr>
        <w:t>(908) 764-8385</w:t>
      </w:r>
      <w:r>
        <w:rPr/>
        <w:br/>
      </w:r>
      <w:r>
        <w:rPr>
          <w:i/>
        </w:rPr>
        <w:t>(Address and telephone number of Registrant's principal executive offices)</w:t>
      </w:r>
    </w:p>
    <w:p>
      <w:pPr>
        <w:pStyle w:val="TextBody"/>
        <w:bidi w:val="0"/>
        <w:spacing w:before="0" w:after="0"/>
        <w:jc w:val="center"/>
        <w:rPr>
          <w:b/>
        </w:rPr>
      </w:pPr>
      <w:r>
        <w:rPr>
          <w:b/>
        </w:rPr>
        <w:t>C T Corporation System</w:t>
      </w:r>
    </w:p>
    <w:p>
      <w:pPr>
        <w:pStyle w:val="TextBody"/>
        <w:bidi w:val="0"/>
        <w:spacing w:before="0" w:after="0"/>
        <w:jc w:val="center"/>
        <w:rPr/>
      </w:pPr>
      <w:r>
        <w:rPr>
          <w:b/>
        </w:rPr>
        <w:t>1015 15</w:t>
      </w:r>
      <w:r>
        <w:rPr>
          <w:b/>
          <w:position w:val="8"/>
          <w:sz w:val="19"/>
        </w:rPr>
        <w:t>th</w:t>
      </w:r>
      <w:r>
        <w:rPr/>
        <w:t xml:space="preserve"> </w:t>
      </w:r>
      <w:r>
        <w:rPr>
          <w:b/>
        </w:rPr>
        <w:t>Street N.W., Suite 1000</w:t>
      </w:r>
    </w:p>
    <w:p>
      <w:pPr>
        <w:pStyle w:val="TextBody"/>
        <w:bidi w:val="0"/>
        <w:spacing w:before="0" w:after="0"/>
        <w:jc w:val="center"/>
        <w:rPr>
          <w:b/>
        </w:rPr>
      </w:pPr>
      <w:r>
        <w:rPr>
          <w:b/>
        </w:rPr>
        <w:t>Washington, DC 20005</w:t>
      </w:r>
    </w:p>
    <w:p>
      <w:pPr>
        <w:pStyle w:val="TextBody"/>
        <w:bidi w:val="0"/>
        <w:spacing w:before="0" w:after="0"/>
        <w:jc w:val="center"/>
        <w:rPr>
          <w:b/>
          <w:u w:val="single"/>
        </w:rPr>
      </w:pPr>
      <w:r>
        <w:rPr>
          <w:b/>
          <w:u w:val="single"/>
        </w:rPr>
        <w:t>(202) 572-3133</w:t>
      </w:r>
    </w:p>
    <w:p>
      <w:pPr>
        <w:pStyle w:val="TextBody"/>
        <w:bidi w:val="0"/>
        <w:spacing w:before="0" w:after="283"/>
        <w:jc w:val="center"/>
        <w:rPr>
          <w:i/>
        </w:rPr>
      </w:pPr>
      <w:r>
        <w:rPr>
          <w:i/>
        </w:rPr>
        <w:t>(Name, address (including zip code) and telephone number (including area code) of agent for service in the United States)</w:t>
      </w:r>
    </w:p>
    <w:p>
      <w:pPr>
        <w:pStyle w:val="TextBody"/>
        <w:bidi w:val="0"/>
        <w:jc w:val="center"/>
        <w:rPr>
          <w:b/>
        </w:rPr>
      </w:pPr>
      <w:r>
        <w:rPr>
          <w:b/>
        </w:rPr>
        <w:t>Copies to:</w:t>
      </w:r>
    </w:p>
    <w:tbl>
      <w:tblPr>
        <w:tblW w:w="5575" w:type="dxa"/>
        <w:jc w:val="left"/>
        <w:tblInd w:w="0" w:type="dxa"/>
        <w:tblLayout w:type="fixed"/>
        <w:tblCellMar>
          <w:top w:w="0" w:type="dxa"/>
          <w:left w:w="0" w:type="dxa"/>
          <w:bottom w:w="0" w:type="dxa"/>
          <w:right w:w="0" w:type="dxa"/>
        </w:tblCellMar>
      </w:tblPr>
      <w:tblGrid>
        <w:gridCol w:w="2810"/>
        <w:gridCol w:w="2765"/>
      </w:tblGrid>
      <w:tr>
        <w:trPr/>
        <w:tc>
          <w:tcPr>
            <w:tcW w:w="2810" w:type="dxa"/>
            <w:tcBorders/>
            <w:vAlign w:val="center"/>
          </w:tcPr>
          <w:p>
            <w:pPr>
              <w:pStyle w:val="TableContents"/>
              <w:bidi w:val="0"/>
              <w:spacing w:before="0" w:after="283"/>
              <w:jc w:val="center"/>
              <w:rPr/>
            </w:pPr>
            <w:r>
              <w:rPr>
                <w:b/>
              </w:rPr>
              <w:t>Douglas Drysdale</w:t>
            </w:r>
            <w:r>
              <w:rPr/>
              <w:br/>
            </w:r>
            <w:r>
              <w:rPr>
                <w:b/>
              </w:rPr>
              <w:t>Cybin, Inc.</w:t>
            </w:r>
            <w:r>
              <w:rPr/>
              <w:br/>
            </w:r>
            <w:r>
              <w:rPr>
                <w:b/>
              </w:rPr>
              <w:t>100 King Street West, Suite</w:t>
              <w:br/>
              <w:t>5600</w:t>
            </w:r>
            <w:r>
              <w:rPr/>
              <w:br/>
            </w:r>
            <w:r>
              <w:rPr>
                <w:b/>
              </w:rPr>
              <w:t>Toronto, Ontario, Canada</w:t>
              <w:br/>
              <w:t>M5X 1C9</w:t>
            </w:r>
            <w:r>
              <w:rPr/>
              <w:br/>
            </w:r>
            <w:r>
              <w:rPr>
                <w:b/>
              </w:rPr>
              <w:t>(866) 292-4601</w:t>
            </w:r>
          </w:p>
        </w:tc>
        <w:tc>
          <w:tcPr>
            <w:tcW w:w="2765" w:type="dxa"/>
            <w:tcBorders/>
            <w:vAlign w:val="center"/>
          </w:tcPr>
          <w:p>
            <w:pPr>
              <w:pStyle w:val="TableContents"/>
              <w:bidi w:val="0"/>
              <w:spacing w:before="0" w:after="283"/>
              <w:jc w:val="center"/>
              <w:rPr/>
            </w:pPr>
            <w:r>
              <w:rPr>
                <w:b/>
              </w:rPr>
              <w:t>Richard Raymer</w:t>
            </w:r>
            <w:r>
              <w:rPr/>
              <w:br/>
            </w:r>
            <w:r>
              <w:rPr>
                <w:b/>
              </w:rPr>
              <w:t>Dorsey &amp; Whitney LLP</w:t>
            </w:r>
            <w:r>
              <w:rPr/>
              <w:br/>
            </w:r>
            <w:r>
              <w:rPr>
                <w:b/>
              </w:rPr>
              <w:t>TD Canada Trust Tower</w:t>
            </w:r>
            <w:r>
              <w:rPr/>
              <w:br/>
            </w:r>
            <w:r>
              <w:rPr>
                <w:b/>
              </w:rPr>
              <w:t>Brookfield Place, 161 Bay</w:t>
              <w:br/>
              <w:t>Street, Suite 4310 Toronto,</w:t>
              <w:br/>
              <w:t>Ontario</w:t>
            </w:r>
            <w:r>
              <w:rPr/>
              <w:br/>
            </w:r>
            <w:r>
              <w:rPr>
                <w:b/>
              </w:rPr>
              <w:t xml:space="preserve">Canada, M5J 2S1 </w:t>
            </w:r>
            <w:r>
              <w:rPr/>
              <w:br/>
            </w:r>
            <w:r>
              <w:rPr>
                <w:b/>
              </w:rPr>
              <w:t>(416) 367-7388</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center"/>
        <w:rPr/>
      </w:pPr>
      <w:bookmarkStart w:id="5" w:name="page_2"/>
      <w:bookmarkEnd w:id="5"/>
      <w:r>
        <w:rPr>
          <w:b/>
        </w:rPr>
        <w:t>Approximate date of commencement of proposed sale of the securities to the public:</w:t>
      </w:r>
      <w:r>
        <w:rPr/>
        <w:br/>
        <w:t>From time to time after this Registration Statement becomes effective.</w:t>
      </w:r>
    </w:p>
    <w:p>
      <w:pPr>
        <w:pStyle w:val="TextBody"/>
        <w:bidi w:val="0"/>
        <w:jc w:val="center"/>
        <w:rPr/>
      </w:pPr>
      <w:r>
        <w:rPr>
          <w:b/>
          <w:u w:val="single"/>
        </w:rPr>
        <w:t>Province of Ontario, Canada</w:t>
      </w:r>
      <w:r>
        <w:rPr/>
        <w:br/>
      </w:r>
      <w:r>
        <w:rPr>
          <w:i/>
        </w:rPr>
        <w:t>(Principal jurisdiction regulating this offering)</w:t>
      </w:r>
    </w:p>
    <w:p>
      <w:pPr>
        <w:pStyle w:val="TextBody"/>
        <w:bidi w:val="0"/>
        <w:jc w:val="both"/>
        <w:rPr/>
      </w:pPr>
      <w:r>
        <w:rPr/>
        <w:t xml:space="preserve">          </w:t>
      </w:r>
      <w:r>
        <w:rPr/>
        <w:t>It is proposed that this filing shall become effective (check appropriate box below):</w:t>
      </w:r>
    </w:p>
    <w:tbl>
      <w:tblPr>
        <w:tblW w:w="10205" w:type="dxa"/>
        <w:jc w:val="left"/>
        <w:tblInd w:w="0" w:type="dxa"/>
        <w:tblLayout w:type="fixed"/>
        <w:tblCellMar>
          <w:top w:w="0" w:type="dxa"/>
          <w:left w:w="0" w:type="dxa"/>
          <w:bottom w:w="0" w:type="dxa"/>
          <w:right w:w="0" w:type="dxa"/>
        </w:tblCellMar>
      </w:tblPr>
      <w:tblGrid>
        <w:gridCol w:w="275"/>
        <w:gridCol w:w="230"/>
        <w:gridCol w:w="230"/>
        <w:gridCol w:w="60"/>
        <w:gridCol w:w="9410"/>
      </w:tblGrid>
      <w:tr>
        <w:trPr/>
        <w:tc>
          <w:tcPr>
            <w:tcW w:w="275" w:type="dxa"/>
            <w:tcBorders/>
            <w:vAlign w:val="center"/>
          </w:tcPr>
          <w:p>
            <w:pPr>
              <w:pStyle w:val="TableContents"/>
              <w:bidi w:val="0"/>
              <w:spacing w:before="0" w:after="0"/>
              <w:jc w:val="left"/>
              <w:rPr/>
            </w:pPr>
            <w:r>
              <w:rPr/>
              <w:t>A.</w:t>
            </w:r>
          </w:p>
        </w:tc>
        <w:tc>
          <w:tcPr>
            <w:tcW w:w="230" w:type="dxa"/>
            <w:tcBorders/>
            <w:vAlign w:val="center"/>
          </w:tcPr>
          <w:p>
            <w:pPr>
              <w:pStyle w:val="TableContents"/>
              <w:bidi w:val="0"/>
              <w:spacing w:before="0" w:after="0"/>
              <w:jc w:val="left"/>
              <w:rPr/>
            </w:pPr>
            <w:r>
              <w:rPr/>
              <w:t>☒</w:t>
            </w:r>
          </w:p>
        </w:tc>
        <w:tc>
          <w:tcPr>
            <w:tcW w:w="9700" w:type="dxa"/>
            <w:gridSpan w:val="3"/>
            <w:tcBorders/>
            <w:vAlign w:val="center"/>
          </w:tcPr>
          <w:p>
            <w:pPr>
              <w:pStyle w:val="TableContents"/>
              <w:bidi w:val="0"/>
              <w:spacing w:before="0" w:after="0"/>
              <w:jc w:val="left"/>
              <w:rPr/>
            </w:pPr>
            <w:r>
              <w:rPr/>
              <w:t>upon filing with the Commission pursuant to Rule 467(a) (if in connection with an offering being made contemporaneously in the United States and Canada).</w:t>
            </w:r>
          </w:p>
        </w:tc>
      </w:tr>
      <w:tr>
        <w:trPr/>
        <w:tc>
          <w:tcPr>
            <w:tcW w:w="275" w:type="dxa"/>
            <w:tcBorders/>
            <w:vAlign w:val="center"/>
          </w:tcPr>
          <w:p>
            <w:pPr>
              <w:pStyle w:val="TableContents"/>
              <w:bidi w:val="0"/>
              <w:spacing w:before="0" w:after="0"/>
              <w:jc w:val="left"/>
              <w:rPr/>
            </w:pPr>
            <w:r>
              <w:rPr/>
              <w:t>B.</w:t>
            </w:r>
          </w:p>
        </w:tc>
        <w:tc>
          <w:tcPr>
            <w:tcW w:w="230" w:type="dxa"/>
            <w:tcBorders/>
            <w:vAlign w:val="center"/>
          </w:tcPr>
          <w:p>
            <w:pPr>
              <w:pStyle w:val="TableContents"/>
              <w:bidi w:val="0"/>
              <w:spacing w:before="0" w:after="0"/>
              <w:jc w:val="left"/>
              <w:rPr/>
            </w:pPr>
            <w:r>
              <w:rPr/>
              <w:t>☐</w:t>
            </w:r>
          </w:p>
        </w:tc>
        <w:tc>
          <w:tcPr>
            <w:tcW w:w="9700" w:type="dxa"/>
            <w:gridSpan w:val="3"/>
            <w:tcBorders/>
            <w:vAlign w:val="center"/>
          </w:tcPr>
          <w:p>
            <w:pPr>
              <w:pStyle w:val="TableContents"/>
              <w:bidi w:val="0"/>
              <w:spacing w:before="0" w:after="0"/>
              <w:jc w:val="left"/>
              <w:rPr/>
            </w:pPr>
            <w:r>
              <w:rPr/>
              <w:t>at some future date (check the appropriate box below):</w:t>
            </w:r>
          </w:p>
        </w:tc>
      </w:tr>
      <w:tr>
        <w:trPr/>
        <w:tc>
          <w:tcPr>
            <w:tcW w:w="275"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1.</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410" w:type="dxa"/>
            <w:tcBorders/>
            <w:vAlign w:val="center"/>
          </w:tcPr>
          <w:p>
            <w:pPr>
              <w:pStyle w:val="TableContents"/>
              <w:bidi w:val="0"/>
              <w:spacing w:before="0" w:after="0"/>
              <w:jc w:val="both"/>
              <w:rPr/>
            </w:pPr>
            <w:r>
              <w:rPr/>
              <w:t>pursuant to Rule 467(b) on (            ) at (            ) (designate a time not sooner than 7 calendar days after filing).</w:t>
            </w:r>
          </w:p>
        </w:tc>
      </w:tr>
      <w:tr>
        <w:trPr/>
        <w:tc>
          <w:tcPr>
            <w:tcW w:w="275"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2.</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410" w:type="dxa"/>
            <w:tcBorders/>
            <w:vAlign w:val="center"/>
          </w:tcPr>
          <w:p>
            <w:pPr>
              <w:pStyle w:val="TableContents"/>
              <w:bidi w:val="0"/>
              <w:spacing w:before="0" w:after="0"/>
              <w:jc w:val="both"/>
              <w:rPr/>
            </w:pPr>
            <w:r>
              <w:rPr/>
              <w:t>pursuant to Rule 467(b) on (            ) at (            ) (designate a time 7 calendar days or sooner after filing) because the securities regulatory authority in the review jurisdiction has issued a receipt or notification of clearance on (            ).</w:t>
            </w:r>
          </w:p>
        </w:tc>
      </w:tr>
      <w:tr>
        <w:trPr/>
        <w:tc>
          <w:tcPr>
            <w:tcW w:w="275"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3.</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410" w:type="dxa"/>
            <w:tcBorders/>
            <w:vAlign w:val="center"/>
          </w:tcPr>
          <w:p>
            <w:pPr>
              <w:pStyle w:val="TableContents"/>
              <w:bidi w:val="0"/>
              <w:spacing w:before="0" w:after="0"/>
              <w:jc w:val="both"/>
              <w:rPr/>
            </w:pPr>
            <w:r>
              <w:rPr/>
              <w:t>pursuant to Rule 467(b) as soon as practicable after notification of the Commission by the Registrant or the Canadian securities regulatory authority of the review jurisdiction that a receipt or notification of clearance has been issued with respect hereto.</w:t>
            </w:r>
          </w:p>
        </w:tc>
      </w:tr>
      <w:tr>
        <w:trPr/>
        <w:tc>
          <w:tcPr>
            <w:tcW w:w="275"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4.</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410" w:type="dxa"/>
            <w:tcBorders/>
            <w:vAlign w:val="center"/>
          </w:tcPr>
          <w:p>
            <w:pPr>
              <w:pStyle w:val="TableContents"/>
              <w:bidi w:val="0"/>
              <w:spacing w:before="0" w:after="0"/>
              <w:jc w:val="both"/>
              <w:rPr/>
            </w:pPr>
            <w:r>
              <w:rPr/>
              <w:t>after the filing of the next amendment to this Form (if preliminary material is being filed).</w:t>
            </w:r>
          </w:p>
        </w:tc>
      </w:tr>
    </w:tbl>
    <w:p>
      <w:pPr>
        <w:pStyle w:val="TextBody"/>
        <w:bidi w:val="0"/>
        <w:jc w:val="both"/>
        <w:rPr/>
      </w:pPr>
      <w:r>
        <w:rPr/>
        <w:t xml:space="preserve">          </w:t>
      </w:r>
      <w:r>
        <w:rPr/>
        <w:t>If any of the securities being registered on this Form are to be offered on a delayed or continuous basis pursuant to the home jurisdiction's shelf prospectus offering procedures, check the following box. ☒</w:t>
      </w:r>
    </w:p>
    <w:p>
      <w:pPr>
        <w:pStyle w:val="TextBody"/>
        <w:bidi w:val="0"/>
        <w:jc w:val="both"/>
        <w:rPr/>
      </w:pPr>
      <w:r>
        <w:rPr/>
        <w:t> </w:t>
      </w:r>
    </w:p>
    <w:p>
      <w:pPr>
        <w:pStyle w:val="TextBody"/>
        <w:bidi w:val="0"/>
        <w:jc w:val="both"/>
        <w:rPr>
          <w:b/>
        </w:rPr>
      </w:pPr>
      <w:r>
        <w:rPr>
          <w:b/>
        </w:rPr>
        <w:t>The Registrant hereby amends this Registration Statement on such date or dates as may be necessary to delay its effective date until the Registration Statement shall become effective as provided in Rule 467 under the Securities Act or on such date as the Commission, acting pursuant to Section 8(a) of the Securities Act, may determine.</w:t>
      </w:r>
    </w:p>
    <w:p>
      <w:pPr>
        <w:pStyle w:val="HorizontalLine"/>
        <w:pBdr>
          <w:bottom w:val="single" w:sz="30" w:space="0" w:color="000000"/>
        </w:pBdr>
        <w:bidi w:val="0"/>
        <w:jc w:val="left"/>
        <w:rPr/>
      </w:pPr>
      <w:r>
        <w:rPr/>
      </w:r>
    </w:p>
    <w:p>
      <w:pPr>
        <w:pStyle w:val="TextBody"/>
        <w:bidi w:val="0"/>
        <w:jc w:val="center"/>
        <w:rPr/>
      </w:pPr>
      <w:r>
        <w:rPr/>
      </w:r>
      <w:bookmarkStart w:id="6" w:name="page_3"/>
      <w:bookmarkStart w:id="7" w:name="page_3"/>
      <w:bookmarkEnd w:id="7"/>
    </w:p>
    <w:p>
      <w:pPr>
        <w:pStyle w:val="TextBody"/>
        <w:bidi w:val="0"/>
        <w:jc w:val="center"/>
        <w:rPr>
          <w:b/>
        </w:rPr>
      </w:pPr>
      <w:r>
        <w:rPr>
          <w:b/>
        </w:rPr>
        <w:t>PART I</w:t>
      </w:r>
    </w:p>
    <w:p>
      <w:pPr>
        <w:pStyle w:val="TextBody"/>
        <w:bidi w:val="0"/>
        <w:jc w:val="center"/>
        <w:rPr>
          <w:b/>
        </w:rPr>
      </w:pPr>
      <w:r>
        <w:rPr>
          <w:b/>
        </w:rPr>
        <w:t>INFORMATION REQUIRED TO BE DELIVERED TO OFFEREES OR PURCHASERS</w:t>
      </w:r>
    </w:p>
    <w:p>
      <w:pPr>
        <w:pStyle w:val="TextBody"/>
        <w:bidi w:val="0"/>
        <w:jc w:val="both"/>
        <w:rPr>
          <w:i/>
          <w:color w:val="FF0000"/>
        </w:rPr>
      </w:pPr>
      <w:r>
        <w:rPr>
          <w:i/>
          <w:color w:val="FF0000"/>
        </w:rPr>
        <w:t>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pStyle w:val="TextBody"/>
        <w:bidi w:val="0"/>
        <w:jc w:val="both"/>
        <w:rPr>
          <w:b/>
          <w:i/>
        </w:rPr>
      </w:pPr>
      <w:r>
        <w:rPr>
          <w:b/>
          <w:i/>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pStyle w:val="TextBody"/>
        <w:bidi w:val="0"/>
        <w:jc w:val="both"/>
        <w:rPr>
          <w:i/>
        </w:rPr>
      </w:pPr>
      <w:r>
        <w:rPr>
          <w:i/>
        </w:rPr>
        <w:t>Information contained herein is subject to completion or amendment. A registration statement relating to these securities has been filed with the United States Securities and Exchange Commission (the "</w:t>
      </w:r>
      <w:r>
        <w:rPr>
          <w:b/>
          <w:i/>
        </w:rPr>
        <w:t>SEC</w:t>
      </w:r>
      <w:r>
        <w:rPr>
          <w:i/>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pStyle w:val="TextBody"/>
        <w:bidi w:val="0"/>
        <w:jc w:val="both"/>
        <w:rPr>
          <w:i/>
        </w:rPr>
      </w:pPr>
      <w:r>
        <w:rPr>
          <w:b/>
          <w:i/>
        </w:rPr>
        <w:t xml:space="preserve">Information has been incorporated by reference in this short form base shelf prospectus from documents filed with securities commissions or similar authorities in Canada. </w:t>
      </w:r>
      <w:r>
        <w:rPr>
          <w:i/>
        </w:rPr>
        <w:t>Copies of the documents incorporated herein by reference may be obtained on request without charge from the Secretary of Cybin Inc. at 100 King Street West, Suite 5600, Toronto, Ontario M5X 1C9, telephone 1-866-292-4601, and are also available electronically at www.sedarplus.ca.</w:t>
      </w:r>
    </w:p>
    <w:tbl>
      <w:tblPr>
        <w:tblW w:w="2695" w:type="dxa"/>
        <w:jc w:val="left"/>
        <w:tblInd w:w="0" w:type="dxa"/>
        <w:tblLayout w:type="fixed"/>
        <w:tblCellMar>
          <w:top w:w="0" w:type="dxa"/>
          <w:left w:w="0" w:type="dxa"/>
          <w:bottom w:w="0" w:type="dxa"/>
          <w:right w:w="0" w:type="dxa"/>
        </w:tblCellMar>
      </w:tblPr>
      <w:tblGrid>
        <w:gridCol w:w="1085"/>
        <w:gridCol w:w="1610"/>
      </w:tblGrid>
      <w:tr>
        <w:trPr/>
        <w:tc>
          <w:tcPr>
            <w:tcW w:w="1085" w:type="dxa"/>
            <w:tcBorders/>
            <w:vAlign w:val="center"/>
          </w:tcPr>
          <w:p>
            <w:pPr>
              <w:pStyle w:val="TableContents"/>
              <w:bidi w:val="0"/>
              <w:spacing w:before="0" w:after="283"/>
              <w:jc w:val="left"/>
              <w:rPr/>
            </w:pPr>
            <w:r>
              <w:rPr>
                <w:u w:val="single"/>
              </w:rPr>
              <w:t>New Issue</w:t>
            </w:r>
            <w:r>
              <w:rPr/>
              <w:t> </w:t>
            </w:r>
          </w:p>
        </w:tc>
        <w:tc>
          <w:tcPr>
            <w:tcW w:w="1610" w:type="dxa"/>
            <w:tcBorders/>
            <w:vAlign w:val="center"/>
          </w:tcPr>
          <w:p>
            <w:pPr>
              <w:pStyle w:val="TableContents"/>
              <w:bidi w:val="0"/>
              <w:spacing w:before="0" w:after="283"/>
              <w:jc w:val="right"/>
              <w:rPr/>
            </w:pPr>
            <w:r>
              <w:rPr/>
              <w:t>August 17, 2023</w:t>
            </w:r>
          </w:p>
        </w:tc>
      </w:tr>
    </w:tbl>
    <w:p>
      <w:pPr>
        <w:pStyle w:val="TextBody"/>
        <w:bidi w:val="0"/>
        <w:jc w:val="center"/>
        <w:rPr>
          <w:b/>
        </w:rPr>
      </w:pPr>
      <w:r>
        <w:rPr>
          <w:b/>
        </w:rPr>
        <w:t>SHORT FORM BASE SHELF PROSPECTUS</w:t>
      </w:r>
    </w:p>
    <w:p>
      <w:pPr>
        <w:pStyle w:val="TextBody"/>
        <w:bidi w:val="0"/>
        <w:jc w:val="center"/>
        <w:rPr/>
      </w:pPr>
      <w:r>
        <w:rPr/>
        <w:drawing>
          <wp:inline distT="0" distB="0" distL="0" distR="0">
            <wp:extent cx="15621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933450"/>
                    </a:xfrm>
                    <a:prstGeom prst="rect">
                      <a:avLst/>
                    </a:prstGeom>
                  </pic:spPr>
                </pic:pic>
              </a:graphicData>
            </a:graphic>
          </wp:inline>
        </w:drawing>
      </w:r>
    </w:p>
    <w:p>
      <w:pPr>
        <w:pStyle w:val="TextBody"/>
        <w:bidi w:val="0"/>
        <w:spacing w:before="0" w:after="0"/>
        <w:jc w:val="center"/>
        <w:rPr>
          <w:b/>
        </w:rPr>
      </w:pPr>
      <w:r>
        <w:rPr>
          <w:b/>
        </w:rPr>
        <w:t>CYBIN INC.</w:t>
      </w:r>
    </w:p>
    <w:p>
      <w:pPr>
        <w:pStyle w:val="TextBody"/>
        <w:bidi w:val="0"/>
        <w:spacing w:before="0" w:after="0"/>
        <w:jc w:val="center"/>
        <w:rPr>
          <w:b/>
        </w:rPr>
      </w:pPr>
      <w:r>
        <w:rPr>
          <w:b/>
        </w:rPr>
        <w:t>$160,000,000</w:t>
      </w:r>
    </w:p>
    <w:p>
      <w:pPr>
        <w:pStyle w:val="TextBody"/>
        <w:bidi w:val="0"/>
        <w:spacing w:before="0" w:after="0"/>
        <w:jc w:val="center"/>
        <w:rPr>
          <w:b/>
        </w:rPr>
      </w:pPr>
      <w:r>
        <w:rPr>
          <w:b/>
        </w:rPr>
        <w:t>Common Shares</w:t>
      </w:r>
    </w:p>
    <w:p>
      <w:pPr>
        <w:pStyle w:val="TextBody"/>
        <w:bidi w:val="0"/>
        <w:spacing w:before="0" w:after="0"/>
        <w:jc w:val="center"/>
        <w:rPr>
          <w:b/>
        </w:rPr>
      </w:pPr>
      <w:r>
        <w:rPr>
          <w:b/>
        </w:rPr>
        <w:t>Warrants</w:t>
      </w:r>
    </w:p>
    <w:p>
      <w:pPr>
        <w:pStyle w:val="TextBody"/>
        <w:bidi w:val="0"/>
        <w:spacing w:before="0" w:after="0"/>
        <w:jc w:val="center"/>
        <w:rPr>
          <w:b/>
        </w:rPr>
      </w:pPr>
      <w:r>
        <w:rPr>
          <w:b/>
        </w:rPr>
        <w:t>Units</w:t>
      </w:r>
    </w:p>
    <w:p>
      <w:pPr>
        <w:pStyle w:val="TextBody"/>
        <w:bidi w:val="0"/>
        <w:spacing w:before="0" w:after="0"/>
        <w:jc w:val="center"/>
        <w:rPr>
          <w:b/>
        </w:rPr>
      </w:pPr>
      <w:r>
        <w:rPr>
          <w:b/>
        </w:rPr>
        <w:t>Debt Securities</w:t>
      </w:r>
    </w:p>
    <w:p>
      <w:pPr>
        <w:pStyle w:val="TextBody"/>
        <w:bidi w:val="0"/>
        <w:spacing w:before="0" w:after="283"/>
        <w:jc w:val="center"/>
        <w:rPr>
          <w:b/>
        </w:rPr>
      </w:pPr>
      <w:r>
        <w:rPr>
          <w:b/>
        </w:rPr>
        <w:t>Subscription Receipts</w:t>
      </w:r>
    </w:p>
    <w:p>
      <w:pPr>
        <w:pStyle w:val="TextBody"/>
        <w:bidi w:val="0"/>
        <w:jc w:val="both"/>
        <w:rPr/>
      </w:pPr>
      <w:r>
        <w:rPr/>
        <w:t>This short form base shelf prospectus ("</w:t>
      </w:r>
      <w:r>
        <w:rPr>
          <w:b/>
        </w:rPr>
        <w:t>Prospectus</w:t>
      </w:r>
      <w:r>
        <w:rPr/>
        <w:t>") relates to the offering for sale from time to time (each, an "</w:t>
      </w:r>
      <w:r>
        <w:rPr>
          <w:b/>
        </w:rPr>
        <w:t>Offering</w:t>
      </w:r>
      <w:r>
        <w:rPr/>
        <w:t>") by Cybin Inc. (the "</w:t>
      </w:r>
      <w:r>
        <w:rPr>
          <w:b/>
        </w:rPr>
        <w:t>Corporation</w:t>
      </w:r>
      <w:r>
        <w:rPr/>
        <w:t>" or "</w:t>
      </w:r>
      <w:r>
        <w:rPr>
          <w:b/>
        </w:rPr>
        <w:t>Cybin</w:t>
      </w:r>
      <w:r>
        <w:rPr/>
        <w:t>") during the 25-month period that this Prospectus, including any of amendments thereto, remains valid, of up to $160,000,000 in the aggregate of: (i) common shares ("</w:t>
      </w:r>
      <w:r>
        <w:rPr>
          <w:b/>
        </w:rPr>
        <w:t>Common Shares</w:t>
      </w:r>
      <w:r>
        <w:rPr/>
        <w:t>") of the Corporation; (ii) warrants ("</w:t>
      </w:r>
      <w:r>
        <w:rPr>
          <w:b/>
        </w:rPr>
        <w:t>Warrants</w:t>
      </w:r>
      <w:r>
        <w:rPr/>
        <w:t>") to purchase other Securities (as defined below) of the Corporation; (iii) units ("</w:t>
      </w:r>
      <w:r>
        <w:rPr>
          <w:b/>
        </w:rPr>
        <w:t>Units</w:t>
      </w:r>
      <w:r>
        <w:rPr/>
        <w:t>") comprising of one or more of the other Securities, (iv) senior and subordinated unsecured debt securities (collectively, "</w:t>
      </w:r>
      <w:r>
        <w:rPr>
          <w:b/>
        </w:rPr>
        <w:t>Debt Securities</w:t>
      </w:r>
      <w:r>
        <w:rPr/>
        <w:t>"), including debt securities convertible or exchangeable into other securities of the Corporation, and (v) subscription receipts ("</w:t>
      </w:r>
      <w:r>
        <w:rPr>
          <w:b/>
        </w:rPr>
        <w:t>Subscription Receipts</w:t>
      </w:r>
      <w:r>
        <w:rPr/>
        <w:t>" and together with the Common Shares, Warrants, Units and Debt Securities, collectively referred to herein as the "</w:t>
      </w:r>
      <w:r>
        <w:rPr>
          <w:b/>
        </w:rPr>
        <w:t>Securities</w:t>
      </w:r>
      <w:r>
        <w:rPr/>
        <w:t>"). The Securities may be offered separately or together, in amounts, at prices and on terms determined based on market conditions at the time of the sale and as set forth in an accompanying prospectus supplement ("</w:t>
      </w:r>
      <w:r>
        <w:rPr>
          <w:b/>
        </w:rPr>
        <w:t>Prospectus Supplement</w:t>
      </w:r>
      <w:r>
        <w:rPr/>
        <w:t>").</w:t>
      </w:r>
    </w:p>
    <w:p>
      <w:pPr>
        <w:pStyle w:val="HorizontalLine"/>
        <w:pBdr>
          <w:bottom w:val="single" w:sz="30" w:space="0" w:color="000000"/>
        </w:pBdr>
        <w:bidi w:val="0"/>
        <w:jc w:val="left"/>
        <w:rPr/>
      </w:pPr>
      <w:r>
        <w:rPr/>
      </w:r>
    </w:p>
    <w:p>
      <w:pPr>
        <w:pStyle w:val="TextBody"/>
        <w:bidi w:val="0"/>
        <w:jc w:val="both"/>
        <w:rPr/>
      </w:pPr>
      <w:bookmarkStart w:id="8" w:name="page_4"/>
      <w:bookmarkEnd w:id="8"/>
      <w:r>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pStyle w:val="TextBody"/>
        <w:bidi w:val="0"/>
        <w:jc w:val="both"/>
        <w:rPr/>
      </w:pPr>
      <w:r>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pStyle w:val="TextBody"/>
        <w:bidi w:val="0"/>
        <w:jc w:val="both"/>
        <w:rPr/>
      </w:pPr>
      <w:r>
        <w:rPr/>
        <w:t xml:space="preserve">The Securities may be sold through underwriters or dealers, directly by the Corporation pursuant to applicable statutory exemptions, or through designated agents from time to time. See </w:t>
      </w:r>
      <w:r>
        <w:rPr>
          <w:i/>
        </w:rPr>
        <w:t>"Plan of Distribution".</w:t>
      </w:r>
      <w:r>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and any other material terms of the plan of distribution.</w:t>
      </w:r>
    </w:p>
    <w:p>
      <w:pPr>
        <w:pStyle w:val="TextBody"/>
        <w:bidi w:val="0"/>
        <w:jc w:val="both"/>
        <w:rPr/>
      </w:pPr>
      <w:r>
        <w:rPr/>
        <w:t xml:space="preserve">The Securities may be sold from time to time in one or more transactions at a fixed price or prices or at non-fixed prices. This Prospectus may qualify an "at-the-market distribution", as defined in National Instrument 44-102 - </w:t>
      </w:r>
      <w:r>
        <w:rPr>
          <w:i/>
        </w:rPr>
        <w:t>Shelf Distributions</w:t>
      </w:r>
      <w:r>
        <w:rPr/>
        <w:t xml:space="preserve"> ("</w:t>
      </w:r>
      <w:r>
        <w:rPr>
          <w:b/>
        </w:rPr>
        <w:t>NI 44-102</w:t>
      </w:r>
      <w:r>
        <w:rPr/>
        <w:t>").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b/>
        </w:rPr>
        <w:t>NEO</w:t>
      </w:r>
      <w:r>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i/>
        </w:rPr>
        <w:t>"Plan of Distribution"</w:t>
      </w:r>
      <w:r>
        <w:rPr/>
        <w:t>.</w:t>
      </w:r>
    </w:p>
    <w:p>
      <w:pPr>
        <w:pStyle w:val="TextBody"/>
        <w:bidi w:val="0"/>
        <w:jc w:val="both"/>
        <w:rPr/>
      </w:pPr>
      <w:r>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pStyle w:val="TextBody"/>
        <w:bidi w:val="0"/>
        <w:jc w:val="center"/>
        <w:rPr/>
      </w:pPr>
      <w:r>
        <w:rPr/>
        <w:t>ii</w:t>
      </w:r>
    </w:p>
    <w:p>
      <w:pPr>
        <w:pStyle w:val="HorizontalLine"/>
        <w:pBdr>
          <w:bottom w:val="single" w:sz="30" w:space="0" w:color="000000"/>
        </w:pBdr>
        <w:bidi w:val="0"/>
        <w:jc w:val="left"/>
        <w:rPr/>
      </w:pPr>
      <w:r>
        <w:rPr/>
      </w:r>
    </w:p>
    <w:p>
      <w:pPr>
        <w:pStyle w:val="TextBody"/>
        <w:bidi w:val="0"/>
        <w:jc w:val="both"/>
        <w:rPr/>
      </w:pPr>
      <w:bookmarkStart w:id="9" w:name="page_5"/>
      <w:bookmarkEnd w:id="9"/>
      <w:r>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pStyle w:val="TextBody"/>
        <w:bidi w:val="0"/>
        <w:jc w:val="both"/>
        <w:rPr/>
      </w:pPr>
      <w:r>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i/>
        </w:rPr>
        <w:t>"Plan of Distribution"</w:t>
      </w:r>
      <w:r>
        <w:rPr/>
        <w:t>.</w:t>
      </w:r>
    </w:p>
    <w:p>
      <w:pPr>
        <w:pStyle w:val="TextBody"/>
        <w:bidi w:val="0"/>
        <w:jc w:val="both"/>
        <w:rPr/>
      </w:pPr>
      <w:r>
        <w:rPr/>
        <w:t>The Common Shares are listed on the NEO under the trading symbol “CYBN”, and in the United States on the NYSE American LLC stock exchange (the “</w:t>
      </w:r>
      <w:r>
        <w:rPr>
          <w:b/>
        </w:rPr>
        <w:t>NYSE American</w:t>
      </w:r>
      <w:r>
        <w:rPr/>
        <w:t>”) under the symbol “CYBN”. On August 16, 2023, the last trading day prior to the filing of this Prospectus, the closing prices of the Common Shares listed on the NEO and the NYSE American were $0.44 and US$0.323, respectively.</w:t>
      </w:r>
    </w:p>
    <w:p>
      <w:pPr>
        <w:pStyle w:val="TextBody"/>
        <w:bidi w:val="0"/>
        <w:jc w:val="both"/>
        <w:rPr/>
      </w:pPr>
      <w:r>
        <w:rPr>
          <w:b/>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b/>
          <w:i/>
        </w:rPr>
        <w:t>"Risk Factors"</w:t>
      </w:r>
      <w:r>
        <w:rPr>
          <w:b/>
        </w:rPr>
        <w:t>.</w:t>
      </w:r>
    </w:p>
    <w:p>
      <w:pPr>
        <w:pStyle w:val="TextBody"/>
        <w:bidi w:val="0"/>
        <w:jc w:val="both"/>
        <w:rPr>
          <w:b/>
        </w:rPr>
      </w:pPr>
      <w:r>
        <w:rPr>
          <w:b/>
        </w:rPr>
        <w:t xml:space="preserve">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 </w:t>
      </w:r>
    </w:p>
    <w:p>
      <w:pPr>
        <w:pStyle w:val="TextBody"/>
        <w:bidi w:val="0"/>
        <w:jc w:val="both"/>
        <w:rPr>
          <w:b/>
        </w:rPr>
      </w:pPr>
      <w:r>
        <w:rPr>
          <w:b/>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pStyle w:val="TextBody"/>
        <w:bidi w:val="0"/>
        <w:jc w:val="both"/>
        <w:rPr/>
      </w:pPr>
      <w:r>
        <w:rPr>
          <w:b/>
        </w:rPr>
        <w:t>An investors ability to enforce civil liabilities under the United States federal securities laws may be affected adversely because the Corporation is incorporated in Canada, most of the officers and directors named in this Prospectus are not residents of the United States, and some of the Corporation's assets and all or a substantial portion of the assets of such persons are located outside of the United States. See "</w:t>
      </w:r>
      <w:r>
        <w:rPr>
          <w:b/>
          <w:i/>
        </w:rPr>
        <w:t>Risk Factors - Enforcement of Civil Liabilities</w:t>
      </w:r>
      <w:r>
        <w:rPr>
          <w:b/>
        </w:rPr>
        <w:t xml:space="preserve">". </w:t>
      </w:r>
    </w:p>
    <w:p>
      <w:pPr>
        <w:pStyle w:val="TextBody"/>
        <w:bidi w:val="0"/>
        <w:jc w:val="both"/>
        <w:rPr>
          <w:b/>
        </w:rPr>
      </w:pPr>
      <w:r>
        <w:rPr>
          <w:b/>
        </w:rPr>
        <w:t>An investment in the Securities is subject to a number of risks, including those risks described in this Prospectus and documents incorporated by reference into this Prospectus. See “</w:t>
      </w:r>
      <w:r>
        <w:rPr>
          <w:b/>
          <w:i/>
        </w:rPr>
        <w:t>Risk Factors”</w:t>
      </w:r>
      <w:r>
        <w:rPr>
          <w:b/>
        </w:rPr>
        <w:t xml:space="preserve"> in this Prospectus and in the Corporation’s Annual Information Form and Interim MD&amp;A (each as defined herein) incorporated by reference herein.</w:t>
      </w:r>
    </w:p>
    <w:p>
      <w:pPr>
        <w:pStyle w:val="TextBody"/>
        <w:bidi w:val="0"/>
        <w:jc w:val="center"/>
        <w:rPr/>
      </w:pPr>
      <w:r>
        <w:rPr/>
        <w:t>iii</w:t>
      </w:r>
    </w:p>
    <w:p>
      <w:pPr>
        <w:pStyle w:val="HorizontalLine"/>
        <w:pBdr>
          <w:bottom w:val="single" w:sz="30" w:space="0" w:color="000000"/>
        </w:pBdr>
        <w:bidi w:val="0"/>
        <w:jc w:val="left"/>
        <w:rPr/>
      </w:pPr>
      <w:r>
        <w:rPr/>
      </w:r>
    </w:p>
    <w:p>
      <w:pPr>
        <w:pStyle w:val="TextBody"/>
        <w:bidi w:val="0"/>
        <w:jc w:val="both"/>
        <w:rPr>
          <w:b/>
        </w:rPr>
      </w:pPr>
      <w:bookmarkStart w:id="10" w:name="page_6"/>
      <w:bookmarkEnd w:id="10"/>
      <w:r>
        <w:rPr>
          <w:b/>
        </w:rPr>
        <w:t>No person is authorized by the Corporation to provide any information or to make any representation other than as contained in this Prospectus in connection with the issue and sale of the Securities offered hereunder.</w:t>
      </w:r>
    </w:p>
    <w:p>
      <w:pPr>
        <w:pStyle w:val="TextBody"/>
        <w:bidi w:val="0"/>
        <w:jc w:val="both"/>
        <w:rPr>
          <w:b/>
        </w:rPr>
      </w:pPr>
      <w:r>
        <w:rPr>
          <w:b/>
        </w:rPr>
        <w:t>No underwriter has been involved in the preparation of this Prospectus or performed any review of the contents hereof.</w:t>
      </w:r>
    </w:p>
    <w:p>
      <w:pPr>
        <w:pStyle w:val="TextBody"/>
        <w:bidi w:val="0"/>
        <w:jc w:val="both"/>
        <w:rPr>
          <w:b/>
        </w:rPr>
      </w:pPr>
      <w:r>
        <w:rPr>
          <w:b/>
        </w:rPr>
        <w:t>NEITHER THE SEC 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pStyle w:val="TextBody"/>
        <w:bidi w:val="0"/>
        <w:jc w:val="both"/>
        <w:rPr/>
      </w:pPr>
      <w:r>
        <w:rPr/>
        <w:t xml:space="preserve">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i/>
        </w:rPr>
        <w:t>"Risk Factors - Risks Related to an Offering - Enforcement of Civil Liabilities"</w:t>
      </w:r>
      <w:r>
        <w:rPr/>
        <w:t>.</w:t>
      </w:r>
    </w:p>
    <w:p>
      <w:pPr>
        <w:pStyle w:val="TextBody"/>
        <w:bidi w:val="0"/>
        <w:jc w:val="both"/>
        <w:rPr/>
      </w:pPr>
      <w:r>
        <w:rPr/>
        <w:t>In this Prospectus, references to the "</w:t>
      </w:r>
      <w:r>
        <w:rPr>
          <w:b/>
        </w:rPr>
        <w:t>Corporation</w:t>
      </w:r>
      <w:r>
        <w:rPr/>
        <w:t>", "</w:t>
      </w:r>
      <w:r>
        <w:rPr>
          <w:b/>
        </w:rPr>
        <w:t>Cybin</w:t>
      </w:r>
      <w:r>
        <w:rPr/>
        <w:t>", "</w:t>
      </w:r>
      <w:r>
        <w:rPr>
          <w:b/>
        </w:rPr>
        <w:t>we</w:t>
      </w:r>
      <w:r>
        <w:rPr/>
        <w:t>", "</w:t>
      </w:r>
      <w:r>
        <w:rPr>
          <w:b/>
        </w:rPr>
        <w:t>us</w:t>
      </w:r>
      <w:r>
        <w:rPr/>
        <w:t>" and "</w:t>
      </w:r>
      <w:r>
        <w:rPr>
          <w:b/>
        </w:rPr>
        <w:t>our</w:t>
      </w:r>
      <w:r>
        <w:rPr/>
        <w:t>" refer to Cybin Inc. and/or, as applicable, one or more of its subsidiaries. The Corporation's registered and head office is located at 100 King Street West, Suite 5600, Toronto, Ontario M5X 1C9.</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pPr>
            <w:r>
              <w:rPr>
                <w:b/>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b/>
                <w:i/>
              </w:rPr>
              <w:t>"Use of Proceeds"</w:t>
            </w:r>
            <w:r>
              <w:rPr>
                <w:b/>
              </w:rPr>
              <w:t xml:space="preserve">. </w:t>
            </w:r>
          </w:p>
          <w:p>
            <w:pPr>
              <w:pStyle w:val="TableContents"/>
              <w:bidi w:val="0"/>
              <w:jc w:val="both"/>
              <w:rPr/>
            </w:pPr>
            <w:r>
              <w:rPr>
                <w:b/>
              </w:rPr>
              <w:t xml:space="preserve">The Canadian and United States federal governments regulate drugs through the </w:t>
            </w:r>
            <w:r>
              <w:rPr>
                <w:b/>
                <w:i/>
              </w:rPr>
              <w:t xml:space="preserve">Controlled Drugs and Substances Act </w:t>
            </w:r>
            <w:r>
              <w:rPr>
                <w:b/>
              </w:rPr>
              <w:t xml:space="preserve">(Canada) (the "CDSA") and the </w:t>
            </w:r>
            <w:r>
              <w:rPr>
                <w:b/>
                <w:i/>
              </w:rPr>
              <w:t>Controlled Substances Act</w:t>
            </w:r>
            <w:r>
              <w:rPr/>
              <w:t xml:space="preserve"> </w:t>
            </w:r>
            <w:r>
              <w:rPr>
                <w:b/>
              </w:rPr>
              <w:t>(21 U.S.C. § 811) (the "CSA"), respectively, which place controlled substances in a schedule. Under the CDSA, psilocybin is currently a Schedule III drug. Under the CSA, psilocybin is currently a Schedule I drug.</w:t>
            </w:r>
          </w:p>
          <w:p>
            <w:pPr>
              <w:pStyle w:val="TableContents"/>
              <w:bidi w:val="0"/>
              <w:jc w:val="both"/>
              <w:rPr/>
            </w:pPr>
            <w:r>
              <w:rPr>
                <w:b/>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b/>
                <w:i/>
              </w:rPr>
              <w:t>"Regulatory Overview - Research and Development"</w:t>
            </w:r>
            <w:r>
              <w:rPr>
                <w:b/>
              </w:rPr>
              <w:t>.</w:t>
            </w:r>
          </w:p>
          <w:p>
            <w:pPr>
              <w:pStyle w:val="TableContents"/>
              <w:bidi w:val="0"/>
              <w:spacing w:before="0" w:after="283"/>
              <w:jc w:val="both"/>
              <w:rPr>
                <w:b/>
              </w:rPr>
            </w:pPr>
            <w:r>
              <w:rPr>
                <w:b/>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tc>
      </w:tr>
    </w:tbl>
    <w:p>
      <w:pPr>
        <w:pStyle w:val="TextBody"/>
        <w:bidi w:val="0"/>
        <w:jc w:val="center"/>
        <w:rPr/>
      </w:pPr>
      <w:r>
        <w:rPr/>
        <w:t>iv</w:t>
      </w: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11" w:name="page_7"/>
      <w:bookmarkStart w:id="12" w:name="page_7"/>
      <w:bookmarkEnd w:id="12"/>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jc w:val="both"/>
              <w:rPr>
                <w:b/>
              </w:rPr>
            </w:pPr>
            <w:r>
              <w:rPr>
                <w:b/>
              </w:rPr>
              <w:t>The Corporation's operations are conducted in strict compliance with local laws where such activities are permissible and do not require any specific legal or regulatory approvals.</w:t>
            </w:r>
          </w:p>
          <w:p>
            <w:pPr>
              <w:pStyle w:val="TableContents"/>
              <w:bidi w:val="0"/>
              <w:jc w:val="both"/>
              <w:rPr/>
            </w:pPr>
            <w:r>
              <w:rPr>
                <w:b/>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b/>
                <w:i/>
              </w:rPr>
              <w:t>"Risk Factors"</w:t>
            </w:r>
            <w:r>
              <w:rPr/>
              <w:t xml:space="preserve"> </w:t>
            </w:r>
            <w:r>
              <w:rPr>
                <w:b/>
              </w:rPr>
              <w:t xml:space="preserve">herein and </w:t>
            </w:r>
            <w:r>
              <w:rPr>
                <w:b/>
                <w:i/>
              </w:rPr>
              <w:t>"Risk Factors"</w:t>
            </w:r>
            <w:r>
              <w:rPr/>
              <w:t xml:space="preserve"> </w:t>
            </w:r>
            <w:r>
              <w:rPr>
                <w:b/>
              </w:rPr>
              <w:t>in the Annual Information Form.</w:t>
            </w:r>
          </w:p>
          <w:p>
            <w:pPr>
              <w:pStyle w:val="TableContents"/>
              <w:bidi w:val="0"/>
              <w:jc w:val="both"/>
              <w:rPr/>
            </w:pPr>
            <w:r>
              <w:rPr>
                <w:b/>
              </w:rPr>
              <w:t xml:space="preserve">Certain statements throughout this Prospectus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b/>
                <w:i/>
              </w:rPr>
              <w:t>"Risk Factors"</w:t>
            </w:r>
            <w:r>
              <w:rPr/>
              <w:t xml:space="preserve"> </w:t>
            </w:r>
            <w:r>
              <w:rPr>
                <w:b/>
              </w:rPr>
              <w:t xml:space="preserve">herein and </w:t>
            </w:r>
            <w:r>
              <w:rPr>
                <w:b/>
                <w:i/>
              </w:rPr>
              <w:t>"Risk Factors"</w:t>
            </w:r>
            <w:r>
              <w:rPr/>
              <w:t xml:space="preserve"> </w:t>
            </w:r>
            <w:r>
              <w:rPr>
                <w:b/>
              </w:rPr>
              <w:t>in the Annual Information Form.</w:t>
            </w:r>
          </w:p>
          <w:p>
            <w:pPr>
              <w:pStyle w:val="TableContents"/>
              <w:bidi w:val="0"/>
              <w:jc w:val="both"/>
              <w:rPr/>
            </w:pPr>
            <w:r>
              <w:rPr>
                <w:b/>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b/>
                <w:i/>
              </w:rPr>
              <w:t>"Compliance Program"</w:t>
            </w:r>
            <w:r>
              <w:rPr>
                <w:b/>
              </w:rPr>
              <w:t xml:space="preserve">.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 </w:t>
            </w:r>
          </w:p>
          <w:p>
            <w:pPr>
              <w:pStyle w:val="TableContents"/>
              <w:bidi w:val="0"/>
              <w:jc w:val="both"/>
              <w:rPr/>
            </w:pPr>
            <w:r>
              <w:rPr>
                <w:b/>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b/>
                <w:i/>
              </w:rPr>
              <w:t>"Risk Factors"</w:t>
            </w:r>
            <w:r>
              <w:rPr/>
              <w:t xml:space="preserve"> </w:t>
            </w:r>
            <w:r>
              <w:rPr>
                <w:b/>
              </w:rPr>
              <w:t xml:space="preserve">herein and </w:t>
            </w:r>
            <w:r>
              <w:rPr>
                <w:b/>
                <w:i/>
              </w:rPr>
              <w:t>"Risk Factors"</w:t>
            </w:r>
            <w:r>
              <w:rPr/>
              <w:t xml:space="preserve"> </w:t>
            </w:r>
            <w:r>
              <w:rPr>
                <w:b/>
              </w:rPr>
              <w:t>in the Annual Information Form.</w:t>
            </w:r>
          </w:p>
          <w:p>
            <w:pPr>
              <w:pStyle w:val="TableContents"/>
              <w:bidi w:val="0"/>
              <w:spacing w:before="0" w:after="0"/>
              <w:jc w:val="both"/>
              <w:rPr/>
            </w:pPr>
            <w:r>
              <w:rPr>
                <w:b/>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b/>
                <w:i/>
              </w:rPr>
              <w:t>"Risk Factors"</w:t>
            </w:r>
            <w:r>
              <w:rPr/>
              <w:t xml:space="preserve"> </w:t>
            </w:r>
            <w:r>
              <w:rPr>
                <w:b/>
              </w:rPr>
              <w:t xml:space="preserve">in this Prospectus, prior to investing in the Securities. See </w:t>
            </w:r>
            <w:r>
              <w:rPr>
                <w:b/>
                <w:i/>
              </w:rPr>
              <w:t>"Cautionary Note Regarding Forward-Looking Information"</w:t>
            </w:r>
            <w:r>
              <w:rPr/>
              <w:t xml:space="preserve"> </w:t>
            </w:r>
            <w:r>
              <w:rPr>
                <w:b/>
              </w:rPr>
              <w:t xml:space="preserve">and </w:t>
            </w:r>
            <w:r>
              <w:rPr>
                <w:b/>
                <w:i/>
              </w:rPr>
              <w:t>"Risk Factors"</w:t>
            </w:r>
            <w:r>
              <w:rPr>
                <w:b/>
              </w:rPr>
              <w:t>.</w:t>
            </w:r>
          </w:p>
        </w:tc>
      </w:tr>
    </w:tbl>
    <w:p>
      <w:pPr>
        <w:pStyle w:val="TextBody"/>
        <w:bidi w:val="0"/>
        <w:jc w:val="center"/>
        <w:rPr/>
      </w:pPr>
      <w:r>
        <w:rPr/>
        <w:t>v</w:t>
      </w:r>
    </w:p>
    <w:p>
      <w:pPr>
        <w:pStyle w:val="HorizontalLine"/>
        <w:pBdr>
          <w:bottom w:val="single" w:sz="30" w:space="0" w:color="000000"/>
        </w:pBdr>
        <w:bidi w:val="0"/>
        <w:jc w:val="left"/>
        <w:rPr/>
      </w:pPr>
      <w:r>
        <w:rPr/>
      </w:r>
    </w:p>
    <w:p>
      <w:pPr>
        <w:pStyle w:val="TextBody"/>
        <w:bidi w:val="0"/>
        <w:jc w:val="center"/>
        <w:rPr>
          <w:b/>
        </w:rPr>
      </w:pPr>
      <w:bookmarkStart w:id="13" w:name="page_8"/>
      <w:bookmarkEnd w:id="13"/>
      <w:r>
        <w:rPr>
          <w:b/>
        </w:rPr>
        <w:t>TABLE OF CONTENTS</w:t>
      </w:r>
    </w:p>
    <w:p>
      <w:pPr>
        <w:pStyle w:val="TextBody"/>
        <w:bidi w:val="0"/>
        <w:jc w:val="right"/>
        <w:rPr>
          <w:b/>
        </w:rPr>
      </w:pPr>
      <w:r>
        <w:rPr>
          <w:b/>
        </w:rPr>
        <w:t>Page</w:t>
      </w:r>
    </w:p>
    <w:tbl>
      <w:tblPr>
        <w:tblW w:w="8440" w:type="dxa"/>
        <w:jc w:val="left"/>
        <w:tblInd w:w="0" w:type="dxa"/>
        <w:tblLayout w:type="fixed"/>
        <w:tblCellMar>
          <w:top w:w="0" w:type="dxa"/>
          <w:left w:w="0" w:type="dxa"/>
          <w:bottom w:w="0" w:type="dxa"/>
          <w:right w:w="0" w:type="dxa"/>
        </w:tblCellMar>
      </w:tblPr>
      <w:tblGrid>
        <w:gridCol w:w="8165"/>
        <w:gridCol w:w="275"/>
      </w:tblGrid>
      <w:tr>
        <w:trPr/>
        <w:tc>
          <w:tcPr>
            <w:tcW w:w="8165" w:type="dxa"/>
            <w:tcBorders/>
            <w:shd w:fill="EEEEEE" w:val="clear"/>
            <w:vAlign w:val="center"/>
          </w:tcPr>
          <w:p>
            <w:pPr>
              <w:pStyle w:val="TableContents"/>
              <w:bidi w:val="0"/>
              <w:spacing w:before="0" w:after="283"/>
              <w:ind w:left="0" w:right="0" w:hanging="720"/>
              <w:jc w:val="left"/>
              <w:rPr/>
            </w:pPr>
            <w:hyperlink w:anchor="page_9">
              <w:r>
                <w:rPr>
                  <w:rStyle w:val="InternetLink"/>
                </w:rPr>
                <w:t>GENERAL MATTERS</w:t>
              </w:r>
            </w:hyperlink>
          </w:p>
        </w:tc>
        <w:tc>
          <w:tcPr>
            <w:tcW w:w="275" w:type="dxa"/>
            <w:tcBorders/>
            <w:shd w:fill="EEEEEE" w:val="clear"/>
            <w:vAlign w:val="center"/>
          </w:tcPr>
          <w:p>
            <w:pPr>
              <w:pStyle w:val="TableContents"/>
              <w:bidi w:val="0"/>
              <w:spacing w:before="0" w:after="283"/>
              <w:ind w:left="0" w:right="0" w:hanging="720"/>
              <w:jc w:val="right"/>
              <w:rPr/>
            </w:pPr>
            <w:hyperlink w:anchor="page_9">
              <w:r>
                <w:rPr>
                  <w:rStyle w:val="InternetLink"/>
                </w:rPr>
                <w:t>1</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9">
              <w:r>
                <w:rPr>
                  <w:rStyle w:val="InternetLink"/>
                </w:rPr>
                <w:t>CAUTIONARY NOTE REGARDING FORWARD-LOOKING INFORMATION</w:t>
              </w:r>
            </w:hyperlink>
          </w:p>
        </w:tc>
        <w:tc>
          <w:tcPr>
            <w:tcW w:w="275" w:type="dxa"/>
            <w:tcBorders/>
            <w:shd w:fill="EEEEEE" w:val="clear"/>
            <w:vAlign w:val="center"/>
          </w:tcPr>
          <w:p>
            <w:pPr>
              <w:pStyle w:val="TableContents"/>
              <w:bidi w:val="0"/>
              <w:spacing w:before="0" w:after="283"/>
              <w:ind w:left="0" w:right="0" w:hanging="720"/>
              <w:jc w:val="right"/>
              <w:rPr/>
            </w:pPr>
            <w:hyperlink w:anchor="page_9">
              <w:r>
                <w:rPr>
                  <w:rStyle w:val="InternetLink"/>
                </w:rPr>
                <w:t>1</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11">
              <w:r>
                <w:rPr>
                  <w:rStyle w:val="InternetLink"/>
                </w:rPr>
                <w:t>TRADEMARKS AND SERVICE MARKS</w:t>
              </w:r>
            </w:hyperlink>
          </w:p>
        </w:tc>
        <w:tc>
          <w:tcPr>
            <w:tcW w:w="275" w:type="dxa"/>
            <w:tcBorders/>
            <w:shd w:fill="EEEEEE" w:val="clear"/>
            <w:vAlign w:val="center"/>
          </w:tcPr>
          <w:p>
            <w:pPr>
              <w:pStyle w:val="TableContents"/>
              <w:bidi w:val="0"/>
              <w:spacing w:before="0" w:after="283"/>
              <w:ind w:left="0" w:right="0" w:hanging="720"/>
              <w:jc w:val="right"/>
              <w:rPr/>
            </w:pPr>
            <w:hyperlink w:anchor="page_11">
              <w:r>
                <w:rPr>
                  <w:rStyle w:val="InternetLink"/>
                </w:rPr>
                <w:t>3</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11">
              <w:r>
                <w:rPr>
                  <w:rStyle w:val="InternetLink"/>
                </w:rPr>
                <w:t>MARKETING MATERIALS</w:t>
              </w:r>
            </w:hyperlink>
          </w:p>
        </w:tc>
        <w:tc>
          <w:tcPr>
            <w:tcW w:w="275" w:type="dxa"/>
            <w:tcBorders/>
            <w:shd w:fill="EEEEEE" w:val="clear"/>
            <w:vAlign w:val="center"/>
          </w:tcPr>
          <w:p>
            <w:pPr>
              <w:pStyle w:val="TableContents"/>
              <w:bidi w:val="0"/>
              <w:spacing w:before="0" w:after="283"/>
              <w:ind w:left="0" w:right="0" w:hanging="720"/>
              <w:jc w:val="right"/>
              <w:rPr/>
            </w:pPr>
            <w:hyperlink w:anchor="page_11">
              <w:r>
                <w:rPr>
                  <w:rStyle w:val="InternetLink"/>
                </w:rPr>
                <w:t>3</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12">
              <w:r>
                <w:rPr>
                  <w:rStyle w:val="InternetLink"/>
                </w:rPr>
                <w:t>MARKET AND INDUSTRY DATA</w:t>
              </w:r>
            </w:hyperlink>
          </w:p>
        </w:tc>
        <w:tc>
          <w:tcPr>
            <w:tcW w:w="275" w:type="dxa"/>
            <w:tcBorders/>
            <w:shd w:fill="EEEEEE" w:val="clear"/>
            <w:vAlign w:val="center"/>
          </w:tcPr>
          <w:p>
            <w:pPr>
              <w:pStyle w:val="TableContents"/>
              <w:bidi w:val="0"/>
              <w:spacing w:before="0" w:after="283"/>
              <w:ind w:left="0" w:right="0" w:hanging="720"/>
              <w:jc w:val="right"/>
              <w:rPr/>
            </w:pPr>
            <w:hyperlink w:anchor="page_12">
              <w:r>
                <w:rPr>
                  <w:rStyle w:val="InternetLink"/>
                </w:rPr>
                <w:t>4</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12">
              <w:r>
                <w:rPr>
                  <w:rStyle w:val="InternetLink"/>
                </w:rPr>
                <w:t>DOCUMENTS INCORPORATED BY REFERENCE</w:t>
              </w:r>
            </w:hyperlink>
          </w:p>
        </w:tc>
        <w:tc>
          <w:tcPr>
            <w:tcW w:w="275" w:type="dxa"/>
            <w:tcBorders/>
            <w:shd w:fill="EEEEEE" w:val="clear"/>
            <w:vAlign w:val="center"/>
          </w:tcPr>
          <w:p>
            <w:pPr>
              <w:pStyle w:val="TableContents"/>
              <w:bidi w:val="0"/>
              <w:spacing w:before="0" w:after="283"/>
              <w:ind w:left="0" w:right="0" w:hanging="720"/>
              <w:jc w:val="right"/>
              <w:rPr/>
            </w:pPr>
            <w:hyperlink w:anchor="page_12">
              <w:r>
                <w:rPr>
                  <w:rStyle w:val="InternetLink"/>
                </w:rPr>
                <w:t>4</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13">
              <w:r>
                <w:rPr>
                  <w:rStyle w:val="InternetLink"/>
                </w:rPr>
                <w:t>DOCUMENTS FILED AS PART OF THE REGISTRATION STATEMENT</w:t>
              </w:r>
            </w:hyperlink>
          </w:p>
        </w:tc>
        <w:tc>
          <w:tcPr>
            <w:tcW w:w="275" w:type="dxa"/>
            <w:tcBorders/>
            <w:shd w:fill="EEEEEE" w:val="clear"/>
            <w:vAlign w:val="center"/>
          </w:tcPr>
          <w:p>
            <w:pPr>
              <w:pStyle w:val="TableContents"/>
              <w:bidi w:val="0"/>
              <w:spacing w:before="0" w:after="283"/>
              <w:ind w:left="0" w:right="0" w:hanging="720"/>
              <w:jc w:val="right"/>
              <w:rPr/>
            </w:pPr>
            <w:hyperlink w:anchor="page_13">
              <w:r>
                <w:rPr>
                  <w:rStyle w:val="InternetLink"/>
                </w:rPr>
                <w:t>5</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13">
              <w:r>
                <w:rPr>
                  <w:rStyle w:val="InternetLink"/>
                </w:rPr>
                <w:t>THE CORPORATION</w:t>
              </w:r>
            </w:hyperlink>
          </w:p>
        </w:tc>
        <w:tc>
          <w:tcPr>
            <w:tcW w:w="275" w:type="dxa"/>
            <w:tcBorders/>
            <w:shd w:fill="EEEEEE" w:val="clear"/>
            <w:vAlign w:val="center"/>
          </w:tcPr>
          <w:p>
            <w:pPr>
              <w:pStyle w:val="TableContents"/>
              <w:bidi w:val="0"/>
              <w:spacing w:before="0" w:after="283"/>
              <w:ind w:left="0" w:right="0" w:hanging="720"/>
              <w:jc w:val="right"/>
              <w:rPr/>
            </w:pPr>
            <w:hyperlink w:anchor="page_13">
              <w:r>
                <w:rPr>
                  <w:rStyle w:val="InternetLink"/>
                </w:rPr>
                <w:t>5</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17">
              <w:r>
                <w:rPr>
                  <w:rStyle w:val="InternetLink"/>
                </w:rPr>
                <w:t>REGULATORY OVERVIEW</w:t>
              </w:r>
            </w:hyperlink>
          </w:p>
        </w:tc>
        <w:tc>
          <w:tcPr>
            <w:tcW w:w="275" w:type="dxa"/>
            <w:tcBorders/>
            <w:shd w:fill="EEEEEE" w:val="clear"/>
            <w:vAlign w:val="center"/>
          </w:tcPr>
          <w:p>
            <w:pPr>
              <w:pStyle w:val="TableContents"/>
              <w:bidi w:val="0"/>
              <w:spacing w:before="0" w:after="283"/>
              <w:ind w:left="0" w:right="0" w:hanging="720"/>
              <w:jc w:val="right"/>
              <w:rPr/>
            </w:pPr>
            <w:hyperlink w:anchor="page_17">
              <w:r>
                <w:rPr>
                  <w:rStyle w:val="InternetLink"/>
                </w:rPr>
                <w:t>9</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29">
              <w:r>
                <w:rPr>
                  <w:rStyle w:val="InternetLink"/>
                </w:rPr>
                <w:t>COMPLIANCE PROGRAM</w:t>
              </w:r>
            </w:hyperlink>
          </w:p>
        </w:tc>
        <w:tc>
          <w:tcPr>
            <w:tcW w:w="275" w:type="dxa"/>
            <w:tcBorders/>
            <w:shd w:fill="EEEEEE" w:val="clear"/>
            <w:vAlign w:val="center"/>
          </w:tcPr>
          <w:p>
            <w:pPr>
              <w:pStyle w:val="TableContents"/>
              <w:bidi w:val="0"/>
              <w:spacing w:before="0" w:after="283"/>
              <w:ind w:left="0" w:right="0" w:hanging="720"/>
              <w:jc w:val="right"/>
              <w:rPr/>
            </w:pPr>
            <w:hyperlink w:anchor="page_29">
              <w:r>
                <w:rPr>
                  <w:rStyle w:val="InternetLink"/>
                </w:rPr>
                <w:t>21</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30">
              <w:r>
                <w:rPr>
                  <w:rStyle w:val="InternetLink"/>
                </w:rPr>
                <w:t>CONSOLIDATED CAPITALIZATION</w:t>
              </w:r>
            </w:hyperlink>
          </w:p>
        </w:tc>
        <w:tc>
          <w:tcPr>
            <w:tcW w:w="275" w:type="dxa"/>
            <w:tcBorders/>
            <w:shd w:fill="EEEEEE" w:val="clear"/>
            <w:vAlign w:val="center"/>
          </w:tcPr>
          <w:p>
            <w:pPr>
              <w:pStyle w:val="TableContents"/>
              <w:bidi w:val="0"/>
              <w:spacing w:before="0" w:after="283"/>
              <w:ind w:left="0" w:right="0" w:hanging="720"/>
              <w:jc w:val="right"/>
              <w:rPr/>
            </w:pPr>
            <w:hyperlink w:anchor="page_30">
              <w:r>
                <w:rPr>
                  <w:rStyle w:val="InternetLink"/>
                </w:rPr>
                <w:t>22</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30">
              <w:r>
                <w:rPr>
                  <w:rStyle w:val="InternetLink"/>
                </w:rPr>
                <w:t>USE OF PROCEEDS</w:t>
              </w:r>
            </w:hyperlink>
          </w:p>
        </w:tc>
        <w:tc>
          <w:tcPr>
            <w:tcW w:w="275" w:type="dxa"/>
            <w:tcBorders/>
            <w:shd w:fill="EEEEEE" w:val="clear"/>
            <w:vAlign w:val="center"/>
          </w:tcPr>
          <w:p>
            <w:pPr>
              <w:pStyle w:val="TableContents"/>
              <w:bidi w:val="0"/>
              <w:spacing w:before="0" w:after="283"/>
              <w:ind w:left="0" w:right="0" w:hanging="720"/>
              <w:jc w:val="right"/>
              <w:rPr/>
            </w:pPr>
            <w:hyperlink w:anchor="page_30">
              <w:r>
                <w:rPr>
                  <w:rStyle w:val="InternetLink"/>
                </w:rPr>
                <w:t>22</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32">
              <w:r>
                <w:rPr>
                  <w:rStyle w:val="InternetLink"/>
                </w:rPr>
                <w:t>DIVIDEND POLICY</w:t>
              </w:r>
            </w:hyperlink>
          </w:p>
        </w:tc>
        <w:tc>
          <w:tcPr>
            <w:tcW w:w="275" w:type="dxa"/>
            <w:tcBorders/>
            <w:shd w:fill="EEEEEE" w:val="clear"/>
            <w:vAlign w:val="center"/>
          </w:tcPr>
          <w:p>
            <w:pPr>
              <w:pStyle w:val="TableContents"/>
              <w:bidi w:val="0"/>
              <w:spacing w:before="0" w:after="283"/>
              <w:ind w:left="0" w:right="0" w:hanging="720"/>
              <w:jc w:val="right"/>
              <w:rPr/>
            </w:pPr>
            <w:hyperlink w:anchor="page_32">
              <w:r>
                <w:rPr>
                  <w:rStyle w:val="InternetLink"/>
                </w:rPr>
                <w:t>24</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32">
              <w:r>
                <w:rPr>
                  <w:rStyle w:val="InternetLink"/>
                </w:rPr>
                <w:t>DESCRIPTION OF SECURITIES BEING DISTRIBUTED</w:t>
              </w:r>
            </w:hyperlink>
          </w:p>
        </w:tc>
        <w:tc>
          <w:tcPr>
            <w:tcW w:w="275" w:type="dxa"/>
            <w:tcBorders/>
            <w:shd w:fill="EEEEEE" w:val="clear"/>
            <w:vAlign w:val="center"/>
          </w:tcPr>
          <w:p>
            <w:pPr>
              <w:pStyle w:val="TableContents"/>
              <w:bidi w:val="0"/>
              <w:spacing w:before="0" w:after="283"/>
              <w:ind w:left="0" w:right="0" w:hanging="720"/>
              <w:jc w:val="right"/>
              <w:rPr/>
            </w:pPr>
            <w:hyperlink w:anchor="page_32">
              <w:r>
                <w:rPr>
                  <w:rStyle w:val="InternetLink"/>
                </w:rPr>
                <w:t>24</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36">
              <w:r>
                <w:rPr>
                  <w:rStyle w:val="InternetLink"/>
                </w:rPr>
                <w:t>PLAN OF DISTRIBUTION</w:t>
              </w:r>
            </w:hyperlink>
          </w:p>
        </w:tc>
        <w:tc>
          <w:tcPr>
            <w:tcW w:w="275" w:type="dxa"/>
            <w:tcBorders/>
            <w:shd w:fill="EEEEEE" w:val="clear"/>
            <w:vAlign w:val="center"/>
          </w:tcPr>
          <w:p>
            <w:pPr>
              <w:pStyle w:val="TableContents"/>
              <w:bidi w:val="0"/>
              <w:spacing w:before="0" w:after="283"/>
              <w:ind w:left="0" w:right="0" w:hanging="720"/>
              <w:jc w:val="right"/>
              <w:rPr/>
            </w:pPr>
            <w:hyperlink w:anchor="page_36">
              <w:r>
                <w:rPr>
                  <w:rStyle w:val="InternetLink"/>
                </w:rPr>
                <w:t>28</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37">
              <w:r>
                <w:rPr>
                  <w:rStyle w:val="InternetLink"/>
                </w:rPr>
                <w:t>RISK FACTORS</w:t>
              </w:r>
            </w:hyperlink>
          </w:p>
        </w:tc>
        <w:tc>
          <w:tcPr>
            <w:tcW w:w="275" w:type="dxa"/>
            <w:tcBorders/>
            <w:shd w:fill="EEEEEE" w:val="clear"/>
            <w:vAlign w:val="center"/>
          </w:tcPr>
          <w:p>
            <w:pPr>
              <w:pStyle w:val="TableContents"/>
              <w:bidi w:val="0"/>
              <w:spacing w:before="0" w:after="283"/>
              <w:ind w:left="0" w:right="0" w:hanging="720"/>
              <w:jc w:val="right"/>
              <w:rPr/>
            </w:pPr>
            <w:hyperlink w:anchor="page_37">
              <w:r>
                <w:rPr>
                  <w:rStyle w:val="InternetLink"/>
                </w:rPr>
                <w:t>29</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42">
              <w:r>
                <w:rPr>
                  <w:rStyle w:val="InternetLink"/>
                </w:rPr>
                <w:t>CERTAIN FEDERAL INCOME TAX CONSIDERATIONS</w:t>
              </w:r>
            </w:hyperlink>
          </w:p>
        </w:tc>
        <w:tc>
          <w:tcPr>
            <w:tcW w:w="275" w:type="dxa"/>
            <w:tcBorders/>
            <w:shd w:fill="EEEEEE" w:val="clear"/>
            <w:vAlign w:val="center"/>
          </w:tcPr>
          <w:p>
            <w:pPr>
              <w:pStyle w:val="TableContents"/>
              <w:bidi w:val="0"/>
              <w:spacing w:before="0" w:after="283"/>
              <w:ind w:left="0" w:right="0" w:hanging="720"/>
              <w:jc w:val="right"/>
              <w:rPr/>
            </w:pPr>
            <w:hyperlink w:anchor="page_42">
              <w:r>
                <w:rPr>
                  <w:rStyle w:val="InternetLink"/>
                </w:rPr>
                <w:t>34</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42">
              <w:r>
                <w:rPr>
                  <w:rStyle w:val="InternetLink"/>
                </w:rPr>
                <w:t>LEGAL MATTERS</w:t>
              </w:r>
            </w:hyperlink>
          </w:p>
        </w:tc>
        <w:tc>
          <w:tcPr>
            <w:tcW w:w="275" w:type="dxa"/>
            <w:tcBorders/>
            <w:shd w:fill="EEEEEE" w:val="clear"/>
            <w:vAlign w:val="center"/>
          </w:tcPr>
          <w:p>
            <w:pPr>
              <w:pStyle w:val="TableContents"/>
              <w:bidi w:val="0"/>
              <w:spacing w:before="0" w:after="283"/>
              <w:ind w:left="0" w:right="0" w:hanging="720"/>
              <w:jc w:val="right"/>
              <w:rPr/>
            </w:pPr>
            <w:hyperlink w:anchor="page_42">
              <w:r>
                <w:rPr>
                  <w:rStyle w:val="InternetLink"/>
                </w:rPr>
                <w:t>34</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42">
              <w:r>
                <w:rPr>
                  <w:rStyle w:val="InternetLink"/>
                </w:rPr>
                <w:t>AUDITORS, TRANSFER AGENT AND REGISTRAR</w:t>
              </w:r>
            </w:hyperlink>
          </w:p>
        </w:tc>
        <w:tc>
          <w:tcPr>
            <w:tcW w:w="275" w:type="dxa"/>
            <w:tcBorders/>
            <w:shd w:fill="EEEEEE" w:val="clear"/>
            <w:vAlign w:val="center"/>
          </w:tcPr>
          <w:p>
            <w:pPr>
              <w:pStyle w:val="TableContents"/>
              <w:bidi w:val="0"/>
              <w:spacing w:before="0" w:after="283"/>
              <w:jc w:val="right"/>
              <w:rPr/>
            </w:pPr>
            <w:hyperlink w:anchor="page_42">
              <w:r>
                <w:rPr>
                  <w:rStyle w:val="InternetLink"/>
                </w:rPr>
                <w:t>34</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center"/>
        <w:rPr>
          <w:b/>
        </w:rPr>
      </w:pPr>
      <w:bookmarkStart w:id="14" w:name="page_9"/>
      <w:bookmarkEnd w:id="14"/>
      <w:r>
        <w:rPr>
          <w:b/>
        </w:rPr>
        <w:t>GENERAL MATTERS</w:t>
      </w:r>
    </w:p>
    <w:p>
      <w:pPr>
        <w:pStyle w:val="TextBody"/>
        <w:bidi w:val="0"/>
        <w:jc w:val="both"/>
        <w:rPr/>
      </w:pPr>
      <w:r>
        <w:rPr/>
        <w:t xml:space="preserve">Investors should rely only on the information contained in or incorporated by reference into this Prospectus or any applicable Prospectus Supplement. The Corporation has not authorized anyone to provide investors with different information. </w:t>
      </w:r>
      <w:r>
        <w:rPr>
          <w:b/>
        </w:rPr>
        <w:t>Information 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w:t>
      </w:r>
      <w:r>
        <w:rPr/>
        <w:t xml:space="preserve"> The Corporation is not 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pStyle w:val="TextBody"/>
        <w:bidi w:val="0"/>
        <w:jc w:val="both"/>
        <w:rPr/>
      </w:pPr>
      <w:r>
        <w:rPr/>
        <w:t xml:space="preserve">The information contained on </w:t>
      </w:r>
      <w:r>
        <w:rPr>
          <w:color w:val="0000FF"/>
          <w:u w:val="single"/>
        </w:rPr>
        <w:t>www.cybin.com</w:t>
      </w:r>
      <w:r>
        <w:rPr/>
        <w:t xml:space="preserve"> is not intended to be included in or incorporated by reference herein, and prospective purchasers should not rely on such information when deciding whether or not to invest in any Securities.</w:t>
      </w:r>
    </w:p>
    <w:p>
      <w:pPr>
        <w:pStyle w:val="TextBody"/>
        <w:bidi w:val="0"/>
        <w:jc w:val="both"/>
        <w:rPr/>
      </w:pPr>
      <w:r>
        <w:rPr/>
        <w:t>In this Prospectus, unless stated otherwise or the context requires otherwise, all dollar amounts are expressed in Canadian dollars.</w:t>
      </w:r>
    </w:p>
    <w:p>
      <w:pPr>
        <w:pStyle w:val="TextBody"/>
        <w:bidi w:val="0"/>
        <w:jc w:val="center"/>
        <w:rPr>
          <w:b/>
        </w:rPr>
      </w:pPr>
      <w:r>
        <w:rPr>
          <w:b/>
        </w:rPr>
        <w:t>CAUTIONARY NOTE REGARDING FORWARD-LOOKING INFORMATION</w:t>
      </w:r>
    </w:p>
    <w:p>
      <w:pPr>
        <w:pStyle w:val="TextBody"/>
        <w:bidi w:val="0"/>
        <w:jc w:val="both"/>
        <w:rPr/>
      </w:pPr>
      <w:r>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pStyle w:val="TextBody"/>
        <w:bidi w:val="0"/>
        <w:jc w:val="both"/>
        <w:rPr/>
      </w:pPr>
      <w:r>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i/>
        </w:rPr>
        <w:t>"Risk Factors"</w:t>
      </w:r>
      <w:r>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pStyle w:val="TextBody"/>
        <w:bidi w:val="0"/>
        <w:jc w:val="both"/>
        <w:rPr/>
      </w:pPr>
      <w:r>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5" w:name="page_10"/>
      <w:bookmarkEnd w:id="15"/>
      <w:r>
        <w:rPr/>
        <w:t>Some of the risks which could affect future results and could cause results to differ materially from those expressed in the forward-looking statements contained herein include: the ongoing impact of the novel coronavirus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and the Corporation: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and risks relating to research and development objectives and milestones.</w:t>
      </w:r>
    </w:p>
    <w:p>
      <w:pPr>
        <w:pStyle w:val="TextBody"/>
        <w:bidi w:val="0"/>
        <w:jc w:val="both"/>
        <w:rPr/>
      </w:pPr>
      <w:r>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pStyle w:val="TextBody"/>
        <w:bidi w:val="0"/>
        <w:spacing w:before="0" w:after="0"/>
        <w:ind w:left="720" w:right="0" w:hanging="360"/>
        <w:jc w:val="both"/>
        <w:rPr/>
      </w:pPr>
      <w:r>
        <w:rPr/>
        <w:t>• </w:t>
      </w:r>
      <w:r>
        <w:rPr/>
        <w:t>substantial fluctuation of losses from quarter to quarter and year to year due to numerous external risk factors, and anticipation that the Corporation will continue to incur significant losses in the future;</w:t>
      </w:r>
    </w:p>
    <w:p>
      <w:pPr>
        <w:pStyle w:val="TextBody"/>
        <w:bidi w:val="0"/>
        <w:spacing w:before="0" w:after="0"/>
        <w:ind w:left="720" w:right="0" w:hanging="360"/>
        <w:jc w:val="both"/>
        <w:rPr/>
      </w:pPr>
      <w:r>
        <w:rPr/>
        <w:t>• </w:t>
      </w:r>
      <w:r>
        <w:rPr/>
        <w:t>uncertainty as to the Corporation's ability to raise additional funding to support operations;</w:t>
      </w:r>
    </w:p>
    <w:p>
      <w:pPr>
        <w:pStyle w:val="TextBody"/>
        <w:bidi w:val="0"/>
        <w:spacing w:before="0" w:after="0"/>
        <w:ind w:left="720" w:right="0" w:hanging="360"/>
        <w:jc w:val="both"/>
        <w:rPr/>
      </w:pPr>
      <w:r>
        <w:rPr/>
        <w:t>• </w:t>
      </w:r>
      <w:r>
        <w:rPr/>
        <w:t>the Corporation's ability to access additional funding;</w:t>
      </w:r>
    </w:p>
    <w:p>
      <w:pPr>
        <w:pStyle w:val="TextBody"/>
        <w:bidi w:val="0"/>
        <w:spacing w:before="0" w:after="0"/>
        <w:ind w:left="720" w:right="0" w:hanging="360"/>
        <w:jc w:val="both"/>
        <w:rPr/>
      </w:pPr>
      <w:r>
        <w:rPr/>
        <w:t>• </w:t>
      </w:r>
      <w:r>
        <w:rPr/>
        <w:t>the fluctuation of foreign exchange rates;</w:t>
      </w:r>
    </w:p>
    <w:p>
      <w:pPr>
        <w:pStyle w:val="TextBody"/>
        <w:bidi w:val="0"/>
        <w:spacing w:before="0" w:after="0"/>
        <w:ind w:left="720" w:right="0" w:hanging="360"/>
        <w:jc w:val="both"/>
        <w:rPr/>
      </w:pPr>
      <w:r>
        <w:rPr/>
        <w:t>• </w:t>
      </w:r>
      <w:r>
        <w:rPr/>
        <w:t>the risks associated with the development of the Corporation's product candidates which are at early stages of development;</w:t>
      </w:r>
    </w:p>
    <w:p>
      <w:pPr>
        <w:pStyle w:val="TextBody"/>
        <w:bidi w:val="0"/>
        <w:spacing w:before="0" w:after="0"/>
        <w:ind w:left="720" w:right="0" w:hanging="360"/>
        <w:jc w:val="both"/>
        <w:rPr/>
      </w:pPr>
      <w:r>
        <w:rPr/>
        <w:t>• </w:t>
      </w:r>
      <w:r>
        <w:rPr/>
        <w:t>reliance upon industry publications as the Corporation's primary sources for third-party industry data and forecasts;</w:t>
      </w:r>
    </w:p>
    <w:p>
      <w:pPr>
        <w:pStyle w:val="TextBody"/>
        <w:bidi w:val="0"/>
        <w:spacing w:before="0" w:after="0"/>
        <w:ind w:left="720" w:right="0" w:hanging="360"/>
        <w:jc w:val="both"/>
        <w:rPr/>
      </w:pPr>
      <w:r>
        <w:rPr/>
        <w:t>• </w:t>
      </w:r>
      <w:r>
        <w:rPr/>
        <w:t>reliance on third parties to plan, conduct and monitor the Corporation's preclinical studies and clinical trials;</w:t>
      </w:r>
    </w:p>
    <w:p>
      <w:pPr>
        <w:pStyle w:val="TextBody"/>
        <w:bidi w:val="0"/>
        <w:spacing w:before="0" w:after="0"/>
        <w:ind w:left="720" w:right="0" w:hanging="360"/>
        <w:jc w:val="both"/>
        <w:rPr/>
      </w:pPr>
      <w:r>
        <w:rPr/>
        <w:t>• </w:t>
      </w:r>
      <w:r>
        <w:rPr/>
        <w:t>reliance on third party contract manufacturers to deliver quality clinical and preclinical materials;</w:t>
      </w:r>
    </w:p>
    <w:p>
      <w:pPr>
        <w:pStyle w:val="TextBody"/>
        <w:bidi w:val="0"/>
        <w:spacing w:before="0" w:after="0"/>
        <w:ind w:left="720" w:right="0" w:hanging="360"/>
        <w:jc w:val="both"/>
        <w:rPr/>
      </w:pPr>
      <w:r>
        <w:rPr/>
        <w:t>• </w:t>
      </w:r>
      <w:r>
        <w:rPr/>
        <w:t>the Corporation's product candidates may fail to demonstrate safety and efficacy to the satisfaction of regulatory authorities or may not otherwise produce positive results;</w:t>
      </w:r>
    </w:p>
    <w:p>
      <w:pPr>
        <w:pStyle w:val="TextBody"/>
        <w:bidi w:val="0"/>
        <w:spacing w:before="0" w:after="0"/>
        <w:ind w:left="720" w:right="0" w:hanging="360"/>
        <w:jc w:val="both"/>
        <w:rPr/>
      </w:pPr>
      <w:r>
        <w:rPr/>
        <w:t>• </w:t>
      </w:r>
      <w:r>
        <w:rPr/>
        <w:t>risks related to filing investigational new drug applications to commence clinical trials and to continue clinical trials if approved;</w:t>
      </w:r>
    </w:p>
    <w:p>
      <w:pPr>
        <w:pStyle w:val="TextBody"/>
        <w:bidi w:val="0"/>
        <w:spacing w:before="0" w:after="0"/>
        <w:ind w:left="720" w:right="0" w:hanging="360"/>
        <w:jc w:val="both"/>
        <w:rPr/>
      </w:pPr>
      <w:r>
        <w:rPr/>
        <w:t>• </w:t>
      </w:r>
      <w:r>
        <w:rPr/>
        <w:t>the risks of delays and inability to complete clinical trials due to difficulties enrolling patients;</w:t>
      </w:r>
    </w:p>
    <w:p>
      <w:pPr>
        <w:pStyle w:val="TextBody"/>
        <w:bidi w:val="0"/>
        <w:spacing w:before="0" w:after="0"/>
        <w:ind w:left="720" w:right="0" w:hanging="360"/>
        <w:jc w:val="both"/>
        <w:rPr/>
      </w:pPr>
      <w:r>
        <w:rPr/>
        <w:t>• </w:t>
      </w:r>
      <w:r>
        <w:rPr/>
        <w:t>competition from other biotechnology and pharmaceutical companies;</w:t>
      </w:r>
    </w:p>
    <w:p>
      <w:pPr>
        <w:pStyle w:val="TextBody"/>
        <w:bidi w:val="0"/>
        <w:spacing w:before="0" w:after="0"/>
        <w:ind w:left="720" w:right="0" w:hanging="360"/>
        <w:jc w:val="both"/>
        <w:rPr/>
      </w:pPr>
      <w:r>
        <w:rPr/>
        <w:t>• </w:t>
      </w:r>
      <w:r>
        <w:rPr/>
        <w:t>the Corporation's reliance on the capabilities and experience of the Corporation's key executives and scientists and the resulting loss of any of these individuals;</w:t>
      </w:r>
    </w:p>
    <w:p>
      <w:pPr>
        <w:pStyle w:val="TextBody"/>
        <w:bidi w:val="0"/>
        <w:spacing w:before="0" w:after="0"/>
        <w:ind w:left="720" w:right="0" w:hanging="360"/>
        <w:jc w:val="both"/>
        <w:rPr/>
      </w:pPr>
      <w:r>
        <w:rPr/>
        <w:t>• </w:t>
      </w:r>
      <w:r>
        <w:rPr/>
        <w:t>the Corporation's ability to fully realize the benefits of acquisitions;</w:t>
      </w:r>
    </w:p>
    <w:p>
      <w:pPr>
        <w:pStyle w:val="TextBody"/>
        <w:bidi w:val="0"/>
        <w:spacing w:before="0" w:after="0"/>
        <w:ind w:left="720" w:right="0" w:hanging="360"/>
        <w:jc w:val="both"/>
        <w:rPr/>
      </w:pPr>
      <w:r>
        <w:rPr/>
        <w:t>• </w:t>
      </w:r>
      <w:r>
        <w:rPr/>
        <w:t>the Corporation's ability to adequately protect the Corporation's intellectual property and trade secrets;</w:t>
      </w:r>
    </w:p>
    <w:p>
      <w:pPr>
        <w:pStyle w:val="TextBody"/>
        <w:bidi w:val="0"/>
        <w:spacing w:before="0" w:after="283"/>
        <w:ind w:left="720" w:right="0" w:hanging="360"/>
        <w:jc w:val="both"/>
        <w:rPr/>
      </w:pPr>
      <w:r>
        <w:rPr/>
        <w:t>• </w:t>
      </w:r>
      <w:r>
        <w:rPr/>
        <w:t>the risk of patent-related or other litigation;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360"/>
        <w:jc w:val="both"/>
        <w:rPr/>
      </w:pPr>
      <w:bookmarkStart w:id="16" w:name="page_11"/>
      <w:bookmarkEnd w:id="16"/>
      <w:r>
        <w:rPr/>
        <w:t>• </w:t>
      </w:r>
      <w:r>
        <w:rPr/>
        <w:t>the risk of unforeseen changes to the laws or regulations in the United States, Canada, the United Kingdom, the Netherlands, Ireland and other jurisdictions in which the Corporation operates.</w:t>
      </w:r>
    </w:p>
    <w:p>
      <w:pPr>
        <w:pStyle w:val="TextBody"/>
        <w:bidi w:val="0"/>
        <w:jc w:val="both"/>
        <w:rPr/>
      </w:pPr>
      <w:r>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pStyle w:val="TextBody"/>
        <w:bidi w:val="0"/>
        <w:jc w:val="both"/>
        <w:rPr/>
      </w:pPr>
      <w:r>
        <w:rPr/>
        <w:t xml:space="preserve">In addition to the factors set out above and those identified under the heading </w:t>
      </w:r>
      <w:r>
        <w:rPr>
          <w:i/>
        </w:rPr>
        <w:t>"Risk Factors"</w:t>
      </w:r>
      <w:r>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pStyle w:val="TextBody"/>
        <w:bidi w:val="0"/>
        <w:jc w:val="both"/>
        <w:rPr/>
      </w:pPr>
      <w:r>
        <w:rPr>
          <w:b/>
        </w:rPr>
        <w:t>Many of these factors are beyond the Corporation</w:t>
      </w:r>
      <w:r>
        <w:rPr/>
        <w:t>'</w:t>
      </w:r>
      <w:r>
        <w:rPr>
          <w:b/>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t>'</w:t>
      </w:r>
      <w:r>
        <w:rPr>
          <w:b/>
        </w:rPr>
        <w:t>s behalf, are expressly qualified in their entirety by the cautionary statements. Except as required by law, the Corporation undertakes no obligation to update any forward-looking statement</w:t>
      </w:r>
      <w:r>
        <w:rPr/>
        <w:t>.</w:t>
      </w:r>
    </w:p>
    <w:p>
      <w:pPr>
        <w:pStyle w:val="TextBody"/>
        <w:bidi w:val="0"/>
        <w:jc w:val="both"/>
        <w:rPr/>
      </w:pPr>
      <w:r>
        <w:rPr>
          <w:b/>
        </w:rPr>
        <w:t xml:space="preserve">The forward-looking statements contained in this Prospectus and the documents incorporated by reference herein are expressly qualified in their entirety by the foregoing cautionary statement. </w:t>
      </w:r>
      <w:r>
        <w:rPr/>
        <w:t>Investors should read this entire 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pStyle w:val="TextBody"/>
        <w:bidi w:val="0"/>
        <w:jc w:val="center"/>
        <w:rPr>
          <w:b/>
        </w:rPr>
      </w:pPr>
      <w:r>
        <w:rPr>
          <w:b/>
        </w:rPr>
        <w:t>TRADEMARKS AND SERVICE MARKS</w:t>
      </w:r>
    </w:p>
    <w:p>
      <w:pPr>
        <w:pStyle w:val="TextBody"/>
        <w:bidi w:val="0"/>
        <w:jc w:val="both"/>
        <w:rPr/>
      </w:pPr>
      <w:r>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pStyle w:val="TextBody"/>
        <w:bidi w:val="0"/>
        <w:jc w:val="center"/>
        <w:rPr>
          <w:b/>
        </w:rPr>
      </w:pPr>
      <w:r>
        <w:rPr>
          <w:b/>
        </w:rPr>
        <w:t>MARKETING MATERIALS</w:t>
      </w:r>
    </w:p>
    <w:p>
      <w:pPr>
        <w:pStyle w:val="TextBody"/>
        <w:bidi w:val="0"/>
        <w:jc w:val="both"/>
        <w:rPr/>
      </w:pPr>
      <w:r>
        <w:rPr/>
        <w:t xml:space="preserve">Any template version of marketing materials (as such terms are defined in National Instrument 41-101 - </w:t>
      </w:r>
      <w:r>
        <w:rPr>
          <w:i/>
        </w:rPr>
        <w:t>General Prospectus Requirements</w:t>
      </w:r>
      <w:r>
        <w:rPr/>
        <w:t xml:space="preserve">) that are utilized in connection with the distribution of Securities will be filed under the Corporation's profile on </w:t>
      </w:r>
      <w:r>
        <w:rPr>
          <w:u w:val="single"/>
        </w:rPr>
        <w:t>www.sedarplus.ca</w:t>
      </w:r>
      <w:r>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17" w:name="page_12"/>
      <w:bookmarkEnd w:id="17"/>
      <w:r>
        <w:rPr>
          <w:b/>
        </w:rPr>
        <w:t>MARKET AND INDUSTRY DATA</w:t>
      </w:r>
    </w:p>
    <w:p>
      <w:pPr>
        <w:pStyle w:val="TextBody"/>
        <w:bidi w:val="0"/>
        <w:jc w:val="both"/>
        <w:rPr/>
      </w:pPr>
      <w:r>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i/>
        </w:rPr>
        <w:t>Cautionary Note Regarding Forward-Looking Information"</w:t>
      </w:r>
      <w:r>
        <w:rPr/>
        <w:t xml:space="preserve"> and </w:t>
      </w:r>
      <w:r>
        <w:rPr>
          <w:i/>
        </w:rPr>
        <w:t>"Risk Factors"</w:t>
      </w:r>
      <w:r>
        <w:rPr/>
        <w:t xml:space="preserve"> in this Prospectus.</w:t>
      </w:r>
    </w:p>
    <w:p>
      <w:pPr>
        <w:pStyle w:val="TextBody"/>
        <w:bidi w:val="0"/>
        <w:jc w:val="both"/>
        <w:rPr/>
      </w:pPr>
      <w:r>
        <w:rPr/>
        <w:t>For the avoidance of doubt, nothing stated in this paragraph operates to relieve the Corporation or the underwriters/agents from liability for any misrepresentation in this Prospectus or under applicable Canadian securities laws.</w:t>
      </w:r>
    </w:p>
    <w:p>
      <w:pPr>
        <w:pStyle w:val="TextBody"/>
        <w:bidi w:val="0"/>
        <w:jc w:val="center"/>
        <w:rPr>
          <w:b/>
        </w:rPr>
      </w:pPr>
      <w:r>
        <w:rPr>
          <w:b/>
        </w:rPr>
        <w:t>DOCUMENTS INCORPORATED BY REFERENCE</w:t>
      </w:r>
    </w:p>
    <w:p>
      <w:pPr>
        <w:pStyle w:val="TextBody"/>
        <w:bidi w:val="0"/>
        <w:jc w:val="both"/>
        <w:rPr/>
      </w:pPr>
      <w:r>
        <w:rPr>
          <w:b/>
        </w:rPr>
        <w:t>Information has been incorporated by reference in this Prospectus from documents filed with securities commissions or similar authorities in Canada.</w:t>
      </w:r>
      <w:r>
        <w:rPr/>
        <w:t xml:space="preserve"> Copies of the documents incorporated herein by reference may be obtained on request without charge from the Secretary of the Corporation at 100 King Street West, Suite 5600, Toronto, Ontario M5X 1C9, telephone (908) 764-8385, and are also available electronically on SEDAR+.</w:t>
      </w:r>
    </w:p>
    <w:p>
      <w:pPr>
        <w:pStyle w:val="TextBody"/>
        <w:bidi w:val="0"/>
        <w:jc w:val="both"/>
        <w:rPr/>
      </w:pPr>
      <w:r>
        <w:rPr/>
        <w:t>The following documents of the Corporation filed with the securities commissions or similar authorities in Canada are incorporated by reference in this Prospectus:</w:t>
      </w:r>
    </w:p>
    <w:p>
      <w:pPr>
        <w:pStyle w:val="TextBody"/>
        <w:bidi w:val="0"/>
        <w:ind w:left="720" w:right="0" w:hanging="436"/>
        <w:jc w:val="both"/>
        <w:rPr/>
      </w:pPr>
      <w:r>
        <w:rPr/>
        <w:t>1. annual information form of the Corporation dated June 27, 2023 for the year ended March 31, 2023 (the “</w:t>
      </w:r>
      <w:r>
        <w:rPr>
          <w:b/>
        </w:rPr>
        <w:t>Annual Information Form</w:t>
      </w:r>
      <w:r>
        <w:rPr/>
        <w:t>”);</w:t>
      </w:r>
    </w:p>
    <w:p>
      <w:pPr>
        <w:pStyle w:val="TextBody"/>
        <w:bidi w:val="0"/>
        <w:ind w:left="720" w:right="0" w:hanging="436"/>
        <w:jc w:val="both"/>
        <w:rPr/>
      </w:pPr>
      <w:r>
        <w:rPr/>
        <w:t>2. the audited consolidated financial statements of the Corporation and the notes thereto as at and for the fiscal year ended March 31, 2023, together with the auditor’s report thereon;</w:t>
      </w:r>
    </w:p>
    <w:p>
      <w:pPr>
        <w:pStyle w:val="TextBody"/>
        <w:bidi w:val="0"/>
        <w:ind w:left="720" w:right="0" w:hanging="436"/>
        <w:jc w:val="both"/>
        <w:rPr/>
      </w:pPr>
      <w:r>
        <w:rPr/>
        <w:t>3. management’s discussion and analysis of the Corporation for the year ended March 31, 2023;</w:t>
      </w:r>
    </w:p>
    <w:p>
      <w:pPr>
        <w:pStyle w:val="TextBody"/>
        <w:bidi w:val="0"/>
        <w:ind w:left="720" w:right="0" w:hanging="436"/>
        <w:jc w:val="both"/>
        <w:rPr/>
      </w:pPr>
      <w:r>
        <w:rPr/>
        <w:t>4. the unaudited interim condensed consolidated financial statements of the Corporation and the notes thereto for the three months ended June 30, 2023 (the “</w:t>
      </w:r>
      <w:r>
        <w:rPr>
          <w:b/>
        </w:rPr>
        <w:t>Interim Financial Statements</w:t>
      </w:r>
      <w:r>
        <w:rPr/>
        <w:t>”);</w:t>
      </w:r>
    </w:p>
    <w:p>
      <w:pPr>
        <w:pStyle w:val="TextBody"/>
        <w:bidi w:val="0"/>
        <w:ind w:left="720" w:right="0" w:hanging="436"/>
        <w:jc w:val="both"/>
        <w:rPr/>
      </w:pPr>
      <w:r>
        <w:rPr/>
        <w:t>5. management’s discussion and analysis of the Corporation for the three months ended June 30, 2023 (the “</w:t>
      </w:r>
      <w:r>
        <w:rPr>
          <w:b/>
        </w:rPr>
        <w:t>Interim MD&amp;A</w:t>
      </w:r>
      <w:r>
        <w:rPr/>
        <w:t>”);</w:t>
      </w:r>
    </w:p>
    <w:p>
      <w:pPr>
        <w:pStyle w:val="TextBody"/>
        <w:bidi w:val="0"/>
        <w:ind w:left="720" w:right="0" w:hanging="436"/>
        <w:jc w:val="both"/>
        <w:rPr/>
      </w:pPr>
      <w:r>
        <w:rPr/>
        <w:t>6. management information circular of the Corporation dated July 13, 2022 relating to an annual meeting of shareholders of the Corporation held on August 15, 2022;</w:t>
      </w:r>
    </w:p>
    <w:p>
      <w:pPr>
        <w:pStyle w:val="TextBody"/>
        <w:bidi w:val="0"/>
        <w:ind w:left="720" w:right="0" w:hanging="436"/>
        <w:jc w:val="both"/>
        <w:rPr/>
      </w:pPr>
      <w:r>
        <w:rPr/>
        <w:t>7. material change report dated May 31, 2023 relating to the sale of up to US$30,000,000 of Common Shares to Lincoln Park Capital Fund, LLC (the “</w:t>
      </w:r>
      <w:r>
        <w:rPr>
          <w:b/>
        </w:rPr>
        <w:t>Investor</w:t>
      </w:r>
      <w:r>
        <w:rPr/>
        <w:t>”), upon the terms and subject to the conditions contained in the purchase agreement dated May 30, 2023 (the “</w:t>
      </w:r>
      <w:r>
        <w:rPr>
          <w:b/>
        </w:rPr>
        <w:t>Purchase Agreement</w:t>
      </w:r>
      <w:r>
        <w:rPr/>
        <w:t>”), and made pursuant to and qualified by a prospectus supplement dated May 30, 2023 (the “</w:t>
      </w:r>
      <w:r>
        <w:rPr>
          <w:b/>
        </w:rPr>
        <w:t>May 2023 Prospectus Supplement</w:t>
      </w:r>
      <w:r>
        <w:rPr/>
        <w:t>”), to the Corporation’s short form base shelf prospectus dated July 5, 2021 (the “</w:t>
      </w:r>
      <w:r>
        <w:rPr>
          <w:b/>
        </w:rPr>
        <w:t>2021 Base Shelf Prospectus</w:t>
      </w:r>
      <w:r>
        <w:rPr/>
        <w:t>”); and</w:t>
      </w:r>
    </w:p>
    <w:p>
      <w:pPr>
        <w:pStyle w:val="TextBody"/>
        <w:bidi w:val="0"/>
        <w:ind w:left="720" w:right="0" w:hanging="436"/>
        <w:jc w:val="both"/>
        <w:rPr/>
      </w:pPr>
      <w:r>
        <w:rPr/>
        <w:t>8. material change report dated August 8, 2023 relating to the public offering of 24,264,706 units of the Corporation (the “</w:t>
      </w:r>
      <w:r>
        <w:rPr>
          <w:b/>
        </w:rPr>
        <w:t>Units</w:t>
      </w:r>
      <w:r>
        <w:rPr/>
        <w:t>”) at a price of US$0.34 per Unit for gross proceeds of US$8,250,000 pursuant to a prospectus supplement dated August 1, 2023 to the 2021 Base Shelf Prospectus (the “</w:t>
      </w:r>
      <w:r>
        <w:rPr>
          <w:b/>
        </w:rPr>
        <w:t>Offering</w:t>
      </w:r>
      <w:r>
        <w:rPr/>
        <w:t>”).</w:t>
      </w:r>
    </w:p>
    <w:p>
      <w:pPr>
        <w:pStyle w:val="TextBody"/>
        <w:bidi w:val="0"/>
        <w:jc w:val="both"/>
        <w:rPr/>
      </w:pPr>
      <w:r>
        <w:rPr/>
        <w:t xml:space="preserve">Any document of the type referred to in Item 11.1 of Form 44-101F1 - </w:t>
      </w:r>
      <w:r>
        <w:rPr>
          <w:i/>
        </w:rPr>
        <w:t xml:space="preserve">Short Form Prospectus </w:t>
      </w:r>
      <w:r>
        <w:rPr/>
        <w:t>filed by the Corporation with a securities commission or similar regulatory authority in Canada after the date of this Prospectus and prior to 25 months from the date hereof shall be deemed to be incorporated by reference in this Prospectus.</w:t>
      </w:r>
    </w:p>
    <w:p>
      <w:pPr>
        <w:pStyle w:val="TextBody"/>
        <w:bidi w:val="0"/>
        <w:jc w:val="both"/>
        <w:rPr/>
      </w:pPr>
      <w:r>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b/>
        </w:rPr>
        <w:t>Registration Statement</w:t>
      </w:r>
      <w:r>
        <w:rPr/>
        <w:t>") of which this Prospectus forms a part. In addition, any other report on Form 6-K and the exhibits thereto filed or furnished by the Corporation with the SEC, and any other reports filed, under the United States Securities Exchange Act of 1934, as amended (the "</w:t>
      </w:r>
      <w:r>
        <w:rPr>
          <w:b/>
        </w:rPr>
        <w:t>Exchange Act</w:t>
      </w:r>
      <w:r>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8" w:name="page_13"/>
      <w:bookmarkEnd w:id="18"/>
      <w:r>
        <w:rPr/>
        <w:t xml:space="preserve">Copies of the documents incorporated by reference herein will be available electronically on the Corporation's SEDAR+ profile, which can be accessed at </w:t>
      </w:r>
      <w:r>
        <w:rPr>
          <w:color w:val="0000FF"/>
          <w:u w:val="single"/>
        </w:rPr>
        <w:t>www.sedarplus.ca</w:t>
      </w:r>
      <w:r>
        <w:rPr/>
        <w:t xml:space="preserve">, and from the Corporation's EDGAR profile at </w:t>
      </w:r>
      <w:r>
        <w:rPr>
          <w:color w:val="0000FF"/>
          <w:u w:val="single"/>
        </w:rPr>
        <w:t>www.sec.gov</w:t>
      </w:r>
      <w:r>
        <w:rPr/>
        <w:t>. The Corporation's filings through SEDAR+ and EDGAR are not incorporated by reference in the Prospectus except as specifically set out herein.</w:t>
      </w:r>
    </w:p>
    <w:p>
      <w:pPr>
        <w:pStyle w:val="TextBody"/>
        <w:bidi w:val="0"/>
        <w:jc w:val="both"/>
        <w:rPr>
          <w:b/>
        </w:rPr>
      </w:pPr>
      <w:r>
        <w:rPr>
          <w:b/>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pStyle w:val="TextBody"/>
        <w:bidi w:val="0"/>
        <w:jc w:val="both"/>
        <w:rPr/>
      </w:pPr>
      <w:r>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pStyle w:val="TextBody"/>
        <w:bidi w:val="0"/>
        <w:jc w:val="both"/>
        <w:rPr>
          <w:b/>
        </w:rPr>
      </w:pPr>
      <w:r>
        <w:rPr>
          <w:b/>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pStyle w:val="TextBody"/>
        <w:bidi w:val="0"/>
        <w:jc w:val="center"/>
        <w:rPr>
          <w:b/>
        </w:rPr>
      </w:pPr>
      <w:r>
        <w:rPr>
          <w:b/>
        </w:rPr>
        <w:t>DOCUMENTS FILED AS PART OF THE REGISTRATION STATEMENT</w:t>
      </w:r>
    </w:p>
    <w:p>
      <w:pPr>
        <w:pStyle w:val="TextBody"/>
        <w:bidi w:val="0"/>
        <w:jc w:val="both"/>
        <w:rPr/>
      </w:pPr>
      <w:r>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pStyle w:val="TextBody"/>
        <w:bidi w:val="0"/>
        <w:jc w:val="center"/>
        <w:rPr>
          <w:b/>
        </w:rPr>
      </w:pPr>
      <w:r>
        <w:rPr>
          <w:b/>
        </w:rPr>
        <w:t>THE CORPORATION</w:t>
      </w:r>
    </w:p>
    <w:p>
      <w:pPr>
        <w:pStyle w:val="TextBody"/>
        <w:bidi w:val="0"/>
        <w:jc w:val="both"/>
        <w:rPr>
          <w:i/>
        </w:rPr>
      </w:pPr>
      <w:r>
        <w:rPr>
          <w:i/>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pStyle w:val="TextBody"/>
        <w:bidi w:val="0"/>
        <w:jc w:val="both"/>
        <w:rPr>
          <w:b/>
        </w:rPr>
      </w:pPr>
      <w:r>
        <w:rPr>
          <w:b/>
        </w:rPr>
        <w:t>Summary of the Business</w:t>
      </w:r>
    </w:p>
    <w:p>
      <w:pPr>
        <w:pStyle w:val="TextBody"/>
        <w:bidi w:val="0"/>
        <w:jc w:val="both"/>
        <w:rPr/>
      </w:pPr>
      <w:r>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position w:val="8"/>
          <w:sz w:val="19"/>
        </w:rPr>
        <w:t>1</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9" w:name="page_14"/>
      <w:bookmarkEnd w:id="19"/>
      <w:r>
        <w:rPr/>
        <w:t>The Corporation's research and development work focuses on a three-pillar strategy that leverages the Corporation's core competencies in preclinical innovation and clinical development. This strategy supports the creation of intellectual property ("</w:t>
      </w:r>
      <w:r>
        <w:rPr>
          <w:b/>
        </w:rPr>
        <w:t>IP"</w:t>
      </w:r>
      <w:r>
        <w:rPr/>
        <w:t>) focused on developing the Corporation's platform technology, the progression of clinical development programs including CYB003, a deuterated psilocybin analog, CYB004, a deuterated version of N, N-dimethyltryptamine ("</w:t>
      </w:r>
      <w:r>
        <w:rPr>
          <w:b/>
        </w:rPr>
        <w:t>DMT</w:t>
      </w:r>
      <w:r>
        <w:rPr/>
        <w:t>"), CYB005, phenethylamine derivatives, and an expansive list of preclinical molecules to facilitate future drug development opportunities.</w:t>
      </w:r>
    </w:p>
    <w:p>
      <w:pPr>
        <w:pStyle w:val="TextBody"/>
        <w:bidi w:val="0"/>
        <w:jc w:val="both"/>
        <w:rPr/>
      </w:pPr>
      <w:r>
        <w:rPr/>
        <w:t> </w:t>
      </w:r>
      <w:r>
        <w:rPr/>
        <w:t>The Corporation currently has more than 50 pending patent applications across six patent families and spanning seven research programs through a combination of internal filings and external licensing agreements.</w:t>
      </w:r>
    </w:p>
    <w:p>
      <w:pPr>
        <w:pStyle w:val="TextBody"/>
        <w:bidi w:val="0"/>
        <w:jc w:val="both"/>
        <w:rPr>
          <w:b/>
          <w:i/>
        </w:rPr>
      </w:pPr>
      <w:r>
        <w:rPr>
          <w:b/>
          <w:i/>
        </w:rPr>
        <w:t>Advancement of Mental Healthcare</w:t>
      </w:r>
    </w:p>
    <w:p>
      <w:pPr>
        <w:pStyle w:val="TextBody"/>
        <w:bidi w:val="0"/>
        <w:jc w:val="both"/>
        <w:rPr/>
      </w:pPr>
      <w:r>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pStyle w:val="TextBody"/>
        <w:bidi w:val="0"/>
        <w:jc w:val="both"/>
        <w:rPr/>
      </w:pPr>
      <w:r>
        <w:rPr/>
        <w:t>Across its extensive research and development programs, the Corporation is evaluating a wide array of novel, synthetic psychedelic active pharmaceutical ingredients intended to be delivered through innovative drug delivery systems including via inhalation, via intravenous  ("</w:t>
      </w:r>
      <w:r>
        <w:rPr>
          <w:b/>
        </w:rPr>
        <w:t>IV</w:t>
      </w:r>
      <w:r>
        <w:rPr/>
        <w:t>"), and intramuscular, or subcutaneous ("</w:t>
      </w:r>
      <w:r>
        <w:rPr>
          <w:b/>
        </w:rPr>
        <w:t>SC</w:t>
      </w:r>
      <w:r>
        <w:rPr/>
        <w:t>") administration.</w:t>
      </w:r>
      <w:r>
        <w:rPr>
          <w:position w:val="8"/>
          <w:sz w:val="19"/>
        </w:rPr>
        <w:t>2</w:t>
      </w:r>
    </w:p>
    <w:p>
      <w:pPr>
        <w:pStyle w:val="TextBody"/>
        <w:bidi w:val="0"/>
        <w:jc w:val="both"/>
        <w:rPr/>
      </w:pPr>
      <w:r>
        <w:rPr/>
        <w:t>The Corporation intends to apply for regulatory approval for therapies targeting indications such as major depressive disorder, alcohol use disorder, generalized anxiety disorder and potentially other various mental health conditions</w:t>
      </w:r>
      <w:r>
        <w:rPr>
          <w:position w:val="8"/>
          <w:sz w:val="19"/>
        </w:rPr>
        <w:t>3</w:t>
      </w:r>
      <w:r>
        <w:rPr/>
        <w:t>. The Corporation is also developing compounds that may have the potential to address neuroinflammation</w:t>
      </w:r>
      <w:r>
        <w:rPr>
          <w:position w:val="8"/>
          <w:sz w:val="19"/>
        </w:rPr>
        <w:t>4</w:t>
      </w:r>
      <w:r>
        <w:rPr/>
        <w:t>, central nervous system disorders, and psychiatric disorders</w:t>
      </w:r>
      <w:r>
        <w:rPr>
          <w:position w:val="8"/>
          <w:sz w:val="19"/>
        </w:rPr>
        <w:t>5</w:t>
      </w:r>
      <w:r>
        <w:rPr/>
        <w:t>.</w:t>
      </w:r>
    </w:p>
    <w:p>
      <w:pPr>
        <w:pStyle w:val="TextBody"/>
        <w:bidi w:val="0"/>
        <w:jc w:val="both"/>
        <w:rPr/>
      </w:pPr>
      <w:r>
        <w:rPr/>
        <w:t>For additional information in respect of the Corporation and its operation, please see the Corporation’s Annual Information Form and Interim MD&amp;A incorporated by reference into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position w:val="8"/>
          <w:sz w:val="19"/>
        </w:rPr>
        <w:t>_____________________________________________</w:t>
        <w:br/>
        <w:t>1</w:t>
      </w:r>
      <w:r>
        <w:rPr/>
        <w:t xml:space="preserve"> </w:t>
      </w:r>
      <w:r>
        <w:rPr>
          <w:sz w:val="20"/>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br/>
      </w:r>
      <w:r>
        <w:rPr>
          <w:position w:val="8"/>
          <w:sz w:val="19"/>
        </w:rPr>
        <w:t>2</w:t>
      </w:r>
      <w:r>
        <w:rPr/>
        <w:t xml:space="preserve"> </w:t>
      </w:r>
      <w:r>
        <w:rPr>
          <w:sz w:val="20"/>
        </w:rPr>
        <w:t>See footnote 1.</w:t>
      </w:r>
      <w:r>
        <w:rPr>
          <w:position w:val="8"/>
          <w:sz w:val="19"/>
        </w:rPr>
        <w:br/>
        <w:t>3</w:t>
      </w:r>
      <w:r>
        <w:rPr/>
        <w:t xml:space="preserve"> See footnote 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position w:val="8"/>
          <w:sz w:val="19"/>
        </w:rPr>
        <w:t>4</w:t>
      </w:r>
      <w:r>
        <w:rPr/>
        <w:t xml:space="preserve"> See footnote 1</w:t>
      </w:r>
      <w:r>
        <w:rPr>
          <w:b/>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both"/>
        <w:rPr/>
      </w:pPr>
      <w:r>
        <w:rPr>
          <w:position w:val="8"/>
          <w:sz w:val="19"/>
        </w:rPr>
        <w:t>5</w:t>
      </w:r>
      <w:r>
        <w:rPr/>
        <w:t xml:space="preserve"> See footnote 1</w:t>
      </w:r>
      <w:r>
        <w:rPr>
          <w:b/>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20" w:name="page_15"/>
      <w:bookmarkEnd w:id="20"/>
      <w:r>
        <w:rPr>
          <w:b/>
        </w:rPr>
        <w:t>Inter-Corporate Relationships</w:t>
      </w:r>
    </w:p>
    <w:p>
      <w:pPr>
        <w:pStyle w:val="TextBody"/>
        <w:bidi w:val="0"/>
        <w:jc w:val="both"/>
        <w:rPr/>
      </w:pPr>
      <w:r>
        <w:rPr/>
        <w:t>As at the date of this Prospectus, the Corporation's corporate structure includes the following material wholly-owned subsidiaries: </w:t>
      </w:r>
    </w:p>
    <w:p>
      <w:pPr>
        <w:pStyle w:val="TextBody"/>
        <w:bidi w:val="0"/>
        <w:jc w:val="center"/>
        <w:rPr/>
      </w:pPr>
      <w:r>
        <w:rPr/>
        <w:drawing>
          <wp:inline distT="0" distB="0" distL="0" distR="0">
            <wp:extent cx="3324225" cy="3505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24225" cy="3505200"/>
                    </a:xfrm>
                    <a:prstGeom prst="rect">
                      <a:avLst/>
                    </a:prstGeom>
                  </pic:spPr>
                </pic:pic>
              </a:graphicData>
            </a:graphic>
          </wp:inline>
        </w:drawing>
      </w:r>
    </w:p>
    <w:p>
      <w:pPr>
        <w:pStyle w:val="TextBody"/>
        <w:bidi w:val="0"/>
        <w:ind w:left="993" w:right="0" w:hanging="0"/>
        <w:jc w:val="both"/>
        <w:rPr>
          <w:b/>
        </w:rPr>
      </w:pPr>
      <w:r>
        <w:rPr>
          <w:b/>
        </w:rPr>
        <w:t xml:space="preserve">Note: </w:t>
      </w:r>
    </w:p>
    <w:p>
      <w:pPr>
        <w:pStyle w:val="TextBody"/>
        <w:bidi w:val="0"/>
        <w:ind w:left="1560" w:right="1200" w:hanging="0"/>
        <w:jc w:val="both"/>
        <w:rPr/>
      </w:pPr>
      <w:r>
        <w:rPr/>
        <w:t>(1) The shareholders of Adelia Therapeutics Inc. ("</w:t>
      </w:r>
      <w:r>
        <w:rPr>
          <w:b/>
        </w:rPr>
        <w:t>Adelia</w:t>
      </w:r>
      <w:r>
        <w:rPr/>
        <w:t>") hold certain non-voting securities of Cybin U.S. issued in connection with the acquisition of Adelia on December 14, 2020 (the "</w:t>
      </w:r>
      <w:r>
        <w:rPr>
          <w:b/>
        </w:rPr>
        <w:t>Adelia Transaction</w:t>
      </w:r>
      <w:r>
        <w:rPr/>
        <w:t>"). For additional information in respect of the Adelia Transaction, please see the Annual Information Form incorporated by reference in this Prospectus Supplement.</w:t>
      </w:r>
    </w:p>
    <w:p>
      <w:pPr>
        <w:pStyle w:val="TextBody"/>
        <w:bidi w:val="0"/>
        <w:jc w:val="both"/>
        <w:rPr>
          <w:b/>
        </w:rPr>
      </w:pPr>
      <w:r>
        <w:rPr>
          <w:b/>
        </w:rPr>
        <w:t>Select Recent Developments</w:t>
      </w:r>
    </w:p>
    <w:p>
      <w:pPr>
        <w:pStyle w:val="TextBody"/>
        <w:bidi w:val="0"/>
        <w:jc w:val="both"/>
        <w:rPr/>
      </w:pPr>
      <w:r>
        <w:rPr/>
        <w:t>Other than as set forth below and generally in this Prospectus or the documents incorporated by reference herein, there have been no material developments in the business of the Corporation since August 14, 2023, the date of the Interim Financial Statements and Interim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t>On May 30, 2023, the Corporation announced it had entered into the Purchase Agreement with the Investor,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May 2023 Prospectus Supplement,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Offering. The Corporation sold a total of US$465,273 under the Purchase Agreement out of the total US$30,000,000 qualified under the May 2023 Prospectus Supplement, using the proceeds for the advancement of its research and development programs and for general corporate purposes. The Corporation has suspended all sales under the Purchase Agreement allowing it to use the balance of US$29,534,727 available under the 2021 Base Shelf Prospectus for the Offering. Subject to receipt of all necessary regulatory approvals, the Corporation intends to file a prospectus supplement under this Prospectus with respect to the Purchase Agreement.</w:t>
      </w:r>
    </w:p>
    <w:p>
      <w:pPr>
        <w:pStyle w:val="TextBody"/>
        <w:bidi w:val="0"/>
        <w:jc w:val="both"/>
        <w:rPr/>
      </w:pPr>
      <w:r>
        <w:rPr/>
        <w:t>On June 29, 2023, the Corporation announced the appointment of Aaron Bartlone as Chief Operating Officer, effective July 1, 2023. Mr. Bartlone has served as Chief Operating Officer of Cybin’s U.S. subsidiary, Cybin US Holdings, Inc., since March 2021. Mr. Bartlone is a United States resident and currently holds 701,070 Common Shares and options exercisable into 1,315,000 Common Shares.</w:t>
      </w:r>
    </w:p>
    <w:p>
      <w:pPr>
        <w:pStyle w:val="TextBody"/>
        <w:bidi w:val="0"/>
        <w:jc w:val="both"/>
        <w:rPr/>
      </w:pPr>
      <w:r>
        <w:rPr/>
        <w:t>On August 5, 2023, the Corporation’s at-the-market equity program to issue and sell up to US$35,000,000 of Common Shares (the “</w:t>
      </w:r>
      <w:r>
        <w:rPr>
          <w:b/>
        </w:rPr>
        <w:t>ATM Program</w:t>
      </w:r>
      <w:r>
        <w:rPr/>
        <w:t>”) automatically terminated in accordance with the terms of the equity distribution agreement entered into on August 8, 2022, due to the Corporation’s prior base shelf prospectus, dated July 5, 2021, lapsing on August 5, 2023, being 25 months after the effective date. Subject to receipt of all necessary approvals and the entering into of a new equity distribution agreement, the Corporation intends to file a prospectus supplement under this Prospectus in order to qualify the issuance and sale of Common Shares pursuant to an at-the-market equity program.</w:t>
      </w:r>
    </w:p>
    <w:p>
      <w:pPr>
        <w:pStyle w:val="TextBody"/>
        <w:bidi w:val="0"/>
        <w:jc w:val="both"/>
        <w:rPr/>
      </w:pPr>
      <w:r>
        <w:rPr/>
        <w:t>On August 15, 2023, the Corporation announced that the U.S. Patent and Trademark Office has granted U.S. patent 11,724,985, to a deuterated psilocybin analog in the Corporation’s CYB003, investigational drug program. The patent, which is expected to provide exclusivity until 2041, includes composition of matter claims to deuterated tryptamines in support of the Corporation’s clinical-stage programs, CYB003, a proprietary deuterated psilocybin analog, and CYB004, a proprietary deuterated dimethyltryptamine, in addition to other of the Corporation’s pre-clinical programs, as well as claims directed towards methods of treating major depressive disorder (“</w:t>
      </w:r>
      <w:r>
        <w:rPr>
          <w:b/>
        </w:rPr>
        <w:t>MDD</w:t>
      </w:r>
      <w:r>
        <w:rPr/>
        <w:t>”) and treatment-resistant depression.</w:t>
      </w:r>
    </w:p>
    <w:p>
      <w:pPr>
        <w:pStyle w:val="TextBody"/>
        <w:bidi w:val="0"/>
        <w:jc w:val="both"/>
        <w:rPr/>
      </w:pPr>
      <w:r>
        <w:rPr/>
        <w:t>On August 17, 2023, the Corporation announced that it has initiated preparations for good manufacturing practices (“</w:t>
      </w:r>
      <w:r>
        <w:rPr>
          <w:b/>
        </w:rPr>
        <w:t>GMP</w:t>
      </w:r>
      <w:r>
        <w:rPr/>
        <w:t>”) production of a capsule formulation of CYB003, its proprietary deuterated psilocybin analog in development for the potential treatment of MDD.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21" w:name="page_17"/>
      <w:bookmarkEnd w:id="21"/>
      <w:r>
        <w:rPr>
          <w:b/>
        </w:rPr>
        <w:t>REGULATORY OVERVIEW</w:t>
      </w:r>
    </w:p>
    <w:p>
      <w:pPr>
        <w:pStyle w:val="TextBody"/>
        <w:bidi w:val="0"/>
        <w:jc w:val="both"/>
        <w:rPr/>
      </w:pPr>
      <w:r>
        <w:rPr/>
        <w:t>A summary of the applicable regulatory framework for the Corporation's various business segments and proposed business activity are set forth below.</w:t>
      </w:r>
    </w:p>
    <w:p>
      <w:pPr>
        <w:pStyle w:val="TextBody"/>
        <w:bidi w:val="0"/>
        <w:jc w:val="both"/>
        <w:rPr>
          <w:b/>
        </w:rPr>
      </w:pPr>
      <w:r>
        <w:rPr>
          <w:b/>
        </w:rPr>
        <w:t>Canada</w:t>
      </w:r>
    </w:p>
    <w:p>
      <w:pPr>
        <w:pStyle w:val="TextBody"/>
        <w:bidi w:val="0"/>
        <w:jc w:val="both"/>
        <w:rPr/>
      </w:pPr>
      <w:r>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pStyle w:val="TextBody"/>
        <w:bidi w:val="0"/>
        <w:jc w:val="both"/>
        <w:rPr/>
      </w:pPr>
      <w:r>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b/>
        </w:rPr>
        <w:t>Section 56 Exemption</w:t>
      </w:r>
      <w:r>
        <w:rPr/>
        <w:t>") is required. This exemption allows the holder to possess and use the controlled substance without being subject to the restrictions set out in the CDSA.</w:t>
      </w:r>
    </w:p>
    <w:p>
      <w:pPr>
        <w:pStyle w:val="TextBody"/>
        <w:bidi w:val="0"/>
        <w:jc w:val="both"/>
        <w:rPr/>
      </w:pPr>
      <w:r>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pStyle w:val="TextBody"/>
        <w:bidi w:val="0"/>
        <w:jc w:val="both"/>
        <w:rPr/>
      </w:pPr>
      <w:r>
        <w:rPr/>
        <w:t>Health Canada's Special Access Program ("</w:t>
      </w:r>
      <w:r>
        <w:rPr>
          <w:b/>
        </w:rPr>
        <w:t>SAP</w:t>
      </w:r>
      <w:r>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Corporation has not applied for access under the SAP.</w:t>
      </w:r>
    </w:p>
    <w:p>
      <w:pPr>
        <w:pStyle w:val="TextBody"/>
        <w:bidi w:val="0"/>
        <w:jc w:val="both"/>
        <w:rPr/>
      </w:pPr>
      <w:r>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license by Health Canada, an entity with a Dealer's License may produce, assemble, sell, provide, transport, send, deliver, import or export a restricted drug (as listed in Part J in the Food and Drugs Regulations - which includes psilocybin and psilocin) (see s. J.01.009 (1) of the Food and Drug Regulations).</w:t>
      </w:r>
    </w:p>
    <w:p>
      <w:pPr>
        <w:pStyle w:val="TextBody"/>
        <w:bidi w:val="0"/>
        <w:jc w:val="both"/>
        <w:rPr/>
      </w:pPr>
      <w:r>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pStyle w:val="TextBody"/>
        <w:bidi w:val="0"/>
        <w:jc w:val="both"/>
        <w:rPr/>
      </w:pPr>
      <w:r>
        <w:rPr/>
        <w:t>Please see "</w:t>
      </w:r>
      <w:r>
        <w:rPr>
          <w:i/>
        </w:rPr>
        <w:t>Description of the Business - Research and Development"</w:t>
      </w:r>
      <w:r>
        <w:rPr/>
        <w:t xml:space="preserve"> in the Annual Information Form for additional information concerning the regulation applicable to the process required before prescription drug product candidates may be marketed in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22" w:name="page_18"/>
      <w:bookmarkEnd w:id="22"/>
      <w:r>
        <w:rPr>
          <w:b/>
        </w:rPr>
        <w:t>United States</w:t>
      </w:r>
    </w:p>
    <w:p>
      <w:pPr>
        <w:pStyle w:val="TextBody"/>
        <w:bidi w:val="0"/>
        <w:jc w:val="both"/>
        <w:rPr/>
      </w:pPr>
      <w:r>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b/>
        </w:rPr>
        <w:t>IND</w:t>
      </w:r>
      <w:r>
        <w:rPr/>
        <w:t>”) related to its Deuterated Psilocybin Analog Program upon completion of its pre-clinical studies and CMC development.</w:t>
      </w:r>
      <w:r>
        <w:rPr>
          <w:position w:val="8"/>
          <w:sz w:val="19"/>
        </w:rPr>
        <w:t>6</w:t>
      </w:r>
      <w:r>
        <w:rPr/>
        <w:t xml:space="preserve"> Anticipated timelines related to regulatory filings are based on reasonable assumptions informed by current knowledge and information available to the Corporation.</w:t>
      </w:r>
    </w:p>
    <w:p>
      <w:pPr>
        <w:pStyle w:val="TextBody"/>
        <w:bidi w:val="0"/>
        <w:jc w:val="both"/>
        <w:rPr/>
      </w:pPr>
      <w:r>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b/>
        </w:rPr>
        <w:t>DEA</w:t>
      </w:r>
      <w:r>
        <w:rPr/>
        <w:t>")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bidi w:val="0"/>
        <w:jc w:val="both"/>
        <w:rPr/>
      </w:pPr>
      <w:r>
        <w:rPr/>
        <w:t xml:space="preserve">See </w:t>
      </w:r>
      <w:r>
        <w:rPr>
          <w:i/>
        </w:rPr>
        <w:t>"Description of the Business - Research and Development"</w:t>
      </w:r>
      <w:r>
        <w:rPr/>
        <w:t xml:space="preserve"> in the Annual Information Form for additional information concerning the regulation applicable to the process required before prescription drug product candidates may be marketed in the United States.</w:t>
      </w:r>
    </w:p>
    <w:p>
      <w:pPr>
        <w:pStyle w:val="TextBody"/>
        <w:bidi w:val="0"/>
        <w:jc w:val="both"/>
        <w:rPr>
          <w:b/>
        </w:rPr>
      </w:pPr>
      <w:r>
        <w:rPr>
          <w:b/>
        </w:rPr>
        <w:t>Europe (Netherlands)</w:t>
      </w:r>
    </w:p>
    <w:p>
      <w:pPr>
        <w:pStyle w:val="TextBody"/>
        <w:bidi w:val="0"/>
        <w:jc w:val="both"/>
        <w:rPr/>
      </w:pPr>
      <w:r>
        <w:rPr/>
        <w:t>The International Narcotics Control Board ("</w:t>
      </w:r>
      <w:r>
        <w:rPr>
          <w:b/>
        </w:rPr>
        <w:t>INCB</w:t>
      </w:r>
      <w:r>
        <w:rPr/>
        <w:t>"), a United Nations ("</w:t>
      </w:r>
      <w:r>
        <w:rPr>
          <w:b/>
        </w:rPr>
        <w:t>UN</w:t>
      </w:r>
      <w:r>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pStyle w:val="TextBody"/>
        <w:bidi w:val="0"/>
        <w:jc w:val="both"/>
        <w:rPr/>
      </w:pPr>
      <w:r>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pStyle w:val="TextBody"/>
        <w:bidi w:val="0"/>
        <w:jc w:val="both"/>
        <w:rPr/>
      </w:pPr>
      <w:r>
        <w:rPr>
          <w:sz w:val="20"/>
        </w:rPr>
        <w:t>_____________________________________________</w:t>
        <w:br/>
      </w:r>
      <w:r>
        <w:rPr>
          <w:position w:val="8"/>
          <w:sz w:val="19"/>
        </w:rPr>
        <w:t xml:space="preserve">6 </w:t>
      </w:r>
      <w:r>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Corporation.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See “</w:t>
      </w:r>
      <w:r>
        <w:rPr>
          <w:i/>
        </w:rPr>
        <w:t>Risk Factors</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2"/>
        </w:numPr>
        <w:pBdr/>
        <w:tabs>
          <w:tab w:val="clear" w:pos="1134"/>
          <w:tab w:val="left" w:pos="1261" w:leader="none"/>
        </w:tabs>
        <w:bidi w:val="0"/>
        <w:spacing w:before="0" w:after="0"/>
        <w:ind w:left="1261" w:right="0" w:hanging="283"/>
        <w:jc w:val="both"/>
        <w:rPr/>
      </w:pPr>
      <w:bookmarkStart w:id="23" w:name="page_19"/>
      <w:bookmarkEnd w:id="23"/>
      <w:r>
        <w:rPr/>
        <w:t xml:space="preserve">prohibit all use except for scientific and very limited medical purposes by duly authorized persons, in medical or scientific establishments which are directly under the control of their Governments or specifically approved by them; </w:t>
      </w:r>
    </w:p>
    <w:p>
      <w:pPr>
        <w:pStyle w:val="TextBody"/>
        <w:numPr>
          <w:ilvl w:val="0"/>
          <w:numId w:val="2"/>
        </w:numPr>
        <w:pBdr/>
        <w:tabs>
          <w:tab w:val="clear" w:pos="1134"/>
          <w:tab w:val="left" w:pos="1261" w:leader="none"/>
        </w:tabs>
        <w:bidi w:val="0"/>
        <w:spacing w:before="0" w:after="0"/>
        <w:ind w:left="1261" w:right="0" w:hanging="283"/>
        <w:jc w:val="both"/>
        <w:rPr/>
      </w:pPr>
      <w:r>
        <w:rPr/>
        <w:t xml:space="preserve">require that manufacture, trade, distribution and possession be under a special licence or prior authorization; </w:t>
      </w:r>
    </w:p>
    <w:p>
      <w:pPr>
        <w:pStyle w:val="TextBody"/>
        <w:numPr>
          <w:ilvl w:val="0"/>
          <w:numId w:val="2"/>
        </w:numPr>
        <w:pBdr/>
        <w:tabs>
          <w:tab w:val="clear" w:pos="1134"/>
          <w:tab w:val="left" w:pos="1261" w:leader="none"/>
        </w:tabs>
        <w:bidi w:val="0"/>
        <w:spacing w:before="0" w:after="0"/>
        <w:ind w:left="1261" w:right="0" w:hanging="283"/>
        <w:jc w:val="both"/>
        <w:rPr/>
      </w:pPr>
      <w:r>
        <w:rPr/>
        <w:t xml:space="preserve">provide for close supervision of the activities and acts mentioned in paragraphs (a) and (b); </w:t>
      </w:r>
    </w:p>
    <w:p>
      <w:pPr>
        <w:pStyle w:val="TextBody"/>
        <w:numPr>
          <w:ilvl w:val="0"/>
          <w:numId w:val="2"/>
        </w:numPr>
        <w:pBdr/>
        <w:tabs>
          <w:tab w:val="clear" w:pos="1134"/>
          <w:tab w:val="left" w:pos="1261" w:leader="none"/>
        </w:tabs>
        <w:bidi w:val="0"/>
        <w:spacing w:before="0" w:after="0"/>
        <w:ind w:left="1261" w:right="0" w:hanging="283"/>
        <w:jc w:val="both"/>
        <w:rPr/>
      </w:pPr>
      <w:r>
        <w:rPr/>
        <w:t xml:space="preserve">restrict the amount supplied to a duly authorized person to the quantity required for his authorized purpose; </w:t>
      </w:r>
    </w:p>
    <w:p>
      <w:pPr>
        <w:pStyle w:val="TextBody"/>
        <w:numPr>
          <w:ilvl w:val="0"/>
          <w:numId w:val="2"/>
        </w:numPr>
        <w:pBdr/>
        <w:tabs>
          <w:tab w:val="clear" w:pos="1134"/>
          <w:tab w:val="left" w:pos="1261" w:leader="none"/>
        </w:tabs>
        <w:bidi w:val="0"/>
        <w:spacing w:before="0" w:after="0"/>
        <w:ind w:left="1261" w:right="0" w:hanging="283"/>
        <w:jc w:val="both"/>
        <w:rPr/>
      </w:pPr>
      <w:r>
        <w:rPr/>
        <w:t xml:space="preserve">require that persons performing medical or scientific functions keep records concerning the acquisition of the substances and the details of their use, such records to be preserved for at least two years after the last use recorded therein; and </w:t>
      </w:r>
    </w:p>
    <w:p>
      <w:pPr>
        <w:pStyle w:val="TextBody"/>
        <w:numPr>
          <w:ilvl w:val="0"/>
          <w:numId w:val="2"/>
        </w:numPr>
        <w:pBdr/>
        <w:tabs>
          <w:tab w:val="clear" w:pos="1134"/>
          <w:tab w:val="left" w:pos="1261" w:leader="none"/>
        </w:tabs>
        <w:bidi w:val="0"/>
        <w:ind w:left="1261" w:right="0" w:hanging="283"/>
        <w:jc w:val="both"/>
        <w:rPr/>
      </w:pPr>
      <w:r>
        <w:rPr/>
        <w:t xml:space="preserve">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 </w:t>
      </w:r>
    </w:p>
    <w:p>
      <w:pPr>
        <w:pStyle w:val="TextBody"/>
        <w:bidi w:val="0"/>
        <w:jc w:val="both"/>
        <w:rPr/>
      </w:pPr>
      <w:r>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b/>
        </w:rPr>
        <w:t>Dutch Opium Act</w:t>
      </w:r>
      <w:r>
        <w:rPr/>
        <w:t>") and as such, subject to express authorization being obtained, the production, trade and possession of DMT are prohibited.</w:t>
      </w:r>
    </w:p>
    <w:p>
      <w:pPr>
        <w:pStyle w:val="TextBody"/>
        <w:bidi w:val="0"/>
        <w:jc w:val="both"/>
        <w:rPr/>
      </w:pPr>
      <w:r>
        <w:rPr/>
        <w:t>In addition to the Dutch Opium Act, two other Dutch Acts may be relevant when it comes to drugs: the Medicines Act and the Commodities Act.</w:t>
      </w:r>
    </w:p>
    <w:p>
      <w:pPr>
        <w:pStyle w:val="TextBody"/>
        <w:bidi w:val="0"/>
        <w:jc w:val="both"/>
        <w:rPr/>
      </w:pPr>
      <w:r>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b/>
        </w:rPr>
        <w:t>CCMO</w:t>
      </w:r>
      <w:r>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pStyle w:val="TextBody"/>
        <w:bidi w:val="0"/>
        <w:jc w:val="both"/>
        <w:rPr/>
      </w:pPr>
      <w:r>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pStyle w:val="TextBody"/>
        <w:bidi w:val="0"/>
        <w:jc w:val="both"/>
        <w:rPr>
          <w:b/>
        </w:rPr>
      </w:pPr>
      <w:r>
        <w:rPr>
          <w:b/>
        </w:rPr>
        <w:t>Ireland</w:t>
      </w:r>
    </w:p>
    <w:p>
      <w:pPr>
        <w:pStyle w:val="TextBody"/>
        <w:bidi w:val="0"/>
        <w:jc w:val="both"/>
        <w:rPr/>
      </w:pPr>
      <w:r>
        <w:rPr/>
        <w:t>In Ireland, psilocin is a controlled substance under the Misuse of Drugs Act, 1977, 1984 and 2015 (the "</w:t>
      </w:r>
      <w:r>
        <w:rPr>
          <w:b/>
        </w:rPr>
        <w:t>Ireland MDA</w:t>
      </w:r>
      <w:r>
        <w:rPr/>
        <w:t>"), the Misuse of Drugs Regulations 2017 (the "</w:t>
      </w:r>
      <w:r>
        <w:rPr>
          <w:b/>
        </w:rPr>
        <w:t>Ireland MDR</w:t>
      </w:r>
      <w:r>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4" w:name="page_20"/>
      <w:bookmarkEnd w:id="24"/>
      <w:r>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pStyle w:val="TextBody"/>
        <w:bidi w:val="0"/>
        <w:jc w:val="both"/>
        <w:rPr>
          <w:b/>
        </w:rPr>
      </w:pPr>
      <w:r>
        <w:rPr>
          <w:b/>
        </w:rPr>
        <w:t>United Kingdom</w:t>
      </w:r>
    </w:p>
    <w:p>
      <w:pPr>
        <w:pStyle w:val="TextBody"/>
        <w:bidi w:val="0"/>
        <w:jc w:val="both"/>
        <w:rPr/>
      </w:pPr>
      <w:r>
        <w:rPr/>
        <w:t>In the United Kingdom,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pStyle w:val="TextBody"/>
        <w:bidi w:val="0"/>
        <w:jc w:val="both"/>
        <w:rPr/>
      </w:pPr>
      <w:r>
        <w:rPr/>
        <w:t>The main controlled drugs legislation in the United Kingdom is the Misuse of Drugs Act 1971 ("</w:t>
      </w:r>
      <w:r>
        <w:rPr>
          <w:b/>
        </w:rPr>
        <w:t>MDA</w:t>
      </w:r>
      <w:r>
        <w:rPr/>
        <w:t>") and the Misuse of Drugs Regulations 2001 ("</w:t>
      </w:r>
      <w:r>
        <w:rPr>
          <w:b/>
        </w:rPr>
        <w:t>MDR</w:t>
      </w:r>
      <w:r>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pStyle w:val="TextBody"/>
        <w:bidi w:val="0"/>
        <w:jc w:val="both"/>
        <w:rPr/>
      </w:pPr>
      <w:r>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pStyle w:val="TextBody"/>
        <w:bidi w:val="0"/>
        <w:jc w:val="both"/>
        <w:rPr/>
      </w:pPr>
      <w:r>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pStyle w:val="TextBody"/>
        <w:bidi w:val="0"/>
        <w:jc w:val="both"/>
        <w:rPr/>
      </w:pPr>
      <w:r>
        <w:rPr/>
        <w:t>The Corporation previously disclosed that it intended to file a clinical trial application with the United Kingdom Medicines and Healthcare products Regulatory Agency (the "</w:t>
      </w:r>
      <w:r>
        <w:rPr>
          <w:b/>
        </w:rPr>
        <w:t>MHRA</w:t>
      </w:r>
      <w:r>
        <w:rPr/>
        <w:t>") related to the Deuterated Psilocybin Analog Program upon completion of its pre-clinical studies and CMC development. The Corporation has since decided that it will first proceed in the United States and will re-evaluate other applications at a later date. Anticipated timelines related to regulatory filings are based on reasonable assumptions informed by current knowledge and information available to the Corporation.</w:t>
      </w:r>
    </w:p>
    <w:p>
      <w:pPr>
        <w:pStyle w:val="TextBody"/>
        <w:bidi w:val="0"/>
        <w:jc w:val="both"/>
        <w:rPr>
          <w:u w:val="single"/>
        </w:rPr>
      </w:pPr>
      <w:r>
        <w:rPr>
          <w:u w:val="single"/>
        </w:rPr>
        <w:t>Licensing Requirements</w:t>
      </w:r>
    </w:p>
    <w:p>
      <w:pPr>
        <w:pStyle w:val="TextBody"/>
        <w:bidi w:val="0"/>
        <w:jc w:val="both"/>
        <w:rPr/>
      </w:pPr>
      <w:r>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b/>
        </w:rPr>
        <w:t>Asset Acquisition</w:t>
      </w:r>
      <w:r>
        <w:rPr/>
        <w:t>"), the Corporation also acquired API. The CYB004-E API was manufactured in the Netherlands by a pharmaceutical ingredient provider that is United States FDA-inspected.</w:t>
      </w:r>
      <w:r>
        <w:rPr>
          <w:position w:val="8"/>
          <w:sz w:val="19"/>
        </w:rPr>
        <w:t>7</w:t>
      </w:r>
    </w:p>
    <w:p>
      <w:pPr>
        <w:pStyle w:val="TextBody"/>
        <w:bidi w:val="0"/>
        <w:jc w:val="both"/>
        <w:rPr/>
      </w:pPr>
      <w:r>
        <w:rPr>
          <w:sz w:val="20"/>
        </w:rPr>
        <w:t>_____________________________________________</w:t>
        <w:br/>
      </w:r>
      <w:r>
        <w:rPr>
          <w:position w:val="8"/>
          <w:sz w:val="19"/>
        </w:rPr>
        <w:t>7</w:t>
      </w:r>
      <w:r>
        <w:rPr/>
        <w:t xml:space="preserve"> </w:t>
      </w:r>
      <w:r>
        <w:rPr>
          <w:sz w:val="20"/>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5" w:name="page_21"/>
      <w:bookmarkEnd w:id="25"/>
      <w:r>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w:t>
      </w:r>
      <w:r>
        <w:rPr>
          <w:i/>
        </w:rPr>
        <w:t>Pharmaceutical Products</w:t>
      </w:r>
      <w:r>
        <w:rPr/>
        <w:t>", depending on how the API is developed, certain authorizations and licences from the MHRA may be required to authorize some of the activities carried on at the UK-based facilities in relation to the API.</w:t>
      </w:r>
    </w:p>
    <w:p>
      <w:pPr>
        <w:pStyle w:val="TextBody"/>
        <w:bidi w:val="0"/>
        <w:jc w:val="both"/>
        <w:rPr/>
      </w:pPr>
      <w:r>
        <w:rPr/>
        <w:t>All premises that are licensed in connection with the possession, supply, manufacture and/or production of controlled drugs are required to adhere to detailed security standards.</w:t>
      </w:r>
      <w:r>
        <w:rPr>
          <w:position w:val="8"/>
          <w:sz w:val="19"/>
        </w:rPr>
        <w:t>8</w:t>
      </w:r>
    </w:p>
    <w:p>
      <w:pPr>
        <w:pStyle w:val="TextBody"/>
        <w:bidi w:val="0"/>
        <w:jc w:val="both"/>
        <w:rPr/>
      </w:pPr>
      <w:r>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 responsibilities, record keeping, reconciliation and reporting of thefts/losses.</w:t>
      </w:r>
      <w:r>
        <w:rPr>
          <w:position w:val="8"/>
          <w:sz w:val="19"/>
        </w:rPr>
        <w:t>9</w:t>
      </w:r>
    </w:p>
    <w:p>
      <w:pPr>
        <w:pStyle w:val="TextBody"/>
        <w:bidi w:val="0"/>
        <w:jc w:val="both"/>
        <w:rPr>
          <w:u w:val="single"/>
        </w:rPr>
      </w:pPr>
      <w:r>
        <w:rPr>
          <w:u w:val="single"/>
        </w:rPr>
        <w:t>Pharmaceutical Products</w:t>
      </w:r>
    </w:p>
    <w:p>
      <w:pPr>
        <w:pStyle w:val="TextBody"/>
        <w:bidi w:val="0"/>
        <w:jc w:val="both"/>
        <w:rPr/>
      </w:pPr>
      <w:r>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pStyle w:val="TextBody"/>
        <w:bidi w:val="0"/>
        <w:jc w:val="both"/>
        <w:rPr/>
      </w:pPr>
      <w:r>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pStyle w:val="TextBody"/>
        <w:bidi w:val="0"/>
        <w:jc w:val="both"/>
        <w:rPr/>
      </w:pPr>
      <w:r>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GMP and/or Good Distribution Practice ("</w:t>
      </w:r>
      <w:r>
        <w:rPr>
          <w:b/>
        </w:rPr>
        <w:t>GDP</w:t>
      </w:r>
      <w:r>
        <w:rPr/>
        <w:t>")) and to hold a related licence from the MHRA</w:t>
      </w:r>
    </w:p>
    <w:p>
      <w:pPr>
        <w:pStyle w:val="TextBody"/>
        <w:bidi w:val="0"/>
        <w:jc w:val="both"/>
        <w:rPr/>
      </w:pPr>
      <w:r>
        <w:rPr/>
        <w:t>How the API is subsequently processed will determine the licences that the UK-based facility must hold. In particular:</w:t>
      </w:r>
    </w:p>
    <w:p>
      <w:pPr>
        <w:pStyle w:val="TextBody"/>
        <w:numPr>
          <w:ilvl w:val="0"/>
          <w:numId w:val="3"/>
        </w:numPr>
        <w:pBdr/>
        <w:tabs>
          <w:tab w:val="clear" w:pos="1134"/>
          <w:tab w:val="left" w:pos="1258" w:leader="none"/>
        </w:tabs>
        <w:bidi w:val="0"/>
        <w:ind w:left="1258" w:right="0" w:hanging="283"/>
        <w:jc w:val="both"/>
        <w:rPr/>
      </w:pPr>
      <w:r>
        <w:rPr/>
        <w:t>if the API is just one 'ingredient' of the investigational medicinal product ("</w:t>
      </w:r>
      <w:r>
        <w:rPr>
          <w:b/>
        </w:rPr>
        <w:t>IMP</w:t>
      </w:r>
      <w:r>
        <w:rPr/>
        <w:t>") which is used in the clinical trial then the UK-based facility must register with the MHRA and provide the MHRA with 60 days' notice of the intended start of manufacture/distribution, and comply with GMP and GDP for active substances; and</w:t>
      </w:r>
    </w:p>
    <w:p>
      <w:pPr>
        <w:pStyle w:val="TextBody"/>
        <w:numPr>
          <w:ilvl w:val="0"/>
          <w:numId w:val="3"/>
        </w:numPr>
        <w:pBdr/>
        <w:tabs>
          <w:tab w:val="clear" w:pos="1134"/>
          <w:tab w:val="left" w:pos="1261" w:leader="none"/>
        </w:tabs>
        <w:bidi w:val="0"/>
        <w:ind w:left="1261" w:right="0" w:hanging="283"/>
        <w:jc w:val="both"/>
        <w:rPr/>
      </w:pPr>
      <w:r>
        <w:rPr/>
        <w:t>conversely, if the API will itself constitute the IMP, the manufacturer must, except in certain limited circumstances, hold a Manufacturer's Authorisations for IMPs licence ("</w:t>
      </w:r>
      <w:r>
        <w:rPr>
          <w:b/>
        </w:rPr>
        <w:t>MIA(IMP</w:t>
      </w:r>
      <w:r>
        <w:rPr/>
        <w:t>)"). In this scenario, an MIA(IMP) would be required regardless of whether the IMP is for use in the UK, another EEA Member State or a third country (such as the United States or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position w:val="8"/>
          <w:sz w:val="19"/>
        </w:rPr>
        <w:t>_____________________________________________</w:t>
        <w:br/>
        <w:t>8</w:t>
      </w:r>
      <w:r>
        <w:rPr/>
        <w:t xml:space="preserve"> Home Office guidance; Security guidance for all existing or prospective Home Office Controlled Drug Licensees and/or Precursor Chemical Licensees or Registrants; 2022; https://assets.publishing.service.gov.uk/government/uploads/system/uploads/attachment_data/file/1125889/ Security_Guidance_for_all_Businesses_and_Other_Organisations_v1.5_Nov_2022.pdf.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both"/>
        <w:rPr/>
      </w:pPr>
      <w:r>
        <w:rPr>
          <w:position w:val="8"/>
          <w:sz w:val="19"/>
        </w:rPr>
        <w:t>9</w:t>
      </w:r>
      <w:r>
        <w:rPr/>
        <w:t xml:space="preserve"> Home Office guidance; Guidelines for Standard Operating Procedures (SOPs); https://assets.publishing.service.gov.uk/government/uploads/ system/uploads/attachment_data/file/480572/StandardOpProcedure.pdf.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6" w:name="page_22"/>
      <w:bookmarkEnd w:id="26"/>
      <w:r>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pStyle w:val="TextBody"/>
        <w:bidi w:val="0"/>
        <w:jc w:val="both"/>
        <w:rPr>
          <w:b/>
        </w:rPr>
      </w:pPr>
      <w:r>
        <w:rPr>
          <w:b/>
        </w:rPr>
        <w:t>Research and Development</w:t>
      </w:r>
    </w:p>
    <w:p>
      <w:pPr>
        <w:pStyle w:val="TextBody"/>
        <w:bidi w:val="0"/>
        <w:jc w:val="both"/>
        <w:rPr/>
      </w:pPr>
      <w:r>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pStyle w:val="TextBody"/>
        <w:bidi w:val="0"/>
        <w:jc w:val="both"/>
        <w:rPr/>
      </w:pPr>
      <w:r>
        <w:rPr/>
        <w:t>As a result of COVID-19, certain institutions have implemented certain facility procedures and are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institutions involved in pharmaceutical product development.</w:t>
      </w:r>
    </w:p>
    <w:p>
      <w:pPr>
        <w:pStyle w:val="TextBody"/>
        <w:bidi w:val="0"/>
        <w:jc w:val="both"/>
        <w:rPr/>
      </w:pPr>
      <w:r>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i/>
        </w:rPr>
        <w:t>Psilocybe</w:t>
      </w:r>
      <w:r>
        <w:rPr/>
        <w:t xml:space="preserve">, such as </w:t>
      </w:r>
      <w:r>
        <w:rPr>
          <w:i/>
        </w:rPr>
        <w:t>P. azurescens, P. semilanceata</w:t>
      </w:r>
      <w:r>
        <w:rPr/>
        <w:t xml:space="preserve">, and </w:t>
      </w:r>
      <w:r>
        <w:rPr>
          <w:i/>
        </w:rPr>
        <w:t>P. cyanescens</w:t>
      </w:r>
      <w:r>
        <w:rPr/>
        <w:t>, but psilocybin has also been isolated from about a dozen other genera. As a prodrug, psilocybin is quickly converted by the body to psilocin, which has mind-altering effects.</w:t>
      </w:r>
    </w:p>
    <w:p>
      <w:pPr>
        <w:pStyle w:val="TextBody"/>
        <w:bidi w:val="0"/>
        <w:jc w:val="both"/>
        <w:rPr/>
      </w:pPr>
      <w:r>
        <w:rPr/>
        <w:t>The pharmacokinetics, pharmacology and human metabolism of psilocybin are well known and well characterized. In conjunction with psychotherapy, psilocybin has been utilized broadly in phase II clinical trials.</w:t>
      </w:r>
    </w:p>
    <w:p>
      <w:pPr>
        <w:pStyle w:val="TextBody"/>
        <w:bidi w:val="0"/>
        <w:jc w:val="both"/>
        <w:rPr/>
      </w:pPr>
      <w:r>
        <w:rPr/>
        <w:t>Psilocybin found in certain species of mushrooms is a non-habit forming naturally occurring psychedelic compound. Once ingested, psilocybin is rapidly metabolized to psilocin, which then acts on serotonin receptors in the brain.</w:t>
      </w:r>
    </w:p>
    <w:p>
      <w:pPr>
        <w:pStyle w:val="TextBody"/>
        <w:bidi w:val="0"/>
        <w:jc w:val="both"/>
        <w:rPr/>
      </w:pPr>
      <w:r>
        <w:rPr/>
        <w:t>Cybin has commenced research and development on the delivery of synthetic psilocybin and other psychedelics through mechanisms such as sublingual film delivery, IV, and by way of inhalation.</w:t>
      </w:r>
    </w:p>
    <w:p>
      <w:pPr>
        <w:pStyle w:val="TextBody"/>
        <w:bidi w:val="0"/>
        <w:jc w:val="both"/>
        <w:rPr/>
      </w:pPr>
      <w:r>
        <w:rPr/>
        <w:t>The Corporation's research and development must be conducted in strict compliance with the regulations of federal, state, local and regulatory agencies in Canada, the United States, and the United Kingdom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pStyle w:val="TextBody"/>
        <w:bidi w:val="0"/>
        <w:jc w:val="both"/>
        <w:rPr>
          <w:u w:val="single"/>
        </w:rPr>
      </w:pPr>
      <w:r>
        <w:rPr>
          <w:u w:val="single"/>
        </w:rPr>
        <w:t>Canada</w:t>
      </w:r>
    </w:p>
    <w:p>
      <w:pPr>
        <w:pStyle w:val="TextBody"/>
        <w:bidi w:val="0"/>
        <w:jc w:val="both"/>
        <w:rPr/>
      </w:pPr>
      <w:r>
        <w:rPr/>
        <w:t>The process required before a prescription drug product candidate may be marketed in Canada generally involves:</w:t>
      </w:r>
    </w:p>
    <w:p>
      <w:pPr>
        <w:pStyle w:val="TextBody"/>
        <w:numPr>
          <w:ilvl w:val="0"/>
          <w:numId w:val="4"/>
        </w:numPr>
        <w:pBdr/>
        <w:tabs>
          <w:tab w:val="clear" w:pos="1134"/>
          <w:tab w:val="left" w:pos="1261" w:leader="none"/>
        </w:tabs>
        <w:bidi w:val="0"/>
        <w:ind w:left="1261" w:right="0" w:hanging="283"/>
        <w:jc w:val="both"/>
        <w:rPr/>
      </w:pPr>
      <w:r>
        <w:rPr>
          <w:i/>
        </w:rPr>
        <w:t>Chemical and Biological Research -</w:t>
      </w:r>
      <w:r>
        <w:rPr/>
        <w:t xml:space="preserve"> Laboratory tests are carried out on tissue cultures and with a variety of small animals to determine the effects of the drug. If the results are promising, the manufacturer will proceed to the next step of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5"/>
        </w:numPr>
        <w:pBdr/>
        <w:tabs>
          <w:tab w:val="clear" w:pos="1134"/>
          <w:tab w:val="left" w:pos="1261" w:leader="none"/>
        </w:tabs>
        <w:bidi w:val="0"/>
        <w:ind w:left="1261" w:right="0" w:hanging="283"/>
        <w:jc w:val="both"/>
        <w:rPr/>
      </w:pPr>
      <w:bookmarkStart w:id="27" w:name="page_23"/>
      <w:bookmarkEnd w:id="27"/>
      <w:r>
        <w:rPr>
          <w:i/>
        </w:rPr>
        <w:t xml:space="preserve">Pre-Clinical Development - </w:t>
      </w:r>
      <w:r>
        <w:rPr/>
        <w:t>Animals are given the drug in varying amounts over differing periods of time. If it can be shown that the drug causes no serious or unexpected harm at the doses required to have an effect, the manufacturer will proceed to clinical trials.</w:t>
      </w:r>
    </w:p>
    <w:p>
      <w:pPr>
        <w:pStyle w:val="TextBody"/>
        <w:numPr>
          <w:ilvl w:val="0"/>
          <w:numId w:val="5"/>
        </w:numPr>
        <w:pBdr/>
        <w:tabs>
          <w:tab w:val="clear" w:pos="1134"/>
          <w:tab w:val="left" w:pos="1261" w:leader="none"/>
        </w:tabs>
        <w:bidi w:val="0"/>
        <w:ind w:left="1261" w:right="0" w:hanging="283"/>
        <w:jc w:val="both"/>
        <w:rPr/>
      </w:pPr>
      <w:r>
        <w:rPr>
          <w:i/>
        </w:rPr>
        <w:t xml:space="preserve">Clinical Trials - Phase I - </w:t>
      </w:r>
      <w:r>
        <w:rPr/>
        <w:t>The first administration in humans is to test if people can tolerate the drug. If this testing is to take place in Canada, the manufacturer must prepare a clinical trial application for the Therapeutic Products Directorate of Health Canada (the "</w:t>
      </w:r>
      <w:r>
        <w:rPr>
          <w:b/>
        </w:rPr>
        <w:t>TPD</w:t>
      </w:r>
      <w:r>
        <w:rPr/>
        <w:t>"). This includes the results of the first two steps and a proposal for testing in humans. If the information is sufficient, the Health Products and Food Branch of Health Canada (the "</w:t>
      </w:r>
      <w:r>
        <w:rPr>
          <w:b/>
        </w:rPr>
        <w:t>HPFB</w:t>
      </w:r>
      <w:r>
        <w:rPr/>
        <w:t>") grants permission to start testing the drug, generally first on healthy volunteers.</w:t>
      </w:r>
    </w:p>
    <w:p>
      <w:pPr>
        <w:pStyle w:val="TextBody"/>
        <w:numPr>
          <w:ilvl w:val="0"/>
          <w:numId w:val="5"/>
        </w:numPr>
        <w:pBdr/>
        <w:tabs>
          <w:tab w:val="clear" w:pos="1134"/>
          <w:tab w:val="left" w:pos="1261" w:leader="none"/>
        </w:tabs>
        <w:bidi w:val="0"/>
        <w:ind w:left="1261" w:right="0" w:hanging="283"/>
        <w:jc w:val="both"/>
        <w:rPr/>
      </w:pPr>
      <w:r>
        <w:rPr>
          <w:i/>
        </w:rPr>
        <w:t xml:space="preserve">Clinical Trials - Phase II - </w:t>
      </w:r>
      <w:r>
        <w:rPr/>
        <w:t>Phase II trials are carried out on people with the target condition, who are usually otherwise healthy, with no other medical condition. Trials carried out in Canada must be approved by the TPD. In phase II, the objective of the trials is to continue to gather information on the safety of the drug and begin to determine its effectiveness.</w:t>
      </w:r>
    </w:p>
    <w:p>
      <w:pPr>
        <w:pStyle w:val="TextBody"/>
        <w:numPr>
          <w:ilvl w:val="0"/>
          <w:numId w:val="5"/>
        </w:numPr>
        <w:pBdr/>
        <w:tabs>
          <w:tab w:val="clear" w:pos="1134"/>
          <w:tab w:val="left" w:pos="1261" w:leader="none"/>
        </w:tabs>
        <w:bidi w:val="0"/>
        <w:ind w:left="1261" w:right="0" w:hanging="283"/>
        <w:jc w:val="both"/>
        <w:rPr/>
      </w:pPr>
      <w:r>
        <w:rPr>
          <w:i/>
        </w:rPr>
        <w:t xml:space="preserve">Clinical Trials - Phase III - </w:t>
      </w:r>
      <w:r>
        <w:rPr/>
        <w:t>If the results from phase II show promise, the manufacturer provides an updated clinical trial 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pStyle w:val="TextBody"/>
        <w:numPr>
          <w:ilvl w:val="0"/>
          <w:numId w:val="5"/>
        </w:numPr>
        <w:pBdr/>
        <w:tabs>
          <w:tab w:val="clear" w:pos="1134"/>
          <w:tab w:val="left" w:pos="1261" w:leader="none"/>
        </w:tabs>
        <w:bidi w:val="0"/>
        <w:ind w:left="1261" w:right="0" w:hanging="283"/>
        <w:jc w:val="both"/>
        <w:rPr/>
      </w:pPr>
      <w:r>
        <w:rPr>
          <w:i/>
        </w:rPr>
        <w:t xml:space="preserve">New Drug Submission - </w:t>
      </w:r>
      <w:r>
        <w:rPr/>
        <w:t>If the results from phase III continue to be favourable, the drug manufacturer can submit a new drug submission ("</w:t>
      </w:r>
      <w:r>
        <w:rPr>
          <w:b/>
        </w:rPr>
        <w:t>NDS</w:t>
      </w:r>
      <w:r>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pStyle w:val="TextBody"/>
        <w:bidi w:val="0"/>
        <w:ind w:left="552" w:right="0" w:hanging="0"/>
        <w:jc w:val="both"/>
        <w:rPr>
          <w:u w:val="single"/>
        </w:rPr>
      </w:pPr>
      <w:r>
        <w:rPr>
          <w:u w:val="single"/>
        </w:rPr>
        <w:t>United States</w:t>
      </w:r>
    </w:p>
    <w:p>
      <w:pPr>
        <w:pStyle w:val="TextBody"/>
        <w:bidi w:val="0"/>
        <w:jc w:val="both"/>
        <w:rPr/>
      </w:pPr>
      <w:r>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pStyle w:val="TextBody"/>
        <w:bidi w:val="0"/>
        <w:jc w:val="both"/>
        <w:rPr/>
      </w:pPr>
      <w:r>
        <w:rPr/>
        <w:t>The process required before a prescription drug product candidate may be marketed in the United States generally involves:</w:t>
      </w:r>
    </w:p>
    <w:p>
      <w:pPr>
        <w:pStyle w:val="TextBody"/>
        <w:numPr>
          <w:ilvl w:val="0"/>
          <w:numId w:val="6"/>
        </w:numPr>
        <w:pBdr/>
        <w:tabs>
          <w:tab w:val="clear" w:pos="1134"/>
          <w:tab w:val="left" w:pos="1261" w:leader="none"/>
        </w:tabs>
        <w:bidi w:val="0"/>
        <w:ind w:left="1261" w:right="0" w:hanging="283"/>
        <w:jc w:val="both"/>
        <w:rPr/>
      </w:pPr>
      <w:r>
        <w:rPr/>
        <w:t>completion of extensive non-clinical laboratory tests, animal studies and formulation studies, all performed in accordance with the FDA's Good Laboratory, Good Clinical and/or Manufacturing Practice regulations;</w:t>
      </w:r>
    </w:p>
    <w:p>
      <w:pPr>
        <w:pStyle w:val="TextBody"/>
        <w:numPr>
          <w:ilvl w:val="0"/>
          <w:numId w:val="6"/>
        </w:numPr>
        <w:pBdr/>
        <w:tabs>
          <w:tab w:val="clear" w:pos="1134"/>
          <w:tab w:val="left" w:pos="1261" w:leader="none"/>
        </w:tabs>
        <w:bidi w:val="0"/>
        <w:ind w:left="1261" w:right="0" w:hanging="283"/>
        <w:jc w:val="both"/>
        <w:rPr/>
      </w:pPr>
      <w:r>
        <w:rPr/>
        <w:t>submission to the FDA of an IND, which must become effective before human clinical trials may begin;</w:t>
      </w:r>
    </w:p>
    <w:p>
      <w:pPr>
        <w:pStyle w:val="TextBody"/>
        <w:numPr>
          <w:ilvl w:val="0"/>
          <w:numId w:val="6"/>
        </w:numPr>
        <w:pBdr/>
        <w:tabs>
          <w:tab w:val="clear" w:pos="1134"/>
          <w:tab w:val="left" w:pos="1261" w:leader="none"/>
        </w:tabs>
        <w:bidi w:val="0"/>
        <w:ind w:left="1261" w:right="0" w:hanging="283"/>
        <w:jc w:val="both"/>
        <w:rPr/>
      </w:pPr>
      <w:r>
        <w:rPr/>
        <w:t>approval by an institutional review board or independent ethics committee at each clinical trial site before each trial may be initiated;</w:t>
      </w:r>
    </w:p>
    <w:p>
      <w:pPr>
        <w:pStyle w:val="TextBody"/>
        <w:numPr>
          <w:ilvl w:val="0"/>
          <w:numId w:val="6"/>
        </w:numPr>
        <w:pBdr/>
        <w:tabs>
          <w:tab w:val="clear" w:pos="1134"/>
          <w:tab w:val="left" w:pos="1261" w:leader="none"/>
        </w:tabs>
        <w:bidi w:val="0"/>
        <w:ind w:left="1261" w:right="0" w:hanging="283"/>
        <w:jc w:val="both"/>
        <w:rPr/>
      </w:pPr>
      <w:r>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pStyle w:val="TextBody"/>
        <w:numPr>
          <w:ilvl w:val="0"/>
          <w:numId w:val="6"/>
        </w:numPr>
        <w:pBdr/>
        <w:tabs>
          <w:tab w:val="clear" w:pos="1134"/>
          <w:tab w:val="left" w:pos="1261" w:leader="none"/>
        </w:tabs>
        <w:bidi w:val="0"/>
        <w:ind w:left="1261" w:right="0" w:hanging="283"/>
        <w:jc w:val="both"/>
        <w:rPr/>
      </w:pPr>
      <w:r>
        <w:rPr/>
        <w:t>submission to the FDA of a New Drug Application ("</w:t>
      </w:r>
      <w:r>
        <w:rPr>
          <w:b/>
        </w:rPr>
        <w:t>NDA</w:t>
      </w:r>
      <w:r>
        <w:rPr/>
        <w:t>"); and</w:t>
      </w:r>
    </w:p>
    <w:p>
      <w:pPr>
        <w:pStyle w:val="TextBody"/>
        <w:numPr>
          <w:ilvl w:val="0"/>
          <w:numId w:val="6"/>
        </w:numPr>
        <w:pBdr/>
        <w:tabs>
          <w:tab w:val="clear" w:pos="1134"/>
          <w:tab w:val="left" w:pos="1261" w:leader="none"/>
        </w:tabs>
        <w:bidi w:val="0"/>
        <w:ind w:left="1261" w:right="0" w:hanging="283"/>
        <w:jc w:val="both"/>
        <w:rPr/>
      </w:pPr>
      <w:r>
        <w:rPr/>
        <w:t>FDA review and approval of the NDA prior to any commercial marketing, sale or shipment of the drug.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8" w:name="page_24"/>
      <w:bookmarkEnd w:id="28"/>
      <w:r>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pStyle w:val="TextBody"/>
        <w:bidi w:val="0"/>
        <w:jc w:val="both"/>
        <w:rPr/>
      </w:pPr>
      <w:r>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pStyle w:val="TextBody"/>
        <w:bidi w:val="0"/>
        <w:jc w:val="both"/>
        <w:rPr/>
      </w:pPr>
      <w:r>
        <w:rPr/>
        <w:t>An independent institutional review board ("</w:t>
      </w:r>
      <w:r>
        <w:rPr>
          <w:b/>
        </w:rPr>
        <w:t>IRB</w:t>
      </w:r>
      <w:r>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pStyle w:val="TextBody"/>
        <w:bidi w:val="0"/>
        <w:jc w:val="both"/>
        <w:rPr/>
      </w:pPr>
      <w:r>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pStyle w:val="TextBody"/>
        <w:bidi w:val="0"/>
        <w:jc w:val="both"/>
        <w:rPr/>
      </w:pPr>
      <w:r>
        <w:rPr/>
        <w:t>The Corporation may plan to seek orphan drug designation for certain indications qualified for such designation. The United States, European Union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United States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pStyle w:val="TextBody"/>
        <w:bidi w:val="0"/>
        <w:jc w:val="both"/>
        <w:rPr/>
      </w:pPr>
      <w:r>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9" w:name="page_25"/>
      <w:bookmarkEnd w:id="29"/>
      <w:r>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pStyle w:val="TextBody"/>
        <w:bidi w:val="0"/>
        <w:jc w:val="both"/>
        <w:rPr/>
      </w:pPr>
      <w:r>
        <w:rPr/>
        <w:t>In the United States, pharmaceutical manufacturers are subject to complex laws and regulations pertaining to healthcare "fraud and abuse," including, but not limited to, the Anti-Kickback Statute, the federal False Claims Act (the "</w:t>
      </w:r>
      <w:r>
        <w:rPr>
          <w:b/>
        </w:rPr>
        <w:t>FCA</w:t>
      </w:r>
      <w:r>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pStyle w:val="TextBody"/>
        <w:bidi w:val="0"/>
        <w:jc w:val="both"/>
        <w:rPr/>
      </w:pPr>
      <w:r>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bidi w:val="0"/>
        <w:jc w:val="both"/>
        <w:rPr/>
      </w:pPr>
      <w:r>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pStyle w:val="TextBody"/>
        <w:bidi w:val="0"/>
        <w:jc w:val="both"/>
        <w:rPr>
          <w:i/>
        </w:rPr>
      </w:pPr>
      <w:r>
        <w:rPr>
          <w:i/>
        </w:rPr>
        <w:t>Controlled Substances</w:t>
      </w:r>
    </w:p>
    <w:p>
      <w:pPr>
        <w:pStyle w:val="TextBody"/>
        <w:bidi w:val="0"/>
        <w:jc w:val="both"/>
        <w:rPr/>
      </w:pPr>
      <w:r>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pStyle w:val="TextBody"/>
        <w:bidi w:val="0"/>
        <w:jc w:val="both"/>
        <w:rPr/>
      </w:pPr>
      <w:r>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0" w:name="page_26"/>
      <w:bookmarkEnd w:id="30"/>
      <w:r>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pStyle w:val="TextBody"/>
        <w:bidi w:val="0"/>
        <w:jc w:val="both"/>
        <w:rPr/>
      </w:pPr>
      <w:r>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pStyle w:val="TextBody"/>
        <w:bidi w:val="0"/>
        <w:jc w:val="both"/>
        <w:rPr/>
      </w:pPr>
      <w:r>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pStyle w:val="TextBody"/>
        <w:bidi w:val="0"/>
        <w:jc w:val="both"/>
        <w:rPr/>
      </w:pPr>
      <w:r>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pStyle w:val="TextBody"/>
        <w:bidi w:val="0"/>
        <w:jc w:val="both"/>
        <w:rPr>
          <w:u w:val="single"/>
        </w:rPr>
      </w:pPr>
      <w:r>
        <w:rPr>
          <w:u w:val="single"/>
        </w:rPr>
        <w:t>Netherlands</w:t>
      </w:r>
    </w:p>
    <w:p>
      <w:pPr>
        <w:pStyle w:val="TextBody"/>
        <w:bidi w:val="0"/>
        <w:jc w:val="both"/>
        <w:rPr/>
      </w:pPr>
      <w:r>
        <w:rPr/>
        <w:t>Regulation (EU) No 536/2014 on Clinical Trials on Medicinal Products for Human Use ( the "</w:t>
      </w:r>
      <w:r>
        <w:rPr>
          <w:b/>
        </w:rPr>
        <w:t>CTR</w:t>
      </w:r>
      <w:r>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1" w:name="page_27"/>
      <w:bookmarkEnd w:id="31"/>
      <w:r>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b/>
        </w:rPr>
        <w:t>IMP</w:t>
      </w:r>
      <w:r>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pStyle w:val="TextBody"/>
        <w:bidi w:val="0"/>
        <w:jc w:val="both"/>
        <w:rPr/>
      </w:pPr>
      <w:r>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pStyle w:val="TextBody"/>
        <w:bidi w:val="0"/>
        <w:jc w:val="both"/>
        <w:rPr/>
      </w:pPr>
      <w:r>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pStyle w:val="TextBody"/>
        <w:bidi w:val="0"/>
        <w:jc w:val="both"/>
        <w:rPr/>
      </w:pPr>
      <w:r>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pStyle w:val="TextBody"/>
        <w:bidi w:val="0"/>
        <w:jc w:val="both"/>
        <w:rPr/>
      </w:pPr>
      <w:r>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pStyle w:val="TextBody"/>
        <w:bidi w:val="0"/>
        <w:jc w:val="both"/>
        <w:rPr>
          <w:i/>
        </w:rPr>
      </w:pPr>
      <w:r>
        <w:rPr>
          <w:i/>
        </w:rPr>
        <w:t xml:space="preserve">Pharmaceutical Products </w:t>
      </w:r>
    </w:p>
    <w:p>
      <w:pPr>
        <w:pStyle w:val="TextBody"/>
        <w:bidi w:val="0"/>
        <w:jc w:val="both"/>
        <w:rPr/>
      </w:pPr>
      <w:r>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pStyle w:val="TextBody"/>
        <w:bidi w:val="0"/>
        <w:jc w:val="both"/>
        <w:rPr/>
      </w:pPr>
      <w:r>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2" w:name="page_28"/>
      <w:bookmarkEnd w:id="32"/>
      <w:r>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pStyle w:val="TextBody"/>
        <w:bidi w:val="0"/>
        <w:jc w:val="both"/>
        <w:rPr/>
      </w:pPr>
      <w:r>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pStyle w:val="TextBody"/>
        <w:bidi w:val="0"/>
        <w:jc w:val="both"/>
        <w:rPr>
          <w:i/>
        </w:rPr>
      </w:pPr>
      <w:r>
        <w:rPr>
          <w:i/>
        </w:rPr>
        <w:t xml:space="preserve">Market Authorization Regulatory Process </w:t>
      </w:r>
    </w:p>
    <w:p>
      <w:pPr>
        <w:pStyle w:val="TextBody"/>
        <w:bidi w:val="0"/>
        <w:jc w:val="both"/>
        <w:rPr/>
      </w:pPr>
      <w:r>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 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3" w:name="page_29"/>
      <w:bookmarkEnd w:id="33"/>
      <w:r>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 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b/>
        </w:rPr>
        <w:t>CMDh</w:t>
      </w:r>
      <w:r>
        <w:rPr/>
        <w:t>"). When all Member States involved decide on a positive opinion on products in the CMDh, Dutch translations of the summary of product characteristics, package leaflet, labelling texts and mock-ups are submitted and a national marketing authorization is issued.</w:t>
      </w:r>
    </w:p>
    <w:p>
      <w:pPr>
        <w:pStyle w:val="TextBody"/>
        <w:bidi w:val="0"/>
        <w:jc w:val="both"/>
        <w:rPr>
          <w:b/>
        </w:rPr>
      </w:pPr>
      <w:r>
        <w:rPr>
          <w:b/>
        </w:rPr>
        <w:t xml:space="preserve">Patent Cooperation Treaty </w:t>
      </w:r>
    </w:p>
    <w:p>
      <w:pPr>
        <w:pStyle w:val="TextBody"/>
        <w:bidi w:val="0"/>
        <w:jc w:val="both"/>
        <w:rPr/>
      </w:pPr>
      <w:r>
        <w:rPr/>
        <w:t>The Patent Cooperation Treaty (the "</w:t>
      </w:r>
      <w:r>
        <w:rPr>
          <w:b/>
        </w:rPr>
        <w:t>PCT</w:t>
      </w:r>
      <w:r>
        <w:rPr/>
        <w:t>") facilitates filing for patent recognition in multiple jurisdictions simultaneously using a single uniform patent application. 157 countries, including Canada and the United States have ratified the PCT.</w:t>
      </w:r>
    </w:p>
    <w:p>
      <w:pPr>
        <w:pStyle w:val="TextBody"/>
        <w:bidi w:val="0"/>
        <w:jc w:val="both"/>
        <w:rPr/>
      </w:pPr>
      <w:r>
        <w:rPr/>
        <w:t>Ultimately, patents are still granted in each country individually. As such, the PCT procedure consists of two phases: filing of an international application, and national evaluation under the patent laws in force in each country where a patent is sought.</w:t>
      </w:r>
    </w:p>
    <w:p>
      <w:pPr>
        <w:pStyle w:val="TextBody"/>
        <w:bidi w:val="0"/>
        <w:jc w:val="both"/>
        <w:rPr/>
      </w:pPr>
      <w:r>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pStyle w:val="TextBody"/>
        <w:bidi w:val="0"/>
        <w:jc w:val="both"/>
        <w:rPr/>
      </w:pPr>
      <w:r>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pStyle w:val="TextBody"/>
        <w:bidi w:val="0"/>
        <w:jc w:val="center"/>
        <w:rPr>
          <w:b/>
        </w:rPr>
      </w:pPr>
      <w:r>
        <w:rPr>
          <w:b/>
        </w:rPr>
        <w:t>COMPLIANCE PROGRAM</w:t>
      </w:r>
    </w:p>
    <w:p>
      <w:pPr>
        <w:pStyle w:val="TextBody"/>
        <w:bidi w:val="0"/>
        <w:jc w:val="both"/>
        <w:rPr/>
      </w:pPr>
      <w:r>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4" w:name="page_30"/>
      <w:bookmarkEnd w:id="34"/>
      <w:r>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pStyle w:val="TextBody"/>
        <w:bidi w:val="0"/>
        <w:jc w:val="both"/>
        <w:rPr/>
      </w:pPr>
      <w:r>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pStyle w:val="TextBody"/>
        <w:bidi w:val="0"/>
        <w:jc w:val="both"/>
        <w:rPr/>
      </w:pPr>
      <w:r>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pStyle w:val="TextBody"/>
        <w:bidi w:val="0"/>
        <w:jc w:val="both"/>
        <w:rPr/>
      </w:pPr>
      <w:r>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pStyle w:val="TextBody"/>
        <w:bidi w:val="0"/>
        <w:jc w:val="both"/>
        <w:rPr/>
      </w:pPr>
      <w:r>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pStyle w:val="TextBody"/>
        <w:bidi w:val="0"/>
        <w:jc w:val="both"/>
        <w:rPr/>
      </w:pPr>
      <w:r>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pStyle w:val="TextBody"/>
        <w:bidi w:val="0"/>
        <w:jc w:val="center"/>
        <w:rPr>
          <w:b/>
        </w:rPr>
      </w:pPr>
      <w:r>
        <w:rPr>
          <w:b/>
        </w:rPr>
        <w:t>CONSOLIDATED CAPITALIZATION</w:t>
      </w:r>
    </w:p>
    <w:p>
      <w:pPr>
        <w:pStyle w:val="TextBody"/>
        <w:bidi w:val="0"/>
        <w:jc w:val="both"/>
        <w:rPr/>
      </w:pPr>
      <w:r>
        <w:rPr/>
        <w:t>There have been no material changes to the share and loan capitalization of the Corporation since the date of the Interim Financial Statements.</w:t>
      </w:r>
    </w:p>
    <w:p>
      <w:pPr>
        <w:pStyle w:val="TextBody"/>
        <w:bidi w:val="0"/>
        <w:jc w:val="both"/>
        <w:rPr/>
      </w:pPr>
      <w:r>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pStyle w:val="TextBody"/>
        <w:bidi w:val="0"/>
        <w:jc w:val="center"/>
        <w:rPr>
          <w:b/>
        </w:rPr>
      </w:pPr>
      <w:r>
        <w:rPr>
          <w:b/>
        </w:rPr>
        <w:t>USE OF PROCEEDS</w:t>
      </w:r>
    </w:p>
    <w:p>
      <w:pPr>
        <w:pStyle w:val="TextBody"/>
        <w:bidi w:val="0"/>
        <w:jc w:val="both"/>
        <w:rPr/>
      </w:pPr>
      <w:r>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i/>
        </w:rPr>
        <w:t>"Risk Factors - Risks Related to an Offering - Discretion over the Use of Proceeds"</w:t>
      </w:r>
      <w:r>
        <w:rPr/>
        <w:t>.</w:t>
      </w:r>
    </w:p>
    <w:p>
      <w:pPr>
        <w:pStyle w:val="TextBody"/>
        <w:bidi w:val="0"/>
        <w:jc w:val="both"/>
        <w:rPr>
          <w:b/>
        </w:rPr>
      </w:pPr>
      <w:r>
        <w:rPr>
          <w:b/>
        </w:rPr>
        <w:t>Sources and Uses of Capital</w:t>
      </w:r>
    </w:p>
    <w:p>
      <w:pPr>
        <w:pStyle w:val="TextBody"/>
        <w:bidi w:val="0"/>
        <w:jc w:val="both"/>
        <w:rPr/>
      </w:pPr>
      <w:r>
        <w:rPr/>
        <w:t>As at August 8, 2023, the Corporation had cash resources, being cash and an HST receivable, of approximately $21,082,000. As at August 8, 2023, the Corporation anticipates that it will require approximately $21,082,000 to continue operations over the next 12 months, including funding for the achievement of the next significant milestone under the Corporation’s Deuterated Psilocybin Analog Program (CYB003) and the Deuterated Dimethyltryptamine Program (CYB004).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5" w:name="page_31"/>
      <w:bookmarkEnd w:id="35"/>
      <w:r>
        <w:rPr/>
        <w:t xml:space="preserve">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 </w:t>
      </w:r>
    </w:p>
    <w:tbl>
      <w:tblPr>
        <w:tblW w:w="8115" w:type="dxa"/>
        <w:jc w:val="left"/>
        <w:tblInd w:w="0" w:type="dxa"/>
        <w:tblLayout w:type="fixed"/>
        <w:tblCellMar>
          <w:top w:w="0" w:type="dxa"/>
          <w:left w:w="0" w:type="dxa"/>
          <w:bottom w:w="0" w:type="dxa"/>
          <w:right w:w="0" w:type="dxa"/>
        </w:tblCellMar>
      </w:tblPr>
      <w:tblGrid>
        <w:gridCol w:w="5195"/>
        <w:gridCol w:w="1505"/>
        <w:gridCol w:w="60"/>
        <w:gridCol w:w="1355"/>
      </w:tblGrid>
      <w:tr>
        <w:trPr/>
        <w:tc>
          <w:tcPr>
            <w:tcW w:w="5195" w:type="dxa"/>
            <w:tcBorders/>
            <w:vAlign w:val="center"/>
          </w:tcPr>
          <w:p>
            <w:pPr>
              <w:pStyle w:val="TableContents"/>
              <w:bidi w:val="0"/>
              <w:spacing w:before="0" w:after="283"/>
              <w:jc w:val="left"/>
              <w:rPr/>
            </w:pPr>
            <w:r>
              <w:rPr>
                <w:b/>
                <w:u w:val="single"/>
              </w:rPr>
              <w:t>Program</w:t>
            </w:r>
            <w:r>
              <w:rPr>
                <w:b/>
                <w:position w:val="8"/>
                <w:sz w:val="19"/>
                <w:u w:val="single"/>
              </w:rPr>
              <w:t>(1)</w:t>
            </w:r>
            <w:r>
              <w:rPr/>
              <w:t xml:space="preserve"> </w:t>
            </w:r>
          </w:p>
        </w:tc>
        <w:tc>
          <w:tcPr>
            <w:tcW w:w="1505" w:type="dxa"/>
            <w:tcBorders>
              <w:bottom w:val="single" w:sz="6" w:space="0" w:color="000000"/>
            </w:tcBorders>
            <w:tcMar>
              <w:bottom w:w="28" w:type="dxa"/>
            </w:tcMar>
            <w:vAlign w:val="center"/>
          </w:tcPr>
          <w:p>
            <w:pPr>
              <w:pStyle w:val="TableContents"/>
              <w:bidi w:val="0"/>
              <w:spacing w:before="0" w:after="283"/>
              <w:jc w:val="center"/>
              <w:rPr/>
            </w:pPr>
            <w:r>
              <w:rPr>
                <w:b/>
              </w:rPr>
              <w:t xml:space="preserve">Anticipated </w:t>
            </w:r>
            <w:r>
              <w:rPr/>
              <w:br/>
            </w:r>
            <w:r>
              <w:rPr>
                <w:b/>
              </w:rPr>
              <w:t xml:space="preserve">12 Month Use </w:t>
            </w:r>
            <w:r>
              <w:rPr/>
              <w:br/>
            </w:r>
            <w:r>
              <w:rPr>
                <w:b/>
              </w:rPr>
              <w:t>of Funds</w:t>
            </w:r>
            <w:r>
              <w:rPr>
                <w:b/>
                <w:position w:val="8"/>
                <w:sz w:val="19"/>
              </w:rPr>
              <w:t>(2)(3)</w:t>
            </w:r>
            <w:r>
              <w:rPr/>
              <w:br/>
            </w:r>
            <w:r>
              <w:rPr>
                <w:b/>
              </w:rPr>
              <w:t>($)</w:t>
            </w:r>
          </w:p>
        </w:tc>
        <w:tc>
          <w:tcPr>
            <w:tcW w:w="60" w:type="dxa"/>
            <w:tcBorders/>
            <w:vAlign w:val="center"/>
          </w:tcPr>
          <w:p>
            <w:pPr>
              <w:pStyle w:val="TableContents"/>
              <w:bidi w:val="0"/>
              <w:spacing w:before="0" w:after="283"/>
              <w:jc w:val="center"/>
              <w:rPr/>
            </w:pPr>
            <w:r>
              <w:rPr/>
              <w:t> </w:t>
            </w:r>
          </w:p>
        </w:tc>
        <w:tc>
          <w:tcPr>
            <w:tcW w:w="1355" w:type="dxa"/>
            <w:tcBorders>
              <w:bottom w:val="single" w:sz="6" w:space="0" w:color="000000"/>
            </w:tcBorders>
            <w:tcMar>
              <w:bottom w:w="28" w:type="dxa"/>
            </w:tcMar>
            <w:vAlign w:val="center"/>
          </w:tcPr>
          <w:p>
            <w:pPr>
              <w:pStyle w:val="TableContents"/>
              <w:bidi w:val="0"/>
              <w:spacing w:before="0" w:after="283"/>
              <w:jc w:val="center"/>
              <w:rPr>
                <w:b/>
              </w:rPr>
            </w:pPr>
            <w:r>
              <w:rPr>
                <w:b/>
              </w:rPr>
              <w:t>Anticipated</w:t>
              <w:br/>
              <w:t>Timeline for</w:t>
              <w:br/>
              <w:t>Completio</w:t>
            </w:r>
            <w:r>
              <w:rPr>
                <w:b/>
                <w:position w:val="8"/>
                <w:sz w:val="19"/>
              </w:rPr>
              <w:t xml:space="preserve">(4) </w:t>
            </w:r>
          </w:p>
        </w:tc>
      </w:tr>
      <w:tr>
        <w:trPr/>
        <w:tc>
          <w:tcPr>
            <w:tcW w:w="5195" w:type="dxa"/>
            <w:tcBorders/>
            <w:shd w:fill="E6EFFF" w:val="clear"/>
            <w:vAlign w:val="center"/>
          </w:tcPr>
          <w:p>
            <w:pPr>
              <w:pStyle w:val="TableContents"/>
              <w:bidi w:val="0"/>
              <w:spacing w:before="0" w:after="0"/>
              <w:jc w:val="left"/>
              <w:rPr/>
            </w:pPr>
            <w:r>
              <w:rPr/>
              <w:t>Deuterated Psilocybin Analog Program</w:t>
            </w:r>
          </w:p>
        </w:tc>
        <w:tc>
          <w:tcPr>
            <w:tcW w:w="1505"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0"/>
              <w:jc w:val="left"/>
              <w:rPr/>
            </w:pPr>
            <w:r>
              <w:rPr/>
              <w:t>Provide topline data readout from the Phase 1/2a study</w:t>
            </w:r>
          </w:p>
        </w:tc>
        <w:tc>
          <w:tcPr>
            <w:tcW w:w="1505" w:type="dxa"/>
            <w:tcBorders/>
            <w:vAlign w:val="center"/>
          </w:tcPr>
          <w:p>
            <w:pPr>
              <w:pStyle w:val="TableContents"/>
              <w:bidi w:val="0"/>
              <w:spacing w:before="0" w:after="283"/>
              <w:jc w:val="center"/>
              <w:rPr/>
            </w:pPr>
            <w:r>
              <w:rPr/>
              <w:t>3,880,627</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Q3/Q4 2023</w:t>
            </w:r>
          </w:p>
        </w:tc>
      </w:tr>
      <w:tr>
        <w:trPr/>
        <w:tc>
          <w:tcPr>
            <w:tcW w:w="5195" w:type="dxa"/>
            <w:tcBorders/>
            <w:shd w:fill="E6EFFF" w:val="clear"/>
            <w:vAlign w:val="center"/>
          </w:tcPr>
          <w:p>
            <w:pPr>
              <w:pStyle w:val="TableContents"/>
              <w:bidi w:val="0"/>
              <w:spacing w:before="0" w:after="0"/>
              <w:jc w:val="left"/>
              <w:rPr/>
            </w:pPr>
            <w:r>
              <w:rPr/>
              <w:t>Complete FDA submission of Phase 1/2a data</w:t>
            </w:r>
          </w:p>
        </w:tc>
        <w:tc>
          <w:tcPr>
            <w:tcW w:w="1505" w:type="dxa"/>
            <w:tcBorders/>
            <w:shd w:fill="E6EFFF" w:val="clear"/>
            <w:vAlign w:val="center"/>
          </w:tcPr>
          <w:p>
            <w:pPr>
              <w:pStyle w:val="TableContents"/>
              <w:bidi w:val="0"/>
              <w:spacing w:before="0" w:after="283"/>
              <w:jc w:val="center"/>
              <w:rPr/>
            </w:pPr>
            <w:r>
              <w:rPr/>
              <w:t>2,500,200</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Q4 2023</w:t>
            </w:r>
          </w:p>
        </w:tc>
      </w:tr>
      <w:tr>
        <w:trPr/>
        <w:tc>
          <w:tcPr>
            <w:tcW w:w="5195" w:type="dxa"/>
            <w:tcBorders/>
            <w:vAlign w:val="center"/>
          </w:tcPr>
          <w:p>
            <w:pPr>
              <w:pStyle w:val="TableContents"/>
              <w:bidi w:val="0"/>
              <w:spacing w:before="0" w:after="0"/>
              <w:jc w:val="left"/>
              <w:rPr/>
            </w:pPr>
            <w:r>
              <w:rPr/>
              <w:t>Deuterated Dimethyltryptamine Program</w:t>
            </w:r>
          </w:p>
        </w:tc>
        <w:tc>
          <w:tcPr>
            <w:tcW w:w="15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w:t>
            </w:r>
          </w:p>
        </w:tc>
      </w:tr>
      <w:tr>
        <w:trPr/>
        <w:tc>
          <w:tcPr>
            <w:tcW w:w="5195" w:type="dxa"/>
            <w:tcBorders/>
            <w:shd w:fill="E6EFFF" w:val="clear"/>
            <w:vAlign w:val="center"/>
          </w:tcPr>
          <w:p>
            <w:pPr>
              <w:pStyle w:val="TableContents"/>
              <w:bidi w:val="0"/>
              <w:spacing w:before="0" w:after="0"/>
              <w:jc w:val="left"/>
              <w:rPr/>
            </w:pPr>
            <w:r>
              <w:rPr/>
              <w:t>Provide topline data from Phase 1 CYB004-E trial</w:t>
            </w:r>
          </w:p>
        </w:tc>
        <w:tc>
          <w:tcPr>
            <w:tcW w:w="1505" w:type="dxa"/>
            <w:tcBorders/>
            <w:shd w:fill="E6EFFF" w:val="clear"/>
            <w:vAlign w:val="center"/>
          </w:tcPr>
          <w:p>
            <w:pPr>
              <w:pStyle w:val="TableContents"/>
              <w:bidi w:val="0"/>
              <w:spacing w:before="0" w:after="283"/>
              <w:jc w:val="center"/>
              <w:rPr/>
            </w:pPr>
            <w:r>
              <w:rPr/>
              <w:t>1,269,000</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Q3/Q4 2023</w:t>
            </w:r>
          </w:p>
        </w:tc>
      </w:tr>
      <w:tr>
        <w:trPr/>
        <w:tc>
          <w:tcPr>
            <w:tcW w:w="5195" w:type="dxa"/>
            <w:tcBorders/>
            <w:vAlign w:val="center"/>
          </w:tcPr>
          <w:p>
            <w:pPr>
              <w:pStyle w:val="TableContents"/>
              <w:bidi w:val="0"/>
              <w:spacing w:before="0" w:after="0"/>
              <w:jc w:val="left"/>
              <w:rPr/>
            </w:pPr>
            <w:r>
              <w:rPr/>
              <w:t>Complete FDA IND submission</w:t>
            </w:r>
          </w:p>
        </w:tc>
        <w:tc>
          <w:tcPr>
            <w:tcW w:w="1505" w:type="dxa"/>
            <w:tcBorders/>
            <w:vAlign w:val="center"/>
          </w:tcPr>
          <w:p>
            <w:pPr>
              <w:pStyle w:val="TableContents"/>
              <w:bidi w:val="0"/>
              <w:spacing w:before="0" w:after="283"/>
              <w:jc w:val="center"/>
              <w:rPr/>
            </w:pPr>
            <w:r>
              <w:rPr/>
              <w:t>1,372,950</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Q1 2024</w:t>
            </w:r>
          </w:p>
        </w:tc>
      </w:tr>
      <w:tr>
        <w:trPr/>
        <w:tc>
          <w:tcPr>
            <w:tcW w:w="5195" w:type="dxa"/>
            <w:tcBorders/>
            <w:shd w:fill="E6EFFF" w:val="clear"/>
            <w:vAlign w:val="center"/>
          </w:tcPr>
          <w:p>
            <w:pPr>
              <w:pStyle w:val="TableContents"/>
              <w:bidi w:val="0"/>
              <w:spacing w:before="0" w:after="0"/>
              <w:jc w:val="left"/>
              <w:rPr/>
            </w:pPr>
            <w:r>
              <w:rPr/>
              <w:t>Phenethylamine Derivatives Program</w:t>
            </w:r>
          </w:p>
        </w:tc>
        <w:tc>
          <w:tcPr>
            <w:tcW w:w="1505" w:type="dxa"/>
            <w:tcBorders/>
            <w:shd w:fill="E6EFFF" w:val="clear"/>
            <w:vAlign w:val="center"/>
          </w:tcPr>
          <w:p>
            <w:pPr>
              <w:pStyle w:val="TableContents"/>
              <w:bidi w:val="0"/>
              <w:spacing w:before="0" w:after="283"/>
              <w:jc w:val="center"/>
              <w:rPr/>
            </w:pPr>
            <w:r>
              <w:rPr/>
              <w:t>-</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w:t>
            </w:r>
          </w:p>
        </w:tc>
      </w:tr>
      <w:tr>
        <w:trPr/>
        <w:tc>
          <w:tcPr>
            <w:tcW w:w="5195" w:type="dxa"/>
            <w:tcBorders/>
            <w:vAlign w:val="center"/>
          </w:tcPr>
          <w:p>
            <w:pPr>
              <w:pStyle w:val="TableContents"/>
              <w:bidi w:val="0"/>
              <w:spacing w:before="0" w:after="0"/>
              <w:jc w:val="left"/>
              <w:rPr/>
            </w:pPr>
            <w:r>
              <w:rPr/>
              <w:t>Technology Programs</w:t>
            </w:r>
          </w:p>
        </w:tc>
        <w:tc>
          <w:tcPr>
            <w:tcW w:w="15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w:t>
            </w:r>
          </w:p>
        </w:tc>
      </w:tr>
      <w:tr>
        <w:trPr/>
        <w:tc>
          <w:tcPr>
            <w:tcW w:w="5195" w:type="dxa"/>
            <w:tcBorders/>
            <w:shd w:fill="E6EFFF" w:val="clear"/>
            <w:vAlign w:val="center"/>
          </w:tcPr>
          <w:p>
            <w:pPr>
              <w:pStyle w:val="TableContents"/>
              <w:bidi w:val="0"/>
              <w:spacing w:before="0" w:after="0"/>
              <w:jc w:val="left"/>
              <w:rPr/>
            </w:pPr>
            <w:r>
              <w:rPr/>
              <w:t>Working Capital, and General Corporate Purposes</w:t>
            </w:r>
            <w:r>
              <w:rPr>
                <w:position w:val="8"/>
                <w:sz w:val="19"/>
              </w:rPr>
              <w:t>(5)</w:t>
            </w:r>
          </w:p>
        </w:tc>
        <w:tc>
          <w:tcPr>
            <w:tcW w:w="1505" w:type="dxa"/>
            <w:tcBorders/>
            <w:shd w:fill="E6EFFF" w:val="clear"/>
            <w:vAlign w:val="center"/>
          </w:tcPr>
          <w:p>
            <w:pPr>
              <w:pStyle w:val="TableContents"/>
              <w:bidi w:val="0"/>
              <w:spacing w:before="0" w:after="283"/>
              <w:jc w:val="center"/>
              <w:rPr/>
            </w:pPr>
            <w:r>
              <w:rPr/>
              <w:t>12,059,223</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N/A</w:t>
            </w:r>
          </w:p>
        </w:tc>
      </w:tr>
      <w:tr>
        <w:trPr/>
        <w:tc>
          <w:tcPr>
            <w:tcW w:w="5195" w:type="dxa"/>
            <w:tcBorders/>
            <w:vAlign w:val="center"/>
          </w:tcPr>
          <w:p>
            <w:pPr>
              <w:pStyle w:val="TableContents"/>
              <w:bidi w:val="0"/>
              <w:spacing w:before="0" w:after="283"/>
              <w:jc w:val="center"/>
              <w:rPr>
                <w:b/>
              </w:rPr>
            </w:pPr>
            <w:r>
              <w:rPr>
                <w:b/>
              </w:rPr>
              <w:t>Total</w:t>
            </w:r>
          </w:p>
        </w:tc>
        <w:tc>
          <w:tcPr>
            <w:tcW w:w="1505" w:type="dxa"/>
            <w:tcBorders/>
            <w:vAlign w:val="center"/>
          </w:tcPr>
          <w:p>
            <w:pPr>
              <w:pStyle w:val="TableContents"/>
              <w:bidi w:val="0"/>
              <w:spacing w:before="0" w:after="283"/>
              <w:jc w:val="center"/>
              <w:rPr>
                <w:b/>
              </w:rPr>
            </w:pPr>
            <w:r>
              <w:rPr>
                <w:b/>
              </w:rPr>
              <w:t>21,082,000</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 </w:t>
            </w:r>
          </w:p>
        </w:tc>
      </w:tr>
    </w:tbl>
    <w:p>
      <w:pPr>
        <w:pStyle w:val="TextBody"/>
        <w:bidi w:val="0"/>
        <w:ind w:left="0" w:right="0" w:firstLine="284"/>
        <w:jc w:val="both"/>
        <w:rPr>
          <w:b/>
          <w:u w:val="single"/>
        </w:rPr>
      </w:pPr>
      <w:r>
        <w:rPr>
          <w:b/>
          <w:u w:val="single"/>
        </w:rPr>
        <w:t>Notes:</w:t>
      </w:r>
    </w:p>
    <w:p>
      <w:pPr>
        <w:pStyle w:val="TextBody"/>
        <w:bidi w:val="0"/>
        <w:spacing w:before="0" w:after="0"/>
        <w:ind w:left="851" w:right="0" w:hanging="300"/>
        <w:jc w:val="both"/>
        <w:rPr/>
      </w:pPr>
      <w:r>
        <w:rPr/>
        <w:t>(1) Please see the Corporation’s Interim MD&amp;A for a description of the Corporation’s programs. All milestones are subject to receipt of all necessary approvals, including the academic and scientific organizations with which the Corporation is working.</w:t>
      </w:r>
    </w:p>
    <w:p>
      <w:pPr>
        <w:pStyle w:val="TextBody"/>
        <w:bidi w:val="0"/>
        <w:spacing w:before="0" w:after="0"/>
        <w:ind w:left="851" w:right="0" w:hanging="300"/>
        <w:jc w:val="both"/>
        <w:rPr/>
      </w:pPr>
      <w:r>
        <w:rPr/>
        <w:t>(2) Certain amounts have been converted from USD to CAD at an exchange rate of 1.35:1.</w:t>
      </w:r>
    </w:p>
    <w:p>
      <w:pPr>
        <w:pStyle w:val="TextBody"/>
        <w:bidi w:val="0"/>
        <w:spacing w:before="0" w:after="0"/>
        <w:ind w:left="851" w:right="0" w:hanging="300"/>
        <w:jc w:val="both"/>
        <w:rPr/>
      </w:pPr>
      <w:r>
        <w:rPr/>
        <w:t>(3) Represents proceeds from private placements and offerings previously disclosed, as well proceeds from the ATM Program and May 2023 Prospectus.</w:t>
      </w:r>
    </w:p>
    <w:p>
      <w:pPr>
        <w:pStyle w:val="TextBody"/>
        <w:bidi w:val="0"/>
        <w:spacing w:before="0" w:after="0"/>
        <w:ind w:left="851" w:right="0" w:hanging="300"/>
        <w:jc w:val="both"/>
        <w:rPr/>
      </w:pPr>
      <w:r>
        <w:rPr/>
        <w:t>(4) Anticipated timeline for completion is based on the calendar year. Anticipated spending and timelines regarding drug development are based on reasonable assumptions informed by current knowledge and information available to the Corporation.</w:t>
      </w:r>
    </w:p>
    <w:p>
      <w:pPr>
        <w:pStyle w:val="TextBody"/>
        <w:bidi w:val="0"/>
        <w:spacing w:before="0" w:after="0"/>
        <w:ind w:left="851" w:right="0" w:hanging="300"/>
        <w:jc w:val="both"/>
        <w:rPr/>
      </w:pPr>
      <w:r>
        <w:rPr/>
        <w:t>(5) 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pStyle w:val="TextBody"/>
        <w:bidi w:val="0"/>
        <w:jc w:val="both"/>
        <w:rPr>
          <w:b/>
        </w:rPr>
      </w:pPr>
      <w:r>
        <w:rPr>
          <w:b/>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pStyle w:val="TextBody"/>
        <w:bidi w:val="0"/>
        <w:jc w:val="both"/>
        <w:rPr/>
      </w:pPr>
      <w:r>
        <w:rPr/>
        <w:t>As at August 8,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August 8, 2023 in the amount of approximately $21,082,000.</w:t>
      </w:r>
    </w:p>
    <w:p>
      <w:pPr>
        <w:pStyle w:val="TextBody"/>
        <w:bidi w:val="0"/>
        <w:jc w:val="both"/>
        <w:rPr/>
      </w:pPr>
      <w:r>
        <w:rPr/>
        <w:t>The anticipated spend and cash burn do not account for funds that the Corporation had previously disclosed as being required to progress its Phenethylamine Derivatives Program listed in the table above. As disclosed in its Interim MD&amp;A, the Corporation anticipated spending approximately $900,000 under its Phenethylamine Derivatives Program by September 30, 2023 to complete preclinical development of a phenethylamine drug candidate, of which approximately $42,000 was spent during the three months ended June 30, 2023, and approximately $782,000 was spent during the financial year ended March 31, 2023, resulting in an approximate remaining spend as of June 30, 2023 of $76,000 by September 30, 2023.</w:t>
      </w:r>
      <w:r>
        <w:rPr>
          <w:position w:val="8"/>
          <w:sz w:val="19"/>
        </w:rPr>
        <w:t>10</w:t>
      </w:r>
      <w:r>
        <w:rPr/>
        <w:t xml:space="preserve"> If the Corporation does not raise additional funds in the coming 12 months, it anticipates that it will need to reduce the amounts spent on the Phenethylamine Derivatives Program programs and adjust the corresponding timelines disclosed in its Interim MD&amp;A.</w:t>
      </w:r>
    </w:p>
    <w:p>
      <w:pPr>
        <w:pStyle w:val="TextBody"/>
        <w:bidi w:val="0"/>
        <w:spacing w:before="0" w:after="283"/>
        <w:jc w:val="both"/>
        <w:rPr/>
      </w:pPr>
      <w:r>
        <w:rPr>
          <w:position w:val="8"/>
          <w:sz w:val="19"/>
        </w:rPr>
        <w:t>_____________________________________________</w:t>
        <w:br/>
        <w:t>10</w:t>
      </w:r>
      <w:r>
        <w:rPr/>
        <w:t xml:space="preserve"> Reflects actual spend during the financial year ended March 31, 2023, the three months ended June 30, 2023, and expected spend during the period from July 1, 2023 until the achievement of preclinical development of a phenethylamine drug candidate by September 30, 2023. The Company had previously estimated that its spending to complete preclinical development of a phenethylamine drug candidate would be $1,283,000. Anticipated timing and spending regarding drug development is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6" w:name="page_32"/>
      <w:bookmarkEnd w:id="36"/>
      <w:r>
        <w:rPr/>
        <w:t>The Corporation's expectation is based on certain assumptions and risks as set forth in the section "</w:t>
      </w:r>
      <w:r>
        <w:rPr>
          <w:i/>
        </w:rPr>
        <w:t>Cautionary Note Regarding Forward Looking Information</w:t>
      </w:r>
      <w:r>
        <w:rPr/>
        <w:t>" and "</w:t>
      </w:r>
      <w:r>
        <w:rPr>
          <w:i/>
        </w:rPr>
        <w:t>Risk Factors</w:t>
      </w:r>
      <w:r>
        <w:rPr/>
        <w:t>" in this Prospectus.</w:t>
      </w:r>
    </w:p>
    <w:p>
      <w:pPr>
        <w:pStyle w:val="TextBody"/>
        <w:bidi w:val="0"/>
        <w:jc w:val="both"/>
        <w:rPr/>
      </w:pPr>
      <w:r>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i/>
        </w:rPr>
        <w:t>Cautionary Note Regarding Forward-Looking Information"</w:t>
      </w:r>
      <w:r>
        <w:rPr/>
        <w:t xml:space="preserve"> section above. The actual amount that the Corporation spends in connection with each of the identified uses and programs will depend on a number of factors, including those listed under </w:t>
      </w:r>
      <w:r>
        <w:rPr>
          <w:i/>
        </w:rPr>
        <w:t>"Risk Factors"</w:t>
      </w:r>
      <w:r>
        <w:rPr/>
        <w:t xml:space="preserve"> in, or incorporated by reference in, this Prospectus.</w:t>
      </w:r>
    </w:p>
    <w:p>
      <w:pPr>
        <w:pStyle w:val="TextBody"/>
        <w:bidi w:val="0"/>
        <w:jc w:val="both"/>
        <w:rPr>
          <w:b/>
        </w:rPr>
      </w:pPr>
      <w:r>
        <w:rPr>
          <w:b/>
        </w:rPr>
        <w:t>Negative Cash Flow From Operations</w:t>
      </w:r>
    </w:p>
    <w:p>
      <w:pPr>
        <w:pStyle w:val="TextBody"/>
        <w:bidi w:val="0"/>
        <w:jc w:val="both"/>
        <w:rPr/>
      </w:pPr>
      <w:r>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i/>
        </w:rPr>
        <w:t xml:space="preserve">"Risk Factors - Risks Related to an Offering - Negative Operating Cash Flow and Going Concern". </w:t>
      </w:r>
    </w:p>
    <w:p>
      <w:pPr>
        <w:pStyle w:val="TextBody"/>
        <w:bidi w:val="0"/>
        <w:jc w:val="center"/>
        <w:rPr>
          <w:b/>
        </w:rPr>
      </w:pPr>
      <w:r>
        <w:rPr>
          <w:b/>
        </w:rPr>
        <w:t>DIVIDEND POLICY</w:t>
      </w:r>
    </w:p>
    <w:p>
      <w:pPr>
        <w:pStyle w:val="TextBody"/>
        <w:bidi w:val="0"/>
        <w:jc w:val="both"/>
        <w:rPr/>
      </w:pPr>
      <w:r>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i/>
        </w:rPr>
        <w:t>Risk Factors - Risks Related to an Offering - Speculative Nature of Investment Risk</w:t>
      </w:r>
      <w:r>
        <w:rPr/>
        <w:t>".</w:t>
      </w:r>
    </w:p>
    <w:p>
      <w:pPr>
        <w:pStyle w:val="TextBody"/>
        <w:bidi w:val="0"/>
        <w:jc w:val="center"/>
        <w:rPr>
          <w:b/>
        </w:rPr>
      </w:pPr>
      <w:r>
        <w:rPr>
          <w:b/>
        </w:rPr>
        <w:t>DESCRIPTION OF SECURITIES BEING DISTRIBUTED</w:t>
      </w:r>
    </w:p>
    <w:p>
      <w:pPr>
        <w:pStyle w:val="TextBody"/>
        <w:bidi w:val="0"/>
        <w:jc w:val="both"/>
        <w:rPr/>
      </w:pPr>
      <w:r>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37" w:name="page_33"/>
      <w:bookmarkEnd w:id="37"/>
      <w:r>
        <w:rPr>
          <w:b/>
        </w:rPr>
        <w:t>Common Shares</w:t>
      </w:r>
    </w:p>
    <w:p>
      <w:pPr>
        <w:pStyle w:val="TextBody"/>
        <w:bidi w:val="0"/>
        <w:jc w:val="both"/>
        <w:rPr/>
      </w:pPr>
      <w:r>
        <w:rPr/>
        <w:t>The Corporation is authorized to issue an unlimited number of Common Shares and an unlimited number of preferred shares. As at August 16, 2023, the Corporation had 234,683,234 Common Shares and nil preferred shares issued and outstanding.</w:t>
      </w:r>
    </w:p>
    <w:p>
      <w:pPr>
        <w:pStyle w:val="TextBody"/>
        <w:bidi w:val="0"/>
        <w:jc w:val="both"/>
        <w:rPr/>
      </w:pPr>
      <w:r>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pStyle w:val="TextBody"/>
        <w:bidi w:val="0"/>
        <w:jc w:val="both"/>
        <w:rPr/>
      </w:pPr>
      <w:r>
        <w:rPr/>
        <w:t>Common Shares may be sold separately or together with certain other Securities under this Prospectus. Common Shares may also be issuable on conversion, exchange, exercise or maturity of certain other Securities qualified for issuance under this Prospectus.</w:t>
      </w:r>
    </w:p>
    <w:p>
      <w:pPr>
        <w:pStyle w:val="TextBody"/>
        <w:bidi w:val="0"/>
        <w:jc w:val="both"/>
        <w:rPr>
          <w:b/>
        </w:rPr>
      </w:pPr>
      <w:r>
        <w:rPr>
          <w:b/>
        </w:rPr>
        <w:t>Warrants</w:t>
      </w:r>
    </w:p>
    <w:p>
      <w:pPr>
        <w:pStyle w:val="TextBody"/>
        <w:bidi w:val="0"/>
        <w:jc w:val="both"/>
        <w:rPr/>
      </w:pPr>
      <w:r>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pStyle w:val="TextBody"/>
        <w:bidi w:val="0"/>
        <w:jc w:val="both"/>
        <w:rPr/>
      </w:pPr>
      <w:r>
        <w:rPr/>
        <w:t>A copy of any warrant indenture or any warrant agency agreement relating to an offering of Warrants will be filed by the Corporation with the relevant securities regulatory authorities in Canada after it has been entered into by the Corporation.</w:t>
      </w:r>
    </w:p>
    <w:p>
      <w:pPr>
        <w:pStyle w:val="TextBody"/>
        <w:bidi w:val="0"/>
        <w:jc w:val="both"/>
        <w:rPr/>
      </w:pPr>
      <w:r>
        <w:rPr/>
        <w:t>Each applicable Prospectus Supplement will set forth the terms and other information with respect to the Warrants being offered thereby, which may include, without limitation, the following (where applicable):</w:t>
      </w:r>
    </w:p>
    <w:p>
      <w:pPr>
        <w:pStyle w:val="TextBody"/>
        <w:numPr>
          <w:ilvl w:val="0"/>
          <w:numId w:val="7"/>
        </w:numPr>
        <w:pBdr/>
        <w:tabs>
          <w:tab w:val="clear" w:pos="1134"/>
          <w:tab w:val="left" w:pos="1258" w:leader="none"/>
        </w:tabs>
        <w:bidi w:val="0"/>
        <w:ind w:left="1258" w:right="0" w:hanging="283"/>
        <w:jc w:val="both"/>
        <w:rPr/>
      </w:pPr>
      <w:r>
        <w:rPr/>
        <w:t>the designation of the Warrants;</w:t>
      </w:r>
    </w:p>
    <w:p>
      <w:pPr>
        <w:pStyle w:val="TextBody"/>
        <w:numPr>
          <w:ilvl w:val="0"/>
          <w:numId w:val="7"/>
        </w:numPr>
        <w:pBdr/>
        <w:tabs>
          <w:tab w:val="clear" w:pos="1134"/>
          <w:tab w:val="left" w:pos="1258" w:leader="none"/>
        </w:tabs>
        <w:bidi w:val="0"/>
        <w:ind w:left="1258" w:right="0" w:hanging="283"/>
        <w:jc w:val="both"/>
        <w:rPr/>
      </w:pPr>
      <w:r>
        <w:rPr/>
        <w:t>the aggregate number of Warrants offered and the offering price;</w:t>
      </w:r>
    </w:p>
    <w:p>
      <w:pPr>
        <w:pStyle w:val="TextBody"/>
        <w:numPr>
          <w:ilvl w:val="0"/>
          <w:numId w:val="7"/>
        </w:numPr>
        <w:pBdr/>
        <w:tabs>
          <w:tab w:val="clear" w:pos="1134"/>
          <w:tab w:val="left" w:pos="1258" w:leader="none"/>
        </w:tabs>
        <w:bidi w:val="0"/>
        <w:ind w:left="1258" w:right="0" w:hanging="283"/>
        <w:jc w:val="both"/>
        <w:rPr/>
      </w:pPr>
      <w:r>
        <w:rPr/>
        <w:t>the designation, number and terms of the other Securities purchasable upon exercise of the Warrants, and procedures that will result in the adjustment of those numbers;</w:t>
      </w:r>
    </w:p>
    <w:p>
      <w:pPr>
        <w:pStyle w:val="TextBody"/>
        <w:numPr>
          <w:ilvl w:val="0"/>
          <w:numId w:val="7"/>
        </w:numPr>
        <w:pBdr/>
        <w:tabs>
          <w:tab w:val="clear" w:pos="1134"/>
          <w:tab w:val="left" w:pos="1258" w:leader="none"/>
        </w:tabs>
        <w:bidi w:val="0"/>
        <w:ind w:left="1258" w:right="0" w:hanging="283"/>
        <w:jc w:val="both"/>
        <w:rPr/>
      </w:pPr>
      <w:r>
        <w:rPr/>
        <w:t>the exercise price of the Warrants;</w:t>
      </w:r>
    </w:p>
    <w:p>
      <w:pPr>
        <w:pStyle w:val="TextBody"/>
        <w:numPr>
          <w:ilvl w:val="0"/>
          <w:numId w:val="7"/>
        </w:numPr>
        <w:pBdr/>
        <w:tabs>
          <w:tab w:val="clear" w:pos="1134"/>
          <w:tab w:val="left" w:pos="1258" w:leader="none"/>
        </w:tabs>
        <w:bidi w:val="0"/>
        <w:ind w:left="1258" w:right="0" w:hanging="283"/>
        <w:jc w:val="both"/>
        <w:rPr/>
      </w:pPr>
      <w:r>
        <w:rPr/>
        <w:t>the dates or periods during which the Warrants are exercisable;</w:t>
      </w:r>
    </w:p>
    <w:p>
      <w:pPr>
        <w:pStyle w:val="TextBody"/>
        <w:numPr>
          <w:ilvl w:val="0"/>
          <w:numId w:val="7"/>
        </w:numPr>
        <w:pBdr/>
        <w:tabs>
          <w:tab w:val="clear" w:pos="1134"/>
          <w:tab w:val="left" w:pos="1258" w:leader="none"/>
        </w:tabs>
        <w:bidi w:val="0"/>
        <w:ind w:left="1258" w:right="0" w:hanging="283"/>
        <w:jc w:val="both"/>
        <w:rPr/>
      </w:pPr>
      <w:r>
        <w:rPr/>
        <w:t>the designation and terms of any securities with which the Warrants are issued;</w:t>
      </w:r>
    </w:p>
    <w:p>
      <w:pPr>
        <w:pStyle w:val="TextBody"/>
        <w:numPr>
          <w:ilvl w:val="0"/>
          <w:numId w:val="7"/>
        </w:numPr>
        <w:pBdr/>
        <w:tabs>
          <w:tab w:val="clear" w:pos="1134"/>
          <w:tab w:val="left" w:pos="1258" w:leader="none"/>
        </w:tabs>
        <w:bidi w:val="0"/>
        <w:ind w:left="1258" w:right="0" w:hanging="283"/>
        <w:jc w:val="both"/>
        <w:rPr/>
      </w:pPr>
      <w:r>
        <w:rPr/>
        <w:t>if the Warrants are issued as a unit with another Security, the date on and after which the Warrants and the other Security will be separately transferable;</w:t>
      </w:r>
    </w:p>
    <w:p>
      <w:pPr>
        <w:pStyle w:val="TextBody"/>
        <w:numPr>
          <w:ilvl w:val="0"/>
          <w:numId w:val="7"/>
        </w:numPr>
        <w:pBdr/>
        <w:tabs>
          <w:tab w:val="clear" w:pos="1134"/>
          <w:tab w:val="left" w:pos="1258" w:leader="none"/>
        </w:tabs>
        <w:bidi w:val="0"/>
        <w:ind w:left="1258" w:right="0" w:hanging="283"/>
        <w:jc w:val="both"/>
        <w:rPr/>
      </w:pPr>
      <w:r>
        <w:rPr/>
        <w:t>any minimum or maximum amount of Warrants that may be exercised at any one time;</w:t>
      </w:r>
    </w:p>
    <w:p>
      <w:pPr>
        <w:pStyle w:val="TextBody"/>
        <w:numPr>
          <w:ilvl w:val="0"/>
          <w:numId w:val="7"/>
        </w:numPr>
        <w:pBdr/>
        <w:tabs>
          <w:tab w:val="clear" w:pos="1134"/>
          <w:tab w:val="left" w:pos="1258" w:leader="none"/>
        </w:tabs>
        <w:bidi w:val="0"/>
        <w:ind w:left="1258" w:right="0" w:hanging="283"/>
        <w:jc w:val="both"/>
        <w:rPr/>
      </w:pPr>
      <w:r>
        <w:rPr/>
        <w:t>whether such Warrants will be listed on any securities exchange;</w:t>
      </w:r>
    </w:p>
    <w:p>
      <w:pPr>
        <w:pStyle w:val="TextBody"/>
        <w:numPr>
          <w:ilvl w:val="0"/>
          <w:numId w:val="7"/>
        </w:numPr>
        <w:pBdr/>
        <w:tabs>
          <w:tab w:val="clear" w:pos="1134"/>
          <w:tab w:val="left" w:pos="1258" w:leader="none"/>
        </w:tabs>
        <w:bidi w:val="0"/>
        <w:ind w:left="1258" w:right="0" w:hanging="283"/>
        <w:jc w:val="both"/>
        <w:rPr/>
      </w:pPr>
      <w:r>
        <w:rPr/>
        <w:t>any terms, procedures and limitations relating to the transferability, exchange or exercise of the Warrants;</w:t>
      </w:r>
    </w:p>
    <w:p>
      <w:pPr>
        <w:pStyle w:val="TextBody"/>
        <w:numPr>
          <w:ilvl w:val="0"/>
          <w:numId w:val="7"/>
        </w:numPr>
        <w:pBdr/>
        <w:tabs>
          <w:tab w:val="clear" w:pos="1134"/>
          <w:tab w:val="left" w:pos="1258" w:leader="none"/>
        </w:tabs>
        <w:bidi w:val="0"/>
        <w:ind w:left="1258" w:right="0" w:hanging="283"/>
        <w:jc w:val="both"/>
        <w:rPr/>
      </w:pPr>
      <w:r>
        <w:rPr/>
        <w:t>certain material Canadian tax consequences of owning the Warrants; and</w:t>
      </w:r>
    </w:p>
    <w:p>
      <w:pPr>
        <w:pStyle w:val="TextBody"/>
        <w:numPr>
          <w:ilvl w:val="0"/>
          <w:numId w:val="7"/>
        </w:numPr>
        <w:pBdr/>
        <w:tabs>
          <w:tab w:val="clear" w:pos="1134"/>
          <w:tab w:val="left" w:pos="1261" w:leader="none"/>
        </w:tabs>
        <w:bidi w:val="0"/>
        <w:ind w:left="1261" w:right="0" w:hanging="283"/>
        <w:jc w:val="both"/>
        <w:rPr/>
      </w:pPr>
      <w:r>
        <w:rPr/>
        <w:t>any other material terms and conditions of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38" w:name="page_34"/>
      <w:bookmarkEnd w:id="38"/>
      <w:r>
        <w:rPr>
          <w:b/>
        </w:rPr>
        <w:t>Units</w:t>
      </w:r>
    </w:p>
    <w:p>
      <w:pPr>
        <w:pStyle w:val="TextBody"/>
        <w:bidi w:val="0"/>
        <w:jc w:val="both"/>
        <w:rPr/>
      </w:pPr>
      <w:r>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pStyle w:val="TextBody"/>
        <w:bidi w:val="0"/>
        <w:jc w:val="both"/>
        <w:rPr/>
      </w:pPr>
      <w:r>
        <w:rPr/>
        <w:t>Each applicable Prospectus Supplement will set forth the terms and other information with respect to the Units being offered thereby, which may include, without limitation, the following (where applicable):</w:t>
      </w:r>
    </w:p>
    <w:p>
      <w:pPr>
        <w:pStyle w:val="TextBody"/>
        <w:numPr>
          <w:ilvl w:val="0"/>
          <w:numId w:val="8"/>
        </w:numPr>
        <w:pBdr/>
        <w:tabs>
          <w:tab w:val="clear" w:pos="1134"/>
          <w:tab w:val="left" w:pos="1258" w:leader="none"/>
        </w:tabs>
        <w:bidi w:val="0"/>
        <w:ind w:left="1258" w:right="0" w:hanging="283"/>
        <w:jc w:val="both"/>
        <w:rPr/>
      </w:pPr>
      <w:r>
        <w:rPr/>
        <w:t>the designation, number and terms of the Units and of the Securities comprising the Units, including whether and under what circumstances those Securities may be held or transferred separately;</w:t>
      </w:r>
    </w:p>
    <w:p>
      <w:pPr>
        <w:pStyle w:val="TextBody"/>
        <w:numPr>
          <w:ilvl w:val="0"/>
          <w:numId w:val="8"/>
        </w:numPr>
        <w:pBdr/>
        <w:tabs>
          <w:tab w:val="clear" w:pos="1134"/>
          <w:tab w:val="left" w:pos="1258" w:leader="none"/>
        </w:tabs>
        <w:bidi w:val="0"/>
        <w:ind w:left="1258" w:right="0" w:hanging="283"/>
        <w:jc w:val="both"/>
        <w:rPr/>
      </w:pPr>
      <w:r>
        <w:rPr/>
        <w:t>any provisions for the issuance, payment, settlement, transfer or exchange of the Units or of the Securities comprising the Units;</w:t>
      </w:r>
    </w:p>
    <w:p>
      <w:pPr>
        <w:pStyle w:val="TextBody"/>
        <w:numPr>
          <w:ilvl w:val="0"/>
          <w:numId w:val="8"/>
        </w:numPr>
        <w:pBdr/>
        <w:tabs>
          <w:tab w:val="clear" w:pos="1134"/>
          <w:tab w:val="left" w:pos="1258" w:leader="none"/>
        </w:tabs>
        <w:bidi w:val="0"/>
        <w:ind w:left="1258" w:right="0" w:hanging="283"/>
        <w:jc w:val="both"/>
        <w:rPr/>
      </w:pPr>
      <w:r>
        <w:rPr/>
        <w:t>certain material Canadian tax consequences of owning the Securities comprising the Units; and</w:t>
      </w:r>
    </w:p>
    <w:p>
      <w:pPr>
        <w:pStyle w:val="TextBody"/>
        <w:numPr>
          <w:ilvl w:val="0"/>
          <w:numId w:val="8"/>
        </w:numPr>
        <w:pBdr/>
        <w:tabs>
          <w:tab w:val="clear" w:pos="1134"/>
          <w:tab w:val="left" w:pos="1261" w:leader="none"/>
        </w:tabs>
        <w:bidi w:val="0"/>
        <w:ind w:left="1261" w:right="0" w:hanging="283"/>
        <w:jc w:val="both"/>
        <w:rPr/>
      </w:pPr>
      <w:r>
        <w:rPr/>
        <w:t>any other material terms and conditions of the Units.</w:t>
      </w:r>
    </w:p>
    <w:p>
      <w:pPr>
        <w:pStyle w:val="TextBody"/>
        <w:bidi w:val="0"/>
        <w:ind w:left="552" w:right="0" w:hanging="0"/>
        <w:jc w:val="both"/>
        <w:rPr>
          <w:b/>
        </w:rPr>
      </w:pPr>
      <w:r>
        <w:rPr>
          <w:b/>
        </w:rPr>
        <w:t>Debt Securities</w:t>
      </w:r>
    </w:p>
    <w:p>
      <w:pPr>
        <w:pStyle w:val="TextBody"/>
        <w:bidi w:val="0"/>
        <w:jc w:val="both"/>
        <w:rPr/>
      </w:pPr>
      <w:r>
        <w:rPr/>
        <w:t>The Debt Securities may be issued in one or more series under an indenture (the "</w:t>
      </w:r>
      <w:r>
        <w:rPr>
          <w:b/>
        </w:rPr>
        <w:t>Indenture</w:t>
      </w:r>
      <w:r>
        <w:rPr/>
        <w:t>") to be entered into between the Corporation and one or more trustees (the "</w:t>
      </w:r>
      <w:r>
        <w:rPr>
          <w:b/>
        </w:rPr>
        <w:t>Trustee</w:t>
      </w:r>
      <w:r>
        <w:rPr/>
        <w:t>")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Units or Subscription Receipts or any combination thereof, as the case may be.</w:t>
      </w:r>
    </w:p>
    <w:p>
      <w:pPr>
        <w:pStyle w:val="TextBody"/>
        <w:bidi w:val="0"/>
        <w:jc w:val="both"/>
        <w:rPr/>
      </w:pPr>
      <w:r>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pStyle w:val="TextBody"/>
        <w:numPr>
          <w:ilvl w:val="0"/>
          <w:numId w:val="9"/>
        </w:numPr>
        <w:pBdr/>
        <w:tabs>
          <w:tab w:val="clear" w:pos="1134"/>
          <w:tab w:val="left" w:pos="1261" w:leader="none"/>
        </w:tabs>
        <w:bidi w:val="0"/>
        <w:ind w:left="1261" w:right="0" w:hanging="283"/>
        <w:jc w:val="both"/>
        <w:rPr/>
      </w:pPr>
      <w:r>
        <w:rPr/>
        <w:t>the title of the Debt Securities;</w:t>
      </w:r>
    </w:p>
    <w:p>
      <w:pPr>
        <w:pStyle w:val="TextBody"/>
        <w:numPr>
          <w:ilvl w:val="0"/>
          <w:numId w:val="9"/>
        </w:numPr>
        <w:pBdr/>
        <w:tabs>
          <w:tab w:val="clear" w:pos="1134"/>
          <w:tab w:val="left" w:pos="1261" w:leader="none"/>
        </w:tabs>
        <w:bidi w:val="0"/>
        <w:ind w:left="1261" w:right="0" w:hanging="283"/>
        <w:jc w:val="both"/>
        <w:rPr/>
      </w:pPr>
      <w:r>
        <w:rPr/>
        <w:t>any limit on the aggregate principal amount of the Debt Securities;</w:t>
      </w:r>
    </w:p>
    <w:p>
      <w:pPr>
        <w:pStyle w:val="TextBody"/>
        <w:numPr>
          <w:ilvl w:val="0"/>
          <w:numId w:val="9"/>
        </w:numPr>
        <w:pBdr/>
        <w:tabs>
          <w:tab w:val="clear" w:pos="1134"/>
          <w:tab w:val="left" w:pos="1261" w:leader="none"/>
        </w:tabs>
        <w:bidi w:val="0"/>
        <w:ind w:left="1261" w:right="0" w:hanging="283"/>
        <w:jc w:val="both"/>
        <w:rPr/>
      </w:pPr>
      <w:r>
        <w:rPr/>
        <w:t>the date or dates, if any, on which the Debt Securities will mature and the portion (if less than all of the principal amount) of the Debt Securities to be payable upon declaration of acceleration of maturity;</w:t>
      </w:r>
    </w:p>
    <w:p>
      <w:pPr>
        <w:pStyle w:val="TextBody"/>
        <w:numPr>
          <w:ilvl w:val="0"/>
          <w:numId w:val="9"/>
        </w:numPr>
        <w:pBdr/>
        <w:tabs>
          <w:tab w:val="clear" w:pos="1134"/>
          <w:tab w:val="left" w:pos="1261" w:leader="none"/>
        </w:tabs>
        <w:bidi w:val="0"/>
        <w:ind w:left="1261" w:right="0" w:hanging="283"/>
        <w:jc w:val="both"/>
        <w:rPr/>
      </w:pPr>
      <w:r>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pStyle w:val="TextBody"/>
        <w:numPr>
          <w:ilvl w:val="0"/>
          <w:numId w:val="9"/>
        </w:numPr>
        <w:pBdr/>
        <w:tabs>
          <w:tab w:val="clear" w:pos="1134"/>
          <w:tab w:val="left" w:pos="1261" w:leader="none"/>
        </w:tabs>
        <w:bidi w:val="0"/>
        <w:ind w:left="1261" w:right="0" w:hanging="283"/>
        <w:jc w:val="both"/>
        <w:rPr/>
      </w:pPr>
      <w:r>
        <w:rPr/>
        <w:t>the terms and conditions under which the Corporation may be obligated to redeem, repay or purchase the Debt Securities pursuant to any sinking fund or analogous provisions or otherwise;</w:t>
      </w:r>
    </w:p>
    <w:p>
      <w:pPr>
        <w:pStyle w:val="TextBody"/>
        <w:numPr>
          <w:ilvl w:val="0"/>
          <w:numId w:val="9"/>
        </w:numPr>
        <w:pBdr/>
        <w:tabs>
          <w:tab w:val="clear" w:pos="1134"/>
          <w:tab w:val="left" w:pos="1261" w:leader="none"/>
        </w:tabs>
        <w:bidi w:val="0"/>
        <w:ind w:left="1261" w:right="0" w:hanging="283"/>
        <w:jc w:val="both"/>
        <w:rPr/>
      </w:pPr>
      <w:r>
        <w:rPr/>
        <w:t>the terms and conditions upon which the Corporation may redeem the Debt Securities, in whole or in part, at its option;</w:t>
      </w:r>
    </w:p>
    <w:p>
      <w:pPr>
        <w:pStyle w:val="TextBody"/>
        <w:numPr>
          <w:ilvl w:val="0"/>
          <w:numId w:val="9"/>
        </w:numPr>
        <w:pBdr/>
        <w:tabs>
          <w:tab w:val="clear" w:pos="1134"/>
          <w:tab w:val="left" w:pos="1261" w:leader="none"/>
        </w:tabs>
        <w:bidi w:val="0"/>
        <w:ind w:left="1261" w:right="0" w:hanging="283"/>
        <w:jc w:val="both"/>
        <w:rPr/>
      </w:pPr>
      <w:r>
        <w:rPr/>
        <w:t>the covenants applicable to the Debt Securities;</w:t>
      </w:r>
    </w:p>
    <w:p>
      <w:pPr>
        <w:pStyle w:val="TextBody"/>
        <w:numPr>
          <w:ilvl w:val="0"/>
          <w:numId w:val="9"/>
        </w:numPr>
        <w:pBdr/>
        <w:tabs>
          <w:tab w:val="clear" w:pos="1134"/>
          <w:tab w:val="left" w:pos="1261" w:leader="none"/>
        </w:tabs>
        <w:bidi w:val="0"/>
        <w:ind w:left="1261" w:right="0" w:hanging="283"/>
        <w:jc w:val="both"/>
        <w:rPr/>
      </w:pPr>
      <w:r>
        <w:rPr/>
        <w:t>the terms and conditions for any conversion or exchange of the Debt Securities for any other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10"/>
        </w:numPr>
        <w:pBdr/>
        <w:tabs>
          <w:tab w:val="clear" w:pos="1134"/>
          <w:tab w:val="left" w:pos="1261" w:leader="none"/>
        </w:tabs>
        <w:bidi w:val="0"/>
        <w:ind w:left="1261" w:right="0" w:hanging="283"/>
        <w:jc w:val="both"/>
        <w:rPr/>
      </w:pPr>
      <w:bookmarkStart w:id="39" w:name="page_35"/>
      <w:bookmarkEnd w:id="39"/>
      <w:r>
        <w:rPr/>
        <w:t>the extent and manner, if any, to which payment on or in respect of the Debt Securities of the series will be senior or will be subordinated to the prior payment of other liabilities and obligations of the Corporation;</w:t>
      </w:r>
    </w:p>
    <w:p>
      <w:pPr>
        <w:pStyle w:val="TextBody"/>
        <w:numPr>
          <w:ilvl w:val="0"/>
          <w:numId w:val="10"/>
        </w:numPr>
        <w:pBdr/>
        <w:tabs>
          <w:tab w:val="clear" w:pos="1134"/>
          <w:tab w:val="left" w:pos="1261" w:leader="none"/>
        </w:tabs>
        <w:bidi w:val="0"/>
        <w:ind w:left="1261" w:right="0" w:hanging="283"/>
        <w:jc w:val="both"/>
        <w:rPr/>
      </w:pPr>
      <w:r>
        <w:rPr/>
        <w:t>whether the Debt Securities will be secured or unsecured;</w:t>
      </w:r>
    </w:p>
    <w:p>
      <w:pPr>
        <w:pStyle w:val="TextBody"/>
        <w:numPr>
          <w:ilvl w:val="0"/>
          <w:numId w:val="10"/>
        </w:numPr>
        <w:pBdr/>
        <w:tabs>
          <w:tab w:val="clear" w:pos="1134"/>
          <w:tab w:val="left" w:pos="1261" w:leader="none"/>
        </w:tabs>
        <w:bidi w:val="0"/>
        <w:ind w:left="1261" w:right="0" w:hanging="283"/>
        <w:jc w:val="both"/>
        <w:rPr/>
      </w:pPr>
      <w:r>
        <w:rPr/>
        <w:t>whether the Debt Securities will be issuable in the form of global securities ("</w:t>
      </w:r>
      <w:r>
        <w:rPr>
          <w:b/>
        </w:rPr>
        <w:t>Global Securities</w:t>
      </w:r>
      <w:r>
        <w:rPr/>
        <w:t>"), and, if so, the identity of the depositary for such Global Securities;</w:t>
      </w:r>
    </w:p>
    <w:p>
      <w:pPr>
        <w:pStyle w:val="TextBody"/>
        <w:numPr>
          <w:ilvl w:val="0"/>
          <w:numId w:val="10"/>
        </w:numPr>
        <w:pBdr/>
        <w:tabs>
          <w:tab w:val="clear" w:pos="1134"/>
          <w:tab w:val="left" w:pos="1261" w:leader="none"/>
        </w:tabs>
        <w:bidi w:val="0"/>
        <w:ind w:left="1261" w:right="0" w:hanging="283"/>
        <w:jc w:val="both"/>
        <w:rPr/>
      </w:pPr>
      <w:r>
        <w:rPr/>
        <w:t>the denominations in which Debt Securities will be issuable, if other than denominations of US$1,000 or integral multiples of US$1,000;</w:t>
      </w:r>
    </w:p>
    <w:p>
      <w:pPr>
        <w:pStyle w:val="TextBody"/>
        <w:numPr>
          <w:ilvl w:val="0"/>
          <w:numId w:val="10"/>
        </w:numPr>
        <w:pBdr/>
        <w:tabs>
          <w:tab w:val="clear" w:pos="1134"/>
          <w:tab w:val="left" w:pos="1261" w:leader="none"/>
        </w:tabs>
        <w:bidi w:val="0"/>
        <w:ind w:left="1261" w:right="0" w:hanging="283"/>
        <w:jc w:val="both"/>
        <w:rPr/>
      </w:pPr>
      <w:r>
        <w:rPr/>
        <w:t>each office or agency where payments on the Debt Securities will be made and each office or agency where the Debt Securities may be presented for registration of transfer or exchange;</w:t>
      </w:r>
    </w:p>
    <w:p>
      <w:pPr>
        <w:pStyle w:val="TextBody"/>
        <w:numPr>
          <w:ilvl w:val="0"/>
          <w:numId w:val="10"/>
        </w:numPr>
        <w:pBdr/>
        <w:tabs>
          <w:tab w:val="clear" w:pos="1134"/>
          <w:tab w:val="left" w:pos="1261" w:leader="none"/>
        </w:tabs>
        <w:bidi w:val="0"/>
        <w:ind w:left="1261" w:right="0" w:hanging="283"/>
        <w:jc w:val="both"/>
        <w:rPr/>
      </w:pPr>
      <w:r>
        <w:rPr/>
        <w:t>if other than United States dollars, the currency in which the Debt Securities are denominated or the currency in which we will make payments on the Debt Securities;</w:t>
      </w:r>
    </w:p>
    <w:p>
      <w:pPr>
        <w:pStyle w:val="TextBody"/>
        <w:numPr>
          <w:ilvl w:val="0"/>
          <w:numId w:val="10"/>
        </w:numPr>
        <w:pBdr/>
        <w:tabs>
          <w:tab w:val="clear" w:pos="1134"/>
          <w:tab w:val="left" w:pos="1261" w:leader="none"/>
        </w:tabs>
        <w:bidi w:val="0"/>
        <w:ind w:left="1261" w:right="0" w:hanging="283"/>
        <w:jc w:val="both"/>
        <w:rPr/>
      </w:pPr>
      <w:r>
        <w:rPr/>
        <w:t>material Canadian federal income tax consequences and United States federal income tax consequences of owning the Debt Securities; and</w:t>
      </w:r>
    </w:p>
    <w:p>
      <w:pPr>
        <w:pStyle w:val="TextBody"/>
        <w:numPr>
          <w:ilvl w:val="0"/>
          <w:numId w:val="10"/>
        </w:numPr>
        <w:pBdr/>
        <w:tabs>
          <w:tab w:val="clear" w:pos="1134"/>
          <w:tab w:val="left" w:pos="1261" w:leader="none"/>
        </w:tabs>
        <w:bidi w:val="0"/>
        <w:ind w:left="1261" w:right="0" w:hanging="283"/>
        <w:jc w:val="both"/>
        <w:rPr/>
      </w:pPr>
      <w:r>
        <w:rPr/>
        <w:t>any other terms, conditions, rights or preferences of the Debt Securities which apply solely to the Debt Securities.</w:t>
      </w:r>
    </w:p>
    <w:p>
      <w:pPr>
        <w:pStyle w:val="TextBody"/>
        <w:bidi w:val="0"/>
        <w:ind w:left="552" w:right="0" w:hanging="0"/>
        <w:jc w:val="both"/>
        <w:rPr/>
      </w:pPr>
      <w:r>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pStyle w:val="TextBody"/>
        <w:bidi w:val="0"/>
        <w:jc w:val="both"/>
        <w:rPr/>
      </w:pPr>
      <w:r>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CORRA, SOFR, EURIBOR or an alternative United States federal funds rate.</w:t>
      </w:r>
    </w:p>
    <w:p>
      <w:pPr>
        <w:pStyle w:val="TextBody"/>
        <w:bidi w:val="0"/>
        <w:jc w:val="both"/>
        <w:rPr/>
      </w:pPr>
      <w:r>
        <w:rPr/>
        <w:t>Each series of Debt Securities may be issued at various times with different maturity dates, may bear interest at different rates and may otherwise vary.</w:t>
      </w:r>
    </w:p>
    <w:p>
      <w:pPr>
        <w:pStyle w:val="TextBody"/>
        <w:bidi w:val="0"/>
        <w:jc w:val="both"/>
        <w:rPr/>
      </w:pPr>
      <w:r>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pStyle w:val="TextBody"/>
        <w:bidi w:val="0"/>
        <w:jc w:val="both"/>
        <w:rPr/>
      </w:pPr>
      <w:r>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pStyle w:val="TextBody"/>
        <w:bidi w:val="0"/>
        <w:jc w:val="both"/>
        <w:rPr/>
      </w:pPr>
      <w:r>
        <w:rPr/>
        <w:t>The Corporation may, from time to time, issue Debt Securities and incur additional indebtedness other than through the issue of Debt Securities pursuant to this Prospectus</w:t>
      </w:r>
    </w:p>
    <w:p>
      <w:pPr>
        <w:pStyle w:val="TextBody"/>
        <w:bidi w:val="0"/>
        <w:jc w:val="both"/>
        <w:rPr>
          <w:b/>
        </w:rPr>
      </w:pPr>
      <w:r>
        <w:rPr>
          <w:b/>
        </w:rPr>
        <w:t>Subscription Receipts</w:t>
      </w:r>
    </w:p>
    <w:p>
      <w:pPr>
        <w:pStyle w:val="TextBody"/>
        <w:bidi w:val="0"/>
        <w:jc w:val="both"/>
        <w:rPr/>
      </w:pPr>
      <w:r>
        <w:rPr/>
        <w:t>Subscription Receipts may be offered separately or together with other Securities, as the case may be. The Subscription Receipts may be issued under a subscription receipt agreement.</w:t>
      </w:r>
    </w:p>
    <w:p>
      <w:pPr>
        <w:pStyle w:val="TextBody"/>
        <w:bidi w:val="0"/>
        <w:jc w:val="both"/>
        <w:rPr/>
      </w:pPr>
      <w:r>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11"/>
        </w:numPr>
        <w:pBdr/>
        <w:tabs>
          <w:tab w:val="clear" w:pos="1134"/>
          <w:tab w:val="left" w:pos="1258" w:leader="none"/>
        </w:tabs>
        <w:bidi w:val="0"/>
        <w:ind w:left="1258" w:right="0" w:hanging="283"/>
        <w:jc w:val="both"/>
        <w:rPr/>
      </w:pPr>
      <w:bookmarkStart w:id="40" w:name="page_36"/>
      <w:bookmarkEnd w:id="40"/>
      <w:r>
        <w:rPr/>
        <w:t>the number of Subscription Receipts;</w:t>
      </w:r>
    </w:p>
    <w:p>
      <w:pPr>
        <w:pStyle w:val="TextBody"/>
        <w:numPr>
          <w:ilvl w:val="0"/>
          <w:numId w:val="11"/>
        </w:numPr>
        <w:pBdr/>
        <w:tabs>
          <w:tab w:val="clear" w:pos="1134"/>
          <w:tab w:val="left" w:pos="1258" w:leader="none"/>
        </w:tabs>
        <w:bidi w:val="0"/>
        <w:ind w:left="1258" w:right="0" w:hanging="283"/>
        <w:jc w:val="both"/>
        <w:rPr/>
      </w:pPr>
      <w:r>
        <w:rPr/>
        <w:t>the price at which the Subscription Receipts will be offered;</w:t>
      </w:r>
    </w:p>
    <w:p>
      <w:pPr>
        <w:pStyle w:val="TextBody"/>
        <w:numPr>
          <w:ilvl w:val="0"/>
          <w:numId w:val="11"/>
        </w:numPr>
        <w:pBdr/>
        <w:tabs>
          <w:tab w:val="clear" w:pos="1134"/>
          <w:tab w:val="left" w:pos="1258" w:leader="none"/>
        </w:tabs>
        <w:bidi w:val="0"/>
        <w:ind w:left="1258" w:right="0" w:hanging="283"/>
        <w:jc w:val="both"/>
        <w:rPr/>
      </w:pPr>
      <w:r>
        <w:rPr/>
        <w:t>the terms, conditions and procedures for the conversion of the Subscription Receipts into other Securities;</w:t>
      </w:r>
    </w:p>
    <w:p>
      <w:pPr>
        <w:pStyle w:val="TextBody"/>
        <w:numPr>
          <w:ilvl w:val="0"/>
          <w:numId w:val="11"/>
        </w:numPr>
        <w:pBdr/>
        <w:tabs>
          <w:tab w:val="clear" w:pos="1134"/>
          <w:tab w:val="left" w:pos="1258" w:leader="none"/>
        </w:tabs>
        <w:bidi w:val="0"/>
        <w:ind w:left="1258" w:right="0" w:hanging="283"/>
        <w:jc w:val="both"/>
        <w:rPr/>
      </w:pPr>
      <w:r>
        <w:rPr/>
        <w:t>the designation, number and terms of the other Securities that may be exchanged upon conversion of each Subscription Receipt;</w:t>
      </w:r>
    </w:p>
    <w:p>
      <w:pPr>
        <w:pStyle w:val="TextBody"/>
        <w:numPr>
          <w:ilvl w:val="0"/>
          <w:numId w:val="11"/>
        </w:numPr>
        <w:pBdr/>
        <w:tabs>
          <w:tab w:val="clear" w:pos="1134"/>
          <w:tab w:val="left" w:pos="1258" w:leader="none"/>
        </w:tabs>
        <w:bidi w:val="0"/>
        <w:ind w:left="1258" w:right="0" w:hanging="283"/>
        <w:jc w:val="both"/>
        <w:rPr/>
      </w:pPr>
      <w:r>
        <w:rPr/>
        <w:t>the designation, number and terms of other Securities with which the Subscription Receipts will be offered, if any, and the number of Subscription Receipts that will be offered with each Security;</w:t>
      </w:r>
    </w:p>
    <w:p>
      <w:pPr>
        <w:pStyle w:val="TextBody"/>
        <w:numPr>
          <w:ilvl w:val="0"/>
          <w:numId w:val="11"/>
        </w:numPr>
        <w:pBdr/>
        <w:tabs>
          <w:tab w:val="clear" w:pos="1134"/>
          <w:tab w:val="left" w:pos="1258" w:leader="none"/>
        </w:tabs>
        <w:bidi w:val="0"/>
        <w:ind w:left="1258" w:right="0" w:hanging="283"/>
        <w:jc w:val="both"/>
        <w:rPr/>
      </w:pPr>
      <w:r>
        <w:rPr/>
        <w:t>terms applicable to the gross or net proceeds from the sale of the Subscription Receipts plus any interest earned thereon;</w:t>
      </w:r>
    </w:p>
    <w:p>
      <w:pPr>
        <w:pStyle w:val="TextBody"/>
        <w:numPr>
          <w:ilvl w:val="0"/>
          <w:numId w:val="11"/>
        </w:numPr>
        <w:pBdr/>
        <w:tabs>
          <w:tab w:val="clear" w:pos="1134"/>
          <w:tab w:val="left" w:pos="1258" w:leader="none"/>
        </w:tabs>
        <w:bidi w:val="0"/>
        <w:ind w:left="1258" w:right="0" w:hanging="283"/>
        <w:jc w:val="both"/>
        <w:rPr/>
      </w:pPr>
      <w:r>
        <w:rPr/>
        <w:t>certain material Canadian tax consequences of owning the Subscription Receipts; and</w:t>
      </w:r>
    </w:p>
    <w:p>
      <w:pPr>
        <w:pStyle w:val="TextBody"/>
        <w:numPr>
          <w:ilvl w:val="0"/>
          <w:numId w:val="11"/>
        </w:numPr>
        <w:pBdr/>
        <w:tabs>
          <w:tab w:val="clear" w:pos="1134"/>
          <w:tab w:val="left" w:pos="1261" w:leader="none"/>
        </w:tabs>
        <w:bidi w:val="0"/>
        <w:ind w:left="1261" w:right="0" w:hanging="283"/>
        <w:jc w:val="both"/>
        <w:rPr/>
      </w:pPr>
      <w:r>
        <w:rPr/>
        <w:t>any other material terms and conditions of the Subscription Receipts.</w:t>
      </w:r>
    </w:p>
    <w:p>
      <w:pPr>
        <w:pStyle w:val="TextBody"/>
        <w:bidi w:val="0"/>
        <w:ind w:left="552" w:right="0" w:hanging="0"/>
        <w:jc w:val="center"/>
        <w:rPr>
          <w:b/>
        </w:rPr>
      </w:pPr>
      <w:r>
        <w:rPr>
          <w:b/>
        </w:rPr>
        <w:t>PLAN OF DISTRIBUTION</w:t>
      </w:r>
    </w:p>
    <w:p>
      <w:pPr>
        <w:pStyle w:val="TextBody"/>
        <w:bidi w:val="0"/>
        <w:jc w:val="both"/>
        <w:rPr>
          <w:b/>
        </w:rPr>
      </w:pPr>
      <w:r>
        <w:rPr>
          <w:b/>
        </w:rPr>
        <w:t>General</w:t>
      </w:r>
    </w:p>
    <w:p>
      <w:pPr>
        <w:pStyle w:val="TextBody"/>
        <w:bidi w:val="0"/>
        <w:jc w:val="both"/>
        <w:rPr/>
      </w:pPr>
      <w:r>
        <w:rPr/>
        <w:t>The Corporation may from time to time during the 25-month period that this Prospectus, including any amendments and supplements hereto, remains valid, offer for sale and sell up to an aggregate of $160,000,000 in Securities hereunder.</w:t>
      </w:r>
    </w:p>
    <w:p>
      <w:pPr>
        <w:pStyle w:val="TextBody"/>
        <w:bidi w:val="0"/>
        <w:jc w:val="both"/>
        <w:rPr/>
      </w:pPr>
      <w:r>
        <w:rPr/>
        <w:t>The Securities may be sold by the Corporation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the Corporation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Corporation's Securities offered by that Prospectus Supplement.</w:t>
      </w:r>
    </w:p>
    <w:p>
      <w:pPr>
        <w:pStyle w:val="TextBody"/>
        <w:bidi w:val="0"/>
        <w:jc w:val="both"/>
        <w:rPr/>
      </w:pPr>
      <w:r>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pStyle w:val="TextBody"/>
        <w:bidi w:val="0"/>
        <w:jc w:val="both"/>
        <w:rPr/>
      </w:pPr>
      <w:r>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1" w:name="page_37"/>
      <w:bookmarkEnd w:id="41"/>
      <w:r>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pStyle w:val="TextBody"/>
        <w:bidi w:val="0"/>
        <w:jc w:val="both"/>
        <w:rPr/>
      </w:pPr>
      <w:r>
        <w:rPr/>
        <w:t>In connection with the sale of the Securities, underwriters, dealers or agents may receive compensation from the Corporation including in the form of underwriters', dealers' or agents' fees, commissions or concessions.</w:t>
      </w:r>
    </w:p>
    <w:p>
      <w:pPr>
        <w:pStyle w:val="TextBody"/>
        <w:bidi w:val="0"/>
        <w:jc w:val="both"/>
        <w:rPr/>
      </w:pPr>
      <w:r>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pStyle w:val="TextBody"/>
        <w:bidi w:val="0"/>
        <w:jc w:val="both"/>
        <w:rPr/>
      </w:pPr>
      <w:r>
        <w:rPr/>
        <w:t>Underwriters, dealers or agents who participate in the distribution of the Securities may be entitled, under agreements to be entered into with the Corporation to indemnification by the Corporation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pStyle w:val="TextBody"/>
        <w:bidi w:val="0"/>
        <w:jc w:val="both"/>
        <w:rPr/>
      </w:pPr>
      <w:r>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pStyle w:val="TextBody"/>
        <w:bidi w:val="0"/>
        <w:jc w:val="both"/>
        <w:rPr/>
      </w:pPr>
      <w:r>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i/>
        </w:rPr>
        <w:t>"Risk Factors"</w:t>
      </w:r>
      <w:r>
        <w:rPr/>
        <w:t>.</w:t>
      </w:r>
    </w:p>
    <w:p>
      <w:pPr>
        <w:pStyle w:val="TextBody"/>
        <w:bidi w:val="0"/>
        <w:jc w:val="center"/>
        <w:rPr>
          <w:b/>
        </w:rPr>
      </w:pPr>
      <w:r>
        <w:rPr>
          <w:b/>
        </w:rPr>
        <w:t>RISK FACTORS</w:t>
      </w:r>
    </w:p>
    <w:p>
      <w:pPr>
        <w:pStyle w:val="TextBody"/>
        <w:bidi w:val="0"/>
        <w:jc w:val="both"/>
        <w:rPr/>
      </w:pPr>
      <w:r>
        <w:rPr>
          <w:b/>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b/>
          <w:i/>
        </w:rPr>
        <w:t>Risk Factors”</w:t>
      </w:r>
      <w:r>
        <w:rPr>
          <w:b/>
        </w:rPr>
        <w:t xml:space="preserve"> in the Annual Information Form and under the heading “</w:t>
      </w:r>
      <w:r>
        <w:rPr>
          <w:b/>
          <w:i/>
        </w:rPr>
        <w:t>Risks and Uncertainties”</w:t>
      </w:r>
      <w:r>
        <w:rPr>
          <w:b/>
        </w:rPr>
        <w:t xml:space="preserve"> in the Interim MD&amp;A, and any other risk factors described herein or in a document incorporated by reference herein, which investors should carefully consider before investing. </w:t>
      </w:r>
      <w:r>
        <w:rPr/>
        <w:t>Additional risk 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42" w:name="page_38"/>
      <w:bookmarkEnd w:id="42"/>
      <w:r>
        <w:rPr>
          <w:b/>
        </w:rPr>
        <w:t>Risks Related to the Business of the Corporation</w:t>
      </w:r>
    </w:p>
    <w:p>
      <w:pPr>
        <w:pStyle w:val="TextBody"/>
        <w:bidi w:val="0"/>
        <w:jc w:val="both"/>
        <w:rPr>
          <w:i/>
        </w:rPr>
      </w:pPr>
      <w:r>
        <w:rPr>
          <w:i/>
        </w:rPr>
        <w:t>Ongoing Impact of the Novel Coronavirus "COVID-19"</w:t>
      </w:r>
    </w:p>
    <w:p>
      <w:pPr>
        <w:pStyle w:val="TextBody"/>
        <w:bidi w:val="0"/>
        <w:jc w:val="both"/>
        <w:rPr/>
      </w:pPr>
      <w:r>
        <w:rPr/>
        <w:t>The outbreak of COVID-19 and its eventual declaration as a pandemic by the World Health Organization ("</w:t>
      </w:r>
      <w:r>
        <w:rPr>
          <w:b/>
        </w:rPr>
        <w:t>WHO</w:t>
      </w:r>
      <w:r>
        <w:rPr/>
        <w:t>")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Corporation in future periods. The Corporation is not currently aware of any changes in laws, regulations or guidelines, including tax and accounting requirements, arising from COVID-19 which would be reasonably anticipated to materially affect the Corporation's business.</w:t>
      </w:r>
    </w:p>
    <w:p>
      <w:pPr>
        <w:pStyle w:val="TextBody"/>
        <w:bidi w:val="0"/>
        <w:jc w:val="both"/>
        <w:rPr>
          <w:i/>
        </w:rPr>
      </w:pPr>
      <w:r>
        <w:rPr>
          <w:i/>
        </w:rPr>
        <w:t>Regulatory Risks and Uncertainties</w:t>
      </w:r>
    </w:p>
    <w:p>
      <w:pPr>
        <w:pStyle w:val="TextBody"/>
        <w:bidi w:val="0"/>
        <w:jc w:val="both"/>
        <w:rPr/>
      </w:pPr>
      <w:r>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pStyle w:val="TextBody"/>
        <w:bidi w:val="0"/>
        <w:jc w:val="both"/>
        <w:rPr/>
      </w:pPr>
      <w:r>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pStyle w:val="TextBody"/>
        <w:bidi w:val="0"/>
        <w:jc w:val="both"/>
        <w:rPr/>
      </w:pPr>
      <w:r>
        <w:rPr/>
        <w:t>The loss of the necessary licences and permits for any of the above scheduled drugs could have an adverse effect on the Corporation's operations.</w:t>
      </w:r>
    </w:p>
    <w:p>
      <w:pPr>
        <w:pStyle w:val="TextBody"/>
        <w:bidi w:val="0"/>
        <w:jc w:val="both"/>
        <w:rPr/>
      </w:pPr>
      <w:r>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3" w:name="page_39"/>
      <w:bookmarkEnd w:id="43"/>
      <w:r>
        <w:rPr/>
        <w:t>The success of the Corporation's business is dependent on the reform of controlled substances laws pertaining to psilocybin. If controlled substances laws are not favourably reformed in Canada, the United States, the Netherlands, the United Kingdom, and other global jurisdictions, the commercial opportunity that the Corporation is pursuing may be highly limited.</w:t>
      </w:r>
    </w:p>
    <w:p>
      <w:pPr>
        <w:pStyle w:val="TextBody"/>
        <w:bidi w:val="0"/>
        <w:jc w:val="both"/>
        <w:rPr/>
      </w:pPr>
      <w:r>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pStyle w:val="TextBody"/>
        <w:bidi w:val="0"/>
        <w:jc w:val="both"/>
        <w:rPr>
          <w:i/>
        </w:rPr>
      </w:pPr>
      <w:r>
        <w:rPr>
          <w:i/>
        </w:rPr>
        <w:t>"Foreign Private Issuer" Status Under the U.S. Securities Laws</w:t>
      </w:r>
    </w:p>
    <w:p>
      <w:pPr>
        <w:pStyle w:val="TextBody"/>
        <w:bidi w:val="0"/>
        <w:jc w:val="both"/>
        <w:rPr/>
      </w:pPr>
      <w:r>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pStyle w:val="TextBody"/>
        <w:bidi w:val="0"/>
        <w:jc w:val="both"/>
        <w:rPr/>
      </w:pPr>
      <w:r>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pStyle w:val="TextBody"/>
        <w:bidi w:val="0"/>
        <w:jc w:val="both"/>
        <w:rPr>
          <w:b/>
        </w:rPr>
      </w:pPr>
      <w:r>
        <w:rPr>
          <w:b/>
        </w:rPr>
        <w:t>Risks Related to an Offering</w:t>
      </w:r>
    </w:p>
    <w:p>
      <w:pPr>
        <w:pStyle w:val="TextBody"/>
        <w:bidi w:val="0"/>
        <w:jc w:val="both"/>
        <w:rPr>
          <w:i/>
        </w:rPr>
      </w:pPr>
      <w:r>
        <w:rPr>
          <w:i/>
        </w:rPr>
        <w:t>Speculative Nature of Investment Risk</w:t>
      </w:r>
    </w:p>
    <w:p>
      <w:pPr>
        <w:pStyle w:val="TextBody"/>
        <w:bidi w:val="0"/>
        <w:jc w:val="both"/>
        <w:rPr/>
      </w:pPr>
      <w:r>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44" w:name="page_40"/>
      <w:bookmarkEnd w:id="44"/>
      <w:r>
        <w:rPr>
          <w:i/>
        </w:rPr>
        <w:t>Negative Operating Cash Flow and Going Concern</w:t>
      </w:r>
    </w:p>
    <w:p>
      <w:pPr>
        <w:pStyle w:val="TextBody"/>
        <w:bidi w:val="0"/>
        <w:jc w:val="both"/>
        <w:rPr/>
      </w:pPr>
      <w:r>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   </w:t>
      </w:r>
    </w:p>
    <w:p>
      <w:pPr>
        <w:pStyle w:val="TextBody"/>
        <w:bidi w:val="0"/>
        <w:jc w:val="both"/>
        <w:rPr/>
      </w:pPr>
      <w:r>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i/>
        </w:rPr>
        <w:t>"Risk Factors - Risks Related to the Offering - Potential Need for Additional Financing"</w:t>
      </w:r>
      <w:r>
        <w:rPr/>
        <w:t>.</w:t>
      </w:r>
    </w:p>
    <w:p>
      <w:pPr>
        <w:pStyle w:val="TextBody"/>
        <w:bidi w:val="0"/>
        <w:jc w:val="both"/>
        <w:rPr>
          <w:i/>
        </w:rPr>
      </w:pPr>
      <w:r>
        <w:rPr>
          <w:i/>
        </w:rPr>
        <w:t>Discretion over the Use of Proceeds</w:t>
      </w:r>
    </w:p>
    <w:p>
      <w:pPr>
        <w:pStyle w:val="TextBody"/>
        <w:bidi w:val="0"/>
        <w:jc w:val="both"/>
        <w:rPr/>
      </w:pPr>
      <w:r>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pStyle w:val="TextBody"/>
        <w:bidi w:val="0"/>
        <w:jc w:val="both"/>
        <w:rPr/>
      </w:pPr>
      <w:r>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i/>
        </w:rPr>
        <w:t>"Use of Proceeds"</w:t>
      </w:r>
      <w:r>
        <w:rPr/>
        <w:t>.</w:t>
      </w:r>
    </w:p>
    <w:p>
      <w:pPr>
        <w:pStyle w:val="TextBody"/>
        <w:bidi w:val="0"/>
        <w:jc w:val="both"/>
        <w:rPr>
          <w:i/>
        </w:rPr>
      </w:pPr>
      <w:r>
        <w:rPr>
          <w:i/>
        </w:rPr>
        <w:t>Need for Additional Financing</w:t>
      </w:r>
    </w:p>
    <w:p>
      <w:pPr>
        <w:pStyle w:val="TextBody"/>
        <w:bidi w:val="0"/>
        <w:jc w:val="both"/>
        <w:rPr/>
      </w:pPr>
      <w:r>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i/>
        </w:rPr>
        <w:t>"Risk Factors - Risks Related to an Offering - Negative Operating Cash Flow and Going Concern" and "- Potential Dilution".</w:t>
      </w:r>
    </w:p>
    <w:p>
      <w:pPr>
        <w:pStyle w:val="TextBody"/>
        <w:bidi w:val="0"/>
        <w:jc w:val="both"/>
        <w:rPr>
          <w:i/>
        </w:rPr>
      </w:pPr>
      <w:r>
        <w:rPr>
          <w:i/>
        </w:rPr>
        <w:t>Volatile Market Price of Corporation's Common Shares</w:t>
      </w:r>
    </w:p>
    <w:p>
      <w:pPr>
        <w:pStyle w:val="TextBody"/>
        <w:bidi w:val="0"/>
        <w:jc w:val="both"/>
        <w:rPr/>
      </w:pPr>
      <w:r>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5" w:name="page_41"/>
      <w:bookmarkEnd w:id="45"/>
      <w:r>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i/>
        </w:rPr>
        <w:t>"Cautionary Note Regarding Forward-Looking Information"</w:t>
      </w:r>
      <w:r>
        <w:rPr/>
        <w:t>. In addition, the market price for securities on stock markets, including the Neo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pStyle w:val="TextBody"/>
        <w:bidi w:val="0"/>
        <w:jc w:val="both"/>
        <w:rPr/>
      </w:pPr>
      <w:r>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pStyle w:val="TextBody"/>
        <w:bidi w:val="0"/>
        <w:jc w:val="both"/>
        <w:rPr>
          <w:i/>
        </w:rPr>
      </w:pPr>
      <w:r>
        <w:rPr>
          <w:i/>
        </w:rPr>
        <w:t>Potential Dilution</w:t>
      </w:r>
    </w:p>
    <w:p>
      <w:pPr>
        <w:pStyle w:val="TextBody"/>
        <w:bidi w:val="0"/>
        <w:jc w:val="both"/>
        <w:rPr/>
      </w:pPr>
      <w:r>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i/>
        </w:rPr>
        <w:t>"Risk Factors - Risks Related to an Offering - Potential Need for Additional Financing</w:t>
      </w:r>
      <w:r>
        <w:rPr/>
        <w:t>".</w:t>
      </w:r>
    </w:p>
    <w:p>
      <w:pPr>
        <w:pStyle w:val="TextBody"/>
        <w:bidi w:val="0"/>
        <w:jc w:val="both"/>
        <w:rPr>
          <w:i/>
        </w:rPr>
      </w:pPr>
      <w:r>
        <w:rPr>
          <w:i/>
        </w:rPr>
        <w:t>Market for Securities</w:t>
      </w:r>
    </w:p>
    <w:p>
      <w:pPr>
        <w:pStyle w:val="TextBody"/>
        <w:bidi w:val="0"/>
        <w:jc w:val="both"/>
        <w:rPr/>
      </w:pPr>
      <w:r>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pStyle w:val="TextBody"/>
        <w:bidi w:val="0"/>
        <w:jc w:val="both"/>
        <w:rPr>
          <w:i/>
        </w:rPr>
      </w:pPr>
      <w:r>
        <w:rPr>
          <w:i/>
        </w:rPr>
        <w:t>Enforcement of Civil Liabilities</w:t>
      </w:r>
    </w:p>
    <w:p>
      <w:pPr>
        <w:pStyle w:val="TextBody"/>
        <w:bidi w:val="0"/>
        <w:jc w:val="both"/>
        <w:rPr/>
      </w:pPr>
      <w:r>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6" w:name="page_42"/>
      <w:bookmarkEnd w:id="46"/>
      <w:r>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pStyle w:val="TextBody"/>
        <w:bidi w:val="0"/>
        <w:jc w:val="both"/>
        <w:rPr/>
      </w:pPr>
      <w:r>
        <w:rPr/>
        <w:t>Most of the officers and directors named in this Prospectus are not residents of the United States, and some of the Corporation's assets and all or a substantial portion of the assets of such person are located outside of the United States.</w:t>
      </w:r>
    </w:p>
    <w:p>
      <w:pPr>
        <w:pStyle w:val="TextBody"/>
        <w:bidi w:val="0"/>
        <w:jc w:val="both"/>
        <w:rPr/>
      </w:pPr>
      <w:r>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pStyle w:val="TextBody"/>
        <w:bidi w:val="0"/>
        <w:jc w:val="both"/>
        <w:rPr/>
      </w:pPr>
      <w:r>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pStyle w:val="TextBody"/>
        <w:bidi w:val="0"/>
        <w:jc w:val="center"/>
        <w:rPr>
          <w:b/>
        </w:rPr>
      </w:pPr>
      <w:r>
        <w:rPr>
          <w:b/>
        </w:rPr>
        <w:t>CERTAIN FEDERAL INCOME TAX CONSIDERATIONS</w:t>
      </w:r>
    </w:p>
    <w:p>
      <w:pPr>
        <w:pStyle w:val="TextBody"/>
        <w:bidi w:val="0"/>
        <w:jc w:val="both"/>
        <w:rPr/>
      </w:pPr>
      <w:r>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pStyle w:val="TextBody"/>
        <w:bidi w:val="0"/>
        <w:jc w:val="center"/>
        <w:rPr>
          <w:b/>
        </w:rPr>
      </w:pPr>
      <w:r>
        <w:rPr>
          <w:b/>
        </w:rPr>
        <w:t>LEGAL MATTERS</w:t>
      </w:r>
    </w:p>
    <w:p>
      <w:pPr>
        <w:pStyle w:val="TextBody"/>
        <w:bidi w:val="0"/>
        <w:jc w:val="both"/>
        <w:rPr/>
      </w:pPr>
      <w:r>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pStyle w:val="TextBody"/>
        <w:bidi w:val="0"/>
        <w:jc w:val="center"/>
        <w:rPr>
          <w:b/>
        </w:rPr>
      </w:pPr>
      <w:r>
        <w:rPr>
          <w:b/>
        </w:rPr>
        <w:t>AUDITORS, TRANSFER AGENT AND REGISTRAR</w:t>
      </w:r>
    </w:p>
    <w:p>
      <w:pPr>
        <w:pStyle w:val="TextBody"/>
        <w:bidi w:val="0"/>
        <w:jc w:val="both"/>
        <w:rPr/>
      </w:pPr>
      <w:r>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pStyle w:val="TextBody"/>
        <w:bidi w:val="0"/>
        <w:jc w:val="both"/>
        <w:rPr/>
      </w:pPr>
      <w:r>
        <w:rPr/>
        <w:t>The registrar and transfer agent of the Common Shares is Odyssey Trust Company at its principal office in Calgary, Alberta.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bookmarkStart w:id="47" w:name="_ftn14"/>
      <w:bookmarkEnd w:id="47"/>
      <w:r>
        <w:rPr/>
        <w:b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b/>
        </w:rPr>
      </w:pPr>
      <w:r>
        <w:rPr>
          <w:b/>
        </w:rPr>
        <w:t>PART II</w:t>
      </w:r>
    </w:p>
    <w:p>
      <w:pPr>
        <w:pStyle w:val="TextBody"/>
        <w:bidi w:val="0"/>
        <w:jc w:val="center"/>
        <w:rPr/>
      </w:pPr>
      <w:r>
        <w:rPr>
          <w:b/>
        </w:rPr>
        <w:t xml:space="preserve">INFORMATION NOT REQUIRED TO BE DELIVERED TO </w:t>
      </w:r>
      <w:r>
        <w:rPr/>
        <w:br/>
      </w:r>
      <w:r>
        <w:rPr>
          <w:b/>
        </w:rPr>
        <w:t>OFFEREES OR PURCHASERS</w:t>
      </w:r>
    </w:p>
    <w:p>
      <w:pPr>
        <w:pStyle w:val="TextBody"/>
        <w:bidi w:val="0"/>
        <w:jc w:val="both"/>
        <w:rPr>
          <w:b/>
        </w:rPr>
      </w:pPr>
      <w:r>
        <w:rPr>
          <w:b/>
        </w:rPr>
        <w:t>Indemnification of Directors and Officers</w:t>
      </w:r>
    </w:p>
    <w:p>
      <w:pPr>
        <w:pStyle w:val="TextBody"/>
        <w:bidi w:val="0"/>
        <w:jc w:val="both"/>
        <w:rPr/>
      </w:pPr>
      <w:r>
        <w:rPr/>
        <w:t xml:space="preserve">Under the </w:t>
      </w:r>
      <w:r>
        <w:rPr>
          <w:i/>
        </w:rPr>
        <w:t>Business Corporations Act</w:t>
      </w:r>
      <w:r>
        <w:rPr/>
        <w:t xml:space="preserve"> (Ontario), the Registrant may indemnify a director or officer of the Registrant, a former director or officer of the Registrant or another individual who acts or acted at the Registrant's request as a director or officer, or an individual acting in a similar capacity, of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 (i) such individual acted honestly and in good faith with a view to the best interests of the Registrant or, as the case may be, to the best interests of the other entity for which the individual acted as a director or officer or in a similar capacity at the Registrant's request; and (ii) if the matter is a criminal or administrative action or proceeding that is enforced by a monetary penalty, the Registrant shall not indemnify the individual unless the individual had reasonable grounds for believing that his or her conduct was lawful.</w:t>
      </w:r>
    </w:p>
    <w:p>
      <w:pPr>
        <w:pStyle w:val="TextBody"/>
        <w:bidi w:val="0"/>
        <w:jc w:val="both"/>
        <w:rPr/>
      </w:pPr>
      <w:r>
        <w:rPr/>
        <w:t>Further, the Registrant may, with the approval of a court, indemnify an individual in respect of an action by or on behalf of the Registrant or other entity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fulfills the conditions in (i) and (ii) 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seeking an indemnity: (A) was not judged by a court or other competent authority to have committed any fault or omitted to do anything that the individual ought to have done; and (B) fulfills the conditions in (i) and (ii) above.</w:t>
      </w:r>
    </w:p>
    <w:p>
      <w:pPr>
        <w:pStyle w:val="TextBody"/>
        <w:bidi w:val="0"/>
        <w:spacing w:before="0" w:after="283"/>
        <w:jc w:val="both"/>
        <w:rPr/>
      </w:pPr>
      <w:r>
        <w:rPr/>
        <w:t xml:space="preserve">The by-laws of the Registrant provide that, subject to the </w:t>
      </w:r>
      <w:r>
        <w:rPr>
          <w:i/>
        </w:rPr>
        <w:t>Business Corporations Act</w:t>
      </w:r>
      <w:r>
        <w:rPr/>
        <w:t xml:space="preserve"> (Ontario), the Registrant shall indemnify a director or officer of the Registrant, a former director or officer of the Registrant or another individual who acts or acted at the Registrant's request as a director or officer, or an individual acting in a similar capacity, or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if: (i) the individual acted honestly and in good faith with a view to the best interests of the Registrant or, as the case may be, to the best interest of the other entity for which the individual acted as a director or officer or in a similar capacity at the Registrant's request and (ii) in the case of a criminal or administrative action or proceeding that is enforced by a monetary penalty, the person had reasonable grounds for believing that the individual's conduct was lawful.</w:t>
      </w:r>
    </w:p>
    <w:p>
      <w:pPr>
        <w:pStyle w:val="TextBody"/>
        <w:bidi w:val="0"/>
        <w:jc w:val="both"/>
        <w:rPr/>
      </w:pPr>
      <w:r>
        <w:rPr/>
        <w:t xml:space="preserve">The Registrant maintains directors' and officers' liability insurance which insures directors and officers for losses as a result of claims against the directors and officers of the Registrant in their capacity as directors and officers and also reimburses the Registrant for payments made pursuant to the indemnity provisions under the by-laws of the Registrant and the </w:t>
      </w:r>
      <w:r>
        <w:rPr>
          <w:i/>
        </w:rPr>
        <w:t>Business Corporations Act</w:t>
      </w:r>
      <w:r>
        <w:rPr/>
        <w:t xml:space="preserve"> (Ontario).</w:t>
      </w:r>
    </w:p>
    <w:p>
      <w:pPr>
        <w:pStyle w:val="TextBody"/>
        <w:bidi w:val="0"/>
        <w:spacing w:before="0" w:after="0"/>
        <w:jc w:val="center"/>
        <w:rPr/>
      </w:pPr>
      <w:r>
        <w:rPr/>
        <w:t>* * *</w:t>
      </w:r>
    </w:p>
    <w:p>
      <w:pPr>
        <w:pStyle w:val="TextBody"/>
        <w:bidi w:val="0"/>
        <w:spacing w:before="0" w:after="283"/>
        <w:jc w:val="both"/>
        <w:rPr>
          <w:b/>
        </w:rPr>
      </w:pPr>
      <w:r>
        <w:rPr>
          <w:b/>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pStyle w:val="HorizontalLine"/>
        <w:pBdr>
          <w:bottom w:val="single" w:sz="30" w:space="0" w:color="000000"/>
        </w:pBdr>
        <w:bidi w:val="0"/>
        <w:jc w:val="left"/>
        <w:rPr/>
      </w:pPr>
      <w:r>
        <w:rPr/>
      </w:r>
    </w:p>
    <w:p>
      <w:pPr>
        <w:pStyle w:val="TextBody"/>
        <w:bidi w:val="0"/>
        <w:jc w:val="center"/>
        <w:rPr>
          <w:b/>
        </w:rPr>
      </w:pPr>
      <w:bookmarkStart w:id="48" w:name="page_44"/>
      <w:bookmarkEnd w:id="48"/>
      <w:r>
        <w:rPr>
          <w:b/>
        </w:rPr>
        <w:t>EXHIBIT INDEX</w:t>
      </w:r>
    </w:p>
    <w:tbl>
      <w:tblPr>
        <w:tblW w:w="10205" w:type="dxa"/>
        <w:jc w:val="left"/>
        <w:tblInd w:w="0" w:type="dxa"/>
        <w:tblLayout w:type="fixed"/>
        <w:tblCellMar>
          <w:top w:w="0" w:type="dxa"/>
          <w:left w:w="0" w:type="dxa"/>
          <w:bottom w:w="0" w:type="dxa"/>
          <w:right w:w="0" w:type="dxa"/>
        </w:tblCellMar>
      </w:tblPr>
      <w:tblGrid>
        <w:gridCol w:w="906"/>
        <w:gridCol w:w="60"/>
        <w:gridCol w:w="9239"/>
      </w:tblGrid>
      <w:tr>
        <w:trPr/>
        <w:tc>
          <w:tcPr>
            <w:tcW w:w="906" w:type="dxa"/>
            <w:tcBorders/>
            <w:vAlign w:val="center"/>
          </w:tcPr>
          <w:p>
            <w:pPr>
              <w:pStyle w:val="TableContents"/>
              <w:bidi w:val="0"/>
              <w:spacing w:before="0" w:after="283"/>
              <w:jc w:val="left"/>
              <w:rPr>
                <w:b/>
              </w:rPr>
            </w:pPr>
            <w:r>
              <w:rPr>
                <w:b/>
              </w:rPr>
              <w:t>Exhibit</w:t>
              <w:br/>
              <w:t xml:space="preserve">Number </w:t>
            </w:r>
          </w:p>
        </w:tc>
        <w:tc>
          <w:tcPr>
            <w:tcW w:w="60" w:type="dxa"/>
            <w:tcBorders/>
            <w:vAlign w:val="center"/>
          </w:tcPr>
          <w:p>
            <w:pPr>
              <w:pStyle w:val="TableContents"/>
              <w:bidi w:val="0"/>
              <w:spacing w:before="0" w:after="283"/>
              <w:jc w:val="left"/>
              <w:rPr/>
            </w:pPr>
            <w:r>
              <w:rPr/>
              <w:t> </w:t>
            </w:r>
          </w:p>
        </w:tc>
        <w:tc>
          <w:tcPr>
            <w:tcW w:w="9239" w:type="dxa"/>
            <w:tcBorders>
              <w:bottom w:val="single" w:sz="6" w:space="0" w:color="000000"/>
            </w:tcBorders>
            <w:tcMar>
              <w:bottom w:w="28" w:type="dxa"/>
            </w:tcMar>
            <w:vAlign w:val="center"/>
          </w:tcPr>
          <w:p>
            <w:pPr>
              <w:pStyle w:val="TableContents"/>
              <w:bidi w:val="0"/>
              <w:spacing w:before="0" w:after="283"/>
              <w:jc w:val="center"/>
              <w:rPr>
                <w:b/>
              </w:rPr>
            </w:pPr>
            <w:r>
              <w:rPr>
                <w:b/>
              </w:rPr>
              <w:t xml:space="preserve">Description </w:t>
            </w:r>
          </w:p>
        </w:tc>
      </w:tr>
      <w:tr>
        <w:trPr/>
        <w:tc>
          <w:tcPr>
            <w:tcW w:w="906" w:type="dxa"/>
            <w:tcBorders/>
            <w:shd w:fill="EEEEEE" w:val="clear"/>
            <w:vAlign w:val="center"/>
          </w:tcPr>
          <w:p>
            <w:pPr>
              <w:pStyle w:val="TableContents"/>
              <w:bidi w:val="0"/>
              <w:spacing w:before="0" w:after="283"/>
              <w:jc w:val="right"/>
              <w:rPr/>
            </w:pPr>
            <w:hyperlink r:id="rId4">
              <w:r>
                <w:rPr>
                  <w:rStyle w:val="InternetLink"/>
                </w:rPr>
                <w:t>4.1</w:t>
              </w:r>
            </w:hyperlink>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hyperlink r:id="rId5">
              <w:r>
                <w:rPr>
                  <w:rStyle w:val="InternetLink"/>
                </w:rPr>
                <w:t>The annual information form of the Registrant dated June 27, 2023 for the year ended March 31, 2023 (incorporated by reference from Exhibit 99.1 of the Registrant’s Annual Report on Form 40-F, filed with the Commission on June 27, 2023)</w:t>
              </w:r>
            </w:hyperlink>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shd w:fill="EEEEEE" w:val="clear"/>
            <w:vAlign w:val="center"/>
          </w:tcPr>
          <w:p>
            <w:pPr>
              <w:pStyle w:val="TableContents"/>
              <w:bidi w:val="0"/>
              <w:spacing w:before="0" w:after="283"/>
              <w:jc w:val="right"/>
              <w:rPr/>
            </w:pPr>
            <w:hyperlink r:id="rId6">
              <w:r>
                <w:rPr>
                  <w:rStyle w:val="InternetLink"/>
                </w:rPr>
                <w:t>4.2</w:t>
              </w:r>
            </w:hyperlink>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hyperlink r:id="rId7">
              <w:r>
                <w:rPr>
                  <w:rStyle w:val="InternetLink"/>
                </w:rPr>
                <w:t>The audited consolidated financial statements of the Registrant and the notes thereto as at and for the fiscal year ended March 31, 2023, together with the auditor's report thereon (incorporated by reference from Exhibit 99.2 of the Registrant’s Annual Report on Form 40-F, filed with the Commission on June 27, 2023)</w:t>
              </w:r>
            </w:hyperlink>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shd w:fill="EEEEEE" w:val="clear"/>
            <w:vAlign w:val="center"/>
          </w:tcPr>
          <w:p>
            <w:pPr>
              <w:pStyle w:val="TableContents"/>
              <w:bidi w:val="0"/>
              <w:spacing w:before="0" w:after="283"/>
              <w:jc w:val="right"/>
              <w:rPr/>
            </w:pPr>
            <w:hyperlink r:id="rId8">
              <w:r>
                <w:rPr>
                  <w:rStyle w:val="InternetLink"/>
                </w:rPr>
                <w:t>4.3</w:t>
              </w:r>
            </w:hyperlink>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hyperlink r:id="rId9">
              <w:r>
                <w:rPr>
                  <w:rStyle w:val="InternetLink"/>
                </w:rPr>
                <w:t>Management’s discussion and analysis of the Registrant for the year ended March 31, 2023 (incorporated by reference from Exhibit 99.3 of the Registrant’s Annual Report on Form 40-F, filed with the Commission on June 27, 2023)</w:t>
              </w:r>
            </w:hyperlink>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shd w:fill="EEEEEE" w:val="clear"/>
            <w:vAlign w:val="center"/>
          </w:tcPr>
          <w:p>
            <w:pPr>
              <w:pStyle w:val="TableContents"/>
              <w:bidi w:val="0"/>
              <w:spacing w:before="0" w:after="283"/>
              <w:jc w:val="right"/>
              <w:rPr/>
            </w:pPr>
            <w:hyperlink r:id="rId10">
              <w:r>
                <w:rPr>
                  <w:rStyle w:val="InternetLink"/>
                </w:rPr>
                <w:t>4.4</w:t>
              </w:r>
            </w:hyperlink>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hyperlink r:id="rId11">
              <w:r>
                <w:rPr>
                  <w:rStyle w:val="InternetLink"/>
                </w:rPr>
                <w:t>The unaudited interim condensed consolidated financial statements of the Registrant and the notes thereto for the three months ended June 30, 2023 (incorporated by reference from Exhibit 99.1 of the Registrant’s Form 6-K, furnished to the Commission on August 14, 2023)</w:t>
              </w:r>
            </w:hyperlink>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shd w:fill="EEEEEE" w:val="clear"/>
            <w:vAlign w:val="center"/>
          </w:tcPr>
          <w:p>
            <w:pPr>
              <w:pStyle w:val="TableContents"/>
              <w:bidi w:val="0"/>
              <w:spacing w:before="0" w:after="283"/>
              <w:jc w:val="right"/>
              <w:rPr/>
            </w:pPr>
            <w:hyperlink r:id="rId12">
              <w:r>
                <w:rPr>
                  <w:rStyle w:val="InternetLink"/>
                </w:rPr>
                <w:t>4.5</w:t>
              </w:r>
            </w:hyperlink>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hyperlink r:id="rId13">
              <w:r>
                <w:rPr>
                  <w:rStyle w:val="InternetLink"/>
                </w:rPr>
                <w:t>Management’s discussion and analysis of the Registrant for the three months ended June 30, 2023 (incorporated by reference from Exhibit 99.2 of the Registrant’s Form 6-K, furnished to the Commission on August 14, 2023)</w:t>
              </w:r>
            </w:hyperlink>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shd w:fill="EEEEEE" w:val="clear"/>
            <w:vAlign w:val="center"/>
          </w:tcPr>
          <w:p>
            <w:pPr>
              <w:pStyle w:val="TableContents"/>
              <w:bidi w:val="0"/>
              <w:spacing w:before="0" w:after="283"/>
              <w:jc w:val="right"/>
              <w:rPr/>
            </w:pPr>
            <w:hyperlink r:id="rId14">
              <w:r>
                <w:rPr>
                  <w:rStyle w:val="InternetLink"/>
                </w:rPr>
                <w:t>4.6</w:t>
              </w:r>
            </w:hyperlink>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hyperlink r:id="rId15">
              <w:r>
                <w:rPr>
                  <w:rStyle w:val="InternetLink"/>
                </w:rPr>
                <w:t>Management information circular of the Registrant dated July 13, 2022 relating to an annual meeting of shareholders of the Registrant held on August 15, 2022 (incorporated by reference from Exhibit 99.1 of the Registrant’s Form 6-K, furnished to the Commission on July 25, 2022)</w:t>
              </w:r>
            </w:hyperlink>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shd w:fill="EEEEEE" w:val="clear"/>
            <w:vAlign w:val="center"/>
          </w:tcPr>
          <w:p>
            <w:pPr>
              <w:pStyle w:val="TableContents"/>
              <w:bidi w:val="0"/>
              <w:spacing w:before="0" w:after="283"/>
              <w:jc w:val="right"/>
              <w:rPr/>
            </w:pPr>
            <w:hyperlink r:id="rId16">
              <w:r>
                <w:rPr>
                  <w:rStyle w:val="InternetLink"/>
                </w:rPr>
                <w:t>4.7*</w:t>
              </w:r>
            </w:hyperlink>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hyperlink r:id="rId17">
              <w:r>
                <w:rPr>
                  <w:rStyle w:val="InternetLink"/>
                </w:rPr>
                <w:t>The material change report of the Registrant dated May 31, 2023 (incorporated by reference from Exhibit 99.1 of the Registrant’s Form 6-K, furnished to the Commission on June 1, 2023)</w:t>
              </w:r>
            </w:hyperlink>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shd w:fill="EEEEEE" w:val="clear"/>
            <w:vAlign w:val="center"/>
          </w:tcPr>
          <w:p>
            <w:pPr>
              <w:pStyle w:val="TableContents"/>
              <w:bidi w:val="0"/>
              <w:spacing w:before="0" w:after="283"/>
              <w:jc w:val="right"/>
              <w:rPr/>
            </w:pPr>
            <w:hyperlink r:id="rId18">
              <w:r>
                <w:rPr>
                  <w:rStyle w:val="InternetLink"/>
                </w:rPr>
                <w:t>4.8</w:t>
              </w:r>
            </w:hyperlink>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hyperlink r:id="rId19">
              <w:r>
                <w:rPr>
                  <w:rStyle w:val="InternetLink"/>
                </w:rPr>
                <w:t>The material change report of the Registrant dated August 8, 2023 (incorporated by reference from Exhibit 99.1 of the Registrant’s Form 6-K, furnished to the Commission on August 9, 2023)</w:t>
              </w:r>
            </w:hyperlink>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shd w:fill="EEEEEE" w:val="clear"/>
            <w:vAlign w:val="center"/>
          </w:tcPr>
          <w:p>
            <w:pPr>
              <w:pStyle w:val="TableContents"/>
              <w:bidi w:val="0"/>
              <w:spacing w:before="0" w:after="283"/>
              <w:jc w:val="right"/>
              <w:rPr/>
            </w:pPr>
            <w:hyperlink w:anchor="exhibit5-1.htm">
              <w:r>
                <w:rPr>
                  <w:rStyle w:val="InternetLink"/>
                </w:rPr>
                <w:t>5.1</w:t>
              </w:r>
            </w:hyperlink>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hyperlink w:anchor="exhibit5-1.htm">
              <w:r>
                <w:rPr>
                  <w:rStyle w:val="InternetLink"/>
                </w:rPr>
                <w:t>Consent of Zeifmans LLP</w:t>
              </w:r>
            </w:hyperlink>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shd w:fill="EEEEEE" w:val="clear"/>
            <w:vAlign w:val="center"/>
          </w:tcPr>
          <w:p>
            <w:pPr>
              <w:pStyle w:val="TableContents"/>
              <w:bidi w:val="0"/>
              <w:spacing w:before="0" w:after="283"/>
              <w:jc w:val="right"/>
              <w:rPr/>
            </w:pPr>
            <w:r>
              <w:fldChar w:fldCharType="begin"/>
            </w:r>
            <w:r>
              <w:rPr>
                <w:rStyle w:val="InternetLink"/>
              </w:rPr>
              <w:instrText xml:space="preserve"> HYPERLINK "http://www.sec.gov/Archives/edgar/data/1833141/000106299323013734/formf10.htm" \l "page_49"</w:instrText>
            </w:r>
            <w:r>
              <w:rPr>
                <w:rStyle w:val="InternetLink"/>
              </w:rPr>
              <w:fldChar w:fldCharType="separate"/>
            </w:r>
            <w:r>
              <w:rPr>
                <w:rStyle w:val="InternetLink"/>
              </w:rPr>
              <w:t>6.1*</w:t>
            </w:r>
            <w:r>
              <w:rPr>
                <w:rStyle w:val="InternetLink"/>
              </w:rPr>
              <w:fldChar w:fldCharType="end"/>
            </w:r>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r>
              <w:fldChar w:fldCharType="begin"/>
            </w:r>
            <w:r>
              <w:rPr>
                <w:rStyle w:val="InternetLink"/>
              </w:rPr>
              <w:instrText xml:space="preserve"> HYPERLINK "http://www.sec.gov/Archives/edgar/data/1833141/000106299323013734/formf10.htm" \l "page_49"</w:instrText>
            </w:r>
            <w:r>
              <w:rPr>
                <w:rStyle w:val="InternetLink"/>
              </w:rPr>
              <w:fldChar w:fldCharType="separate"/>
            </w:r>
            <w:r>
              <w:rPr>
                <w:rStyle w:val="InternetLink"/>
              </w:rPr>
              <w:t>Powers of Attorney (included on the signature page of the Form F-10 Registration Statement filed with the Commission on June 16, 2023)</w:t>
            </w:r>
            <w:r>
              <w:rPr>
                <w:rStyle w:val="InternetLink"/>
              </w:rPr>
              <w:fldChar w:fldCharType="end"/>
            </w:r>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shd w:fill="EEEEEE" w:val="clear"/>
            <w:vAlign w:val="center"/>
          </w:tcPr>
          <w:p>
            <w:pPr>
              <w:pStyle w:val="TableContents"/>
              <w:bidi w:val="0"/>
              <w:spacing w:before="0" w:after="283"/>
              <w:jc w:val="right"/>
              <w:rPr/>
            </w:pPr>
            <w:hyperlink r:id="rId20">
              <w:r>
                <w:rPr>
                  <w:rStyle w:val="InternetLink"/>
                </w:rPr>
                <w:t>7.1*</w:t>
              </w:r>
            </w:hyperlink>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hyperlink r:id="rId21">
              <w:r>
                <w:rPr>
                  <w:rStyle w:val="InternetLink"/>
                </w:rPr>
                <w:t>Form of Debt Indenture</w:t>
              </w:r>
            </w:hyperlink>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shd w:fill="EEEEEE" w:val="clear"/>
            <w:vAlign w:val="center"/>
          </w:tcPr>
          <w:p>
            <w:pPr>
              <w:pStyle w:val="TableContents"/>
              <w:bidi w:val="0"/>
              <w:spacing w:before="0" w:after="283"/>
              <w:jc w:val="right"/>
              <w:rPr/>
            </w:pPr>
            <w:hyperlink w:anchor="exhibitfilingfees.htm">
              <w:r>
                <w:rPr>
                  <w:rStyle w:val="InternetLink"/>
                </w:rPr>
                <w:t>107</w:t>
              </w:r>
            </w:hyperlink>
          </w:p>
        </w:tc>
        <w:tc>
          <w:tcPr>
            <w:tcW w:w="60" w:type="dxa"/>
            <w:tcBorders/>
            <w:shd w:fill="EEEEEE" w:val="clear"/>
            <w:vAlign w:val="center"/>
          </w:tcPr>
          <w:p>
            <w:pPr>
              <w:pStyle w:val="TableContents"/>
              <w:bidi w:val="0"/>
              <w:spacing w:before="0" w:after="283"/>
              <w:jc w:val="left"/>
              <w:rPr/>
            </w:pPr>
            <w:r>
              <w:rPr/>
              <w:t> </w:t>
            </w:r>
          </w:p>
        </w:tc>
        <w:tc>
          <w:tcPr>
            <w:tcW w:w="9239" w:type="dxa"/>
            <w:tcBorders/>
            <w:shd w:fill="EEEEEE" w:val="clear"/>
            <w:vAlign w:val="center"/>
          </w:tcPr>
          <w:p>
            <w:pPr>
              <w:pStyle w:val="TableContents"/>
              <w:bidi w:val="0"/>
              <w:spacing w:before="0" w:after="283"/>
              <w:jc w:val="both"/>
              <w:rPr/>
            </w:pPr>
            <w:hyperlink w:anchor="exhibitfilingfees.htm">
              <w:r>
                <w:rPr>
                  <w:rStyle w:val="InternetLink"/>
                </w:rPr>
                <w:t>Filing Fee Table</w:t>
              </w:r>
            </w:hyperlink>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 </w:t>
            </w:r>
          </w:p>
        </w:tc>
      </w:tr>
      <w:tr>
        <w:trPr/>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39" w:type="dxa"/>
            <w:tcBorders/>
            <w:vAlign w:val="center"/>
          </w:tcPr>
          <w:p>
            <w:pPr>
              <w:pStyle w:val="TableContents"/>
              <w:bidi w:val="0"/>
              <w:spacing w:before="0" w:after="283"/>
              <w:jc w:val="both"/>
              <w:rPr/>
            </w:pPr>
            <w:r>
              <w:rPr/>
              <w:t>*Previously Filed</w:t>
            </w:r>
          </w:p>
        </w:tc>
      </w:tr>
    </w:tbl>
    <w:p>
      <w:pPr>
        <w:pStyle w:val="TextBody"/>
        <w:bidi w:val="0"/>
        <w:jc w:val="center"/>
        <w:rPr/>
      </w:pPr>
      <w:r>
        <w:rPr/>
        <w:t> </w:t>
      </w:r>
    </w:p>
    <w:p>
      <w:pPr>
        <w:pStyle w:val="TextBody"/>
        <w:bidi w:val="0"/>
        <w:ind w:left="1320" w:right="0" w:hanging="0"/>
        <w:jc w:val="left"/>
        <w:rPr/>
      </w:pPr>
      <w:r>
        <w:rPr/>
        <w:t> </w:t>
      </w:r>
    </w:p>
    <w:p>
      <w:pPr>
        <w:pStyle w:val="HorizontalLine"/>
        <w:pBdr>
          <w:bottom w:val="single" w:sz="30" w:space="0" w:color="000000"/>
        </w:pBdr>
        <w:bidi w:val="0"/>
        <w:jc w:val="left"/>
        <w:rPr/>
      </w:pPr>
      <w:r>
        <w:rPr/>
      </w:r>
    </w:p>
    <w:p>
      <w:pPr>
        <w:pStyle w:val="TextBody"/>
        <w:bidi w:val="0"/>
        <w:jc w:val="center"/>
        <w:rPr>
          <w:b/>
        </w:rPr>
      </w:pPr>
      <w:bookmarkStart w:id="49" w:name="page_45"/>
      <w:bookmarkEnd w:id="49"/>
      <w:r>
        <w:rPr>
          <w:b/>
        </w:rPr>
        <w:t xml:space="preserve">PART III </w:t>
      </w:r>
    </w:p>
    <w:p>
      <w:pPr>
        <w:pStyle w:val="TextBody"/>
        <w:bidi w:val="0"/>
        <w:jc w:val="center"/>
        <w:rPr>
          <w:b/>
        </w:rPr>
      </w:pPr>
      <w:r>
        <w:rPr>
          <w:b/>
        </w:rPr>
        <w:t>UNDERTAKING AND CONSENT TO SERVICE OF PROCESS</w:t>
      </w:r>
    </w:p>
    <w:p>
      <w:pPr>
        <w:pStyle w:val="TextBody"/>
        <w:bidi w:val="0"/>
        <w:jc w:val="both"/>
        <w:rPr>
          <w:b/>
        </w:rPr>
      </w:pPr>
      <w:r>
        <w:rPr>
          <w:b/>
        </w:rPr>
        <w:t xml:space="preserve">Item 1. Undertaking </w:t>
      </w:r>
    </w:p>
    <w:p>
      <w:pPr>
        <w:pStyle w:val="TextBody"/>
        <w:bidi w:val="0"/>
        <w:jc w:val="both"/>
        <w:rPr/>
      </w:pPr>
      <w:r>
        <w:rPr/>
        <w:t>The Registrant undertakes to make available, in person or by telephone, representatives to respond to inquiries made by the Commission staff, and to furnish promptly, when requested to do so by the Commission staff, information relating to the securities registered pursuant to Form F-10 or to transactions in said securities.</w:t>
      </w:r>
    </w:p>
    <w:p>
      <w:pPr>
        <w:pStyle w:val="TextBody"/>
        <w:bidi w:val="0"/>
        <w:jc w:val="both"/>
        <w:rPr>
          <w:b/>
        </w:rPr>
      </w:pPr>
      <w:r>
        <w:rPr>
          <w:b/>
        </w:rPr>
        <w:t xml:space="preserve">Item 2. Consent to Service of Process </w:t>
      </w:r>
    </w:p>
    <w:p>
      <w:pPr>
        <w:pStyle w:val="TextBody"/>
        <w:bidi w:val="0"/>
        <w:jc w:val="both"/>
        <w:rPr/>
      </w:pPr>
      <w:r>
        <w:rPr/>
        <w:t>A written Appointment of Agent for Service of Process and Undertaking on Form F-X for the Registrant and its agent for service of process has been filed.</w:t>
      </w:r>
    </w:p>
    <w:p>
      <w:pPr>
        <w:pStyle w:val="TextBody"/>
        <w:bidi w:val="0"/>
        <w:jc w:val="both"/>
        <w:rPr/>
      </w:pPr>
      <w:r>
        <w:rPr/>
        <w:t>Any change to the name or address of the agent for service of process of the Registrant shall be communicated promptly to the Commission by amendment to Form F-X referencing the file number of this Registration Statement on Form F-10.</w:t>
      </w:r>
    </w:p>
    <w:p>
      <w:pPr>
        <w:pStyle w:val="HorizontalLine"/>
        <w:pBdr>
          <w:bottom w:val="single" w:sz="30" w:space="0" w:color="000000"/>
        </w:pBdr>
        <w:bidi w:val="0"/>
        <w:jc w:val="left"/>
        <w:rPr/>
      </w:pPr>
      <w:r>
        <w:rPr/>
      </w:r>
    </w:p>
    <w:p>
      <w:pPr>
        <w:pStyle w:val="TextBody"/>
        <w:bidi w:val="0"/>
        <w:jc w:val="center"/>
        <w:rPr>
          <w:b/>
        </w:rPr>
      </w:pPr>
      <w:bookmarkStart w:id="50" w:name="page_46"/>
      <w:bookmarkEnd w:id="50"/>
      <w:r>
        <w:rPr>
          <w:b/>
        </w:rPr>
        <w:t xml:space="preserve">SIGNATURES </w:t>
      </w:r>
    </w:p>
    <w:p>
      <w:pPr>
        <w:pStyle w:val="TextBody"/>
        <w:bidi w:val="0"/>
        <w:jc w:val="both"/>
        <w:rPr/>
      </w:pPr>
      <w:r>
        <w:rPr/>
        <w:t>Pursuant to the requirements of the Securities Act of 1933, as amended, the registrant certifies that it has reasonable grounds to believe that it meets all of the requirements for filing on Form F-10 and has duly caused this Amendment No. 1 to Registration Statement to be signed on its behalf by the undersigned, thereunto duly authorized, in the City of Toronto, Country of Canada on August 17, 2023.</w:t>
      </w:r>
    </w:p>
    <w:tbl>
      <w:tblPr>
        <w:tblW w:w="3315" w:type="dxa"/>
        <w:jc w:val="left"/>
        <w:tblInd w:w="0" w:type="dxa"/>
        <w:tblLayout w:type="fixed"/>
        <w:tblCellMar>
          <w:top w:w="0" w:type="dxa"/>
          <w:left w:w="0" w:type="dxa"/>
          <w:bottom w:w="0" w:type="dxa"/>
          <w:right w:w="0" w:type="dxa"/>
        </w:tblCellMar>
      </w:tblPr>
      <w:tblGrid>
        <w:gridCol w:w="75"/>
        <w:gridCol w:w="365"/>
        <w:gridCol w:w="650"/>
        <w:gridCol w:w="2225"/>
      </w:tblGrid>
      <w:tr>
        <w:trPr/>
        <w:tc>
          <w:tcPr>
            <w:tcW w:w="75" w:type="dxa"/>
            <w:tcBorders/>
            <w:vAlign w:val="center"/>
          </w:tcPr>
          <w:p>
            <w:pPr>
              <w:pStyle w:val="TableContents"/>
              <w:bidi w:val="0"/>
              <w:spacing w:before="0" w:after="0"/>
              <w:jc w:val="left"/>
              <w:rPr/>
            </w:pPr>
            <w:r>
              <w:rPr/>
              <w:t> </w:t>
            </w:r>
          </w:p>
        </w:tc>
        <w:tc>
          <w:tcPr>
            <w:tcW w:w="3240" w:type="dxa"/>
            <w:gridSpan w:val="3"/>
            <w:tcBorders/>
            <w:vAlign w:val="center"/>
          </w:tcPr>
          <w:p>
            <w:pPr>
              <w:pStyle w:val="TableContents"/>
              <w:bidi w:val="0"/>
              <w:spacing w:before="0" w:after="0"/>
              <w:jc w:val="left"/>
              <w:rPr/>
            </w:pPr>
            <w:r>
              <w:rPr>
                <w:b/>
              </w:rPr>
              <w:t>CYBIN INC.</w:t>
            </w:r>
            <w:r>
              <w:rPr/>
              <w:t> </w:t>
            </w:r>
          </w:p>
        </w:tc>
      </w:tr>
      <w:tr>
        <w:trPr/>
        <w:tc>
          <w:tcPr>
            <w:tcW w:w="75" w:type="dxa"/>
            <w:tcBorders/>
            <w:vAlign w:val="center"/>
          </w:tcPr>
          <w:p>
            <w:pPr>
              <w:pStyle w:val="TableContents"/>
              <w:bidi w:val="0"/>
              <w:spacing w:before="0" w:after="0"/>
              <w:jc w:val="left"/>
              <w:rPr/>
            </w:pPr>
            <w:r>
              <w:rPr/>
              <w:t> </w:t>
            </w:r>
          </w:p>
        </w:tc>
        <w:tc>
          <w:tcPr>
            <w:tcW w:w="3240" w:type="dxa"/>
            <w:gridSpan w:val="3"/>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By:</w:t>
            </w:r>
          </w:p>
        </w:tc>
        <w:tc>
          <w:tcPr>
            <w:tcW w:w="2875" w:type="dxa"/>
            <w:gridSpan w:val="2"/>
            <w:tcBorders>
              <w:bottom w:val="single" w:sz="6" w:space="0" w:color="000000"/>
            </w:tcBorders>
            <w:tcMar>
              <w:bottom w:w="28" w:type="dxa"/>
            </w:tcMar>
            <w:vAlign w:val="center"/>
          </w:tcPr>
          <w:p>
            <w:pPr>
              <w:pStyle w:val="TableContents"/>
              <w:bidi w:val="0"/>
              <w:spacing w:before="0" w:after="283"/>
              <w:jc w:val="left"/>
              <w:rPr>
                <w:i/>
              </w:rPr>
            </w:pPr>
            <w:r>
              <w:rPr>
                <w:i/>
              </w:rPr>
              <w:t>/s/ Greg Cavers</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Name:</w:t>
            </w:r>
          </w:p>
        </w:tc>
        <w:tc>
          <w:tcPr>
            <w:tcW w:w="2225" w:type="dxa"/>
            <w:tcBorders/>
            <w:vAlign w:val="center"/>
          </w:tcPr>
          <w:p>
            <w:pPr>
              <w:pStyle w:val="TableContents"/>
              <w:bidi w:val="0"/>
              <w:spacing w:before="0" w:after="0"/>
              <w:jc w:val="left"/>
              <w:rPr/>
            </w:pPr>
            <w:r>
              <w:rPr/>
              <w:t>Greg Cavers</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Title:</w:t>
            </w:r>
          </w:p>
        </w:tc>
        <w:tc>
          <w:tcPr>
            <w:tcW w:w="2225"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both"/>
        <w:rPr/>
      </w:pPr>
      <w:bookmarkStart w:id="51" w:name="page_47"/>
      <w:bookmarkEnd w:id="51"/>
      <w:r>
        <w:rPr/>
        <w:t>Pursuant to the requirements of the Securities Act of 1933, this Registration Statement has been signed below by the following persons in the capacities indicated and on the dates indicated.</w:t>
      </w:r>
    </w:p>
    <w:tbl>
      <w:tblPr>
        <w:tblW w:w="8025" w:type="dxa"/>
        <w:jc w:val="left"/>
        <w:tblInd w:w="0" w:type="dxa"/>
        <w:tblLayout w:type="fixed"/>
        <w:tblCellMar>
          <w:top w:w="0" w:type="dxa"/>
          <w:left w:w="0" w:type="dxa"/>
          <w:bottom w:w="0" w:type="dxa"/>
          <w:right w:w="0" w:type="dxa"/>
        </w:tblCellMar>
      </w:tblPr>
      <w:tblGrid>
        <w:gridCol w:w="1745"/>
        <w:gridCol w:w="60"/>
        <w:gridCol w:w="4535"/>
        <w:gridCol w:w="60"/>
        <w:gridCol w:w="1625"/>
      </w:tblGrid>
      <w:tr>
        <w:trPr/>
        <w:tc>
          <w:tcPr>
            <w:tcW w:w="1745" w:type="dxa"/>
            <w:tcBorders/>
            <w:vAlign w:val="center"/>
          </w:tcPr>
          <w:p>
            <w:pPr>
              <w:pStyle w:val="TableContents"/>
              <w:bidi w:val="0"/>
              <w:spacing w:before="0" w:after="283"/>
              <w:jc w:val="center"/>
              <w:rPr>
                <w:b/>
              </w:rPr>
            </w:pPr>
            <w:r>
              <w:rPr>
                <w:b/>
              </w:rPr>
              <w:t xml:space="preserve">Signature </w:t>
            </w:r>
          </w:p>
        </w:tc>
        <w:tc>
          <w:tcPr>
            <w:tcW w:w="60" w:type="dxa"/>
            <w:tcBorders/>
            <w:vAlign w:val="center"/>
          </w:tcPr>
          <w:p>
            <w:pPr>
              <w:pStyle w:val="TableContents"/>
              <w:bidi w:val="0"/>
              <w:spacing w:before="0" w:after="283"/>
              <w:jc w:val="center"/>
              <w:rPr/>
            </w:pPr>
            <w:r>
              <w:rPr/>
              <w:t> </w:t>
            </w:r>
          </w:p>
        </w:tc>
        <w:tc>
          <w:tcPr>
            <w:tcW w:w="4535" w:type="dxa"/>
            <w:tcBorders/>
            <w:vAlign w:val="center"/>
          </w:tcPr>
          <w:p>
            <w:pPr>
              <w:pStyle w:val="TableContents"/>
              <w:bidi w:val="0"/>
              <w:spacing w:before="0" w:after="283"/>
              <w:jc w:val="center"/>
              <w:rPr>
                <w:b/>
              </w:rPr>
            </w:pPr>
            <w:r>
              <w:rPr>
                <w:b/>
              </w:rPr>
              <w:t xml:space="preserve">Capacity </w:t>
            </w:r>
          </w:p>
        </w:tc>
        <w:tc>
          <w:tcPr>
            <w:tcW w:w="60" w:type="dxa"/>
            <w:tcBorders/>
            <w:vAlign w:val="center"/>
          </w:tcPr>
          <w:p>
            <w:pPr>
              <w:pStyle w:val="TableContents"/>
              <w:bidi w:val="0"/>
              <w:spacing w:before="0" w:after="283"/>
              <w:jc w:val="center"/>
              <w:rPr/>
            </w:pPr>
            <w:r>
              <w:rPr/>
              <w:t> </w:t>
            </w:r>
          </w:p>
        </w:tc>
        <w:tc>
          <w:tcPr>
            <w:tcW w:w="1625" w:type="dxa"/>
            <w:tcBorders/>
            <w:vAlign w:val="center"/>
          </w:tcPr>
          <w:p>
            <w:pPr>
              <w:pStyle w:val="TableContents"/>
              <w:bidi w:val="0"/>
              <w:spacing w:before="0" w:after="283"/>
              <w:jc w:val="center"/>
              <w:rPr>
                <w:b/>
              </w:rPr>
            </w:pPr>
            <w:r>
              <w:rPr>
                <w:b/>
              </w:rPr>
              <w:t xml:space="preserve">Date </w:t>
            </w:r>
          </w:p>
        </w:tc>
      </w:tr>
      <w:tr>
        <w:trPr/>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Chief Executive Officer</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August 17, 2023</w:t>
            </w:r>
          </w:p>
        </w:tc>
      </w:tr>
      <w:tr>
        <w:trPr/>
        <w:tc>
          <w:tcPr>
            <w:tcW w:w="1745" w:type="dxa"/>
            <w:tcBorders/>
            <w:vAlign w:val="center"/>
          </w:tcPr>
          <w:p>
            <w:pPr>
              <w:pStyle w:val="TableContents"/>
              <w:bidi w:val="0"/>
              <w:spacing w:before="0" w:after="283"/>
              <w:jc w:val="center"/>
              <w:rPr/>
            </w:pPr>
            <w:r>
              <w:rPr/>
              <w:t>Douglas Drysdale</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bottom w:val="single" w:sz="6" w:space="0" w:color="000000"/>
            </w:tcBorders>
            <w:tcMar>
              <w:bottom w:w="28" w:type="dxa"/>
            </w:tcMar>
            <w:vAlign w:val="center"/>
          </w:tcPr>
          <w:p>
            <w:pPr>
              <w:pStyle w:val="TableContents"/>
              <w:bidi w:val="0"/>
              <w:spacing w:before="0" w:after="283"/>
              <w:jc w:val="center"/>
              <w:rPr>
                <w:i/>
              </w:rPr>
            </w:pPr>
            <w:r>
              <w:rPr>
                <w:i/>
              </w:rPr>
              <w:t>/s/ Greg Cavers</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center"/>
              <w:rPr/>
            </w:pPr>
            <w:r>
              <w:rPr/>
              <w:t>Greg Cavers</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August 17, 2023</w:t>
            </w:r>
          </w:p>
        </w:tc>
      </w:tr>
      <w:tr>
        <w:trPr/>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center"/>
              <w:rPr/>
            </w:pPr>
            <w:r>
              <w:rPr/>
              <w:t>Eric So</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Director and Executive Chairman and President</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August 17, 2023</w:t>
            </w:r>
          </w:p>
        </w:tc>
      </w:tr>
      <w:tr>
        <w:trPr/>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center"/>
              <w:rPr/>
            </w:pPr>
            <w:r>
              <w:rPr/>
              <w:t>Eric Hoskins</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August 17, 2023</w:t>
            </w:r>
          </w:p>
        </w:tc>
      </w:tr>
      <w:tr>
        <w:trPr/>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center"/>
              <w:rPr/>
            </w:pPr>
            <w:r>
              <w:rPr/>
              <w:t>Grant Froese</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August 17, 2023</w:t>
            </w:r>
          </w:p>
        </w:tc>
      </w:tr>
      <w:tr>
        <w:trPr/>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center"/>
              <w:rPr/>
            </w:pPr>
            <w:r>
              <w:rPr/>
              <w:t>Mark Lawson</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August 17, 2023</w:t>
            </w:r>
          </w:p>
        </w:tc>
      </w:tr>
      <w:tr>
        <w:trPr/>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center"/>
              <w:rPr/>
            </w:pPr>
            <w:r>
              <w:rPr/>
              <w:t>Theresa Firestone</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August 17, 2023</w:t>
            </w:r>
          </w:p>
        </w:tc>
      </w:tr>
      <w:tr>
        <w:trPr/>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center"/>
              <w:rPr/>
            </w:pPr>
            <w:r>
              <w:rPr/>
              <w:t>Paul Glavine</w:t>
            </w:r>
          </w:p>
        </w:tc>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pPr>
            <w:r>
              <w:rPr/>
              <w:t>August 17, 2023</w:t>
            </w:r>
          </w:p>
        </w:tc>
      </w:tr>
    </w:tbl>
    <w:p>
      <w:pPr>
        <w:pStyle w:val="TextBody"/>
        <w:bidi w:val="0"/>
        <w:spacing w:before="0" w:after="0"/>
        <w:jc w:val="left"/>
        <w:rPr/>
      </w:pPr>
      <w:r>
        <w:rPr/>
      </w:r>
    </w:p>
    <w:tbl>
      <w:tblPr>
        <w:tblW w:w="2700" w:type="dxa"/>
        <w:jc w:val="left"/>
        <w:tblInd w:w="0" w:type="dxa"/>
        <w:tblLayout w:type="fixed"/>
        <w:tblCellMar>
          <w:top w:w="0" w:type="dxa"/>
          <w:left w:w="0" w:type="dxa"/>
          <w:bottom w:w="0" w:type="dxa"/>
          <w:right w:w="0" w:type="dxa"/>
        </w:tblCellMar>
      </w:tblPr>
      <w:tblGrid>
        <w:gridCol w:w="500"/>
        <w:gridCol w:w="650"/>
        <w:gridCol w:w="1550"/>
      </w:tblGrid>
      <w:tr>
        <w:trPr/>
        <w:tc>
          <w:tcPr>
            <w:tcW w:w="500" w:type="dxa"/>
            <w:tcBorders/>
            <w:vAlign w:val="center"/>
          </w:tcPr>
          <w:p>
            <w:pPr>
              <w:pStyle w:val="TableContents"/>
              <w:bidi w:val="0"/>
              <w:spacing w:before="0" w:after="283"/>
              <w:jc w:val="left"/>
              <w:rPr/>
            </w:pPr>
            <w:r>
              <w:rPr>
                <w:b/>
              </w:rPr>
              <w:t>*</w:t>
            </w:r>
            <w:r>
              <w:rPr/>
              <w:t>By:</w:t>
            </w:r>
          </w:p>
        </w:tc>
        <w:tc>
          <w:tcPr>
            <w:tcW w:w="2200" w:type="dxa"/>
            <w:gridSpan w:val="2"/>
            <w:tcBorders>
              <w:bottom w:val="single" w:sz="6" w:space="0" w:color="000000"/>
            </w:tcBorders>
            <w:tcMar>
              <w:bottom w:w="28" w:type="dxa"/>
            </w:tcMar>
            <w:vAlign w:val="center"/>
          </w:tcPr>
          <w:p>
            <w:pPr>
              <w:pStyle w:val="TableContents"/>
              <w:bidi w:val="0"/>
              <w:spacing w:before="0" w:after="283"/>
              <w:jc w:val="left"/>
              <w:rPr>
                <w:i/>
              </w:rPr>
            </w:pPr>
            <w:r>
              <w:rPr>
                <w:i/>
              </w:rPr>
              <w:t>/s/ Greg Cavers</w:t>
            </w:r>
          </w:p>
        </w:tc>
      </w:tr>
      <w:tr>
        <w:trPr/>
        <w:tc>
          <w:tcPr>
            <w:tcW w:w="5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550" w:type="dxa"/>
            <w:tcBorders/>
            <w:vAlign w:val="center"/>
          </w:tcPr>
          <w:p>
            <w:pPr>
              <w:pStyle w:val="TableContents"/>
              <w:bidi w:val="0"/>
              <w:spacing w:before="0" w:after="283"/>
              <w:jc w:val="left"/>
              <w:rPr/>
            </w:pPr>
            <w:r>
              <w:rPr/>
              <w:t>Greg Cavers</w:t>
            </w:r>
          </w:p>
        </w:tc>
      </w:tr>
      <w:tr>
        <w:trPr/>
        <w:tc>
          <w:tcPr>
            <w:tcW w:w="5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550" w:type="dxa"/>
            <w:tcBorders/>
            <w:vAlign w:val="center"/>
          </w:tcPr>
          <w:p>
            <w:pPr>
              <w:pStyle w:val="TableContents"/>
              <w:bidi w:val="0"/>
              <w:spacing w:before="0" w:after="283"/>
              <w:jc w:val="left"/>
              <w:rPr/>
            </w:pPr>
            <w:r>
              <w:rPr/>
              <w:t>Attorney-in-fact</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0" w:after="283"/>
        <w:jc w:val="left"/>
        <w:rPr/>
      </w:pPr>
      <w:r>
        <w:rPr/>
      </w:r>
      <w:bookmarkStart w:id="52" w:name="page_48"/>
      <w:bookmarkStart w:id="53" w:name="page_48"/>
      <w:bookmarkEnd w:id="53"/>
    </w:p>
    <w:p>
      <w:pPr>
        <w:pStyle w:val="TextBody"/>
        <w:bidi w:val="0"/>
        <w:jc w:val="center"/>
        <w:rPr>
          <w:b/>
        </w:rPr>
      </w:pPr>
      <w:r>
        <w:rPr>
          <w:b/>
        </w:rPr>
        <w:t>AUTHORIZED REPRESENTATIVE</w:t>
      </w:r>
    </w:p>
    <w:p>
      <w:pPr>
        <w:pStyle w:val="TextBody"/>
        <w:bidi w:val="0"/>
        <w:jc w:val="both"/>
        <w:rPr/>
      </w:pPr>
      <w:r>
        <w:rPr/>
        <w:t>Pursuant to the requirements of Section 6(a) of the Securities Act of 1933, as amended, the undersigned has signed this Amendment No. 1 to Registration Statement, in the capacity of the duly authorized representative of the Registrant in the United States, on August 17, 2023.</w:t>
      </w:r>
    </w:p>
    <w:tbl>
      <w:tblPr>
        <w:tblW w:w="3050" w:type="dxa"/>
        <w:jc w:val="left"/>
        <w:tblInd w:w="0" w:type="dxa"/>
        <w:tblLayout w:type="fixed"/>
        <w:tblCellMar>
          <w:top w:w="0" w:type="dxa"/>
          <w:left w:w="0" w:type="dxa"/>
          <w:bottom w:w="0" w:type="dxa"/>
          <w:right w:w="0" w:type="dxa"/>
        </w:tblCellMar>
      </w:tblPr>
      <w:tblGrid>
        <w:gridCol w:w="60"/>
        <w:gridCol w:w="2990"/>
      </w:tblGrid>
      <w:tr>
        <w:trPr/>
        <w:tc>
          <w:tcPr>
            <w:tcW w:w="60" w:type="dxa"/>
            <w:tcBorders/>
            <w:vAlign w:val="center"/>
          </w:tcPr>
          <w:p>
            <w:pPr>
              <w:pStyle w:val="TableContents"/>
              <w:bidi w:val="0"/>
              <w:spacing w:before="0" w:after="283"/>
              <w:jc w:val="left"/>
              <w:rPr/>
            </w:pPr>
            <w:r>
              <w:rPr/>
              <w:t> </w:t>
            </w:r>
          </w:p>
        </w:tc>
        <w:tc>
          <w:tcPr>
            <w:tcW w:w="2990" w:type="dxa"/>
            <w:tcBorders>
              <w:bottom w:val="single" w:sz="6" w:space="0" w:color="000000"/>
            </w:tcBorders>
            <w:tcMar>
              <w:bottom w:w="28" w:type="dxa"/>
            </w:tcMar>
            <w:vAlign w:val="center"/>
          </w:tcPr>
          <w:p>
            <w:pPr>
              <w:pStyle w:val="TableContents"/>
              <w:bidi w:val="0"/>
              <w:spacing w:before="0" w:after="283"/>
              <w:jc w:val="left"/>
              <w:rPr/>
            </w:pPr>
            <w:r>
              <w:rPr/>
              <w:t xml:space="preserve">                </w:t>
            </w:r>
            <w:r>
              <w:rPr>
                <w:i/>
              </w:rPr>
              <w:t>/s/ Douglas Drysdale</w:t>
            </w:r>
          </w:p>
        </w:tc>
      </w:tr>
      <w:tr>
        <w:trPr/>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Name: Douglas Drysdale</w:t>
            </w:r>
          </w:p>
        </w:tc>
      </w:tr>
      <w:tr>
        <w:trPr/>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Title:  Chief Executive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54" w:name="exhibit5-1.htm"/>
      <w:bookmarkStart w:id="55" w:name="ksexhibit51"/>
      <w:bookmarkStart w:id="56" w:name="exhibit5-1.htm"/>
      <w:bookmarkStart w:id="57" w:name="ksexhibit51"/>
      <w:bookmarkEnd w:id="56"/>
      <w:bookmarkEnd w:id="57"/>
      <w:r>
        <w:br w:type="page"/>
      </w:r>
    </w:p>
    <w:p>
      <w:pPr>
        <w:pStyle w:val="TextBody"/>
        <w:bidi w:val="0"/>
        <w:jc w:val="both"/>
        <w:rPr/>
      </w:pPr>
      <w:bookmarkStart w:id="58" w:name="page_16"/>
      <w:bookmarkEnd w:id="58"/>
      <w:r>
        <w:rPr/>
        <w:drawing>
          <wp:inline distT="0" distB="0" distL="0" distR="0">
            <wp:extent cx="152400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1524000" cy="447675"/>
                    </a:xfrm>
                    <a:prstGeom prst="rect">
                      <a:avLst/>
                    </a:prstGeom>
                  </pic:spPr>
                </pic:pic>
              </a:graphicData>
            </a:graphic>
          </wp:inline>
        </w:drawing>
      </w:r>
    </w:p>
    <w:p>
      <w:pPr>
        <w:pStyle w:val="TextBody"/>
        <w:shd w:fill="FFFFFF" w:val="clear"/>
        <w:bidi w:val="0"/>
        <w:jc w:val="both"/>
        <w:rPr/>
      </w:pPr>
      <w:r>
        <w:rPr/>
        <w:t> </w:t>
      </w:r>
    </w:p>
    <w:p>
      <w:pPr>
        <w:pStyle w:val="TextBody"/>
        <w:shd w:fill="FFFFFF" w:val="clear"/>
        <w:bidi w:val="0"/>
        <w:jc w:val="both"/>
        <w:rPr/>
      </w:pPr>
      <w:r>
        <w:rPr/>
        <w:t>We consent to the incorporation by reference into the Amendment No. 1 to Registration Statement on Form F-10 (the "Form F-10/A") of Cybin Inc. (the "Company") being filed with the United States Securities and Exchange Commission, and any amendments thereto, of our report, dated June 27, 2023, on the consolidated statements of financial position of the Company as of March 31, 2023 and 2022, and the consolidated statements of loss and comprehensive loss, changes in shareholders' equity and cash flows for the years then ended, and notes to the consolidated financial statements, including a summary of significant accounting policies. We also consent to the reference to us under the caption "Auditors, Transfer Agent and Registrar" in the short-form base shelf prospectus contained in the Form F-10/A.</w:t>
      </w:r>
    </w:p>
    <w:p>
      <w:pPr>
        <w:pStyle w:val="TextBody"/>
        <w:shd w:fill="FFFFFF" w:val="clear"/>
        <w:bidi w:val="0"/>
        <w:jc w:val="both"/>
        <w:rPr/>
      </w:pPr>
      <w:r>
        <w:rPr/>
        <w:t> </w:t>
      </w:r>
    </w:p>
    <w:tbl>
      <w:tblPr>
        <w:tblW w:w="5155" w:type="dxa"/>
        <w:jc w:val="left"/>
        <w:tblInd w:w="0" w:type="dxa"/>
        <w:tblLayout w:type="fixed"/>
        <w:tblCellMar>
          <w:top w:w="0" w:type="dxa"/>
          <w:left w:w="0" w:type="dxa"/>
          <w:bottom w:w="0" w:type="dxa"/>
          <w:right w:w="0" w:type="dxa"/>
        </w:tblCellMar>
      </w:tblPr>
      <w:tblGrid>
        <w:gridCol w:w="1745"/>
        <w:gridCol w:w="3410"/>
      </w:tblGrid>
      <w:tr>
        <w:trPr/>
        <w:tc>
          <w:tcPr>
            <w:tcW w:w="1745" w:type="dxa"/>
            <w:tcBorders/>
            <w:vAlign w:val="center"/>
          </w:tcPr>
          <w:p>
            <w:pPr>
              <w:pStyle w:val="TableContents"/>
              <w:bidi w:val="0"/>
              <w:spacing w:before="0" w:after="283"/>
              <w:jc w:val="left"/>
              <w:rPr/>
            </w:pPr>
            <w:r>
              <w:rPr/>
              <w:t> </w:t>
            </w:r>
          </w:p>
        </w:tc>
        <w:tc>
          <w:tcPr>
            <w:tcW w:w="3410" w:type="dxa"/>
            <w:tcBorders>
              <w:bottom w:val="single" w:sz="6" w:space="0" w:color="000000"/>
            </w:tcBorders>
            <w:tcMar>
              <w:bottom w:w="28" w:type="dxa"/>
            </w:tcMar>
            <w:vAlign w:val="center"/>
          </w:tcPr>
          <w:p>
            <w:pPr>
              <w:pStyle w:val="TableContents"/>
              <w:bidi w:val="0"/>
              <w:spacing w:before="0" w:after="283"/>
              <w:jc w:val="center"/>
              <w:rPr>
                <w:i/>
              </w:rPr>
            </w:pPr>
            <w:r>
              <w:rPr>
                <w:i/>
              </w:rPr>
              <w:t>/s/ Zeifmans LLP</w:t>
            </w:r>
          </w:p>
        </w:tc>
      </w:tr>
      <w:tr>
        <w:trPr/>
        <w:tc>
          <w:tcPr>
            <w:tcW w:w="1745" w:type="dxa"/>
            <w:tcBorders/>
            <w:vAlign w:val="center"/>
          </w:tcPr>
          <w:p>
            <w:pPr>
              <w:pStyle w:val="TableContents"/>
              <w:bidi w:val="0"/>
              <w:spacing w:before="0" w:after="283"/>
              <w:jc w:val="left"/>
              <w:rPr/>
            </w:pPr>
            <w:r>
              <w:rPr/>
              <w:t xml:space="preserve">Toronto, Canada  </w:t>
              <w:br/>
              <w:t>August 17, 2023</w:t>
            </w:r>
          </w:p>
        </w:tc>
        <w:tc>
          <w:tcPr>
            <w:tcW w:w="3410" w:type="dxa"/>
            <w:tcBorders/>
            <w:vAlign w:val="center"/>
          </w:tcPr>
          <w:p>
            <w:pPr>
              <w:pStyle w:val="TableContents"/>
              <w:bidi w:val="0"/>
              <w:spacing w:before="0" w:after="283"/>
              <w:jc w:val="center"/>
              <w:rPr/>
            </w:pPr>
            <w:r>
              <w:rPr/>
              <w:t>Chartered Professional Accountants</w:t>
              <w:br/>
              <w:t>Licensed Public Accountants</w:t>
            </w:r>
          </w:p>
        </w:tc>
      </w:tr>
    </w:tbl>
    <w:p>
      <w:pPr>
        <w:pStyle w:val="TextBody"/>
        <w:bidi w:val="0"/>
        <w:spacing w:before="0" w:after="0"/>
        <w:jc w:val="left"/>
        <w:rPr/>
      </w:pPr>
      <w:r>
        <w:rPr/>
      </w:r>
    </w:p>
    <w:tbl>
      <w:tblPr>
        <w:tblW w:w="8920" w:type="dxa"/>
        <w:jc w:val="left"/>
        <w:tblInd w:w="0" w:type="dxa"/>
        <w:tblLayout w:type="fixed"/>
        <w:tblCellMar>
          <w:top w:w="0" w:type="dxa"/>
          <w:left w:w="0" w:type="dxa"/>
          <w:bottom w:w="0" w:type="dxa"/>
          <w:right w:w="0" w:type="dxa"/>
        </w:tblCellMar>
      </w:tblPr>
      <w:tblGrid>
        <w:gridCol w:w="6065"/>
        <w:gridCol w:w="1610"/>
        <w:gridCol w:w="60"/>
        <w:gridCol w:w="1185"/>
      </w:tblGrid>
      <w:tr>
        <w:trPr/>
        <w:tc>
          <w:tcPr>
            <w:tcW w:w="6065" w:type="dxa"/>
            <w:tcBorders/>
            <w:vAlign w:val="center"/>
          </w:tcPr>
          <w:p>
            <w:pPr>
              <w:pStyle w:val="TableContents"/>
              <w:bidi w:val="0"/>
              <w:spacing w:before="0" w:after="0"/>
              <w:jc w:val="left"/>
              <w:rPr>
                <w:color w:val="A6A6A6"/>
              </w:rPr>
            </w:pPr>
            <w:r>
              <w:rPr>
                <w:color w:val="A6A6A6"/>
              </w:rPr>
              <w:t>201 Bridgeland Avenue | Toronto Ontario | M6A 1Y7 | Canada</w:t>
            </w:r>
          </w:p>
        </w:tc>
        <w:tc>
          <w:tcPr>
            <w:tcW w:w="1610" w:type="dxa"/>
            <w:tcBorders>
              <w:left w:val="single" w:sz="6" w:space="0" w:color="BEBEBE"/>
              <w:right w:val="single" w:sz="6" w:space="0" w:color="BEBEBE"/>
            </w:tcBorders>
            <w:tcMar>
              <w:left w:w="720" w:type="dxa"/>
              <w:right w:w="28" w:type="dxa"/>
            </w:tcMar>
            <w:vAlign w:val="center"/>
          </w:tcPr>
          <w:p>
            <w:pPr>
              <w:pStyle w:val="TableContents"/>
              <w:bidi w:val="0"/>
              <w:spacing w:before="0" w:after="283"/>
              <w:jc w:val="left"/>
              <w:rPr/>
            </w:pPr>
            <w:r>
              <w:rPr>
                <w:color w:val="0000FF"/>
                <w:u w:val="single"/>
              </w:rPr>
              <w:t>zeifmans.ca</w:t>
            </w:r>
            <w:r>
              <w:rPr>
                <w:color w:val="A6A6A6"/>
              </w:rPr>
              <w:t> </w:t>
            </w:r>
            <w:r>
              <w:rPr/>
              <w:br/>
            </w:r>
            <w:r>
              <w:rPr>
                <w:color w:val="A6A6A6"/>
              </w:rPr>
              <w:t>T: 416.256.4000</w:t>
            </w:r>
          </w:p>
        </w:tc>
        <w:tc>
          <w:tcPr>
            <w:tcW w:w="60" w:type="dxa"/>
            <w:tcBorders>
              <w:left w:val="single" w:sz="6" w:space="0" w:color="BEBEBE"/>
            </w:tcBorders>
            <w:tcMar>
              <w:left w:w="432" w:type="dxa"/>
            </w:tcMar>
            <w:vAlign w:val="center"/>
          </w:tcPr>
          <w:p>
            <w:pPr>
              <w:pStyle w:val="TableContents"/>
              <w:bidi w:val="0"/>
              <w:spacing w:before="0" w:after="283"/>
              <w:jc w:val="right"/>
              <w:rPr/>
            </w:pPr>
            <w:r>
              <w:rPr>
                <w:color w:val="BEBEBE"/>
              </w:rPr>
              <w:t> </w:t>
            </w:r>
            <w:r>
              <w:rPr/>
              <w:br/>
            </w:r>
            <w:r>
              <w:rPr>
                <w:color w:val="BEBEBE"/>
              </w:rPr>
              <w:t> </w:t>
            </w:r>
          </w:p>
        </w:tc>
        <w:tc>
          <w:tcPr>
            <w:tcW w:w="1185" w:type="dxa"/>
            <w:tcBorders/>
            <w:vAlign w:val="center"/>
          </w:tcPr>
          <w:p>
            <w:pPr>
              <w:pStyle w:val="TableContents"/>
              <w:bidi w:val="0"/>
              <w:spacing w:before="0" w:after="283"/>
              <w:jc w:val="center"/>
              <w:rPr/>
            </w:pPr>
            <w:r>
              <w:rPr/>
              <w:drawing>
                <wp:inline distT="0" distB="0" distL="0" distR="0">
                  <wp:extent cx="742950" cy="323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3"/>
                          <a:stretch>
                            <a:fillRect/>
                          </a:stretch>
                        </pic:blipFill>
                        <pic:spPr bwMode="auto">
                          <a:xfrm>
                            <a:off x="0" y="0"/>
                            <a:ext cx="742950" cy="323850"/>
                          </a:xfrm>
                          <a:prstGeom prst="rect">
                            <a:avLst/>
                          </a:prstGeom>
                        </pic:spPr>
                      </pic:pic>
                    </a:graphicData>
                  </a:graphic>
                </wp:inline>
              </w:drawing>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59" w:name="exhibitfilingfees.htm"/>
      <w:bookmarkStart w:id="60" w:name="ksexhibitfilingfees"/>
      <w:bookmarkStart w:id="61" w:name="exhibitfilingfees.htm"/>
      <w:bookmarkStart w:id="62" w:name="ksexhibitfilingfees"/>
      <w:bookmarkEnd w:id="61"/>
      <w:bookmarkEnd w:id="62"/>
      <w:r>
        <w:br w:type="page"/>
      </w:r>
    </w:p>
    <w:p>
      <w:pPr>
        <w:pStyle w:val="TextBody"/>
        <w:bidi w:val="0"/>
        <w:jc w:val="right"/>
        <w:rPr>
          <w:b/>
        </w:rPr>
      </w:pPr>
      <w:bookmarkStart w:id="63" w:name="page_110"/>
      <w:bookmarkEnd w:id="63"/>
      <w:r>
        <w:rPr>
          <w:b/>
        </w:rPr>
        <w:t>EX-FILING FEES</w:t>
      </w:r>
    </w:p>
    <w:p>
      <w:pPr>
        <w:pStyle w:val="TextBody"/>
        <w:bidi w:val="0"/>
        <w:jc w:val="center"/>
        <w:rPr>
          <w:b/>
        </w:rPr>
      </w:pPr>
      <w:r>
        <w:rPr>
          <w:b/>
        </w:rPr>
        <w:t>Calculation of Filing Fee Tables</w:t>
      </w:r>
    </w:p>
    <w:p>
      <w:pPr>
        <w:pStyle w:val="TextBody"/>
        <w:bidi w:val="0"/>
        <w:jc w:val="center"/>
        <w:rPr/>
      </w:pPr>
      <w:r>
        <w:rPr>
          <w:b/>
          <w:sz w:val="36"/>
        </w:rPr>
        <w:t>FORM F-10</w:t>
      </w:r>
      <w:r>
        <w:rPr/>
        <w:br/>
        <w:t>(Form Type)</w:t>
      </w:r>
    </w:p>
    <w:p>
      <w:pPr>
        <w:pStyle w:val="TextBody"/>
        <w:bidi w:val="0"/>
        <w:jc w:val="center"/>
        <w:rPr/>
      </w:pPr>
      <w:r>
        <w:rPr>
          <w:b/>
          <w:sz w:val="36"/>
          <w:u w:val="single"/>
        </w:rPr>
        <w:t>CYBIN INC.</w:t>
      </w:r>
      <w:r>
        <w:rPr/>
        <w:br/>
        <w:t>(Exact Name of Registrant as Specified in its Charter)</w:t>
      </w:r>
    </w:p>
    <w:p>
      <w:pPr>
        <w:pStyle w:val="TextBody"/>
        <w:bidi w:val="0"/>
        <w:jc w:val="center"/>
        <w:rPr>
          <w:b/>
        </w:rPr>
      </w:pPr>
      <w:r>
        <w:rPr>
          <w:b/>
        </w:rPr>
        <w:t>Table 1: Newly Registered and Carry Forward Securities</w:t>
      </w:r>
    </w:p>
    <w:tbl>
      <w:tblPr>
        <w:tblW w:w="11660" w:type="dxa"/>
        <w:jc w:val="left"/>
        <w:tblInd w:w="0" w:type="dxa"/>
        <w:tblLayout w:type="fixed"/>
        <w:tblCellMar>
          <w:top w:w="0" w:type="dxa"/>
          <w:left w:w="0" w:type="dxa"/>
          <w:bottom w:w="0" w:type="dxa"/>
          <w:right w:w="0" w:type="dxa"/>
        </w:tblCellMar>
      </w:tblPr>
      <w:tblGrid>
        <w:gridCol w:w="1040"/>
        <w:gridCol w:w="1160"/>
        <w:gridCol w:w="1205"/>
        <w:gridCol w:w="1190"/>
        <w:gridCol w:w="140"/>
        <w:gridCol w:w="1160"/>
        <w:gridCol w:w="185"/>
        <w:gridCol w:w="60"/>
        <w:gridCol w:w="1070"/>
        <w:gridCol w:w="60"/>
        <w:gridCol w:w="140"/>
        <w:gridCol w:w="1220"/>
        <w:gridCol w:w="185"/>
        <w:gridCol w:w="140"/>
        <w:gridCol w:w="1040"/>
        <w:gridCol w:w="60"/>
        <w:gridCol w:w="140"/>
        <w:gridCol w:w="1265"/>
        <w:gridCol w:w="200"/>
      </w:tblGrid>
      <w:tr>
        <w:trPr/>
        <w:tc>
          <w:tcPr>
            <w:tcW w:w="1040" w:type="dxa"/>
            <w:tcBorders/>
            <w:vAlign w:val="center"/>
          </w:tcPr>
          <w:p>
            <w:pPr>
              <w:pStyle w:val="TableContents"/>
              <w:bidi w:val="0"/>
              <w:spacing w:before="0" w:after="0"/>
              <w:ind w:left="0" w:right="0" w:hanging="11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ind w:left="0" w:right="0" w:hanging="104"/>
              <w:jc w:val="center"/>
              <w:rPr>
                <w:b/>
              </w:rPr>
            </w:pPr>
            <w:r>
              <w:rPr>
                <w:b/>
              </w:rPr>
              <w:t>Security Type</w:t>
            </w:r>
          </w:p>
        </w:tc>
        <w:tc>
          <w:tcPr>
            <w:tcW w:w="1205" w:type="dxa"/>
            <w:tcBorders>
              <w:bottom w:val="single" w:sz="6" w:space="0" w:color="000000"/>
            </w:tcBorders>
            <w:tcMar>
              <w:bottom w:w="28" w:type="dxa"/>
            </w:tcMar>
            <w:vAlign w:val="center"/>
          </w:tcPr>
          <w:p>
            <w:pPr>
              <w:pStyle w:val="TableContents"/>
              <w:bidi w:val="0"/>
              <w:spacing w:before="0" w:after="283"/>
              <w:ind w:left="0" w:right="0" w:hanging="6"/>
              <w:jc w:val="center"/>
              <w:rPr>
                <w:b/>
              </w:rPr>
            </w:pPr>
            <w:r>
              <w:rPr>
                <w:b/>
              </w:rPr>
              <w:t>Security</w:t>
              <w:br/>
              <w:t>Class Title</w:t>
            </w:r>
          </w:p>
        </w:tc>
        <w:tc>
          <w:tcPr>
            <w:tcW w:w="1190" w:type="dxa"/>
            <w:tcBorders>
              <w:bottom w:val="single" w:sz="6" w:space="0" w:color="000000"/>
            </w:tcBorders>
            <w:tcMar>
              <w:bottom w:w="28" w:type="dxa"/>
            </w:tcMar>
            <w:vAlign w:val="center"/>
          </w:tcPr>
          <w:p>
            <w:pPr>
              <w:pStyle w:val="TableContents"/>
              <w:bidi w:val="0"/>
              <w:spacing w:before="0" w:after="283"/>
              <w:jc w:val="center"/>
              <w:rPr>
                <w:b/>
              </w:rPr>
            </w:pPr>
            <w:r>
              <w:rPr>
                <w:b/>
              </w:rPr>
              <w:t>Fee</w:t>
              <w:br/>
              <w:t>Calculation</w:t>
              <w:br/>
              <w:t>or Carry</w:t>
              <w:br/>
              <w:t>Forward</w:t>
              <w:br/>
              <w:t>Rule</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0" w:type="dxa"/>
            <w:tcBorders>
              <w:bottom w:val="single" w:sz="6" w:space="0" w:color="000000"/>
            </w:tcBorders>
            <w:tcMar>
              <w:bottom w:w="28" w:type="dxa"/>
            </w:tcMar>
            <w:vAlign w:val="center"/>
          </w:tcPr>
          <w:p>
            <w:pPr>
              <w:pStyle w:val="TableContents"/>
              <w:bidi w:val="0"/>
              <w:spacing w:before="0" w:after="283"/>
              <w:jc w:val="center"/>
              <w:rPr/>
            </w:pPr>
            <w:r>
              <w:rPr>
                <w:b/>
              </w:rPr>
              <w:t>Amount</w:t>
              <w:br/>
              <w:t>Registered</w:t>
            </w:r>
            <w:r>
              <w:rPr>
                <w:b/>
                <w:position w:val="8"/>
                <w:sz w:val="19"/>
              </w:rPr>
              <w:t>(1)</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b/>
              </w:rPr>
            </w:pPr>
            <w:r>
              <w:rPr>
                <w:b/>
              </w:rPr>
              <w:t>Proposed</w:t>
              <w:br/>
              <w:t>Maximum</w:t>
              <w:br/>
              <w:t>Offering</w:t>
              <w:br/>
              <w:t>Price</w:t>
              <w:br/>
              <w:t>Per Unit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0" w:type="dxa"/>
            <w:tcBorders>
              <w:bottom w:val="single" w:sz="6" w:space="0" w:color="000000"/>
            </w:tcBorders>
            <w:tcMar>
              <w:bottom w:w="28" w:type="dxa"/>
            </w:tcMar>
            <w:vAlign w:val="center"/>
          </w:tcPr>
          <w:p>
            <w:pPr>
              <w:pStyle w:val="TableContents"/>
              <w:bidi w:val="0"/>
              <w:spacing w:before="0" w:after="283"/>
              <w:jc w:val="center"/>
              <w:rPr/>
            </w:pPr>
            <w:r>
              <w:rPr>
                <w:b/>
              </w:rPr>
              <w:t>Maximum</w:t>
              <w:br/>
              <w:t>Aggregate</w:t>
              <w:br/>
              <w:t>Offering Price</w:t>
            </w:r>
            <w:r>
              <w:rPr>
                <w:b/>
                <w:position w:val="8"/>
                <w:sz w:val="19"/>
              </w:rPr>
              <w:t>(1)(3)</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b/>
              </w:rPr>
            </w:pPr>
            <w:r>
              <w:rPr>
                <w:b/>
              </w:rPr>
              <w:t>Fee Rate</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Amount of</w:t>
              <w:br/>
              <w:t>Registration Fee</w:t>
            </w:r>
          </w:p>
        </w:tc>
        <w:tc>
          <w:tcPr>
            <w:tcW w:w="20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11460" w:type="dxa"/>
            <w:gridSpan w:val="18"/>
            <w:tcBorders/>
            <w:vAlign w:val="center"/>
          </w:tcPr>
          <w:p>
            <w:pPr>
              <w:pStyle w:val="TableContents"/>
              <w:bidi w:val="0"/>
              <w:spacing w:before="0" w:after="283"/>
              <w:jc w:val="center"/>
              <w:rPr>
                <w:b/>
              </w:rPr>
            </w:pPr>
            <w:r>
              <w:rPr>
                <w:b/>
              </w:rPr>
              <w:t>Newly Registered Securities</w:t>
            </w:r>
          </w:p>
        </w:tc>
        <w:tc>
          <w:tcPr>
            <w:tcW w:w="200" w:type="dxa"/>
            <w:tcBorders/>
            <w:vAlign w:val="center"/>
          </w:tcPr>
          <w:p>
            <w:pPr>
              <w:pStyle w:val="TableContents"/>
              <w:bidi w:val="0"/>
              <w:spacing w:before="0" w:after="283"/>
              <w:jc w:val="center"/>
              <w:rPr/>
            </w:pPr>
            <w:r>
              <w:rPr/>
              <w:t> </w:t>
            </w:r>
          </w:p>
        </w:tc>
      </w:tr>
      <w:tr>
        <w:trPr/>
        <w:tc>
          <w:tcPr>
            <w:tcW w:w="1040" w:type="dxa"/>
            <w:tcBorders>
              <w:top w:val="single" w:sz="6" w:space="0" w:color="000000"/>
            </w:tcBorders>
            <w:shd w:fill="E6EFFF" w:val="clear"/>
            <w:tcMar>
              <w:top w:w="28" w:type="dxa"/>
            </w:tcMar>
            <w:vAlign w:val="center"/>
          </w:tcPr>
          <w:p>
            <w:pPr>
              <w:pStyle w:val="TableContents"/>
              <w:bidi w:val="0"/>
              <w:spacing w:before="0" w:after="283"/>
              <w:jc w:val="center"/>
              <w:rPr/>
            </w:pPr>
            <w:r>
              <w:rPr/>
              <w:t>Fees to be Paid</w:t>
            </w:r>
          </w:p>
        </w:tc>
        <w:tc>
          <w:tcPr>
            <w:tcW w:w="1160" w:type="dxa"/>
            <w:tcBorders>
              <w:top w:val="single" w:sz="6" w:space="0" w:color="000000"/>
            </w:tcBorders>
            <w:shd w:fill="E6EFFF" w:val="clear"/>
            <w:tcMar>
              <w:top w:w="28" w:type="dxa"/>
            </w:tcMar>
            <w:vAlign w:val="center"/>
          </w:tcPr>
          <w:p>
            <w:pPr>
              <w:pStyle w:val="TableContents"/>
              <w:bidi w:val="0"/>
              <w:spacing w:before="0" w:after="283"/>
              <w:jc w:val="center"/>
              <w:rPr/>
            </w:pPr>
            <w:r>
              <w:rPr/>
              <w:t>Unallocated</w:t>
              <w:br/>
              <w:t>(Universal) Shelf</w:t>
            </w:r>
          </w:p>
        </w:tc>
        <w:tc>
          <w:tcPr>
            <w:tcW w:w="1205" w:type="dxa"/>
            <w:tcBorders>
              <w:top w:val="single" w:sz="6" w:space="0" w:color="000000"/>
            </w:tcBorders>
            <w:shd w:fill="E6EFFF" w:val="clear"/>
            <w:tcMar>
              <w:top w:w="28" w:type="dxa"/>
            </w:tcMar>
            <w:vAlign w:val="center"/>
          </w:tcPr>
          <w:p>
            <w:pPr>
              <w:pStyle w:val="TableContents"/>
              <w:bidi w:val="0"/>
              <w:spacing w:before="0" w:after="283"/>
              <w:jc w:val="center"/>
              <w:rPr/>
            </w:pPr>
            <w:r>
              <w:rPr/>
              <w:t>Common Shares, Warrants, Units, Debt Securities</w:t>
              <w:br/>
              <w:t>Subscription Receipts </w:t>
            </w:r>
          </w:p>
        </w:tc>
        <w:tc>
          <w:tcPr>
            <w:tcW w:w="1190" w:type="dxa"/>
            <w:tcBorders>
              <w:top w:val="single" w:sz="6" w:space="0" w:color="000000"/>
            </w:tcBorders>
            <w:shd w:fill="E6EFFF" w:val="clear"/>
            <w:tcMar>
              <w:top w:w="28" w:type="dxa"/>
            </w:tcMar>
            <w:vAlign w:val="center"/>
          </w:tcPr>
          <w:p>
            <w:pPr>
              <w:pStyle w:val="TableContents"/>
              <w:bidi w:val="0"/>
              <w:spacing w:before="0" w:after="283"/>
              <w:jc w:val="center"/>
              <w:rPr/>
            </w:pPr>
            <w:r>
              <w:rPr/>
              <w:t>Rule 457(o)</w:t>
            </w:r>
          </w:p>
        </w:tc>
        <w:tc>
          <w:tcPr>
            <w:tcW w:w="140"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1160" w:type="dxa"/>
            <w:tcBorders>
              <w:top w:val="single" w:sz="6" w:space="0" w:color="000000"/>
            </w:tcBorders>
            <w:shd w:fill="E6EFFF" w:val="clear"/>
            <w:tcMar>
              <w:top w:w="28" w:type="dxa"/>
            </w:tcMar>
            <w:vAlign w:val="center"/>
          </w:tcPr>
          <w:p>
            <w:pPr>
              <w:pStyle w:val="TableContents"/>
              <w:bidi w:val="0"/>
              <w:spacing w:before="0" w:after="283"/>
              <w:jc w:val="right"/>
              <w:rPr/>
            </w:pPr>
            <w:r>
              <w:rPr/>
              <w:t>24,855,731</w:t>
            </w:r>
          </w:p>
        </w:tc>
        <w:tc>
          <w:tcPr>
            <w:tcW w:w="185" w:type="dxa"/>
            <w:tcBorders>
              <w:top w:val="single" w:sz="6" w:space="0" w:color="000000"/>
            </w:tcBorders>
            <w:shd w:fill="E6EFFF" w:val="clear"/>
            <w:tcMar>
              <w:top w:w="28" w:type="dxa"/>
            </w:tcMar>
            <w:vAlign w:val="center"/>
          </w:tcPr>
          <w:p>
            <w:pPr>
              <w:pStyle w:val="TableContents"/>
              <w:bidi w:val="0"/>
              <w:spacing w:before="0" w:after="283"/>
              <w:jc w:val="left"/>
              <w:rPr>
                <w:position w:val="8"/>
                <w:sz w:val="19"/>
              </w:rPr>
            </w:pPr>
            <w:r>
              <w:rPr>
                <w:position w:val="8"/>
                <w:sz w:val="19"/>
              </w:rPr>
              <w:t>(2)</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070" w:type="dxa"/>
            <w:tcBorders>
              <w:top w:val="single" w:sz="6" w:space="0" w:color="000000"/>
            </w:tcBorders>
            <w:shd w:fill="E6EFFF" w:val="clear"/>
            <w:tcMar>
              <w:top w:w="28" w:type="dxa"/>
            </w:tcMar>
            <w:vAlign w:val="center"/>
          </w:tcPr>
          <w:p>
            <w:pPr>
              <w:pStyle w:val="TableContents"/>
              <w:bidi w:val="0"/>
              <w:spacing w:before="0" w:after="283"/>
              <w:jc w:val="center"/>
              <w:rPr/>
            </w:pPr>
            <w:r>
              <w:rPr/>
              <w:t>(1)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40"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1220" w:type="dxa"/>
            <w:tcBorders>
              <w:top w:val="single" w:sz="6" w:space="0" w:color="000000"/>
            </w:tcBorders>
            <w:shd w:fill="E6EFFF" w:val="clear"/>
            <w:tcMar>
              <w:top w:w="28" w:type="dxa"/>
            </w:tcMar>
            <w:vAlign w:val="center"/>
          </w:tcPr>
          <w:p>
            <w:pPr>
              <w:pStyle w:val="TableContents"/>
              <w:bidi w:val="0"/>
              <w:spacing w:before="0" w:after="283"/>
              <w:jc w:val="right"/>
              <w:rPr/>
            </w:pPr>
            <w:r>
              <w:rPr/>
              <w:t>24,855,731</w:t>
            </w:r>
          </w:p>
        </w:tc>
        <w:tc>
          <w:tcPr>
            <w:tcW w:w="185" w:type="dxa"/>
            <w:tcBorders>
              <w:top w:val="single" w:sz="6" w:space="0" w:color="000000"/>
            </w:tcBorders>
            <w:shd w:fill="E6EFFF" w:val="clear"/>
            <w:tcMar>
              <w:top w:w="28" w:type="dxa"/>
            </w:tcMar>
            <w:vAlign w:val="center"/>
          </w:tcPr>
          <w:p>
            <w:pPr>
              <w:pStyle w:val="TableContents"/>
              <w:bidi w:val="0"/>
              <w:spacing w:before="0" w:after="283"/>
              <w:jc w:val="left"/>
              <w:rPr>
                <w:position w:val="8"/>
                <w:sz w:val="19"/>
              </w:rPr>
            </w:pPr>
            <w:r>
              <w:rPr>
                <w:position w:val="8"/>
                <w:sz w:val="19"/>
              </w:rPr>
              <w:t>(2)</w:t>
            </w:r>
          </w:p>
        </w:tc>
        <w:tc>
          <w:tcPr>
            <w:tcW w:w="140"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1040" w:type="dxa"/>
            <w:tcBorders>
              <w:top w:val="single" w:sz="6" w:space="0" w:color="000000"/>
            </w:tcBorders>
            <w:shd w:fill="E6EFFF" w:val="clear"/>
            <w:tcMar>
              <w:top w:w="28" w:type="dxa"/>
            </w:tcMar>
            <w:vAlign w:val="center"/>
          </w:tcPr>
          <w:p>
            <w:pPr>
              <w:pStyle w:val="TableContents"/>
              <w:bidi w:val="0"/>
              <w:spacing w:before="0" w:after="283"/>
              <w:jc w:val="right"/>
              <w:rPr/>
            </w:pPr>
            <w:r>
              <w:rPr/>
              <w:t>0.0001102</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40"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1265" w:type="dxa"/>
            <w:tcBorders>
              <w:top w:val="single" w:sz="6" w:space="0" w:color="000000"/>
            </w:tcBorders>
            <w:shd w:fill="E6EFFF" w:val="clear"/>
            <w:tcMar>
              <w:top w:w="28" w:type="dxa"/>
            </w:tcMar>
            <w:vAlign w:val="center"/>
          </w:tcPr>
          <w:p>
            <w:pPr>
              <w:pStyle w:val="TableContents"/>
              <w:bidi w:val="0"/>
              <w:spacing w:before="0" w:after="283"/>
              <w:jc w:val="right"/>
              <w:rPr/>
            </w:pPr>
            <w:r>
              <w:rPr/>
              <w:t>2,740</w:t>
            </w:r>
          </w:p>
        </w:tc>
        <w:tc>
          <w:tcPr>
            <w:tcW w:w="200" w:type="dxa"/>
            <w:tcBorders>
              <w:top w:val="single" w:sz="6" w:space="0" w:color="000000"/>
            </w:tcBorders>
            <w:shd w:fill="E6EFFF" w:val="clear"/>
            <w:tcMar>
              <w:top w:w="28" w:type="dxa"/>
            </w:tcMar>
            <w:vAlign w:val="center"/>
          </w:tcPr>
          <w:p>
            <w:pPr>
              <w:pStyle w:val="TableContents"/>
              <w:bidi w:val="0"/>
              <w:spacing w:before="0" w:after="283"/>
              <w:jc w:val="left"/>
              <w:rPr>
                <w:position w:val="8"/>
                <w:sz w:val="19"/>
              </w:rPr>
            </w:pPr>
            <w:r>
              <w:rPr>
                <w:position w:val="8"/>
                <w:sz w:val="19"/>
              </w:rPr>
              <w:t>(2)</w:t>
            </w:r>
          </w:p>
        </w:tc>
      </w:tr>
      <w:tr>
        <w:trPr/>
        <w:tc>
          <w:tcPr>
            <w:tcW w:w="1040" w:type="dxa"/>
            <w:tcBorders>
              <w:top w:val="single" w:sz="6" w:space="0" w:color="000000"/>
            </w:tcBorders>
            <w:tcMar>
              <w:top w:w="28" w:type="dxa"/>
            </w:tcMar>
            <w:vAlign w:val="center"/>
          </w:tcPr>
          <w:p>
            <w:pPr>
              <w:pStyle w:val="TableContents"/>
              <w:bidi w:val="0"/>
              <w:spacing w:before="0" w:after="283"/>
              <w:jc w:val="center"/>
              <w:rPr/>
            </w:pPr>
            <w:r>
              <w:rPr/>
              <w:t> </w:t>
            </w:r>
          </w:p>
        </w:tc>
        <w:tc>
          <w:tcPr>
            <w:tcW w:w="1160" w:type="dxa"/>
            <w:tcBorders>
              <w:top w:val="single" w:sz="6" w:space="0" w:color="000000"/>
            </w:tcBorders>
            <w:tcMar>
              <w:top w:w="28" w:type="dxa"/>
            </w:tcMar>
            <w:vAlign w:val="center"/>
          </w:tcPr>
          <w:p>
            <w:pPr>
              <w:pStyle w:val="TableContents"/>
              <w:bidi w:val="0"/>
              <w:spacing w:before="0" w:after="283"/>
              <w:jc w:val="center"/>
              <w:rPr/>
            </w:pPr>
            <w:r>
              <w:rPr/>
              <w:t> </w:t>
            </w:r>
          </w:p>
        </w:tc>
        <w:tc>
          <w:tcPr>
            <w:tcW w:w="1205" w:type="dxa"/>
            <w:tcBorders>
              <w:top w:val="single" w:sz="6" w:space="0" w:color="000000"/>
            </w:tcBorders>
            <w:tcMar>
              <w:top w:w="28" w:type="dxa"/>
            </w:tcMar>
            <w:vAlign w:val="center"/>
          </w:tcPr>
          <w:p>
            <w:pPr>
              <w:pStyle w:val="TableContents"/>
              <w:bidi w:val="0"/>
              <w:spacing w:before="0" w:after="283"/>
              <w:jc w:val="center"/>
              <w:rPr/>
            </w:pPr>
            <w:r>
              <w:rPr/>
              <w:t> </w:t>
            </w:r>
          </w:p>
        </w:tc>
        <w:tc>
          <w:tcPr>
            <w:tcW w:w="1190" w:type="dxa"/>
            <w:tcBorders>
              <w:top w:val="single" w:sz="6" w:space="0" w:color="000000"/>
            </w:tcBorders>
            <w:tcMar>
              <w:top w:w="28" w:type="dxa"/>
            </w:tcMar>
            <w:vAlign w:val="center"/>
          </w:tcPr>
          <w:p>
            <w:pPr>
              <w:pStyle w:val="TableContents"/>
              <w:bidi w:val="0"/>
              <w:spacing w:before="0" w:after="283"/>
              <w:jc w:val="center"/>
              <w:rPr/>
            </w:pPr>
            <w:r>
              <w:rPr/>
              <w:t> </w:t>
            </w:r>
          </w:p>
        </w:tc>
        <w:tc>
          <w:tcPr>
            <w:tcW w:w="140" w:type="dxa"/>
            <w:tcBorders>
              <w:top w:val="single" w:sz="6" w:space="0" w:color="000000"/>
            </w:tcBorders>
            <w:tcMar>
              <w:top w:w="28" w:type="dxa"/>
            </w:tcMar>
            <w:vAlign w:val="center"/>
          </w:tcPr>
          <w:p>
            <w:pPr>
              <w:pStyle w:val="TableContents"/>
              <w:bidi w:val="0"/>
              <w:spacing w:before="0" w:after="283"/>
              <w:jc w:val="left"/>
              <w:rPr/>
            </w:pPr>
            <w:r>
              <w:rPr/>
              <w:t> </w:t>
            </w:r>
          </w:p>
        </w:tc>
        <w:tc>
          <w:tcPr>
            <w:tcW w:w="1160" w:type="dxa"/>
            <w:tcBorders>
              <w:top w:val="single" w:sz="6" w:space="0" w:color="000000"/>
            </w:tcBorders>
            <w:tcMar>
              <w:top w:w="28" w:type="dxa"/>
            </w:tcMar>
            <w:vAlign w:val="center"/>
          </w:tcPr>
          <w:p>
            <w:pPr>
              <w:pStyle w:val="TableContents"/>
              <w:bidi w:val="0"/>
              <w:spacing w:before="0" w:after="283"/>
              <w:jc w:val="right"/>
              <w:rPr/>
            </w:pPr>
            <w:r>
              <w:rPr/>
              <w:t> </w:t>
            </w:r>
          </w:p>
        </w:tc>
        <w:tc>
          <w:tcPr>
            <w:tcW w:w="18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70" w:type="dxa"/>
            <w:tcBorders>
              <w:top w:val="single" w:sz="6" w:space="0" w:color="000000"/>
            </w:tcBorders>
            <w:tcMar>
              <w:top w:w="28"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tcMar>
            <w:vAlign w:val="center"/>
          </w:tcPr>
          <w:p>
            <w:pPr>
              <w:pStyle w:val="TableContents"/>
              <w:bidi w:val="0"/>
              <w:spacing w:before="0" w:after="283"/>
              <w:jc w:val="left"/>
              <w:rPr/>
            </w:pPr>
            <w:r>
              <w:rPr/>
              <w:t> </w:t>
            </w:r>
          </w:p>
        </w:tc>
        <w:tc>
          <w:tcPr>
            <w:tcW w:w="1220" w:type="dxa"/>
            <w:tcBorders>
              <w:top w:val="single" w:sz="6" w:space="0" w:color="000000"/>
            </w:tcBorders>
            <w:tcMar>
              <w:top w:w="28" w:type="dxa"/>
            </w:tcMar>
            <w:vAlign w:val="center"/>
          </w:tcPr>
          <w:p>
            <w:pPr>
              <w:pStyle w:val="TableContents"/>
              <w:bidi w:val="0"/>
              <w:spacing w:before="0" w:after="283"/>
              <w:jc w:val="right"/>
              <w:rPr/>
            </w:pPr>
            <w:r>
              <w:rPr/>
              <w:t> </w:t>
            </w:r>
          </w:p>
        </w:tc>
        <w:tc>
          <w:tcPr>
            <w:tcW w:w="185" w:type="dxa"/>
            <w:tcBorders>
              <w:top w:val="single" w:sz="6" w:space="0" w:color="000000"/>
            </w:tcBorders>
            <w:tcMar>
              <w:top w:w="28"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tcMar>
            <w:vAlign w:val="center"/>
          </w:tcPr>
          <w:p>
            <w:pPr>
              <w:pStyle w:val="TableContents"/>
              <w:bidi w:val="0"/>
              <w:spacing w:before="0" w:after="283"/>
              <w:jc w:val="left"/>
              <w:rPr/>
            </w:pPr>
            <w:r>
              <w:rPr/>
              <w:t> </w:t>
            </w:r>
          </w:p>
        </w:tc>
        <w:tc>
          <w:tcPr>
            <w:tcW w:w="1040" w:type="dxa"/>
            <w:tcBorders>
              <w:top w:val="single" w:sz="6" w:space="0" w:color="000000"/>
            </w:tcBorders>
            <w:tcMar>
              <w:top w:w="28"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tcMar>
            <w:vAlign w:val="center"/>
          </w:tcPr>
          <w:p>
            <w:pPr>
              <w:pStyle w:val="TableContents"/>
              <w:bidi w:val="0"/>
              <w:spacing w:before="0" w:after="283"/>
              <w:jc w:val="left"/>
              <w:rPr/>
            </w:pPr>
            <w:r>
              <w:rPr/>
              <w:t> </w:t>
            </w:r>
          </w:p>
        </w:tc>
        <w:tc>
          <w:tcPr>
            <w:tcW w:w="1265" w:type="dxa"/>
            <w:tcBorders>
              <w:top w:val="single" w:sz="6" w:space="0" w:color="000000"/>
            </w:tcBorders>
            <w:tcMar>
              <w:top w:w="28" w:type="dxa"/>
            </w:tcMar>
            <w:vAlign w:val="center"/>
          </w:tcPr>
          <w:p>
            <w:pPr>
              <w:pStyle w:val="TableContents"/>
              <w:bidi w:val="0"/>
              <w:spacing w:before="0" w:after="283"/>
              <w:jc w:val="right"/>
              <w:rPr/>
            </w:pPr>
            <w:r>
              <w:rPr/>
              <w:t> </w:t>
            </w:r>
          </w:p>
        </w:tc>
        <w:tc>
          <w:tcPr>
            <w:tcW w:w="200" w:type="dxa"/>
            <w:tcBorders>
              <w:top w:val="single" w:sz="6" w:space="0" w:color="000000"/>
            </w:tcBorders>
            <w:tcMar>
              <w:top w:w="28" w:type="dxa"/>
            </w:tcMar>
            <w:vAlign w:val="center"/>
          </w:tcPr>
          <w:p>
            <w:pPr>
              <w:pStyle w:val="TableContents"/>
              <w:bidi w:val="0"/>
              <w:spacing w:before="0" w:after="283"/>
              <w:jc w:val="left"/>
              <w:rPr/>
            </w:pPr>
            <w:r>
              <w:rPr/>
              <w:t> </w:t>
            </w:r>
          </w:p>
        </w:tc>
      </w:tr>
      <w:tr>
        <w:trPr/>
        <w:tc>
          <w:tcPr>
            <w:tcW w:w="1040" w:type="dxa"/>
            <w:tcBorders>
              <w:top w:val="single" w:sz="6" w:space="0" w:color="000000"/>
            </w:tcBorders>
            <w:shd w:fill="E6EFFF" w:val="clear"/>
            <w:tcMar>
              <w:top w:w="28" w:type="dxa"/>
            </w:tcMar>
            <w:vAlign w:val="center"/>
          </w:tcPr>
          <w:p>
            <w:pPr>
              <w:pStyle w:val="TableContents"/>
              <w:bidi w:val="0"/>
              <w:spacing w:before="0" w:after="283"/>
              <w:jc w:val="center"/>
              <w:rPr/>
            </w:pPr>
            <w:r>
              <w:rPr/>
              <w:t>Fees Previously Paid</w:t>
            </w:r>
          </w:p>
        </w:tc>
        <w:tc>
          <w:tcPr>
            <w:tcW w:w="1160" w:type="dxa"/>
            <w:tcBorders>
              <w:top w:val="single" w:sz="6" w:space="0" w:color="000000"/>
            </w:tcBorders>
            <w:shd w:fill="E6EFFF" w:val="clear"/>
            <w:tcMar>
              <w:top w:w="28" w:type="dxa"/>
            </w:tcMar>
            <w:vAlign w:val="center"/>
          </w:tcPr>
          <w:p>
            <w:pPr>
              <w:pStyle w:val="TableContents"/>
              <w:bidi w:val="0"/>
              <w:spacing w:before="0" w:after="283"/>
              <w:jc w:val="center"/>
              <w:rPr/>
            </w:pPr>
            <w:r>
              <w:rPr/>
              <w:t>Unallocated</w:t>
              <w:br/>
              <w:t>(Universal) Shelf</w:t>
            </w:r>
          </w:p>
        </w:tc>
        <w:tc>
          <w:tcPr>
            <w:tcW w:w="1205" w:type="dxa"/>
            <w:tcBorders>
              <w:top w:val="single" w:sz="6" w:space="0" w:color="000000"/>
            </w:tcBorders>
            <w:shd w:fill="E6EFFF" w:val="clear"/>
            <w:tcMar>
              <w:top w:w="28" w:type="dxa"/>
            </w:tcMar>
            <w:vAlign w:val="center"/>
          </w:tcPr>
          <w:p>
            <w:pPr>
              <w:pStyle w:val="TableContents"/>
              <w:bidi w:val="0"/>
              <w:spacing w:before="0" w:after="283"/>
              <w:jc w:val="center"/>
              <w:rPr/>
            </w:pPr>
            <w:r>
              <w:rPr/>
              <w:t>Common Shares, Warrants, Units, Debt Securities</w:t>
              <w:br/>
              <w:t>Subscription Receipts </w:t>
            </w:r>
          </w:p>
        </w:tc>
        <w:tc>
          <w:tcPr>
            <w:tcW w:w="1190" w:type="dxa"/>
            <w:tcBorders>
              <w:top w:val="single" w:sz="6" w:space="0" w:color="000000"/>
            </w:tcBorders>
            <w:shd w:fill="E6EFFF" w:val="clear"/>
            <w:tcMar>
              <w:top w:w="28" w:type="dxa"/>
            </w:tcMar>
            <w:vAlign w:val="center"/>
          </w:tcPr>
          <w:p>
            <w:pPr>
              <w:pStyle w:val="TableContents"/>
              <w:bidi w:val="0"/>
              <w:spacing w:before="0" w:after="283"/>
              <w:jc w:val="center"/>
              <w:rPr/>
            </w:pPr>
            <w:r>
              <w:rPr/>
              <w:t>Rule 457(o)</w:t>
            </w:r>
          </w:p>
        </w:tc>
        <w:tc>
          <w:tcPr>
            <w:tcW w:w="140"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1160" w:type="dxa"/>
            <w:tcBorders>
              <w:top w:val="single" w:sz="6" w:space="0" w:color="000000"/>
            </w:tcBorders>
            <w:shd w:fill="E6EFFF" w:val="clear"/>
            <w:tcMar>
              <w:top w:w="28" w:type="dxa"/>
            </w:tcMar>
            <w:vAlign w:val="center"/>
          </w:tcPr>
          <w:p>
            <w:pPr>
              <w:pStyle w:val="TableContents"/>
              <w:bidi w:val="0"/>
              <w:spacing w:before="0" w:after="283"/>
              <w:jc w:val="right"/>
              <w:rPr/>
            </w:pPr>
            <w:r>
              <w:rPr/>
              <w:t>94,006,167</w:t>
            </w:r>
          </w:p>
        </w:tc>
        <w:tc>
          <w:tcPr>
            <w:tcW w:w="18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070" w:type="dxa"/>
            <w:tcBorders>
              <w:top w:val="single" w:sz="6" w:space="0" w:color="000000"/>
            </w:tcBorders>
            <w:shd w:fill="E6EFFF" w:val="clear"/>
            <w:tcMar>
              <w:top w:w="28" w:type="dxa"/>
            </w:tcMar>
            <w:vAlign w:val="center"/>
          </w:tcPr>
          <w:p>
            <w:pPr>
              <w:pStyle w:val="TableContents"/>
              <w:bidi w:val="0"/>
              <w:spacing w:before="0" w:after="283"/>
              <w:jc w:val="center"/>
              <w:rPr/>
            </w:pPr>
            <w:r>
              <w:rPr/>
              <w:t>(1)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40"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1220" w:type="dxa"/>
            <w:tcBorders>
              <w:top w:val="single" w:sz="6" w:space="0" w:color="000000"/>
            </w:tcBorders>
            <w:shd w:fill="E6EFFF" w:val="clear"/>
            <w:tcMar>
              <w:top w:w="28" w:type="dxa"/>
            </w:tcMar>
            <w:vAlign w:val="center"/>
          </w:tcPr>
          <w:p>
            <w:pPr>
              <w:pStyle w:val="TableContents"/>
              <w:bidi w:val="0"/>
              <w:spacing w:before="0" w:after="283"/>
              <w:jc w:val="right"/>
              <w:rPr/>
            </w:pPr>
            <w:r>
              <w:rPr/>
              <w:t>94,006,167</w:t>
            </w:r>
          </w:p>
        </w:tc>
        <w:tc>
          <w:tcPr>
            <w:tcW w:w="18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40"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1040" w:type="dxa"/>
            <w:tcBorders>
              <w:top w:val="single" w:sz="6" w:space="0" w:color="000000"/>
            </w:tcBorders>
            <w:shd w:fill="E6EFFF" w:val="clear"/>
            <w:tcMar>
              <w:top w:w="28" w:type="dxa"/>
            </w:tcMar>
            <w:vAlign w:val="center"/>
          </w:tcPr>
          <w:p>
            <w:pPr>
              <w:pStyle w:val="TableContents"/>
              <w:bidi w:val="0"/>
              <w:spacing w:before="0" w:after="283"/>
              <w:jc w:val="right"/>
              <w:rPr/>
            </w:pPr>
            <w:r>
              <w:rPr/>
              <w:t>0.0001102</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40"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1265" w:type="dxa"/>
            <w:tcBorders>
              <w:top w:val="single" w:sz="6" w:space="0" w:color="000000"/>
            </w:tcBorders>
            <w:shd w:fill="E6EFFF" w:val="clear"/>
            <w:tcMar>
              <w:top w:w="28" w:type="dxa"/>
            </w:tcMar>
            <w:vAlign w:val="center"/>
          </w:tcPr>
          <w:p>
            <w:pPr>
              <w:pStyle w:val="TableContents"/>
              <w:bidi w:val="0"/>
              <w:spacing w:before="0" w:after="283"/>
              <w:jc w:val="right"/>
              <w:rPr/>
            </w:pPr>
            <w:r>
              <w:rPr/>
              <w:t>10,359</w:t>
            </w:r>
          </w:p>
        </w:tc>
        <w:tc>
          <w:tcPr>
            <w:tcW w:w="20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pPr>
            <w:r>
              <w:rPr/>
              <w:t> </w:t>
            </w:r>
          </w:p>
        </w:tc>
        <w:tc>
          <w:tcPr>
            <w:tcW w:w="4855" w:type="dxa"/>
            <w:gridSpan w:val="5"/>
            <w:tcBorders/>
            <w:vAlign w:val="center"/>
          </w:tcPr>
          <w:p>
            <w:pPr>
              <w:pStyle w:val="TableContents"/>
              <w:bidi w:val="0"/>
              <w:spacing w:before="0" w:after="283"/>
              <w:jc w:val="left"/>
              <w:rPr>
                <w:b/>
              </w:rPr>
            </w:pPr>
            <w:r>
              <w:rPr>
                <w:b/>
              </w:rPr>
              <w:t>Total Offering Amounts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118,861,898</w:t>
            </w:r>
          </w:p>
        </w:tc>
        <w:tc>
          <w:tcPr>
            <w:tcW w:w="18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265" w:type="dxa"/>
            <w:tcBorders>
              <w:bottom w:val="single" w:sz="6" w:space="0" w:color="000000"/>
            </w:tcBorders>
            <w:tcMar>
              <w:bottom w:w="28" w:type="dxa"/>
            </w:tcMar>
            <w:vAlign w:val="center"/>
          </w:tcPr>
          <w:p>
            <w:pPr>
              <w:pStyle w:val="TableContents"/>
              <w:bidi w:val="0"/>
              <w:spacing w:before="0" w:after="283"/>
              <w:jc w:val="right"/>
              <w:rPr/>
            </w:pPr>
            <w:r>
              <w:rPr/>
              <w:t>13,099</w:t>
            </w:r>
          </w:p>
        </w:tc>
        <w:tc>
          <w:tcPr>
            <w:tcW w:w="2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040" w:type="dxa"/>
            <w:tcBorders/>
            <w:shd w:fill="E6EFFF" w:val="clear"/>
            <w:vAlign w:val="center"/>
          </w:tcPr>
          <w:p>
            <w:pPr>
              <w:pStyle w:val="TableContents"/>
              <w:bidi w:val="0"/>
              <w:spacing w:before="0" w:after="0"/>
              <w:jc w:val="left"/>
              <w:rPr/>
            </w:pPr>
            <w:r>
              <w:rPr/>
              <w:t> </w:t>
            </w:r>
          </w:p>
        </w:tc>
        <w:tc>
          <w:tcPr>
            <w:tcW w:w="4855" w:type="dxa"/>
            <w:gridSpan w:val="5"/>
            <w:tcBorders/>
            <w:shd w:fill="E6EFFF" w:val="clear"/>
            <w:vAlign w:val="center"/>
          </w:tcPr>
          <w:p>
            <w:pPr>
              <w:pStyle w:val="TableContents"/>
              <w:bidi w:val="0"/>
              <w:spacing w:before="0" w:after="0"/>
              <w:jc w:val="left"/>
              <w:rPr>
                <w:b/>
              </w:rPr>
            </w:pPr>
            <w:r>
              <w:rPr>
                <w:b/>
              </w:rPr>
              <w:t>Total Fees Previously Paid</w:t>
            </w:r>
          </w:p>
        </w:tc>
        <w:tc>
          <w:tcPr>
            <w:tcW w:w="18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070" w:type="dxa"/>
            <w:tcBorders/>
            <w:shd w:fill="E6EFFF" w:val="clear"/>
            <w:vAlign w:val="center"/>
          </w:tcPr>
          <w:p>
            <w:pPr>
              <w:pStyle w:val="TableContents"/>
              <w:bidi w:val="0"/>
              <w:spacing w:before="0" w:after="0"/>
              <w:jc w:val="right"/>
              <w:rPr/>
            </w:pPr>
            <w:r>
              <w:rPr/>
              <w:t> </w:t>
            </w:r>
          </w:p>
        </w:tc>
        <w:tc>
          <w:tcPr>
            <w:tcW w:w="60" w:type="dxa"/>
            <w:tcBorders/>
            <w:shd w:fill="E6EFFF" w:val="clear"/>
            <w:vAlign w:val="center"/>
          </w:tcPr>
          <w:p>
            <w:pPr>
              <w:pStyle w:val="TableContents"/>
              <w:bidi w:val="0"/>
              <w:spacing w:before="0" w:after="0"/>
              <w:jc w:val="left"/>
              <w:rPr/>
            </w:pPr>
            <w:r>
              <w:rPr/>
              <w:t> </w:t>
            </w:r>
          </w:p>
        </w:tc>
        <w:tc>
          <w:tcPr>
            <w:tcW w:w="140" w:type="dxa"/>
            <w:tcBorders/>
            <w:shd w:fill="E6EFFF" w:val="clear"/>
            <w:vAlign w:val="center"/>
          </w:tcPr>
          <w:p>
            <w:pPr>
              <w:pStyle w:val="TableContents"/>
              <w:bidi w:val="0"/>
              <w:spacing w:before="0" w:after="0"/>
              <w:jc w:val="left"/>
              <w:rPr/>
            </w:pPr>
            <w:r>
              <w:rPr/>
              <w:t> </w:t>
            </w:r>
          </w:p>
        </w:tc>
        <w:tc>
          <w:tcPr>
            <w:tcW w:w="1220" w:type="dxa"/>
            <w:tcBorders/>
            <w:shd w:fill="E6EFFF" w:val="clear"/>
            <w:vAlign w:val="center"/>
          </w:tcPr>
          <w:p>
            <w:pPr>
              <w:pStyle w:val="TableContents"/>
              <w:bidi w:val="0"/>
              <w:spacing w:before="0" w:after="0"/>
              <w:jc w:val="right"/>
              <w:rPr/>
            </w:pPr>
            <w:r>
              <w:rPr/>
              <w:t> </w:t>
            </w:r>
          </w:p>
        </w:tc>
        <w:tc>
          <w:tcPr>
            <w:tcW w:w="185" w:type="dxa"/>
            <w:tcBorders/>
            <w:shd w:fill="E6EFFF" w:val="clear"/>
            <w:vAlign w:val="center"/>
          </w:tcPr>
          <w:p>
            <w:pPr>
              <w:pStyle w:val="TableContents"/>
              <w:bidi w:val="0"/>
              <w:spacing w:before="0" w:after="0"/>
              <w:jc w:val="left"/>
              <w:rPr/>
            </w:pPr>
            <w:r>
              <w:rPr/>
              <w:t> </w:t>
            </w:r>
          </w:p>
        </w:tc>
        <w:tc>
          <w:tcPr>
            <w:tcW w:w="140" w:type="dxa"/>
            <w:tcBorders/>
            <w:shd w:fill="E6EFFF" w:val="clear"/>
            <w:vAlign w:val="center"/>
          </w:tcPr>
          <w:p>
            <w:pPr>
              <w:pStyle w:val="TableContents"/>
              <w:bidi w:val="0"/>
              <w:spacing w:before="0" w:after="0"/>
              <w:jc w:val="left"/>
              <w:rPr/>
            </w:pPr>
            <w:r>
              <w:rPr/>
              <w:t> </w:t>
            </w:r>
          </w:p>
        </w:tc>
        <w:tc>
          <w:tcPr>
            <w:tcW w:w="1040" w:type="dxa"/>
            <w:tcBorders/>
            <w:shd w:fill="E6EFFF" w:val="clear"/>
            <w:vAlign w:val="center"/>
          </w:tcPr>
          <w:p>
            <w:pPr>
              <w:pStyle w:val="TableContents"/>
              <w:bidi w:val="0"/>
              <w:spacing w:before="0" w:after="0"/>
              <w:jc w:val="right"/>
              <w:rPr/>
            </w:pPr>
            <w:r>
              <w:rPr/>
              <w:t> </w:t>
            </w:r>
          </w:p>
        </w:tc>
        <w:tc>
          <w:tcPr>
            <w:tcW w:w="60" w:type="dxa"/>
            <w:tcBorders/>
            <w:shd w:fill="E6EFFF" w:val="clear"/>
            <w:vAlign w:val="center"/>
          </w:tcPr>
          <w:p>
            <w:pPr>
              <w:pStyle w:val="TableContents"/>
              <w:bidi w:val="0"/>
              <w:spacing w:before="0" w:after="0"/>
              <w:jc w:val="left"/>
              <w:rPr/>
            </w:pPr>
            <w:r>
              <w:rPr/>
              <w:t> </w:t>
            </w:r>
          </w:p>
        </w:tc>
        <w:tc>
          <w:tcPr>
            <w:tcW w:w="14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126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7,297</w:t>
            </w:r>
          </w:p>
        </w:tc>
        <w:tc>
          <w:tcPr>
            <w:tcW w:w="20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pPr>
            <w:r>
              <w:rPr/>
              <w:t> </w:t>
            </w:r>
          </w:p>
        </w:tc>
        <w:tc>
          <w:tcPr>
            <w:tcW w:w="4855" w:type="dxa"/>
            <w:gridSpan w:val="5"/>
            <w:tcBorders/>
            <w:vAlign w:val="center"/>
          </w:tcPr>
          <w:p>
            <w:pPr>
              <w:pStyle w:val="TableContents"/>
              <w:bidi w:val="0"/>
              <w:spacing w:before="0" w:after="0"/>
              <w:jc w:val="left"/>
              <w:rPr>
                <w:b/>
              </w:rPr>
            </w:pPr>
            <w:r>
              <w:rPr>
                <w:b/>
              </w:rPr>
              <w:t>Total Fee Offsets</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 </w:t>
            </w:r>
          </w:p>
        </w:tc>
        <w:tc>
          <w:tcPr>
            <w:tcW w:w="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4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c>
          <w:tcPr>
            <w:tcW w:w="126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1,399</w:t>
            </w:r>
          </w:p>
        </w:tc>
        <w:tc>
          <w:tcPr>
            <w:tcW w:w="20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1040" w:type="dxa"/>
            <w:tcBorders/>
            <w:shd w:fill="E6EFFF" w:val="clear"/>
            <w:vAlign w:val="center"/>
          </w:tcPr>
          <w:p>
            <w:pPr>
              <w:pStyle w:val="TableContents"/>
              <w:bidi w:val="0"/>
              <w:spacing w:before="0" w:after="0"/>
              <w:jc w:val="left"/>
              <w:rPr/>
            </w:pPr>
            <w:r>
              <w:rPr/>
              <w:t> </w:t>
            </w:r>
          </w:p>
        </w:tc>
        <w:tc>
          <w:tcPr>
            <w:tcW w:w="4855" w:type="dxa"/>
            <w:gridSpan w:val="5"/>
            <w:tcBorders/>
            <w:shd w:fill="E6EFFF" w:val="clear"/>
            <w:vAlign w:val="center"/>
          </w:tcPr>
          <w:p>
            <w:pPr>
              <w:pStyle w:val="TableContents"/>
              <w:bidi w:val="0"/>
              <w:spacing w:before="0" w:after="0"/>
              <w:jc w:val="left"/>
              <w:rPr>
                <w:b/>
              </w:rPr>
            </w:pPr>
            <w:r>
              <w:rPr>
                <w:b/>
              </w:rPr>
              <w:t>Net Fee Due</w:t>
            </w:r>
          </w:p>
        </w:tc>
        <w:tc>
          <w:tcPr>
            <w:tcW w:w="18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070" w:type="dxa"/>
            <w:tcBorders/>
            <w:shd w:fill="E6EFFF" w:val="clear"/>
            <w:vAlign w:val="center"/>
          </w:tcPr>
          <w:p>
            <w:pPr>
              <w:pStyle w:val="TableContents"/>
              <w:bidi w:val="0"/>
              <w:spacing w:before="0" w:after="0"/>
              <w:jc w:val="right"/>
              <w:rPr/>
            </w:pPr>
            <w:r>
              <w:rPr/>
              <w:t> </w:t>
            </w:r>
          </w:p>
        </w:tc>
        <w:tc>
          <w:tcPr>
            <w:tcW w:w="60" w:type="dxa"/>
            <w:tcBorders/>
            <w:shd w:fill="E6EFFF" w:val="clear"/>
            <w:vAlign w:val="center"/>
          </w:tcPr>
          <w:p>
            <w:pPr>
              <w:pStyle w:val="TableContents"/>
              <w:bidi w:val="0"/>
              <w:spacing w:before="0" w:after="0"/>
              <w:jc w:val="left"/>
              <w:rPr/>
            </w:pPr>
            <w:r>
              <w:rPr/>
              <w:t> </w:t>
            </w:r>
          </w:p>
        </w:tc>
        <w:tc>
          <w:tcPr>
            <w:tcW w:w="140" w:type="dxa"/>
            <w:tcBorders/>
            <w:shd w:fill="E6EFFF" w:val="clear"/>
            <w:vAlign w:val="center"/>
          </w:tcPr>
          <w:p>
            <w:pPr>
              <w:pStyle w:val="TableContents"/>
              <w:bidi w:val="0"/>
              <w:spacing w:before="0" w:after="0"/>
              <w:jc w:val="left"/>
              <w:rPr/>
            </w:pPr>
            <w:r>
              <w:rPr/>
              <w:t> </w:t>
            </w:r>
          </w:p>
        </w:tc>
        <w:tc>
          <w:tcPr>
            <w:tcW w:w="1220" w:type="dxa"/>
            <w:tcBorders/>
            <w:shd w:fill="E6EFFF" w:val="clear"/>
            <w:vAlign w:val="center"/>
          </w:tcPr>
          <w:p>
            <w:pPr>
              <w:pStyle w:val="TableContents"/>
              <w:bidi w:val="0"/>
              <w:spacing w:before="0" w:after="0"/>
              <w:jc w:val="right"/>
              <w:rPr/>
            </w:pPr>
            <w:r>
              <w:rPr/>
              <w:t> </w:t>
            </w:r>
          </w:p>
        </w:tc>
        <w:tc>
          <w:tcPr>
            <w:tcW w:w="185" w:type="dxa"/>
            <w:tcBorders/>
            <w:shd w:fill="E6EFFF" w:val="clear"/>
            <w:vAlign w:val="center"/>
          </w:tcPr>
          <w:p>
            <w:pPr>
              <w:pStyle w:val="TableContents"/>
              <w:bidi w:val="0"/>
              <w:spacing w:before="0" w:after="0"/>
              <w:jc w:val="left"/>
              <w:rPr/>
            </w:pPr>
            <w:r>
              <w:rPr/>
              <w:t> </w:t>
            </w:r>
          </w:p>
        </w:tc>
        <w:tc>
          <w:tcPr>
            <w:tcW w:w="140" w:type="dxa"/>
            <w:tcBorders/>
            <w:shd w:fill="E6EFFF" w:val="clear"/>
            <w:vAlign w:val="center"/>
          </w:tcPr>
          <w:p>
            <w:pPr>
              <w:pStyle w:val="TableContents"/>
              <w:bidi w:val="0"/>
              <w:spacing w:before="0" w:after="0"/>
              <w:jc w:val="left"/>
              <w:rPr/>
            </w:pPr>
            <w:r>
              <w:rPr/>
              <w:t> </w:t>
            </w:r>
          </w:p>
        </w:tc>
        <w:tc>
          <w:tcPr>
            <w:tcW w:w="1040" w:type="dxa"/>
            <w:tcBorders/>
            <w:shd w:fill="E6EFFF" w:val="clear"/>
            <w:vAlign w:val="center"/>
          </w:tcPr>
          <w:p>
            <w:pPr>
              <w:pStyle w:val="TableContents"/>
              <w:bidi w:val="0"/>
              <w:spacing w:before="0" w:after="0"/>
              <w:jc w:val="right"/>
              <w:rPr/>
            </w:pPr>
            <w:r>
              <w:rPr/>
              <w:t> </w:t>
            </w:r>
          </w:p>
        </w:tc>
        <w:tc>
          <w:tcPr>
            <w:tcW w:w="60" w:type="dxa"/>
            <w:tcBorders/>
            <w:shd w:fill="E6EFFF" w:val="clear"/>
            <w:vAlign w:val="center"/>
          </w:tcPr>
          <w:p>
            <w:pPr>
              <w:pStyle w:val="TableContents"/>
              <w:bidi w:val="0"/>
              <w:spacing w:before="0" w:after="0"/>
              <w:jc w:val="left"/>
              <w:rPr/>
            </w:pPr>
            <w:r>
              <w:rPr/>
              <w:t> </w:t>
            </w:r>
          </w:p>
        </w:tc>
        <w:tc>
          <w:tcPr>
            <w:tcW w:w="140" w:type="dxa"/>
            <w:tcBorders>
              <w:top w:val="single" w:sz="6" w:space="0" w:color="000000"/>
              <w:bottom w:val="doub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1265" w:type="dxa"/>
            <w:tcBorders>
              <w:top w:val="single" w:sz="6" w:space="0" w:color="000000"/>
              <w:bottom w:val="double" w:sz="6" w:space="0" w:color="000000"/>
            </w:tcBorders>
            <w:shd w:fill="E6EFFF" w:val="clear"/>
            <w:tcMar>
              <w:top w:w="28" w:type="dxa"/>
              <w:bottom w:w="28" w:type="dxa"/>
            </w:tcMar>
            <w:vAlign w:val="center"/>
          </w:tcPr>
          <w:p>
            <w:pPr>
              <w:pStyle w:val="TableContents"/>
              <w:bidi w:val="0"/>
              <w:spacing w:before="0" w:after="283"/>
              <w:jc w:val="right"/>
              <w:rPr/>
            </w:pPr>
            <w:r>
              <w:rPr/>
              <w:t>4,403</w:t>
            </w:r>
          </w:p>
        </w:tc>
        <w:tc>
          <w:tcPr>
            <w:tcW w:w="200" w:type="dxa"/>
            <w:tcBorders>
              <w:top w:val="single" w:sz="6" w:space="0" w:color="000000"/>
              <w:bottom w:val="double" w:sz="6" w:space="0" w:color="000000"/>
            </w:tcBorders>
            <w:shd w:fill="E6EF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0"/>
        <w:jc w:val="both"/>
        <w:rPr/>
      </w:pPr>
      <w:bookmarkStart w:id="64" w:name="page_210"/>
      <w:bookmarkEnd w:id="64"/>
      <w:r>
        <w:rPr>
          <w:color w:val="231F20"/>
        </w:rPr>
        <w:t>(1)</w:t>
      </w:r>
      <w:r>
        <w:rPr/>
        <w:t> There are being registered under this Registration Statement such indeterminate number of common shares, warrants, units, debt securities and subscription receipts of the Registrant, and a combination of such securities, separately or as units, as may be sold by the registrant from time to time, which collectively shall have an aggregate initial offering price not to exceed $118,861,898 (converted from CAD$160,000,000 at an exchange rate of CAD$1.00 = $1.3461, which was the daily average exchange rate reported by the Bank of Canada on August 14, 2023). The securities registered hereunder also include such indeterminate number of each class of identified securities as may be issued upon conversion, exercise or exchange of any other securities that provide for such conversion into, exercise for or exchange into such securities. Separate consideration may or may not be received for securities that are issuable on exercise, conversion or exchange of other securities. In addition, pursuant to Rule 416 under the Securities Act of 1933, as amended (the "Securities Act"), the common shares being registered hereunder include such indeterminate number of common shares as may be issuable with respect to the common shares being registered hereunder as a result of stock splits, stock dividends, distributions or similar transactions. The proposed maximum initial offering price per security will be determined, from time to time, by the registrant in connection with the sale of the securities under this Registration Statement.</w:t>
      </w:r>
    </w:p>
    <w:p>
      <w:pPr>
        <w:pStyle w:val="TextBody"/>
        <w:bidi w:val="0"/>
        <w:ind w:left="720" w:right="0" w:hanging="0"/>
        <w:jc w:val="both"/>
        <w:rPr/>
      </w:pPr>
      <w:r>
        <w:rPr>
          <w:color w:val="231F20"/>
        </w:rPr>
        <w:t>(2)</w:t>
      </w:r>
      <w:r>
        <w:rPr/>
        <w:t> The Registrant previously paid $7,297 in registration fees (which included a $3,062 fee offset as described in Table 2 in Exhibit 107 of the Form F-10 filed June 16, 2023) in connection with the initial filing of this Registration Statement, which had an aggregate initial offering amount of $94,006,167 (converted from CAD$125,000,000 at an Exchange Rate of CAD$1.00 = $1.3297, which was the daily average exchange rate reported by the Bank of Canada on June 14, 2023). Pursuant to this Amendment No. 1 to the Registration Statement, the Registrant has increased the aggregate offering amount by CAD$35,000,000, or $24,855,731. Accordingly, the Registrant is paying an additional $2,740 in registration fees in connection with filing this Amendment No. 1 to the Registration Statement.</w:t>
      </w:r>
    </w:p>
    <w:p>
      <w:pPr>
        <w:pStyle w:val="TextBody"/>
        <w:bidi w:val="0"/>
        <w:ind w:left="720" w:right="0" w:hanging="0"/>
        <w:jc w:val="both"/>
        <w:rPr/>
      </w:pPr>
      <w:r>
        <w:rPr>
          <w:color w:val="231F20"/>
        </w:rPr>
        <w:t>(3)</w:t>
      </w:r>
      <w:r>
        <w:rPr/>
        <w:t> Estimated solely for the purpose of calculating the amount of the registration fee pursuant to Rule 457(o) of the Securities Act.</w:t>
      </w:r>
    </w:p>
    <w:p>
      <w:pPr>
        <w:pStyle w:val="TextBody"/>
        <w:bidi w:val="0"/>
        <w:jc w:val="center"/>
        <w:rPr>
          <w:b/>
        </w:rPr>
      </w:pPr>
      <w:r>
        <w:rPr>
          <w:b/>
        </w:rPr>
        <w:t>Table 2: Fee Offset Claims and Sources</w:t>
      </w:r>
    </w:p>
    <w:tbl>
      <w:tblPr>
        <w:tblW w:w="11599" w:type="dxa"/>
        <w:jc w:val="left"/>
        <w:tblInd w:w="0" w:type="dxa"/>
        <w:tblLayout w:type="fixed"/>
        <w:tblCellMar>
          <w:top w:w="0" w:type="dxa"/>
          <w:left w:w="0" w:type="dxa"/>
          <w:bottom w:w="0" w:type="dxa"/>
          <w:right w:w="0" w:type="dxa"/>
        </w:tblCellMar>
      </w:tblPr>
      <w:tblGrid>
        <w:gridCol w:w="785"/>
        <w:gridCol w:w="981"/>
        <w:gridCol w:w="501"/>
        <w:gridCol w:w="869"/>
        <w:gridCol w:w="703"/>
        <w:gridCol w:w="605"/>
        <w:gridCol w:w="140"/>
        <w:gridCol w:w="875"/>
        <w:gridCol w:w="60"/>
        <w:gridCol w:w="60"/>
        <w:gridCol w:w="1160"/>
        <w:gridCol w:w="60"/>
        <w:gridCol w:w="60"/>
        <w:gridCol w:w="1160"/>
        <w:gridCol w:w="60"/>
        <w:gridCol w:w="60"/>
        <w:gridCol w:w="1160"/>
        <w:gridCol w:w="60"/>
        <w:gridCol w:w="140"/>
        <w:gridCol w:w="1100"/>
        <w:gridCol w:w="60"/>
        <w:gridCol w:w="140"/>
        <w:gridCol w:w="725"/>
        <w:gridCol w:w="75"/>
      </w:tblGrid>
      <w:tr>
        <w:trPr/>
        <w:tc>
          <w:tcPr>
            <w:tcW w:w="785" w:type="dxa"/>
            <w:tcBorders/>
            <w:vAlign w:val="center"/>
          </w:tcPr>
          <w:p>
            <w:pPr>
              <w:pStyle w:val="TableContents"/>
              <w:bidi w:val="0"/>
              <w:spacing w:before="0" w:after="283"/>
              <w:ind w:left="0" w:right="0" w:hanging="113"/>
              <w:jc w:val="center"/>
              <w:rPr/>
            </w:pPr>
            <w:r>
              <w:rPr/>
              <w:t> </w:t>
            </w:r>
          </w:p>
        </w:tc>
        <w:tc>
          <w:tcPr>
            <w:tcW w:w="981" w:type="dxa"/>
            <w:tcBorders>
              <w:bottom w:val="single" w:sz="6" w:space="0" w:color="000000"/>
            </w:tcBorders>
            <w:tcMar>
              <w:bottom w:w="28" w:type="dxa"/>
            </w:tcMar>
            <w:vAlign w:val="center"/>
          </w:tcPr>
          <w:p>
            <w:pPr>
              <w:pStyle w:val="TableContents"/>
              <w:bidi w:val="0"/>
              <w:spacing w:before="0" w:after="283"/>
              <w:ind w:left="0" w:right="0" w:hanging="104"/>
              <w:jc w:val="center"/>
              <w:rPr>
                <w:b/>
              </w:rPr>
            </w:pPr>
            <w:r>
              <w:rPr>
                <w:b/>
              </w:rPr>
              <w:t>Registrant or</w:t>
              <w:br/>
              <w:t>Filer Name</w:t>
            </w:r>
          </w:p>
        </w:tc>
        <w:tc>
          <w:tcPr>
            <w:tcW w:w="501" w:type="dxa"/>
            <w:tcBorders>
              <w:bottom w:val="single" w:sz="6" w:space="0" w:color="000000"/>
            </w:tcBorders>
            <w:tcMar>
              <w:bottom w:w="28" w:type="dxa"/>
            </w:tcMar>
            <w:vAlign w:val="center"/>
          </w:tcPr>
          <w:p>
            <w:pPr>
              <w:pStyle w:val="TableContents"/>
              <w:bidi w:val="0"/>
              <w:spacing w:before="0" w:after="283"/>
              <w:ind w:left="0" w:right="0" w:hanging="104"/>
              <w:jc w:val="center"/>
              <w:rPr>
                <w:b/>
              </w:rPr>
            </w:pPr>
            <w:r>
              <w:rPr>
                <w:b/>
              </w:rPr>
              <w:t>Form or Filing</w:t>
              <w:br/>
              <w:t>Type</w:t>
            </w:r>
          </w:p>
        </w:tc>
        <w:tc>
          <w:tcPr>
            <w:tcW w:w="869" w:type="dxa"/>
            <w:tcBorders>
              <w:bottom w:val="single" w:sz="6" w:space="0" w:color="000000"/>
            </w:tcBorders>
            <w:tcMar>
              <w:bottom w:w="28" w:type="dxa"/>
            </w:tcMar>
            <w:vAlign w:val="center"/>
          </w:tcPr>
          <w:p>
            <w:pPr>
              <w:pStyle w:val="TableContents"/>
              <w:bidi w:val="0"/>
              <w:spacing w:before="0" w:after="283"/>
              <w:ind w:left="0" w:right="0" w:hanging="6"/>
              <w:jc w:val="center"/>
              <w:rPr>
                <w:b/>
              </w:rPr>
            </w:pPr>
            <w:r>
              <w:rPr>
                <w:b/>
              </w:rPr>
              <w:t>File Number</w:t>
            </w:r>
          </w:p>
        </w:tc>
        <w:tc>
          <w:tcPr>
            <w:tcW w:w="703" w:type="dxa"/>
            <w:tcBorders>
              <w:bottom w:val="single" w:sz="6" w:space="0" w:color="000000"/>
            </w:tcBorders>
            <w:tcMar>
              <w:bottom w:w="28" w:type="dxa"/>
            </w:tcMar>
            <w:vAlign w:val="center"/>
          </w:tcPr>
          <w:p>
            <w:pPr>
              <w:pStyle w:val="TableContents"/>
              <w:bidi w:val="0"/>
              <w:spacing w:before="0" w:after="283"/>
              <w:ind w:left="0" w:right="0" w:firstLine="83"/>
              <w:jc w:val="center"/>
              <w:rPr>
                <w:b/>
              </w:rPr>
            </w:pPr>
            <w:r>
              <w:rPr>
                <w:b/>
              </w:rPr>
              <w:t>Initial Filing</w:t>
              <w:br/>
              <w:t>Date</w:t>
            </w:r>
          </w:p>
        </w:tc>
        <w:tc>
          <w:tcPr>
            <w:tcW w:w="605" w:type="dxa"/>
            <w:tcBorders>
              <w:bottom w:val="single" w:sz="6" w:space="0" w:color="000000"/>
            </w:tcBorders>
            <w:tcMar>
              <w:bottom w:w="28" w:type="dxa"/>
            </w:tcMar>
            <w:vAlign w:val="center"/>
          </w:tcPr>
          <w:p>
            <w:pPr>
              <w:pStyle w:val="TableContents"/>
              <w:bidi w:val="0"/>
              <w:spacing w:before="0" w:after="283"/>
              <w:jc w:val="center"/>
              <w:rPr>
                <w:b/>
              </w:rPr>
            </w:pPr>
            <w:r>
              <w:rPr>
                <w:b/>
              </w:rPr>
              <w:t>Filing Date</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75" w:type="dxa"/>
            <w:tcBorders>
              <w:bottom w:val="single" w:sz="6" w:space="0" w:color="000000"/>
            </w:tcBorders>
            <w:tcMar>
              <w:bottom w:w="28" w:type="dxa"/>
            </w:tcMar>
            <w:vAlign w:val="center"/>
          </w:tcPr>
          <w:p>
            <w:pPr>
              <w:pStyle w:val="TableContents"/>
              <w:bidi w:val="0"/>
              <w:spacing w:before="0" w:after="283"/>
              <w:jc w:val="center"/>
              <w:rPr>
                <w:b/>
              </w:rPr>
            </w:pPr>
            <w:r>
              <w:rPr>
                <w:b/>
              </w:rPr>
              <w:t>Fee Offset</w:t>
              <w:br/>
              <w:t>Claimed</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t>Security Type</w:t>
              <w:br/>
              <w:t>Associated</w:t>
              <w:br/>
              <w:t>with Fee</w:t>
              <w:br/>
              <w:t>Offset</w:t>
              <w:br/>
              <w:t>Claimed</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br/>
              <w:t>Security</w:t>
              <w:br/>
              <w:t>Title</w:t>
              <w:br/>
              <w:t>Associated</w:t>
              <w:br/>
              <w:t>with Fee</w:t>
              <w:br/>
              <w:t>Offset</w:t>
              <w:br/>
              <w:t>Claimed</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t>Unsold</w:t>
              <w:br/>
              <w:t>Securities</w:t>
              <w:br/>
              <w:t>Associated</w:t>
              <w:br/>
              <w:t>with Fee Offset</w:t>
              <w:br/>
              <w:t>Claimed</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b/>
              </w:rPr>
            </w:pPr>
            <w:r>
              <w:rPr>
                <w:b/>
              </w:rPr>
              <w:t>Unsold</w:t>
              <w:br/>
              <w:t>Aggregate</w:t>
              <w:br/>
              <w:t>Offering Amount</w:t>
              <w:br/>
              <w:t>Associated with</w:t>
              <w:br/>
              <w:t>Fee Offset</w:t>
              <w:br/>
              <w:t>Claimed</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25" w:type="dxa"/>
            <w:tcBorders>
              <w:bottom w:val="single" w:sz="6" w:space="0" w:color="000000"/>
            </w:tcBorders>
            <w:tcMar>
              <w:bottom w:w="28" w:type="dxa"/>
            </w:tcMar>
            <w:vAlign w:val="center"/>
          </w:tcPr>
          <w:p>
            <w:pPr>
              <w:pStyle w:val="TableContents"/>
              <w:bidi w:val="0"/>
              <w:spacing w:before="0" w:after="283"/>
              <w:jc w:val="center"/>
              <w:rPr>
                <w:b/>
              </w:rPr>
            </w:pPr>
            <w:r>
              <w:rPr>
                <w:b/>
              </w:rPr>
              <w:t>Fee Paid with</w:t>
              <w:br/>
              <w:t>Fee Offset</w:t>
              <w:br/>
              <w:t>Source</w:t>
            </w:r>
          </w:p>
        </w:tc>
        <w:tc>
          <w:tcPr>
            <w:tcW w:w="75" w:type="dxa"/>
            <w:tcBorders>
              <w:bottom w:val="single" w:sz="6" w:space="0" w:color="000000"/>
            </w:tcBorders>
            <w:tcMar>
              <w:bottom w:w="28" w:type="dxa"/>
            </w:tcMar>
            <w:vAlign w:val="center"/>
          </w:tcPr>
          <w:p>
            <w:pPr>
              <w:pStyle w:val="TableContents"/>
              <w:bidi w:val="0"/>
              <w:spacing w:before="0" w:after="283"/>
              <w:ind w:left="0" w:right="0" w:hanging="3"/>
              <w:jc w:val="center"/>
              <w:rPr/>
            </w:pPr>
            <w:r>
              <w:rPr/>
              <w:t> </w:t>
            </w:r>
          </w:p>
        </w:tc>
      </w:tr>
      <w:tr>
        <w:trPr/>
        <w:tc>
          <w:tcPr>
            <w:tcW w:w="785" w:type="dxa"/>
            <w:tcBorders/>
            <w:vAlign w:val="center"/>
          </w:tcPr>
          <w:p>
            <w:pPr>
              <w:pStyle w:val="TableContents"/>
              <w:bidi w:val="0"/>
              <w:spacing w:before="0" w:after="283"/>
              <w:jc w:val="center"/>
              <w:rPr/>
            </w:pPr>
            <w:r>
              <w:rPr/>
              <w:t> </w:t>
            </w:r>
          </w:p>
        </w:tc>
        <w:tc>
          <w:tcPr>
            <w:tcW w:w="10739" w:type="dxa"/>
            <w:gridSpan w:val="22"/>
            <w:tcBorders/>
            <w:vAlign w:val="center"/>
          </w:tcPr>
          <w:p>
            <w:pPr>
              <w:pStyle w:val="TableContents"/>
              <w:bidi w:val="0"/>
              <w:spacing w:before="0" w:after="283"/>
              <w:jc w:val="center"/>
              <w:rPr>
                <w:b/>
              </w:rPr>
            </w:pPr>
            <w:r>
              <w:rPr>
                <w:b/>
              </w:rPr>
              <w:t>Rule 457(p)</w:t>
            </w:r>
          </w:p>
        </w:tc>
        <w:tc>
          <w:tcPr>
            <w:tcW w:w="75" w:type="dxa"/>
            <w:tcBorders/>
            <w:vAlign w:val="center"/>
          </w:tcPr>
          <w:p>
            <w:pPr>
              <w:pStyle w:val="TableContents"/>
              <w:bidi w:val="0"/>
              <w:spacing w:before="0" w:after="283"/>
              <w:jc w:val="center"/>
              <w:rPr/>
            </w:pPr>
            <w:r>
              <w:rPr/>
              <w:t> </w:t>
            </w:r>
          </w:p>
        </w:tc>
      </w:tr>
      <w:tr>
        <w:trPr/>
        <w:tc>
          <w:tcPr>
            <w:tcW w:w="785" w:type="dxa"/>
            <w:tcBorders>
              <w:top w:val="single" w:sz="6" w:space="0" w:color="000000"/>
            </w:tcBorders>
            <w:shd w:fill="E6EFFF" w:val="clear"/>
            <w:tcMar>
              <w:top w:w="28" w:type="dxa"/>
            </w:tcMar>
            <w:vAlign w:val="center"/>
          </w:tcPr>
          <w:p>
            <w:pPr>
              <w:pStyle w:val="TableContents"/>
              <w:bidi w:val="0"/>
              <w:spacing w:before="0" w:after="283"/>
              <w:jc w:val="center"/>
              <w:rPr/>
            </w:pPr>
            <w:r>
              <w:rPr/>
              <w:t>Fees Offset Claims</w:t>
            </w:r>
          </w:p>
        </w:tc>
        <w:tc>
          <w:tcPr>
            <w:tcW w:w="981" w:type="dxa"/>
            <w:tcBorders>
              <w:top w:val="single" w:sz="6" w:space="0" w:color="000000"/>
            </w:tcBorders>
            <w:shd w:fill="E6EFFF" w:val="clear"/>
            <w:tcMar>
              <w:top w:w="28" w:type="dxa"/>
            </w:tcMar>
            <w:vAlign w:val="center"/>
          </w:tcPr>
          <w:p>
            <w:pPr>
              <w:pStyle w:val="TableContents"/>
              <w:bidi w:val="0"/>
              <w:spacing w:before="0" w:after="283"/>
              <w:jc w:val="center"/>
              <w:rPr/>
            </w:pPr>
            <w:r>
              <w:rPr/>
              <w:t>Cybin Inc.</w:t>
            </w:r>
          </w:p>
        </w:tc>
        <w:tc>
          <w:tcPr>
            <w:tcW w:w="501" w:type="dxa"/>
            <w:tcBorders>
              <w:top w:val="single" w:sz="6" w:space="0" w:color="000000"/>
            </w:tcBorders>
            <w:shd w:fill="E6EFFF" w:val="clear"/>
            <w:tcMar>
              <w:top w:w="28" w:type="dxa"/>
            </w:tcMar>
            <w:vAlign w:val="center"/>
          </w:tcPr>
          <w:p>
            <w:pPr>
              <w:pStyle w:val="TableContents"/>
              <w:bidi w:val="0"/>
              <w:spacing w:before="0" w:after="283"/>
              <w:jc w:val="center"/>
              <w:rPr/>
            </w:pPr>
            <w:r>
              <w:rPr/>
              <w:t>F-10</w:t>
            </w:r>
          </w:p>
        </w:tc>
        <w:tc>
          <w:tcPr>
            <w:tcW w:w="869" w:type="dxa"/>
            <w:tcBorders>
              <w:top w:val="single" w:sz="6" w:space="0" w:color="000000"/>
            </w:tcBorders>
            <w:shd w:fill="E6EFFF" w:val="clear"/>
            <w:tcMar>
              <w:top w:w="28" w:type="dxa"/>
            </w:tcMar>
            <w:vAlign w:val="center"/>
          </w:tcPr>
          <w:p>
            <w:pPr>
              <w:pStyle w:val="TableContents"/>
              <w:bidi w:val="0"/>
              <w:spacing w:before="0" w:after="283"/>
              <w:jc w:val="center"/>
              <w:rPr/>
            </w:pPr>
            <w:r>
              <w:rPr/>
              <w:t>333-259994</w:t>
            </w:r>
            <w:r>
              <w:rPr>
                <w:position w:val="8"/>
                <w:sz w:val="19"/>
              </w:rPr>
              <w:t>(3)</w:t>
            </w:r>
          </w:p>
        </w:tc>
        <w:tc>
          <w:tcPr>
            <w:tcW w:w="703" w:type="dxa"/>
            <w:tcBorders>
              <w:top w:val="single" w:sz="6" w:space="0" w:color="000000"/>
            </w:tcBorders>
            <w:shd w:fill="E6EFFF" w:val="clear"/>
            <w:tcMar>
              <w:top w:w="28" w:type="dxa"/>
            </w:tcMar>
            <w:vAlign w:val="center"/>
          </w:tcPr>
          <w:p>
            <w:pPr>
              <w:pStyle w:val="TableContents"/>
              <w:bidi w:val="0"/>
              <w:spacing w:before="0" w:after="283"/>
              <w:jc w:val="center"/>
              <w:rPr/>
            </w:pPr>
            <w:r>
              <w:rPr/>
              <w:t>10/01/2021</w:t>
            </w:r>
          </w:p>
        </w:tc>
        <w:tc>
          <w:tcPr>
            <w:tcW w:w="605" w:type="dxa"/>
            <w:tcBorders>
              <w:top w:val="single" w:sz="6" w:space="0" w:color="000000"/>
            </w:tcBorders>
            <w:shd w:fill="E6EFFF" w:val="clear"/>
            <w:tcMar>
              <w:top w:w="28" w:type="dxa"/>
            </w:tcMar>
            <w:vAlign w:val="center"/>
          </w:tcPr>
          <w:p>
            <w:pPr>
              <w:pStyle w:val="TableContents"/>
              <w:bidi w:val="0"/>
              <w:spacing w:before="0" w:after="283"/>
              <w:jc w:val="center"/>
              <w:rPr/>
            </w:pPr>
            <w:r>
              <w:rPr/>
              <w:t> </w:t>
            </w:r>
          </w:p>
        </w:tc>
        <w:tc>
          <w:tcPr>
            <w:tcW w:w="140"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875" w:type="dxa"/>
            <w:tcBorders>
              <w:top w:val="single" w:sz="6" w:space="0" w:color="000000"/>
            </w:tcBorders>
            <w:shd w:fill="E6EFFF" w:val="clear"/>
            <w:tcMar>
              <w:top w:w="28" w:type="dxa"/>
            </w:tcMar>
            <w:vAlign w:val="center"/>
          </w:tcPr>
          <w:p>
            <w:pPr>
              <w:pStyle w:val="TableContents"/>
              <w:bidi w:val="0"/>
              <w:spacing w:before="0" w:after="283"/>
              <w:jc w:val="right"/>
              <w:rPr/>
            </w:pPr>
            <w:r>
              <w:rPr/>
              <w:t>1,399</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60" w:type="dxa"/>
            <w:tcBorders>
              <w:top w:val="single" w:sz="6" w:space="0" w:color="000000"/>
            </w:tcBorders>
            <w:shd w:fill="E6EFFF" w:val="clear"/>
            <w:tcMar>
              <w:top w:w="28" w:type="dxa"/>
            </w:tcMar>
            <w:vAlign w:val="center"/>
          </w:tcPr>
          <w:p>
            <w:pPr>
              <w:pStyle w:val="TableContents"/>
              <w:bidi w:val="0"/>
              <w:spacing w:before="0" w:after="283"/>
              <w:jc w:val="center"/>
              <w:rPr/>
            </w:pPr>
            <w:r>
              <w:rPr/>
              <w:t>Unallocated (Universal) Shelf</w:t>
            </w:r>
          </w:p>
        </w:tc>
        <w:tc>
          <w:tcPr>
            <w:tcW w:w="60" w:type="dxa"/>
            <w:tcBorders>
              <w:top w:val="single" w:sz="6" w:space="0" w:color="000000"/>
            </w:tcBorders>
            <w:shd w:fill="E6EFFF" w:val="clear"/>
            <w:tcMar>
              <w:top w:w="28" w:type="dxa"/>
            </w:tcMar>
            <w:vAlign w:val="center"/>
          </w:tcPr>
          <w:p>
            <w:pPr>
              <w:pStyle w:val="TableContents"/>
              <w:bidi w:val="0"/>
              <w:spacing w:before="0" w:after="283"/>
              <w:jc w:val="center"/>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center"/>
              <w:rPr/>
            </w:pPr>
            <w:r>
              <w:rPr/>
              <w:t> </w:t>
            </w:r>
          </w:p>
        </w:tc>
        <w:tc>
          <w:tcPr>
            <w:tcW w:w="1160" w:type="dxa"/>
            <w:tcBorders>
              <w:top w:val="single" w:sz="6" w:space="0" w:color="000000"/>
            </w:tcBorders>
            <w:shd w:fill="E6EFFF" w:val="clear"/>
            <w:tcMar>
              <w:top w:w="28" w:type="dxa"/>
            </w:tcMar>
            <w:vAlign w:val="center"/>
          </w:tcPr>
          <w:p>
            <w:pPr>
              <w:pStyle w:val="TableContents"/>
              <w:bidi w:val="0"/>
              <w:spacing w:before="0" w:after="283"/>
              <w:jc w:val="center"/>
              <w:rPr/>
            </w:pPr>
            <w:r>
              <w:rPr/>
              <w:t>Unallocated (Universal) Shelf</w:t>
            </w:r>
          </w:p>
        </w:tc>
        <w:tc>
          <w:tcPr>
            <w:tcW w:w="60" w:type="dxa"/>
            <w:tcBorders>
              <w:top w:val="single" w:sz="6" w:space="0" w:color="000000"/>
            </w:tcBorders>
            <w:shd w:fill="E6EFFF" w:val="clear"/>
            <w:tcMar>
              <w:top w:w="28" w:type="dxa"/>
            </w:tcMar>
            <w:vAlign w:val="center"/>
          </w:tcPr>
          <w:p>
            <w:pPr>
              <w:pStyle w:val="TableContents"/>
              <w:bidi w:val="0"/>
              <w:spacing w:before="0" w:after="283"/>
              <w:jc w:val="center"/>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center"/>
              <w:rPr/>
            </w:pPr>
            <w:r>
              <w:rPr/>
              <w:t> </w:t>
            </w:r>
          </w:p>
        </w:tc>
        <w:tc>
          <w:tcPr>
            <w:tcW w:w="1160" w:type="dxa"/>
            <w:tcBorders>
              <w:top w:val="single" w:sz="6" w:space="0" w:color="000000"/>
            </w:tcBorders>
            <w:shd w:fill="E6EFFF" w:val="clear"/>
            <w:tcMar>
              <w:top w:w="28" w:type="dxa"/>
            </w:tcMar>
            <w:vAlign w:val="center"/>
          </w:tcPr>
          <w:p>
            <w:pPr>
              <w:pStyle w:val="TableContents"/>
              <w:bidi w:val="0"/>
              <w:spacing w:before="0" w:after="283"/>
              <w:jc w:val="center"/>
              <w:rPr/>
            </w:pPr>
            <w:r>
              <w:rPr/>
              <w:t>Unallocated (Universal) Shelf</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40"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1100" w:type="dxa"/>
            <w:tcBorders>
              <w:top w:val="single" w:sz="6" w:space="0" w:color="000000"/>
            </w:tcBorders>
            <w:shd w:fill="E6EFFF" w:val="clear"/>
            <w:tcMar>
              <w:top w:w="28" w:type="dxa"/>
            </w:tcMar>
            <w:vAlign w:val="center"/>
          </w:tcPr>
          <w:p>
            <w:pPr>
              <w:pStyle w:val="TableContents"/>
              <w:bidi w:val="0"/>
              <w:spacing w:before="0" w:after="283"/>
              <w:jc w:val="right"/>
              <w:rPr/>
            </w:pPr>
            <w:r>
              <w:rPr/>
              <w:t>15,089,589</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4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725" w:type="dxa"/>
            <w:tcBorders>
              <w:top w:val="single" w:sz="6" w:space="0" w:color="000000"/>
            </w:tcBorders>
            <w:shd w:fill="E6EFFF" w:val="clear"/>
            <w:tcMar>
              <w:top w:w="28" w:type="dxa"/>
            </w:tcMar>
            <w:vAlign w:val="center"/>
          </w:tcPr>
          <w:p>
            <w:pPr>
              <w:pStyle w:val="TableContents"/>
              <w:bidi w:val="0"/>
              <w:spacing w:before="0" w:after="283"/>
              <w:jc w:val="right"/>
              <w:rPr/>
            </w:pPr>
            <w:r>
              <w:rPr/>
              <w:t> </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78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Fees Offset Sources</w:t>
            </w:r>
          </w:p>
        </w:tc>
        <w:tc>
          <w:tcPr>
            <w:tcW w:w="98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Cybin Inc.</w:t>
            </w:r>
          </w:p>
        </w:tc>
        <w:tc>
          <w:tcPr>
            <w:tcW w:w="50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F-10</w:t>
            </w:r>
          </w:p>
        </w:tc>
        <w:tc>
          <w:tcPr>
            <w:tcW w:w="86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333-259994</w:t>
            </w:r>
            <w:r>
              <w:rPr>
                <w:position w:val="8"/>
                <w:sz w:val="19"/>
              </w:rPr>
              <w:t>(3)</w:t>
            </w:r>
          </w:p>
        </w:tc>
        <w:tc>
          <w:tcPr>
            <w:tcW w:w="703"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 </w:t>
            </w:r>
          </w:p>
        </w:tc>
        <w:tc>
          <w:tcPr>
            <w:tcW w:w="6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10/01/2021</w:t>
            </w:r>
          </w:p>
        </w:tc>
        <w:tc>
          <w:tcPr>
            <w:tcW w:w="14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0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c>
          <w:tcPr>
            <w:tcW w:w="7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1,399</w:t>
            </w:r>
          </w:p>
        </w:tc>
        <w:tc>
          <w:tcPr>
            <w:tcW w:w="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0"/>
        <w:jc w:val="both"/>
        <w:rPr/>
      </w:pPr>
      <w:bookmarkStart w:id="65" w:name="page_310"/>
      <w:bookmarkEnd w:id="65"/>
      <w:r>
        <w:rPr>
          <w:color w:val="231F20"/>
        </w:rPr>
        <w:t>(4)</w:t>
      </w:r>
      <w:r>
        <w:rPr/>
        <w:t> The Registrant previously paid $9,154.13 in registration fees with respect to the Registration Statement on Form F-10 (333-259994) on October 1, 2021 (the "Prior Registration Statement"), of which (i) $3,245 was utilized in connection with the Registrant's prospectus supplement filed August 8, 2022 to the Prior Registration Statement pursuant to which the Registrant offered common shares having an aggregate offering price of up to $35,000,000, (ii) $2,846 was utilized in connection with the Registrant's prospectus supplement filed May 31, 2023 to the Prior Registration Statement pursuant to which the Registrant (A) offered common shares having an aggregate offering price of up to $30,000,000 and (B) issued 2,538,844 common shares, the filing fee associated with such common shares was calculated in accordance with Rule 457(c) using the high and low sale prices of the common shares on the NYSE American Exchange on May 25, 2023, which is a date within five business days of filing such prospectus supplement, (iii) $765 was utilized in connection with the Registrant's prospectus supplement filed August 2, 2023 to the Prior Registration Statement pursuant to which the Registrant offered units having an aggregate offering price of $8,250,000 (the "Unit Offering") and (iv) $900 was utilized in connection with the Registrant's prospectus supplement filed August 4, 2023 to the Prior Registration Statement pursuant to which the Registrant registered 24,264,706 common shares issuable upon the exercise of 24,264,706 common share purchase warrants (the "Warrants") issued pursuant to the Unit Offering at an exercise price of $0.40 per Warrant (the "Exercise Price"), the filing fee associated with such common shares was calculated in accordance with Rule 457(g) using the Exercise Price. Therefore, $1,399 of the previously paid fees attributable to $15,089,589 of unsold securities that were previously registered under the Prior Registration Statement may be applied to the filing fees payable pursuant to this Registration Statement, and the Prior Registration Statement and the offering of the unsold securities registered under the Prior Registration Statement will be deemed terminated as of the effective date of this Registration Statement.</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833141/000183314123000004/annualinformationformaif-c.htm" TargetMode="External"/><Relationship Id="rId5" Type="http://schemas.openxmlformats.org/officeDocument/2006/relationships/hyperlink" Target="http://www.sec.gov/Archives/edgar/data/1833141/000183314123000004/annualinformationformaif-c.htm" TargetMode="External"/><Relationship Id="rId6" Type="http://schemas.openxmlformats.org/officeDocument/2006/relationships/hyperlink" Target="http://www.sec.gov/ix?doc=/Archives/edgar/data/0001833141/000183314123000004/cybn-20230331.htm" TargetMode="External"/><Relationship Id="rId7" Type="http://schemas.openxmlformats.org/officeDocument/2006/relationships/hyperlink" Target="http://www.sec.gov/ix?doc=/Archives/edgar/data/0001833141/000183314123000004/cybn-20230331.htm" TargetMode="External"/><Relationship Id="rId8" Type="http://schemas.openxmlformats.org/officeDocument/2006/relationships/hyperlink" Target="http://www.sec.gov/Archives/edgar/data/1833141/000183314123000004/cybin-mdaxq4x23xmarch312023.htm" TargetMode="External"/><Relationship Id="rId9" Type="http://schemas.openxmlformats.org/officeDocument/2006/relationships/hyperlink" Target="http://www.sec.gov/Archives/edgar/data/1833141/000183314123000004/cybin-mdaxq4x23xmarch312023.htm" TargetMode="External"/><Relationship Id="rId10" Type="http://schemas.openxmlformats.org/officeDocument/2006/relationships/hyperlink" Target="http://www.sec.gov/Archives/edgar/data/1833141/000183314123000008/cybinincfs-q1x24xjune302023.htm" TargetMode="External"/><Relationship Id="rId11" Type="http://schemas.openxmlformats.org/officeDocument/2006/relationships/hyperlink" Target="http://www.sec.gov/Archives/edgar/data/1833141/000183314123000008/cybinincfs-q1x24xjune302023.htm" TargetMode="External"/><Relationship Id="rId12" Type="http://schemas.openxmlformats.org/officeDocument/2006/relationships/hyperlink" Target="http://www.sec.gov/Archives/edgar/data/1833141/000183314123000008/cybin-mdaxq1x24xjune302023.htm" TargetMode="External"/><Relationship Id="rId13" Type="http://schemas.openxmlformats.org/officeDocument/2006/relationships/hyperlink" Target="http://www.sec.gov/Archives/edgar/data/1833141/000183314123000008/cybin-mdaxq1x24xjune302023.htm" TargetMode="External"/><Relationship Id="rId14" Type="http://schemas.openxmlformats.org/officeDocument/2006/relationships/hyperlink" Target="http://www.sec.gov/Archives/edgar/data/1833141/000162828022019384/agm2022-managementinformat.htm" TargetMode="External"/><Relationship Id="rId15" Type="http://schemas.openxmlformats.org/officeDocument/2006/relationships/hyperlink" Target="http://www.sec.gov/Archives/edgar/data/1833141/000162828022019384/agm2022-managementinformat.htm" TargetMode="External"/><Relationship Id="rId16" Type="http://schemas.openxmlformats.org/officeDocument/2006/relationships/hyperlink" Target="http://www.sec.gov/Archives/edgar/data/1833141/000162828023020480/cybn-materialchangereportj.htm" TargetMode="External"/><Relationship Id="rId17" Type="http://schemas.openxmlformats.org/officeDocument/2006/relationships/hyperlink" Target="http://www.sec.gov/Archives/edgar/data/1833141/000162828023020480/cybn-materialchangereportj.htm" TargetMode="External"/><Relationship Id="rId18" Type="http://schemas.openxmlformats.org/officeDocument/2006/relationships/hyperlink" Target="http://www.sec.gov/Archives/edgar/data/1833141/000183314123000007/cybn-materialchangereporta.htm" TargetMode="External"/><Relationship Id="rId19" Type="http://schemas.openxmlformats.org/officeDocument/2006/relationships/hyperlink" Target="http://www.sec.gov/Archives/edgar/data/1833141/000183314123000007/cybn-materialchangereporta.htm" TargetMode="External"/><Relationship Id="rId20" Type="http://schemas.openxmlformats.org/officeDocument/2006/relationships/hyperlink" Target="http://www.sec.gov/Archives/edgar/data/1833141/000106299323013734/exhibit7-1.htm" TargetMode="External"/><Relationship Id="rId21" Type="http://schemas.openxmlformats.org/officeDocument/2006/relationships/hyperlink" Target="http://www.sec.gov/Archives/edgar/data/1833141/000106299323013734/exhibit7-1.htm" TargetMode="External"/><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29412</Words>
  <Characters>166116</Characters>
  <CharactersWithSpaces>195216</CharactersWithSpaces>
  <Paragraphs>1106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