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November,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November 15,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3011170</wp:posOffset>
            </wp:positionH>
            <wp:positionV relativeFrom="page">
              <wp:posOffset>911860</wp:posOffset>
            </wp:positionV>
            <wp:extent cx="1525905" cy="908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2590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Inc. Presents CYB003 Preclinical Data at Neuroscience 2022</w:t>
      </w:r>
    </w:p>
    <w:p>
      <w:pPr>
        <w:spacing w:after="0" w:line="200" w:lineRule="exact"/>
        <w:rPr>
          <w:sz w:val="20"/>
          <w:szCs w:val="20"/>
          <w:color w:val="auto"/>
        </w:rPr>
      </w:pP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November 15,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 CYBN)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w:t>
      </w:r>
      <w:r>
        <w:rPr>
          <w:rFonts w:ascii="Arial" w:cs="Arial" w:eastAsia="Arial" w:hAnsi="Arial"/>
          <w:sz w:val="20"/>
          <w:szCs w:val="20"/>
          <w:color w:val="auto"/>
        </w:rPr>
        <w:t>, today announced that the Company presented a poster highlighting preclinical data for its deuterated psilocybin analog, CYB003 at Neuroscience 2022 hosted by the Society for Neuroscience (“SFN”) taking place November 12-16, 2022, in San Diego, CA.</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“It is exciting to be part of this year’s SFN meeting and showcase CYB003 amongst leading scientists and academics in the area of psychedelic medicine,” said Geoff Varty, Ph.D., Head of Research &amp; Development at Cybin. “Our presentation at Neuroscience 2022 highlighted the findings from our CYB003 preclinical studies. Compared to classical psilocybin, CYB003 has demonstrated less variability in plasma levels, faster onset of action, and shorter duration of effect. These potential therapeutic benefits could result in reduced time and resource burden on the healthcare system and potentially improved scalability and accessibility of treatment.”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Poster Details:</w:t>
      </w:r>
    </w:p>
    <w:p>
      <w:pPr>
        <w:spacing w:after="0" w:line="175" w:lineRule="exact"/>
        <w:rPr>
          <w:sz w:val="20"/>
          <w:szCs w:val="20"/>
          <w:color w:val="auto"/>
        </w:rPr>
      </w:pPr>
    </w:p>
    <w:p>
      <w:pPr>
        <w:ind w:right="420"/>
        <w:spacing w:after="0" w:line="302" w:lineRule="auto"/>
        <w:rPr>
          <w:sz w:val="20"/>
          <w:szCs w:val="20"/>
          <w:color w:val="auto"/>
        </w:rPr>
      </w:pPr>
      <w:r>
        <w:rPr>
          <w:rFonts w:ascii="Arial" w:cs="Arial" w:eastAsia="Arial" w:hAnsi="Arial"/>
          <w:sz w:val="20"/>
          <w:szCs w:val="20"/>
          <w:b w:val="1"/>
          <w:bCs w:val="1"/>
          <w:color w:val="auto"/>
        </w:rPr>
        <w:t xml:space="preserve">Title: </w:t>
      </w:r>
      <w:r>
        <w:rPr>
          <w:rFonts w:ascii="Arial" w:cs="Arial" w:eastAsia="Arial" w:hAnsi="Arial"/>
          <w:sz w:val="20"/>
          <w:szCs w:val="20"/>
          <w:color w:val="auto"/>
        </w:rPr>
        <w:t>Pharmacological and Pharmacokinetic Profile of CYB003, A Novel, Orally Active Analog of Psilocybin for the Potential</w:t>
      </w:r>
      <w:r>
        <w:rPr>
          <w:rFonts w:ascii="Arial" w:cs="Arial" w:eastAsia="Arial" w:hAnsi="Arial"/>
          <w:sz w:val="20"/>
          <w:szCs w:val="20"/>
          <w:b w:val="1"/>
          <w:bCs w:val="1"/>
          <w:color w:val="auto"/>
        </w:rPr>
        <w:t xml:space="preserve"> </w:t>
      </w:r>
      <w:r>
        <w:rPr>
          <w:rFonts w:ascii="Arial" w:cs="Arial" w:eastAsia="Arial" w:hAnsi="Arial"/>
          <w:sz w:val="20"/>
          <w:szCs w:val="20"/>
          <w:color w:val="auto"/>
        </w:rPr>
        <w:t>Treatment of Major Depressive Disorder</w:t>
      </w:r>
    </w:p>
    <w:p>
      <w:pPr>
        <w:spacing w:after="0" w:line="204" w:lineRule="exact"/>
        <w:rPr>
          <w:sz w:val="20"/>
          <w:szCs w:val="20"/>
          <w:color w:val="auto"/>
        </w:rPr>
      </w:pPr>
    </w:p>
    <w:p>
      <w:pPr>
        <w:ind w:right="620"/>
        <w:spacing w:after="0" w:line="302" w:lineRule="auto"/>
        <w:rPr>
          <w:sz w:val="20"/>
          <w:szCs w:val="20"/>
          <w:color w:val="auto"/>
        </w:rPr>
      </w:pPr>
      <w:r>
        <w:rPr>
          <w:rFonts w:ascii="Arial" w:cs="Arial" w:eastAsia="Arial" w:hAnsi="Arial"/>
          <w:sz w:val="20"/>
          <w:szCs w:val="20"/>
          <w:b w:val="1"/>
          <w:bCs w:val="1"/>
          <w:color w:val="auto"/>
        </w:rPr>
        <w:t xml:space="preserve">Authors: </w:t>
      </w:r>
      <w:r>
        <w:rPr>
          <w:rFonts w:ascii="Arial" w:cs="Arial" w:eastAsia="Arial" w:hAnsi="Arial"/>
          <w:sz w:val="20"/>
          <w:szCs w:val="20"/>
          <w:color w:val="242424"/>
        </w:rPr>
        <w:t>Geoffrey Varty, Michael Morgan, Joan Krakowsky, Clinton Canal, Tina Mueller, Amy Reichelt, Ken Avery, Pradip</w:t>
      </w:r>
      <w:r>
        <w:rPr>
          <w:rFonts w:ascii="Arial" w:cs="Arial" w:eastAsia="Arial" w:hAnsi="Arial"/>
          <w:sz w:val="20"/>
          <w:szCs w:val="20"/>
          <w:b w:val="1"/>
          <w:bCs w:val="1"/>
          <w:color w:val="auto"/>
        </w:rPr>
        <w:t xml:space="preserve"> </w:t>
      </w:r>
      <w:r>
        <w:rPr>
          <w:rFonts w:ascii="Arial" w:cs="Arial" w:eastAsia="Arial" w:hAnsi="Arial"/>
          <w:sz w:val="20"/>
          <w:szCs w:val="20"/>
          <w:color w:val="242424"/>
        </w:rPr>
        <w:t>Pathare, Joshua Hartsel, Alex Nivorozhkin, Michael Palfreyman</w:t>
      </w:r>
    </w:p>
    <w:p>
      <w:pPr>
        <w:spacing w:after="0" w:line="191" w:lineRule="exact"/>
        <w:rPr>
          <w:sz w:val="20"/>
          <w:szCs w:val="20"/>
          <w:color w:val="auto"/>
        </w:rPr>
      </w:pPr>
    </w:p>
    <w:p>
      <w:pPr>
        <w:ind w:right="2560"/>
        <w:spacing w:after="0" w:line="423" w:lineRule="auto"/>
        <w:rPr>
          <w:sz w:val="20"/>
          <w:szCs w:val="20"/>
          <w:color w:val="auto"/>
        </w:rPr>
      </w:pPr>
      <w:r>
        <w:rPr>
          <w:rFonts w:ascii="Arial" w:cs="Arial" w:eastAsia="Arial" w:hAnsi="Arial"/>
          <w:sz w:val="20"/>
          <w:szCs w:val="20"/>
          <w:b w:val="1"/>
          <w:bCs w:val="1"/>
          <w:color w:val="auto"/>
        </w:rPr>
        <w:t xml:space="preserve">Poster Session: </w:t>
      </w:r>
      <w:r>
        <w:rPr>
          <w:rFonts w:ascii="Arial" w:cs="Arial" w:eastAsia="Arial" w:hAnsi="Arial"/>
          <w:sz w:val="20"/>
          <w:szCs w:val="20"/>
          <w:color w:val="auto"/>
        </w:rPr>
        <w:t>Treatment and Drug Discovery for Mood Disorders. Presentation Number: 147.04</w:t>
      </w:r>
      <w:r>
        <w:rPr>
          <w:rFonts w:ascii="Arial" w:cs="Arial" w:eastAsia="Arial" w:hAnsi="Arial"/>
          <w:sz w:val="20"/>
          <w:szCs w:val="20"/>
          <w:b w:val="1"/>
          <w:bCs w:val="1"/>
          <w:color w:val="auto"/>
        </w:rPr>
        <w:t xml:space="preserve"> About CYB003</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auto"/>
        </w:rPr>
        <w:t xml:space="preserve">CYB003 is derived from psilocybin, which is part of a family of molecules called indolamines that include more common neurotransmitters, such as serotonin. Psilocybin is dephosphorylated to form its metabolite, psilocin, which can cross the blood-brain-barrier. Given its structural similarity to serotonin, psilocin can easily activate the serotonin 5-HT2A receptor. </w:t>
      </w:r>
      <w:r>
        <w:rPr>
          <w:rFonts w:ascii="Arial" w:cs="Arial" w:eastAsia="Arial" w:hAnsi="Arial"/>
          <w:sz w:val="21"/>
          <w:szCs w:val="21"/>
          <w:color w:val="auto"/>
        </w:rPr>
        <w:t>CYB003 is a</w:t>
      </w:r>
      <w:r>
        <w:rPr>
          <w:rFonts w:ascii="Arial" w:cs="Arial" w:eastAsia="Arial" w:hAnsi="Arial"/>
          <w:sz w:val="20"/>
          <w:szCs w:val="20"/>
          <w:color w:val="auto"/>
        </w:rPr>
        <w:t xml:space="preserve"> </w:t>
      </w:r>
      <w:r>
        <w:rPr>
          <w:rFonts w:ascii="Arial" w:cs="Arial" w:eastAsia="Arial" w:hAnsi="Arial"/>
          <w:sz w:val="21"/>
          <w:szCs w:val="21"/>
          <w:color w:val="auto"/>
        </w:rPr>
        <w:t xml:space="preserve">deuterated psilocybin analog designed to achieve less variability in plasma levels, faster onset of action, shorter duration of effect and potentially better tolerability for an overall better outcome for patients. </w:t>
      </w:r>
      <w:r>
        <w:rPr>
          <w:rFonts w:ascii="Arial" w:cs="Arial" w:eastAsia="Arial" w:hAnsi="Arial"/>
          <w:sz w:val="19"/>
          <w:szCs w:val="19"/>
          <w:color w:val="auto"/>
        </w:rPr>
        <w:t>CYB003 is currently being</w:t>
      </w:r>
      <w:r>
        <w:rPr>
          <w:rFonts w:ascii="Arial" w:cs="Arial" w:eastAsia="Arial" w:hAnsi="Arial"/>
          <w:sz w:val="21"/>
          <w:szCs w:val="21"/>
          <w:color w:val="auto"/>
        </w:rPr>
        <w:t xml:space="preserve"> </w:t>
      </w:r>
      <w:r>
        <w:rPr>
          <w:rFonts w:ascii="Arial" w:cs="Arial" w:eastAsia="Arial" w:hAnsi="Arial"/>
          <w:sz w:val="19"/>
          <w:szCs w:val="19"/>
          <w:color w:val="auto"/>
        </w:rPr>
        <w:t>evaluated in a Phase 1/2a clinical trial for the treatment of major depressive disorder.</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Cybin</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CYB003 and anticipated results based on the Company’s preclinical findings, the Company’s plan to engineer proprietary drug development platforms, innovative drug delivery systems, novel formulation approaches, potential treatment regimens for psychiatric disorders and development of medicinal psychedelics to address unmet medical needs.</w:t>
      </w:r>
    </w:p>
    <w:p>
      <w:pPr>
        <w:spacing w:after="0" w:line="99"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six month periods ended September 30, 2022 and the Company's annual information form for the year ended March 31, 2022, which are available under the Company's profile on </w:t>
      </w:r>
      <w:r>
        <w:rPr>
          <w:rFonts w:ascii="Arial" w:cs="Arial" w:eastAsia="Arial" w:hAnsi="Arial"/>
          <w:sz w:val="20"/>
          <w:szCs w:val="20"/>
          <w:u w:val="single" w:color="auto"/>
          <w:color w:val="0563C1"/>
        </w:rPr>
        <w:t>www.sedar.com</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563C1"/>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w:t>
      </w:r>
    </w:p>
    <w:p>
      <w:pPr>
        <w:sectPr>
          <w:pgSz w:w="11900" w:h="16838" w:orient="portrait"/>
          <w:cols w:equalWidth="0" w:num="1">
            <w:col w:w="11240"/>
          </w:cols>
          <w:pgMar w:left="320" w:top="1425" w:right="339" w:bottom="1440" w:gutter="0" w:footer="0" w:header="0"/>
        </w:sectPr>
      </w:pPr>
    </w:p>
    <w:bookmarkStart w:id="5" w:name="page6"/>
    <w:bookmarkEnd w:id="5"/>
    <w:p>
      <w:pPr>
        <w:jc w:val="both"/>
        <w:spacing w:after="0" w:line="314" w:lineRule="auto"/>
        <w:rPr>
          <w:sz w:val="20"/>
          <w:szCs w:val="20"/>
          <w:color w:val="auto"/>
        </w:rPr>
      </w:pPr>
      <w:r>
        <w:rPr>
          <w:rFonts w:ascii="Arial" w:cs="Arial" w:eastAsia="Arial" w:hAnsi="Arial"/>
          <w:sz w:val="20"/>
          <w:szCs w:val="20"/>
          <w:color w:val="auto"/>
        </w:rPr>
        <w:t>release. The Company assumes no obligation to update the forward-looking statements of beliefs, opinions, projections, or other factors, should they change, except as required by law.</w:t>
      </w:r>
    </w:p>
    <w:p>
      <w:pPr>
        <w:spacing w:after="0" w:line="7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1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 &amp; Media:</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0563C1"/>
        </w:rPr>
        <w:t xml:space="preserve">irteam@cybin.com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42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203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2022-11-15T07:55:47Z</dcterms:created>
  <dcterms:modified xsi:type="dcterms:W3CDTF">2022-11-15T07:55:47Z</dcterms:modified>
</cp:coreProperties>
</file>