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6-K</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July, 2022.</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5"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0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spacing w:after="0" w:line="260"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July 28, 2022</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News Release dated July 28, 2022</w:t>
        </w:r>
      </w:hyperlink>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920750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Present at the Canaccord Genuity 42</w:t>
      </w:r>
      <w:r>
        <w:rPr>
          <w:rFonts w:ascii="Arial" w:cs="Arial" w:eastAsia="Arial" w:hAnsi="Arial"/>
          <w:sz w:val="32"/>
          <w:szCs w:val="32"/>
          <w:b w:val="1"/>
          <w:bCs w:val="1"/>
          <w:color w:val="auto"/>
          <w:vertAlign w:val="superscript"/>
        </w:rPr>
        <w:t>nd</w:t>
      </w:r>
      <w:r>
        <w:rPr>
          <w:rFonts w:ascii="Arial" w:cs="Arial" w:eastAsia="Arial" w:hAnsi="Arial"/>
          <w:sz w:val="25"/>
          <w:szCs w:val="25"/>
          <w:b w:val="1"/>
          <w:bCs w:val="1"/>
          <w:color w:val="auto"/>
        </w:rPr>
        <w:t xml:space="preserve"> Annual Growth Conference</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July 28,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is pleased to announce that Doug Drysdale, Cybin’s Chief Executive Officer, will participate in a fireside chat at the Canaccord Genuity 42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Annual Growth Conference being held at the InterContinental Boston Hotel on August 8-11, 2022.</w:t>
      </w:r>
    </w:p>
    <w:p>
      <w:pPr>
        <w:spacing w:after="0" w:line="251"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 xml:space="preserve">Mr. Drysdale’s fireside chat will be webcast live on Thursday, August 11, 2022 at 3:30 p.m. ET. To listen to the event, please </w:t>
      </w:r>
      <w:r>
        <w:rPr>
          <w:rFonts w:ascii="Arial" w:cs="Arial" w:eastAsia="Arial" w:hAnsi="Arial"/>
          <w:sz w:val="20"/>
          <w:szCs w:val="20"/>
          <w:u w:val="single" w:color="auto"/>
          <w:color w:val="0000FF"/>
        </w:rPr>
        <w:t>click here</w:t>
      </w:r>
      <w:r>
        <w:rPr>
          <w:rFonts w:ascii="Arial" w:cs="Arial" w:eastAsia="Arial" w:hAnsi="Arial"/>
          <w:sz w:val="20"/>
          <w:szCs w:val="20"/>
          <w:color w:val="0000FF"/>
        </w:rPr>
        <w:t xml:space="preserve"> </w:t>
      </w:r>
      <w:r>
        <w:rPr>
          <w:rFonts w:ascii="Arial" w:cs="Arial" w:eastAsia="Arial" w:hAnsi="Arial"/>
          <w:sz w:val="20"/>
          <w:szCs w:val="20"/>
          <w:color w:val="000000"/>
        </w:rPr>
        <w:t>to access the webcast. The archived webcast will also be available on the Company’s investor relations website on</w:t>
      </w:r>
      <w:r>
        <w:rPr>
          <w:rFonts w:ascii="Arial" w:cs="Arial" w:eastAsia="Arial" w:hAnsi="Arial"/>
          <w:sz w:val="20"/>
          <w:szCs w:val="20"/>
          <w:color w:val="0000FF"/>
        </w:rPr>
        <w:t xml:space="preserve"> </w:t>
      </w:r>
      <w:r>
        <w:rPr>
          <w:rFonts w:ascii="Arial" w:cs="Arial" w:eastAsia="Arial" w:hAnsi="Arial"/>
          <w:sz w:val="20"/>
          <w:szCs w:val="20"/>
          <w:color w:val="000000"/>
        </w:rPr>
        <w:t xml:space="preserve">the </w:t>
      </w:r>
      <w:r>
        <w:rPr>
          <w:rFonts w:ascii="Arial" w:cs="Arial" w:eastAsia="Arial" w:hAnsi="Arial"/>
          <w:sz w:val="20"/>
          <w:szCs w:val="20"/>
          <w:u w:val="single" w:color="auto"/>
          <w:color w:val="0000FF"/>
        </w:rPr>
        <w:t>Events &amp; Presentations</w:t>
      </w:r>
      <w:r>
        <w:rPr>
          <w:rFonts w:ascii="Arial" w:cs="Arial" w:eastAsia="Arial" w:hAnsi="Arial"/>
          <w:sz w:val="20"/>
          <w:szCs w:val="20"/>
          <w:color w:val="000000"/>
        </w:rPr>
        <w:t xml:space="preserve"> page.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6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2022-07-28T13:11:38Z</dcterms:created>
  <dcterms:modified xsi:type="dcterms:W3CDTF">2022-07-28T13:11:38Z</dcterms:modified>
</cp:coreProperties>
</file>