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Cybin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23256X100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6" w:lineRule="exact"/>
        <w:rPr>
          <w:sz w:val="24"/>
          <w:szCs w:val="24"/>
          <w:color w:val="auto"/>
        </w:rPr>
      </w:pPr>
    </w:p>
    <w:p>
      <w:pPr>
        <w:ind w:left="660" w:right="9320" w:hanging="4"/>
        <w:spacing w:after="0" w:line="287" w:lineRule="auto"/>
        <w:tabs>
          <w:tab w:leader="none" w:pos="903"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13d-1(b) </w:t>
      </w:r>
      <w:r>
        <w:rPr>
          <w:rFonts w:ascii="Arial" w:cs="Arial" w:eastAsia="Arial" w:hAnsi="Arial"/>
          <w:sz w:val="19"/>
          <w:szCs w:val="19"/>
          <w:color w:val="auto"/>
        </w:rPr>
        <w:t xml:space="preserve">o </w:t>
      </w:r>
      <w:r>
        <w:rPr>
          <w:rFonts w:ascii="Arial" w:cs="Arial" w:eastAsia="Arial" w:hAnsi="Arial"/>
          <w:sz w:val="15"/>
          <w:szCs w:val="15"/>
          <w:color w:val="auto"/>
        </w:rPr>
        <w:t>Rule 13d-1(c)</w:t>
      </w:r>
      <w:r>
        <w:rPr>
          <w:rFonts w:ascii="Arial" w:cs="Arial" w:eastAsia="Arial" w:hAnsi="Arial"/>
          <w:sz w:val="19"/>
          <w:szCs w:val="19"/>
          <w:color w:val="auto"/>
        </w:rPr>
        <w:t xml:space="preserve"> o </w:t>
      </w:r>
      <w:r>
        <w:rPr>
          <w:rFonts w:ascii="Arial" w:cs="Arial" w:eastAsia="Arial" w:hAnsi="Arial"/>
          <w:sz w:val="15"/>
          <w:szCs w:val="15"/>
          <w:color w:val="auto"/>
        </w:rPr>
        <w:t>Rule 13d-1(d)</w:t>
      </w:r>
    </w:p>
    <w:p>
      <w:pPr>
        <w:spacing w:after="0" w:line="39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4"/>
          </w:tcPr>
          <w:p>
            <w:pPr>
              <w:jc w:val="center"/>
              <w:ind w:right="260"/>
              <w:spacing w:after="0"/>
              <w:rPr>
                <w:sz w:val="20"/>
                <w:szCs w:val="20"/>
                <w:color w:val="auto"/>
              </w:rPr>
            </w:pPr>
            <w:r>
              <w:rPr>
                <w:rFonts w:ascii="Arial" w:cs="Arial" w:eastAsia="Arial" w:hAnsi="Arial"/>
                <w:sz w:val="18"/>
                <w:szCs w:val="18"/>
                <w:b w:val="1"/>
                <w:bCs w:val="1"/>
                <w:color w:val="auto"/>
                <w:w w:val="93"/>
              </w:rPr>
              <w:t xml:space="preserve">CUSIP No. </w:t>
            </w:r>
            <w:r>
              <w:rPr>
                <w:rFonts w:ascii="Arial" w:cs="Arial" w:eastAsia="Arial" w:hAnsi="Arial"/>
                <w:sz w:val="18"/>
                <w:szCs w:val="18"/>
                <w:b w:val="1"/>
                <w:bCs w:val="1"/>
                <w:color w:val="auto"/>
                <w:highlight w:val="white"/>
                <w:w w:val="93"/>
              </w:rPr>
              <w:t>23256X100</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2 of 6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8"/>
        </w:trPr>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00" w:type="dxa"/>
            <w:vAlign w:val="bottom"/>
            <w:vMerge w:val="restart"/>
          </w:tcPr>
          <w:p>
            <w:pPr>
              <w:jc w:val="center"/>
              <w:ind w:left="104"/>
              <w:spacing w:after="0"/>
              <w:rPr>
                <w:sz w:val="20"/>
                <w:szCs w:val="20"/>
                <w:color w:val="auto"/>
              </w:rPr>
            </w:pPr>
            <w:r>
              <w:rPr>
                <w:rFonts w:ascii="Arial" w:cs="Arial" w:eastAsia="Arial" w:hAnsi="Arial"/>
                <w:sz w:val="25"/>
                <w:szCs w:val="25"/>
                <w:color w:val="auto"/>
                <w:w w:val="85"/>
              </w:rPr>
              <w:t>1</w:t>
            </w:r>
          </w:p>
        </w:tc>
        <w:tc>
          <w:tcPr>
            <w:tcW w:w="26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00" w:type="dxa"/>
            <w:vAlign w:val="bottom"/>
            <w:vMerge w:val="continue"/>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7100" w:type="dxa"/>
            <w:vAlign w:val="bottom"/>
            <w:gridSpan w:val="5"/>
            <w:vMerge w:val="restart"/>
          </w:tcPr>
          <w:p>
            <w:pPr>
              <w:ind w:left="40"/>
              <w:spacing w:after="0"/>
              <w:rPr>
                <w:sz w:val="20"/>
                <w:szCs w:val="20"/>
                <w:color w:val="auto"/>
              </w:rPr>
            </w:pPr>
            <w:r>
              <w:rPr>
                <w:rFonts w:ascii="Arial" w:cs="Arial" w:eastAsia="Arial" w:hAnsi="Arial"/>
                <w:sz w:val="18"/>
                <w:szCs w:val="18"/>
                <w:color w:val="auto"/>
              </w:rPr>
              <w:t>OrbiMed Capital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7100" w:type="dxa"/>
            <w:vAlign w:val="bottom"/>
            <w:gridSpan w:val="5"/>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00" w:type="dxa"/>
            <w:vAlign w:val="bottom"/>
            <w:vMerge w:val="restart"/>
          </w:tcPr>
          <w:p>
            <w:pPr>
              <w:jc w:val="center"/>
              <w:ind w:left="104"/>
              <w:spacing w:after="0"/>
              <w:rPr>
                <w:sz w:val="20"/>
                <w:szCs w:val="20"/>
                <w:color w:val="auto"/>
              </w:rPr>
            </w:pPr>
            <w:r>
              <w:rPr>
                <w:rFonts w:ascii="Arial" w:cs="Arial" w:eastAsia="Arial" w:hAnsi="Arial"/>
                <w:sz w:val="25"/>
                <w:szCs w:val="25"/>
                <w:color w:val="auto"/>
                <w:w w:val="85"/>
              </w:rPr>
              <w:t>2</w:t>
            </w:r>
          </w:p>
        </w:tc>
        <w:tc>
          <w:tcPr>
            <w:tcW w:w="260" w:type="dxa"/>
            <w:vAlign w:val="bottom"/>
            <w:tcBorders>
              <w:right w:val="single" w:sz="8" w:color="auto"/>
            </w:tcBorders>
          </w:tcPr>
          <w:p>
            <w:pPr>
              <w:spacing w:after="0"/>
              <w:rPr>
                <w:sz w:val="21"/>
                <w:szCs w:val="21"/>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vMerge w:val="continue"/>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40" w:type="dxa"/>
            <w:vAlign w:val="bottom"/>
            <w:tcBorders>
              <w:right w:val="single" w:sz="8" w:color="auto"/>
            </w:tcBorders>
            <w:shd w:val="clear" w:color="auto" w:fill="000000"/>
          </w:tcPr>
          <w:p>
            <w:pPr>
              <w:spacing w:after="0"/>
              <w:rPr>
                <w:sz w:val="24"/>
                <w:szCs w:val="24"/>
                <w:color w:val="auto"/>
              </w:rPr>
            </w:pPr>
          </w:p>
        </w:tc>
        <w:tc>
          <w:tcPr>
            <w:tcW w:w="500" w:type="dxa"/>
            <w:vAlign w:val="bottom"/>
          </w:tcPr>
          <w:p>
            <w:pPr>
              <w:jc w:val="center"/>
              <w:ind w:left="104"/>
              <w:spacing w:after="0"/>
              <w:rPr>
                <w:sz w:val="20"/>
                <w:szCs w:val="20"/>
                <w:color w:val="auto"/>
              </w:rPr>
            </w:pPr>
            <w:r>
              <w:rPr>
                <w:rFonts w:ascii="Arial" w:cs="Arial" w:eastAsia="Arial" w:hAnsi="Arial"/>
                <w:sz w:val="25"/>
                <w:szCs w:val="25"/>
                <w:color w:val="auto"/>
                <w:w w:val="85"/>
              </w:rPr>
              <w:t>3</w:t>
            </w:r>
          </w:p>
        </w:tc>
        <w:tc>
          <w:tcPr>
            <w:tcW w:w="260" w:type="dxa"/>
            <w:vAlign w:val="bottom"/>
            <w:tcBorders>
              <w:right w:val="single" w:sz="8" w:color="auto"/>
            </w:tcBorders>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5080" w:type="dxa"/>
            <w:vAlign w:val="bottom"/>
            <w:tcBorders>
              <w:bottom w:val="single" w:sz="8" w:color="auto"/>
            </w:tcBorders>
            <w:gridSpan w:val="2"/>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00" w:type="dxa"/>
            <w:vAlign w:val="bottom"/>
            <w:vMerge w:val="restart"/>
          </w:tcPr>
          <w:p>
            <w:pPr>
              <w:jc w:val="center"/>
              <w:ind w:left="104"/>
              <w:spacing w:after="0"/>
              <w:rPr>
                <w:sz w:val="20"/>
                <w:szCs w:val="20"/>
                <w:color w:val="auto"/>
              </w:rPr>
            </w:pPr>
            <w:r>
              <w:rPr>
                <w:rFonts w:ascii="Arial" w:cs="Arial" w:eastAsia="Arial" w:hAnsi="Arial"/>
                <w:sz w:val="25"/>
                <w:szCs w:val="25"/>
                <w:color w:val="auto"/>
                <w:w w:val="85"/>
              </w:rPr>
              <w:t>4</w:t>
            </w:r>
          </w:p>
        </w:tc>
        <w:tc>
          <w:tcPr>
            <w:tcW w:w="26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00" w:type="dxa"/>
            <w:vAlign w:val="bottom"/>
            <w:vMerge w:val="continue"/>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5</w:t>
            </w:r>
          </w:p>
        </w:tc>
        <w:tc>
          <w:tcPr>
            <w:tcW w:w="508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6,153,299 (1)</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3"/>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2040" w:type="dxa"/>
            <w:vAlign w:val="bottom"/>
            <w:tcBorders>
              <w:right w:val="single" w:sz="8" w:color="auto"/>
            </w:tcBorders>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6</w:t>
            </w:r>
          </w:p>
        </w:tc>
        <w:tc>
          <w:tcPr>
            <w:tcW w:w="508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7</w:t>
            </w:r>
          </w:p>
        </w:tc>
        <w:tc>
          <w:tcPr>
            <w:tcW w:w="50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89"/>
              </w:rPr>
              <w:t>PERSON</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080" w:type="dxa"/>
            <w:vAlign w:val="bottom"/>
            <w:gridSpan w:val="2"/>
          </w:tcPr>
          <w:p>
            <w:pPr>
              <w:ind w:left="60"/>
              <w:spacing w:after="0"/>
              <w:rPr>
                <w:sz w:val="20"/>
                <w:szCs w:val="20"/>
                <w:color w:val="auto"/>
              </w:rPr>
            </w:pPr>
            <w:r>
              <w:rPr>
                <w:rFonts w:ascii="Arial" w:cs="Arial" w:eastAsia="Arial" w:hAnsi="Arial"/>
                <w:sz w:val="18"/>
                <w:szCs w:val="18"/>
                <w:color w:val="auto"/>
              </w:rPr>
              <w:t>6,153,299 (1)</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8</w:t>
            </w: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508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6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00" w:type="dxa"/>
            <w:vAlign w:val="bottom"/>
            <w:vMerge w:val="restart"/>
          </w:tcPr>
          <w:p>
            <w:pPr>
              <w:jc w:val="center"/>
              <w:ind w:left="104"/>
              <w:spacing w:after="0"/>
              <w:rPr>
                <w:sz w:val="20"/>
                <w:szCs w:val="20"/>
                <w:color w:val="auto"/>
              </w:rPr>
            </w:pPr>
            <w:r>
              <w:rPr>
                <w:rFonts w:ascii="Arial" w:cs="Arial" w:eastAsia="Arial" w:hAnsi="Arial"/>
                <w:sz w:val="25"/>
                <w:szCs w:val="25"/>
                <w:color w:val="auto"/>
                <w:w w:val="85"/>
              </w:rPr>
              <w:t>9</w:t>
            </w:r>
          </w:p>
        </w:tc>
        <w:tc>
          <w:tcPr>
            <w:tcW w:w="26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00" w:type="dxa"/>
            <w:vAlign w:val="bottom"/>
            <w:vMerge w:val="continue"/>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6,153,299 (1)</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40" w:type="dxa"/>
            <w:vAlign w:val="bottom"/>
            <w:tcBorders>
              <w:right w:val="single" w:sz="8" w:color="auto"/>
            </w:tcBorders>
            <w:shd w:val="clear" w:color="auto" w:fill="000000"/>
          </w:tcPr>
          <w:p>
            <w:pPr>
              <w:spacing w:after="0"/>
              <w:rPr>
                <w:sz w:val="24"/>
                <w:szCs w:val="24"/>
                <w:color w:val="auto"/>
              </w:rPr>
            </w:pPr>
          </w:p>
        </w:tc>
        <w:tc>
          <w:tcPr>
            <w:tcW w:w="500" w:type="dxa"/>
            <w:vAlign w:val="bottom"/>
          </w:tcPr>
          <w:p>
            <w:pPr>
              <w:jc w:val="center"/>
              <w:ind w:left="124"/>
              <w:spacing w:after="0"/>
              <w:rPr>
                <w:sz w:val="20"/>
                <w:szCs w:val="20"/>
                <w:color w:val="auto"/>
              </w:rPr>
            </w:pPr>
            <w:r>
              <w:rPr>
                <w:rFonts w:ascii="Arial" w:cs="Arial" w:eastAsia="Arial" w:hAnsi="Arial"/>
                <w:sz w:val="25"/>
                <w:szCs w:val="25"/>
                <w:color w:val="auto"/>
                <w:w w:val="93"/>
              </w:rPr>
              <w:t>10</w:t>
            </w:r>
          </w:p>
        </w:tc>
        <w:tc>
          <w:tcPr>
            <w:tcW w:w="260" w:type="dxa"/>
            <w:vAlign w:val="bottom"/>
            <w:tcBorders>
              <w:right w:val="single" w:sz="8" w:color="auto"/>
            </w:tcBorders>
          </w:tcPr>
          <w:p>
            <w:pPr>
              <w:spacing w:after="0"/>
              <w:rPr>
                <w:sz w:val="24"/>
                <w:szCs w:val="24"/>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36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9"/>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7100" w:type="dxa"/>
            <w:vAlign w:val="bottom"/>
            <w:tcBorders>
              <w:bottom w:val="single" w:sz="8" w:color="auto"/>
            </w:tcBorders>
            <w:gridSpan w:val="5"/>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00" w:type="dxa"/>
            <w:vAlign w:val="bottom"/>
            <w:vMerge w:val="restart"/>
          </w:tcPr>
          <w:p>
            <w:pPr>
              <w:jc w:val="center"/>
              <w:ind w:left="104"/>
              <w:spacing w:after="0"/>
              <w:rPr>
                <w:sz w:val="20"/>
                <w:szCs w:val="20"/>
                <w:color w:val="auto"/>
              </w:rPr>
            </w:pPr>
            <w:r>
              <w:rPr>
                <w:rFonts w:ascii="Arial" w:cs="Arial" w:eastAsia="Arial" w:hAnsi="Arial"/>
                <w:sz w:val="25"/>
                <w:szCs w:val="25"/>
                <w:color w:val="auto"/>
                <w:w w:val="86"/>
              </w:rPr>
              <w:t>11</w:t>
            </w:r>
          </w:p>
        </w:tc>
        <w:tc>
          <w:tcPr>
            <w:tcW w:w="26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00" w:type="dxa"/>
            <w:vAlign w:val="bottom"/>
            <w:vMerge w:val="continue"/>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00" w:type="dxa"/>
            <w:vAlign w:val="bottom"/>
            <w:vMerge w:val="restart"/>
          </w:tcPr>
          <w:p>
            <w:pPr>
              <w:jc w:val="center"/>
              <w:ind w:left="124"/>
              <w:spacing w:after="0"/>
              <w:rPr>
                <w:sz w:val="20"/>
                <w:szCs w:val="20"/>
                <w:color w:val="auto"/>
              </w:rPr>
            </w:pPr>
            <w:r>
              <w:rPr>
                <w:rFonts w:ascii="Arial" w:cs="Arial" w:eastAsia="Arial" w:hAnsi="Arial"/>
                <w:sz w:val="25"/>
                <w:szCs w:val="25"/>
                <w:color w:val="auto"/>
                <w:w w:val="93"/>
              </w:rPr>
              <w:t>12</w:t>
            </w:r>
          </w:p>
        </w:tc>
        <w:tc>
          <w:tcPr>
            <w:tcW w:w="26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00" w:type="dxa"/>
            <w:vAlign w:val="bottom"/>
            <w:vMerge w:val="continue"/>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IA</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60" w:right="100" w:hanging="328"/>
        <w:spacing w:after="0" w:line="253"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This total consists of: (i) 5,386,299 common shares (“</w:t>
      </w:r>
      <w:r>
        <w:rPr>
          <w:rFonts w:ascii="Arial" w:cs="Arial" w:eastAsia="Arial" w:hAnsi="Arial"/>
          <w:sz w:val="14"/>
          <w:szCs w:val="14"/>
          <w:u w:val="single" w:color="auto"/>
          <w:color w:val="auto"/>
        </w:rPr>
        <w:t>Common Shares</w:t>
      </w:r>
      <w:r>
        <w:rPr>
          <w:rFonts w:ascii="Arial" w:cs="Arial" w:eastAsia="Arial" w:hAnsi="Arial"/>
          <w:sz w:val="14"/>
          <w:szCs w:val="14"/>
          <w:color w:val="auto"/>
        </w:rPr>
        <w:t>”) of Cybin Inc. (the “</w:t>
      </w:r>
      <w:r>
        <w:rPr>
          <w:rFonts w:ascii="Arial" w:cs="Arial" w:eastAsia="Arial" w:hAnsi="Arial"/>
          <w:sz w:val="14"/>
          <w:szCs w:val="14"/>
          <w:u w:val="single" w:color="auto"/>
          <w:color w:val="auto"/>
        </w:rPr>
        <w:t>Issuer</w:t>
      </w:r>
      <w:r>
        <w:rPr>
          <w:rFonts w:ascii="Arial" w:cs="Arial" w:eastAsia="Arial" w:hAnsi="Arial"/>
          <w:sz w:val="14"/>
          <w:szCs w:val="14"/>
          <w:color w:val="auto"/>
        </w:rPr>
        <w:t>”) and (ii) 767,000 Common Shares underlying a currently exercisable warrant held by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748030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color w:val="auto"/>
                <w:highlight w:val="white"/>
              </w:rPr>
              <w:t>23256X100</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3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Cybin Inc.</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100 King Street West</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Suite 5600</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Toronto, Ontario, Canada M5X 1C9</w:t>
      </w:r>
    </w:p>
    <w:p>
      <w:pPr>
        <w:spacing w:after="0" w:line="1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r>
        <w:rPr>
          <w:rFonts w:ascii="Arial" w:cs="Arial" w:eastAsia="Arial" w:hAnsi="Arial"/>
          <w:sz w:val="15"/>
          <w:szCs w:val="15"/>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Capital LLC</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601 Lexington Avenue, 54th Floor</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New York, NY 10022</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 Citizenship</w:t>
      </w:r>
      <w:r>
        <w:rPr>
          <w:rFonts w:ascii="Arial" w:cs="Arial" w:eastAsia="Arial" w:hAnsi="Arial"/>
          <w:sz w:val="18"/>
          <w:szCs w:val="18"/>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Please refer to Item 4 on the cover page for the Reporting Person.</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 Title of Class of Securities:</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Shares</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 CUSIP No.:</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23256X100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color w:val="auto"/>
                <w:highlight w:val="white"/>
              </w:rPr>
              <w:t>23256X100</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4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Capital LLC (“Capital”) is an investment advisor in accordance with ss.240.13d-1(b)(1)(ii)(E).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color w:val="auto"/>
                <w:highlight w:val="white"/>
              </w:rPr>
              <w:t>23256X100</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5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7" w:lineRule="exact"/>
        <w:rPr>
          <w:sz w:val="20"/>
          <w:szCs w:val="20"/>
          <w:color w:val="auto"/>
        </w:rPr>
      </w:pPr>
    </w:p>
    <w:p>
      <w:pPr>
        <w:jc w:val="both"/>
        <w:ind w:left="800"/>
        <w:spacing w:after="0" w:line="260" w:lineRule="auto"/>
        <w:rPr>
          <w:sz w:val="20"/>
          <w:szCs w:val="20"/>
          <w:color w:val="auto"/>
        </w:rPr>
      </w:pPr>
      <w:r>
        <w:rPr>
          <w:rFonts w:ascii="Arial" w:cs="Arial" w:eastAsia="Arial" w:hAnsi="Arial"/>
          <w:sz w:val="18"/>
          <w:szCs w:val="18"/>
          <w:color w:val="auto"/>
        </w:rPr>
        <w:t>Information with respect to the Reporting Person’s ownership as of December 31, 2022 is incorporated by reference to items (5) - (9) and (11) of the cover page for the Reporting Person.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7" w:lineRule="exact"/>
        <w:rPr>
          <w:sz w:val="20"/>
          <w:szCs w:val="20"/>
          <w:color w:val="auto"/>
        </w:rPr>
      </w:pPr>
    </w:p>
    <w:p>
      <w:pPr>
        <w:jc w:val="both"/>
        <w:ind w:left="800"/>
        <w:spacing w:after="0" w:line="260"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r>
        <w:rPr>
          <w:rFonts w:ascii="Arial" w:cs="Arial" w:eastAsia="Arial" w:hAnsi="Arial"/>
          <w:sz w:val="18"/>
          <w:szCs w:val="18"/>
          <w:color w:val="auto"/>
        </w:rPr>
        <w:t>.</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ind w:left="580" w:hanging="566"/>
        <w:spacing w:after="0" w:line="261"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r>
        <w:rPr>
          <w:rFonts w:ascii="Arial" w:cs="Arial" w:eastAsia="Arial" w:hAnsi="Arial"/>
          <w:sz w:val="18"/>
          <w:szCs w:val="18"/>
          <w:color w:val="auto"/>
        </w:rPr>
        <w:t>.</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r>
        <w:rPr>
          <w:rFonts w:ascii="Arial" w:cs="Arial" w:eastAsia="Arial" w:hAnsi="Arial"/>
          <w:sz w:val="18"/>
          <w:szCs w:val="18"/>
          <w:color w:val="auto"/>
        </w:rPr>
        <w:t>.</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30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802005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color w:val="auto"/>
                <w:highlight w:val="white"/>
              </w:rPr>
              <w:t>23256X100</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6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2023</w:t>
      </w:r>
    </w:p>
    <w:p>
      <w:pPr>
        <w:spacing w:after="0" w:line="248"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Capital LLC</w:t>
      </w:r>
    </w:p>
    <w:p>
      <w:pPr>
        <w:spacing w:after="0" w:line="28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5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2023-02-14T15:59:35Z</dcterms:created>
  <dcterms:modified xsi:type="dcterms:W3CDTF">2023-02-14T15:59:35Z</dcterms:modified>
</cp:coreProperties>
</file>