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May,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May 20,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40" w:right="340"/>
        <w:spacing w:after="0" w:line="321" w:lineRule="auto"/>
        <w:rPr>
          <w:sz w:val="20"/>
          <w:szCs w:val="20"/>
          <w:color w:val="auto"/>
        </w:rPr>
      </w:pPr>
      <w:r>
        <w:rPr>
          <w:rFonts w:ascii="Arial" w:cs="Arial" w:eastAsia="Arial" w:hAnsi="Arial"/>
          <w:sz w:val="25"/>
          <w:szCs w:val="25"/>
          <w:b w:val="1"/>
          <w:bCs w:val="1"/>
          <w:color w:val="auto"/>
        </w:rPr>
        <w:t>Cybin Applauds FDA Commissioner Dr. Martin Makary’s Call to Accelerate and Prioritize Research on Psychedelic Therapeutics</w:t>
      </w:r>
    </w:p>
    <w:p>
      <w:pPr>
        <w:spacing w:after="0" w:line="138" w:lineRule="exact"/>
        <w:rPr>
          <w:sz w:val="20"/>
          <w:szCs w:val="20"/>
          <w:color w:val="auto"/>
        </w:rPr>
      </w:pPr>
    </w:p>
    <w:p>
      <w:pPr>
        <w:ind w:left="200" w:hanging="124"/>
        <w:spacing w:after="0"/>
        <w:tabs>
          <w:tab w:leader="none" w:pos="20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U.S. Food and Drug Administration (“FDA”) Commissioner identifies psychedelic drug development as a top agency priority in</w:t>
      </w:r>
    </w:p>
    <w:p>
      <w:pPr>
        <w:spacing w:after="0" w:line="51" w:lineRule="exact"/>
        <w:rPr>
          <w:rFonts w:ascii="Arial" w:cs="Arial" w:eastAsia="Arial" w:hAnsi="Arial"/>
          <w:sz w:val="19"/>
          <w:szCs w:val="19"/>
          <w:i w:val="1"/>
          <w:iCs w:val="1"/>
          <w:color w:val="auto"/>
        </w:rPr>
      </w:pPr>
    </w:p>
    <w:p>
      <w:pPr>
        <w:ind w:left="338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an effort to address unmet needs in mental health -</w:t>
      </w:r>
    </w:p>
    <w:p>
      <w:pPr>
        <w:spacing w:after="0" w:line="269" w:lineRule="exact"/>
        <w:rPr>
          <w:rFonts w:ascii="Arial" w:cs="Arial" w:eastAsia="Arial" w:hAnsi="Arial"/>
          <w:sz w:val="19"/>
          <w:szCs w:val="19"/>
          <w:i w:val="1"/>
          <w:iCs w:val="1"/>
          <w:color w:val="auto"/>
        </w:rPr>
      </w:pPr>
    </w:p>
    <w:p>
      <w:pPr>
        <w:ind w:left="280" w:hanging="128"/>
        <w:spacing w:after="0"/>
        <w:tabs>
          <w:tab w:leader="none" w:pos="28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Calls for FDA to be open to innovative treatments that show promise, even when they challenge traditional understanding of</w:t>
      </w:r>
    </w:p>
    <w:p>
      <w:pPr>
        <w:spacing w:after="0" w:line="40" w:lineRule="exact"/>
        <w:rPr>
          <w:rFonts w:ascii="Arial" w:cs="Arial" w:eastAsia="Arial" w:hAnsi="Arial"/>
          <w:sz w:val="20"/>
          <w:szCs w:val="20"/>
          <w:i w:val="1"/>
          <w:iCs w:val="1"/>
          <w:color w:val="auto"/>
        </w:rPr>
      </w:pPr>
    </w:p>
    <w:p>
      <w:pPr>
        <w:ind w:left="516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medicine -</w:t>
      </w:r>
    </w:p>
    <w:p>
      <w:pPr>
        <w:spacing w:after="0" w:line="270" w:lineRule="exact"/>
        <w:rPr>
          <w:sz w:val="20"/>
          <w:szCs w:val="20"/>
          <w:color w:val="auto"/>
        </w:rPr>
      </w:pPr>
    </w:p>
    <w:p>
      <w:pPr>
        <w:ind w:left="360" w:hanging="114"/>
        <w:spacing w:after="0"/>
        <w:tabs>
          <w:tab w:leader="none" w:pos="3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CYB003 granted Breakthrough Therapy Designation by the FDA for the adjunctive treatment of major depressive disorder</w:t>
      </w:r>
    </w:p>
    <w:p>
      <w:pPr>
        <w:spacing w:after="0" w:line="40" w:lineRule="exact"/>
        <w:rPr>
          <w:rFonts w:ascii="Arial" w:cs="Arial" w:eastAsia="Arial" w:hAnsi="Arial"/>
          <w:sz w:val="20"/>
          <w:szCs w:val="20"/>
          <w:i w:val="1"/>
          <w:iCs w:val="1"/>
          <w:color w:val="auto"/>
        </w:rPr>
      </w:pPr>
    </w:p>
    <w:p>
      <w:pPr>
        <w:ind w:left="520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(“MDD”) -</w:t>
      </w:r>
    </w:p>
    <w:p>
      <w:pPr>
        <w:spacing w:after="0" w:line="268"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color w:val="auto"/>
        </w:rPr>
        <w:t xml:space="preserve">TORONTO, CANADA </w:t>
      </w:r>
      <w:r>
        <w:rPr>
          <w:rFonts w:ascii="Arial" w:cs="Arial" w:eastAsia="Arial" w:hAnsi="Arial"/>
          <w:sz w:val="19"/>
          <w:szCs w:val="19"/>
          <w:color w:val="auto"/>
        </w:rPr>
        <w:t>– May 20, 2025 –</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0563C1"/>
        </w:rPr>
        <w:t>Cybin Inc.</w:t>
      </w:r>
      <w:r>
        <w:rPr>
          <w:rFonts w:ascii="Arial" w:cs="Arial" w:eastAsia="Arial" w:hAnsi="Arial"/>
          <w:sz w:val="19"/>
          <w:szCs w:val="19"/>
          <w:b w:val="1"/>
          <w:bCs w:val="1"/>
          <w:color w:val="auto"/>
        </w:rPr>
        <w:t xml:space="preserve"> </w:t>
      </w:r>
      <w:r>
        <w:rPr>
          <w:rFonts w:ascii="Arial" w:cs="Arial" w:eastAsia="Arial" w:hAnsi="Arial"/>
          <w:sz w:val="19"/>
          <w:szCs w:val="19"/>
          <w:color w:val="auto"/>
        </w:rPr>
        <w:t>(NYSE American:CYBN) (Cboe CA:CYBN) (“</w:t>
      </w:r>
      <w:r>
        <w:rPr>
          <w:rFonts w:ascii="Arial" w:cs="Arial" w:eastAsia="Arial" w:hAnsi="Arial"/>
          <w:sz w:val="19"/>
          <w:szCs w:val="19"/>
          <w:b w:val="1"/>
          <w:bCs w:val="1"/>
          <w:color w:val="auto"/>
        </w:rPr>
        <w:t>Cybin</w:t>
      </w:r>
      <w:r>
        <w:rPr>
          <w:rFonts w:ascii="Arial" w:cs="Arial" w:eastAsia="Arial" w:hAnsi="Arial"/>
          <w:sz w:val="19"/>
          <w:szCs w:val="19"/>
          <w:color w:val="auto"/>
        </w:rPr>
        <w:t>” or the “</w:t>
      </w:r>
      <w:r>
        <w:rPr>
          <w:rFonts w:ascii="Arial" w:cs="Arial" w:eastAsia="Arial" w:hAnsi="Arial"/>
          <w:sz w:val="19"/>
          <w:szCs w:val="19"/>
          <w:b w:val="1"/>
          <w:bCs w:val="1"/>
          <w:color w:val="auto"/>
        </w:rPr>
        <w:t>Company</w:t>
      </w:r>
      <w:r>
        <w:rPr>
          <w:rFonts w:ascii="Arial" w:cs="Arial" w:eastAsia="Arial" w:hAnsi="Arial"/>
          <w:sz w:val="19"/>
          <w:szCs w:val="19"/>
          <w:color w:val="auto"/>
        </w:rPr>
        <w:t>”), a</w:t>
      </w:r>
      <w:r>
        <w:rPr>
          <w:rFonts w:ascii="Arial" w:cs="Arial" w:eastAsia="Arial" w:hAnsi="Arial"/>
          <w:sz w:val="19"/>
          <w:szCs w:val="19"/>
          <w:b w:val="1"/>
          <w:bCs w:val="1"/>
          <w:color w:val="auto"/>
        </w:rPr>
        <w:t xml:space="preserve"> </w:t>
      </w:r>
      <w:r>
        <w:rPr>
          <w:rFonts w:ascii="Arial" w:cs="Arial" w:eastAsia="Arial" w:hAnsi="Arial"/>
          <w:sz w:val="19"/>
          <w:szCs w:val="19"/>
          <w:color w:val="auto"/>
        </w:rPr>
        <w:t>clinical-stage breakthrough neuropsychiatry company committed to revolutionizing mental healthcare by developing new and innovative next-generation treatment options, applauds recent comments made by Dr. Martin Makary, Commissioner of the U.S. FDA relating to the importance of accelerating and prioritizing research on the clinical benefits of psychedelic therapeutics.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“It is gratifying that the FDA Commissioner shares our belief in the potential therapeutic value of these innovative treatments – a long-held belief that stands at the core of Cybin’s mission,” said Doug Drysdale, Chief Executive Officer of Cybin. “We are doing the rigorous investigative clinical work to unlock the potential of this class of drugs to effectively treat a variety of disorders, including major depressive disorder and generalized anxiety disorder. We agree wholeheartedly that the time is now to address the mental health crisis, and we applaud Dr. Makary’s commitment to expedite the regulatory review process for product candidates in development and to get them into the hands of providers and patients as soon as possible.”</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 is committed to advancing its clinical-stage programs toward potential regulatory review and approval. Our CYB003 deuterated psilocin program, which is currently in Phase 3 development, has been granted FDA Breakthrough Therapy Designation for the adjunctive treatment of MDD which could expedite drug development timelines. We are encouraged by our ongoing positive interactions with the FDA and by the Agency’s stated focus and openness to innovative treatments that show promise, even when they challenge traditional standards of</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314" w:lineRule="auto"/>
        <w:rPr>
          <w:sz w:val="20"/>
          <w:szCs w:val="20"/>
          <w:color w:val="auto"/>
        </w:rPr>
      </w:pPr>
      <w:r>
        <w:rPr>
          <w:rFonts w:ascii="Arial" w:cs="Arial" w:eastAsia="Arial" w:hAnsi="Arial"/>
          <w:sz w:val="20"/>
          <w:szCs w:val="20"/>
          <w:color w:val="auto"/>
        </w:rPr>
        <w:t>care. This public endorsement that psychedelics are a “frontier area” with compelling scientific evidence is welcome validation for the work we do every day,” concluded Drysdale.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Program Summary</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CYB003: Deuterated Psilocin Program</w:t>
      </w:r>
    </w:p>
    <w:p>
      <w:pPr>
        <w:spacing w:after="0" w:line="270" w:lineRule="exact"/>
        <w:rPr>
          <w:sz w:val="20"/>
          <w:szCs w:val="20"/>
          <w:color w:val="auto"/>
        </w:rPr>
      </w:pPr>
    </w:p>
    <w:p>
      <w:pPr>
        <w:jc w:val="both"/>
        <w:spacing w:after="0" w:line="292" w:lineRule="auto"/>
        <w:rPr>
          <w:sz w:val="20"/>
          <w:szCs w:val="20"/>
          <w:color w:val="auto"/>
        </w:rPr>
      </w:pPr>
      <w:r>
        <w:rPr>
          <w:rFonts w:ascii="Arial" w:cs="Arial" w:eastAsia="Arial" w:hAnsi="Arial"/>
          <w:sz w:val="20"/>
          <w:szCs w:val="20"/>
          <w:b w:val="1"/>
          <w:bCs w:val="1"/>
          <w:color w:val="auto"/>
        </w:rPr>
        <w:t xml:space="preserve">Status: </w:t>
      </w:r>
      <w:r>
        <w:rPr>
          <w:rFonts w:ascii="Arial" w:cs="Arial" w:eastAsia="Arial" w:hAnsi="Arial"/>
          <w:sz w:val="20"/>
          <w:szCs w:val="20"/>
          <w:color w:val="auto"/>
        </w:rPr>
        <w:t>Dosing continues in Phase 3 APPROACH study in MDD. APPROACH is the first pivotal study in Cybin’s Phase 3</w:t>
      </w:r>
      <w:r>
        <w:rPr>
          <w:rFonts w:ascii="Arial" w:cs="Arial" w:eastAsia="Arial" w:hAnsi="Arial"/>
          <w:sz w:val="20"/>
          <w:szCs w:val="20"/>
          <w:b w:val="1"/>
          <w:bCs w:val="1"/>
          <w:color w:val="auto"/>
        </w:rPr>
        <w:t xml:space="preserve"> </w:t>
      </w:r>
      <w:r>
        <w:rPr>
          <w:rFonts w:ascii="Arial" w:cs="Arial" w:eastAsia="Arial" w:hAnsi="Arial"/>
          <w:sz w:val="20"/>
          <w:szCs w:val="20"/>
          <w:color w:val="auto"/>
        </w:rPr>
        <w:t>PARADIGM program, which includes two 12-week randomized, placebo-controlled studies (APPROACH and EMBRACE) and a long-term extension study (EXTEND).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Summary of positive Phase 2 </w:t>
      </w:r>
      <w:r>
        <w:rPr>
          <w:rFonts w:ascii="Arial" w:cs="Arial" w:eastAsia="Arial" w:hAnsi="Arial"/>
          <w:sz w:val="20"/>
          <w:szCs w:val="20"/>
          <w:b w:val="1"/>
          <w:bCs w:val="1"/>
          <w:u w:val="single" w:color="auto"/>
          <w:color w:val="auto"/>
        </w:rPr>
        <w:t>12-Month</w:t>
      </w:r>
      <w:r>
        <w:rPr>
          <w:rFonts w:ascii="Arial" w:cs="Arial" w:eastAsia="Arial" w:hAnsi="Arial"/>
          <w:sz w:val="20"/>
          <w:szCs w:val="20"/>
          <w:b w:val="1"/>
          <w:bCs w:val="1"/>
          <w:color w:val="auto"/>
        </w:rPr>
        <w:t xml:space="preserve"> Efficacy Data in MDD Patients</w:t>
      </w:r>
    </w:p>
    <w:p>
      <w:pPr>
        <w:spacing w:after="0" w:line="43"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100% of participants receiving two doses of 16 mg were responders.</w:t>
      </w:r>
    </w:p>
    <w:p>
      <w:pPr>
        <w:spacing w:after="0" w:line="2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71% of participants receiving two doses of 16 mg were in remission.</w:t>
      </w:r>
    </w:p>
    <w:p>
      <w:pPr>
        <w:spacing w:after="0" w:line="3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Mean change from baseline in MADRS was approximately -23 points after two doses of 16 mg.</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Upcoming Milestones: </w:t>
      </w:r>
      <w:r>
        <w:rPr>
          <w:rFonts w:ascii="Arial" w:cs="Arial" w:eastAsia="Arial" w:hAnsi="Arial"/>
          <w:sz w:val="20"/>
          <w:szCs w:val="20"/>
          <w:color w:val="auto"/>
        </w:rPr>
        <w:t>Initiate second pivotal Phase 3 study, EMBRACE, around mid-2025.</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CYB004: Deuterated DMT Program</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Status: </w:t>
      </w:r>
      <w:r>
        <w:rPr>
          <w:rFonts w:ascii="Arial" w:cs="Arial" w:eastAsia="Arial" w:hAnsi="Arial"/>
          <w:sz w:val="20"/>
          <w:szCs w:val="20"/>
          <w:color w:val="auto"/>
        </w:rPr>
        <w:t>Dosing is ongoing in Phase 2 study in generalized anxiety disorder (GAD)</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Upcoming Milestones: </w:t>
      </w:r>
      <w:r>
        <w:rPr>
          <w:rFonts w:ascii="Arial" w:cs="Arial" w:eastAsia="Arial" w:hAnsi="Arial"/>
          <w:sz w:val="20"/>
          <w:szCs w:val="20"/>
          <w:color w:val="auto"/>
        </w:rPr>
        <w:t>Phase 2 GAD study is expected to complete mid-2025.</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To watch Dr. Makary’s interview, </w:t>
      </w:r>
      <w:r>
        <w:rPr>
          <w:rFonts w:ascii="Arial" w:cs="Arial" w:eastAsia="Arial" w:hAnsi="Arial"/>
          <w:sz w:val="20"/>
          <w:szCs w:val="20"/>
          <w:u w:val="single" w:color="auto"/>
          <w:color w:val="0000FF"/>
        </w:rPr>
        <w:t>click here.</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analog, in Phase 3 studies for the adjunctive treatment of major depressive disorder and CYB004, a proprietary deuterated N, N-dimethyltryptamine molecule in a Phase 2 study for generalized anxiety disorder. The Company also has a research pipeline of investigational, 5-HT-receptor focused compounds.</w:t>
      </w:r>
    </w:p>
    <w:p>
      <w:pPr>
        <w:sectPr>
          <w:pgSz w:w="11900" w:h="16838" w:orient="portrait"/>
          <w:cols w:equalWidth="0" w:num="1">
            <w:col w:w="11240"/>
          </w:cols>
          <w:pgMar w:left="320" w:top="1427" w:right="339" w:bottom="1440" w:gutter="0" w:footer="0" w:header="0"/>
        </w:sectPr>
      </w:pPr>
    </w:p>
    <w:bookmarkStart w:id="5" w:name="page6"/>
    <w:bookmarkEnd w:id="5"/>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advancing clinical-stage programs toward potential regulatory review and approval; the potential for FDA Breakthrough Therapy Designation to accelerate drug development timelines; initiating a second pivotal Phase 3 study, EMBRACE, around mid-2025; completing a Phase 2 GAD study in mid-2025; and the Company’s plans to engineer proprietary drug discovery platforms, innovative drug delivery systems, novel formulation approaches and treatment regimens for mental health conditions.</w:t>
      </w:r>
    </w:p>
    <w:p>
      <w:pPr>
        <w:spacing w:after="0" w:line="226"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months ended December 31, 2024 and the Company’s annual information form for the year ended March 31, 2024, which are available under the Company's profile on SEDAR+ at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240"/>
          </w:cols>
          <w:pgMar w:left="320" w:top="1427" w:right="339" w:bottom="1440" w:gutter="0" w:footer="0" w:header="0"/>
        </w:sectPr>
      </w:pPr>
    </w:p>
    <w:bookmarkStart w:id="6" w:name="page7"/>
    <w:bookmarkEnd w:id="6"/>
    <w:p>
      <w:pPr>
        <w:spacing w:after="0" w:line="23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Cboe Canada,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2025-05-20T16:36:53Z</dcterms:created>
  <dcterms:modified xsi:type="dcterms:W3CDTF">2025-05-20T16:36:53Z</dcterms:modified>
</cp:coreProperties>
</file>