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October 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Cybin Inc.</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u w:val="single" w:color="auto"/>
          <w:color w:val="auto"/>
        </w:rPr>
        <w:t>Registration Statement on Form F-10 (File No. 333-259994)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Cybin Inc., we hereby respectfully request that the Commission accelerate the effectiveness of the above-referenced Registration Statement on Form F-10 (File No. 333-259994) (the “Form 10”), and to permit said Registration Statement to become effective as soon as practicable following receipt of this request. Pursuant to Rule 467(b) we attach hereto the receipt of the Ontario Securities Commission for the Short Form Base Shelf Prospectus to which the Form F-10 relates.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Richard Raymer of Dorsey &amp; Whitney LLP at (416) 367-7388 with any questions with respect to this request.</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4"/>
          <w:szCs w:val="24"/>
          <w:color w:val="auto"/>
        </w:rPr>
      </w:pPr>
    </w:p>
    <w:p>
      <w:pPr>
        <w:ind w:left="662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Douglas Drysdale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4"/>
          <w:szCs w:val="24"/>
          <w:color w:val="auto"/>
        </w:rPr>
      </w:pPr>
    </w:p>
    <w:p>
      <w:pPr>
        <w:ind w:left="6960"/>
        <w:spacing w:after="0"/>
        <w:rPr>
          <w:sz w:val="20"/>
          <w:szCs w:val="20"/>
          <w:color w:val="auto"/>
        </w:rPr>
      </w:pPr>
      <w:r>
        <w:rPr>
          <w:rFonts w:ascii="Arial" w:cs="Arial" w:eastAsia="Arial" w:hAnsi="Arial"/>
          <w:sz w:val="18"/>
          <w:szCs w:val="18"/>
          <w:color w:val="auto"/>
        </w:rPr>
        <w:t>Name: Douglas Drysdale</w:t>
      </w:r>
    </w:p>
    <w:p>
      <w:pPr>
        <w:spacing w:after="0" w:line="23" w:lineRule="exact"/>
        <w:rPr>
          <w:sz w:val="24"/>
          <w:szCs w:val="24"/>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00"/>
          </w:cols>
          <w:pgMar w:left="440" w:top="233"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3980" w:type="dxa"/>
            <w:vAlign w:val="bottom"/>
          </w:tcPr>
          <w:p>
            <w:pPr>
              <w:ind w:left="2440"/>
              <w:spacing w:after="0"/>
              <w:rPr>
                <w:sz w:val="20"/>
                <w:szCs w:val="20"/>
                <w:color w:val="auto"/>
              </w:rPr>
            </w:pPr>
            <w:r>
              <w:rPr>
                <w:rFonts w:ascii="Arial" w:cs="Arial" w:eastAsia="Arial" w:hAnsi="Arial"/>
                <w:sz w:val="16"/>
                <w:szCs w:val="16"/>
                <w:color w:val="auto"/>
              </w:rPr>
              <w:t>Ontario</w:t>
            </w:r>
          </w:p>
        </w:tc>
        <w:tc>
          <w:tcPr>
            <w:tcW w:w="2420" w:type="dxa"/>
            <w:vAlign w:val="bottom"/>
          </w:tcPr>
          <w:p>
            <w:pPr>
              <w:ind w:left="660"/>
              <w:spacing w:after="0"/>
              <w:rPr>
                <w:sz w:val="20"/>
                <w:szCs w:val="20"/>
                <w:color w:val="auto"/>
              </w:rPr>
            </w:pPr>
            <w:r>
              <w:rPr>
                <w:rFonts w:ascii="Arial" w:cs="Arial" w:eastAsia="Arial" w:hAnsi="Arial"/>
                <w:sz w:val="16"/>
                <w:szCs w:val="16"/>
                <w:color w:val="auto"/>
              </w:rPr>
              <w:t>Commission des</w:t>
            </w:r>
          </w:p>
        </w:tc>
        <w:tc>
          <w:tcPr>
            <w:tcW w:w="2340" w:type="dxa"/>
            <w:vAlign w:val="bottom"/>
          </w:tcPr>
          <w:p>
            <w:pPr>
              <w:ind w:left="440"/>
              <w:spacing w:after="0"/>
              <w:rPr>
                <w:sz w:val="20"/>
                <w:szCs w:val="20"/>
                <w:color w:val="auto"/>
              </w:rPr>
            </w:pPr>
            <w:r>
              <w:rPr>
                <w:rFonts w:ascii="Arial" w:cs="Arial" w:eastAsia="Arial" w:hAnsi="Arial"/>
                <w:sz w:val="16"/>
                <w:szCs w:val="16"/>
                <w:color w:val="auto"/>
              </w:rPr>
              <w:t>22nd Floor</w:t>
            </w:r>
          </w:p>
        </w:tc>
        <w:tc>
          <w:tcPr>
            <w:tcW w:w="2280" w:type="dxa"/>
            <w:vAlign w:val="bottom"/>
          </w:tcPr>
          <w:p>
            <w:pPr>
              <w:ind w:left="300"/>
              <w:spacing w:after="0"/>
              <w:rPr>
                <w:sz w:val="20"/>
                <w:szCs w:val="20"/>
                <w:color w:val="auto"/>
              </w:rPr>
            </w:pPr>
            <w:r>
              <w:rPr>
                <w:rFonts w:ascii="Arial" w:cs="Arial" w:eastAsia="Arial" w:hAnsi="Arial"/>
                <w:sz w:val="16"/>
                <w:szCs w:val="16"/>
                <w:color w:val="auto"/>
              </w:rPr>
              <w:t>22e étage</w:t>
            </w:r>
          </w:p>
        </w:tc>
      </w:tr>
      <w:tr>
        <w:trPr>
          <w:trHeight w:val="189"/>
        </w:trPr>
        <w:tc>
          <w:tcPr>
            <w:tcW w:w="3980" w:type="dxa"/>
            <w:vAlign w:val="bottom"/>
          </w:tcPr>
          <w:p>
            <w:pPr>
              <w:ind w:left="2440"/>
              <w:spacing w:after="0"/>
              <w:rPr>
                <w:sz w:val="20"/>
                <w:szCs w:val="20"/>
                <w:color w:val="auto"/>
              </w:rPr>
            </w:pPr>
            <w:r>
              <w:rPr>
                <w:rFonts w:ascii="Arial" w:cs="Arial" w:eastAsia="Arial" w:hAnsi="Arial"/>
                <w:sz w:val="16"/>
                <w:szCs w:val="16"/>
                <w:color w:val="auto"/>
              </w:rPr>
              <w:t>Securities</w:t>
            </w:r>
          </w:p>
        </w:tc>
        <w:tc>
          <w:tcPr>
            <w:tcW w:w="2420" w:type="dxa"/>
            <w:vAlign w:val="bottom"/>
          </w:tcPr>
          <w:p>
            <w:pPr>
              <w:ind w:left="660"/>
              <w:spacing w:after="0"/>
              <w:rPr>
                <w:sz w:val="20"/>
                <w:szCs w:val="20"/>
                <w:color w:val="auto"/>
              </w:rPr>
            </w:pPr>
            <w:r>
              <w:rPr>
                <w:rFonts w:ascii="Arial" w:cs="Arial" w:eastAsia="Arial" w:hAnsi="Arial"/>
                <w:sz w:val="16"/>
                <w:szCs w:val="16"/>
                <w:color w:val="auto"/>
              </w:rPr>
              <w:t>valeurs mobilières</w:t>
            </w:r>
          </w:p>
        </w:tc>
        <w:tc>
          <w:tcPr>
            <w:tcW w:w="2340" w:type="dxa"/>
            <w:vAlign w:val="bottom"/>
          </w:tcPr>
          <w:p>
            <w:pPr>
              <w:ind w:left="440"/>
              <w:spacing w:after="0"/>
              <w:rPr>
                <w:sz w:val="20"/>
                <w:szCs w:val="20"/>
                <w:color w:val="auto"/>
              </w:rPr>
            </w:pPr>
            <w:r>
              <w:rPr>
                <w:rFonts w:ascii="Arial" w:cs="Arial" w:eastAsia="Arial" w:hAnsi="Arial"/>
                <w:sz w:val="16"/>
                <w:szCs w:val="16"/>
                <w:color w:val="auto"/>
              </w:rPr>
              <w:t>20 Queen Street West</w:t>
            </w:r>
          </w:p>
        </w:tc>
        <w:tc>
          <w:tcPr>
            <w:tcW w:w="2280" w:type="dxa"/>
            <w:vAlign w:val="bottom"/>
          </w:tcPr>
          <w:p>
            <w:pPr>
              <w:ind w:left="300"/>
              <w:spacing w:after="0"/>
              <w:rPr>
                <w:sz w:val="20"/>
                <w:szCs w:val="20"/>
                <w:color w:val="auto"/>
              </w:rPr>
            </w:pPr>
            <w:r>
              <w:rPr>
                <w:rFonts w:ascii="Arial" w:cs="Arial" w:eastAsia="Arial" w:hAnsi="Arial"/>
                <w:sz w:val="16"/>
                <w:szCs w:val="16"/>
                <w:color w:val="auto"/>
              </w:rPr>
              <w:t>20, rue Queen ouest</w:t>
            </w:r>
          </w:p>
        </w:tc>
      </w:tr>
      <w:tr>
        <w:trPr>
          <w:trHeight w:val="195"/>
        </w:trPr>
        <w:tc>
          <w:tcPr>
            <w:tcW w:w="3980" w:type="dxa"/>
            <w:vAlign w:val="bottom"/>
          </w:tcPr>
          <w:p>
            <w:pPr>
              <w:ind w:left="2440"/>
              <w:spacing w:after="0"/>
              <w:rPr>
                <w:sz w:val="20"/>
                <w:szCs w:val="20"/>
                <w:color w:val="auto"/>
              </w:rPr>
            </w:pPr>
            <w:r>
              <w:rPr>
                <w:rFonts w:ascii="Arial" w:cs="Arial" w:eastAsia="Arial" w:hAnsi="Arial"/>
                <w:sz w:val="16"/>
                <w:szCs w:val="16"/>
                <w:color w:val="auto"/>
              </w:rPr>
              <w:t>Commission</w:t>
            </w:r>
          </w:p>
        </w:tc>
        <w:tc>
          <w:tcPr>
            <w:tcW w:w="2420" w:type="dxa"/>
            <w:vAlign w:val="bottom"/>
          </w:tcPr>
          <w:p>
            <w:pPr>
              <w:ind w:left="660"/>
              <w:spacing w:after="0"/>
              <w:rPr>
                <w:sz w:val="20"/>
                <w:szCs w:val="20"/>
                <w:color w:val="auto"/>
              </w:rPr>
            </w:pPr>
            <w:r>
              <w:rPr>
                <w:rFonts w:ascii="Arial" w:cs="Arial" w:eastAsia="Arial" w:hAnsi="Arial"/>
                <w:sz w:val="16"/>
                <w:szCs w:val="16"/>
                <w:color w:val="auto"/>
              </w:rPr>
              <w:t>de l’Ontario</w:t>
            </w:r>
          </w:p>
        </w:tc>
        <w:tc>
          <w:tcPr>
            <w:tcW w:w="2340" w:type="dxa"/>
            <w:vAlign w:val="bottom"/>
          </w:tcPr>
          <w:p>
            <w:pPr>
              <w:ind w:left="440"/>
              <w:spacing w:after="0"/>
              <w:rPr>
                <w:sz w:val="20"/>
                <w:szCs w:val="20"/>
                <w:color w:val="auto"/>
              </w:rPr>
            </w:pPr>
            <w:r>
              <w:rPr>
                <w:rFonts w:ascii="Arial" w:cs="Arial" w:eastAsia="Arial" w:hAnsi="Arial"/>
                <w:sz w:val="16"/>
                <w:szCs w:val="16"/>
                <w:color w:val="auto"/>
              </w:rPr>
              <w:t>Toronto ON M5H 3S8</w:t>
            </w:r>
          </w:p>
        </w:tc>
        <w:tc>
          <w:tcPr>
            <w:tcW w:w="2280" w:type="dxa"/>
            <w:vAlign w:val="bottom"/>
          </w:tcPr>
          <w:p>
            <w:pPr>
              <w:ind w:left="300"/>
              <w:spacing w:after="0"/>
              <w:rPr>
                <w:sz w:val="20"/>
                <w:szCs w:val="20"/>
                <w:color w:val="auto"/>
              </w:rPr>
            </w:pPr>
            <w:r>
              <w:rPr>
                <w:rFonts w:ascii="Arial" w:cs="Arial" w:eastAsia="Arial" w:hAnsi="Arial"/>
                <w:sz w:val="16"/>
                <w:szCs w:val="16"/>
                <w:color w:val="auto"/>
              </w:rPr>
              <w:t>Toronto ON M5H 3S8</w:t>
            </w:r>
          </w:p>
        </w:tc>
      </w:tr>
      <w:tr>
        <w:trPr>
          <w:trHeight w:val="398"/>
        </w:trPr>
        <w:tc>
          <w:tcPr>
            <w:tcW w:w="39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RECEIPT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 (formerly, Clarmin Explorations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 xml:space="preserve">This is the receipt of the </w:t>
      </w:r>
      <w:r>
        <w:rPr>
          <w:rFonts w:ascii="Arial" w:cs="Arial" w:eastAsia="Arial" w:hAnsi="Arial"/>
          <w:sz w:val="18"/>
          <w:szCs w:val="18"/>
          <w:b w:val="1"/>
          <w:bCs w:val="1"/>
          <w:color w:val="auto"/>
        </w:rPr>
        <w:t>Ontario Securities Commission</w:t>
      </w:r>
      <w:r>
        <w:rPr>
          <w:rFonts w:ascii="Arial" w:cs="Arial" w:eastAsia="Arial" w:hAnsi="Arial"/>
          <w:sz w:val="18"/>
          <w:szCs w:val="18"/>
          <w:color w:val="auto"/>
        </w:rPr>
        <w:t xml:space="preserve"> for the </w:t>
      </w:r>
      <w:r>
        <w:rPr>
          <w:rFonts w:ascii="Arial" w:cs="Arial" w:eastAsia="Arial" w:hAnsi="Arial"/>
          <w:sz w:val="18"/>
          <w:szCs w:val="18"/>
          <w:b w:val="1"/>
          <w:bCs w:val="1"/>
          <w:color w:val="auto"/>
        </w:rPr>
        <w:t>Base Shelf Prospectus</w:t>
      </w:r>
      <w:r>
        <w:rPr>
          <w:rFonts w:ascii="Arial" w:cs="Arial" w:eastAsia="Arial" w:hAnsi="Arial"/>
          <w:sz w:val="18"/>
          <w:szCs w:val="18"/>
          <w:color w:val="auto"/>
        </w:rPr>
        <w:t xml:space="preserve"> of the above Issuer dated </w:t>
      </w:r>
      <w:r>
        <w:rPr>
          <w:rFonts w:ascii="Arial" w:cs="Arial" w:eastAsia="Arial" w:hAnsi="Arial"/>
          <w:sz w:val="18"/>
          <w:szCs w:val="18"/>
          <w:b w:val="1"/>
          <w:bCs w:val="1"/>
          <w:color w:val="auto"/>
        </w:rPr>
        <w:t>July 5, 2021</w:t>
      </w:r>
      <w:r>
        <w:rPr>
          <w:rFonts w:ascii="Arial" w:cs="Arial" w:eastAsia="Arial" w:hAnsi="Arial"/>
          <w:sz w:val="18"/>
          <w:szCs w:val="18"/>
          <w:color w:val="auto"/>
        </w:rPr>
        <w:t xml:space="preserve"> (the prospectus).</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 xml:space="preserve">The prospectus has been filed under Multilateral Instrument 11-102 </w:t>
      </w:r>
      <w:r>
        <w:rPr>
          <w:rFonts w:ascii="Arial" w:cs="Arial" w:eastAsia="Arial" w:hAnsi="Arial"/>
          <w:sz w:val="18"/>
          <w:szCs w:val="18"/>
          <w:i w:val="1"/>
          <w:iCs w:val="1"/>
          <w:color w:val="auto"/>
        </w:rPr>
        <w:t>Passport System</w:t>
      </w:r>
      <w:r>
        <w:rPr>
          <w:rFonts w:ascii="Arial" w:cs="Arial" w:eastAsia="Arial" w:hAnsi="Arial"/>
          <w:sz w:val="18"/>
          <w:szCs w:val="18"/>
          <w:color w:val="auto"/>
        </w:rPr>
        <w:t xml:space="preserve"> in </w:t>
      </w:r>
      <w:r>
        <w:rPr>
          <w:rFonts w:ascii="Arial" w:cs="Arial" w:eastAsia="Arial" w:hAnsi="Arial"/>
          <w:sz w:val="18"/>
          <w:szCs w:val="18"/>
          <w:b w:val="1"/>
          <w:bCs w:val="1"/>
          <w:color w:val="auto"/>
        </w:rPr>
        <w:t>British Columbia, Alberta, Saskatchewan,</w:t>
      </w:r>
      <w:r>
        <w:rPr>
          <w:rFonts w:ascii="Arial" w:cs="Arial" w:eastAsia="Arial" w:hAnsi="Arial"/>
          <w:sz w:val="18"/>
          <w:szCs w:val="18"/>
          <w:color w:val="auto"/>
        </w:rPr>
        <w:t xml:space="preserve"> </w:t>
      </w:r>
      <w:r>
        <w:rPr>
          <w:rFonts w:ascii="Arial" w:cs="Arial" w:eastAsia="Arial" w:hAnsi="Arial"/>
          <w:sz w:val="18"/>
          <w:szCs w:val="18"/>
          <w:b w:val="1"/>
          <w:bCs w:val="1"/>
          <w:color w:val="auto"/>
        </w:rPr>
        <w:t>Manitoba, Quebec, New Brunswick, Nova Scotia, Prince Edward Island, Newfoundland and Labrador, Northwest Territories, Yukon and Nunavut</w:t>
      </w:r>
      <w:r>
        <w:rPr>
          <w:rFonts w:ascii="Arial" w:cs="Arial" w:eastAsia="Arial" w:hAnsi="Arial"/>
          <w:sz w:val="18"/>
          <w:szCs w:val="18"/>
          <w:color w:val="auto"/>
        </w:rPr>
        <w:t>. A receipt for the prospectus is deemed to be issued by the regulator in each of those jurisdictions, if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Instrument have been satisfied.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5, 2021</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Sonny Randhawa</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Sonny Randhawa</w:t>
      </w:r>
    </w:p>
    <w:p>
      <w:pPr>
        <w:ind w:left="4220"/>
        <w:spacing w:after="0"/>
        <w:rPr>
          <w:sz w:val="20"/>
          <w:szCs w:val="20"/>
          <w:color w:val="auto"/>
        </w:rPr>
      </w:pPr>
      <w:r>
        <w:rPr>
          <w:rFonts w:ascii="Arial" w:cs="Arial" w:eastAsia="Arial" w:hAnsi="Arial"/>
          <w:sz w:val="18"/>
          <w:szCs w:val="18"/>
          <w:color w:val="auto"/>
        </w:rPr>
        <w:t>Director, Corporate Finance Branch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xml:space="preserve">SEDAR Project # </w:t>
      </w:r>
      <w:r>
        <w:rPr>
          <w:rFonts w:ascii="Arial" w:cs="Arial" w:eastAsia="Arial" w:hAnsi="Arial"/>
          <w:sz w:val="18"/>
          <w:szCs w:val="18"/>
          <w:b w:val="1"/>
          <w:bCs w:val="1"/>
          <w:color w:val="auto"/>
        </w:rPr>
        <w:t>3237552</w:t>
      </w:r>
    </w:p>
    <w:sectPr>
      <w:pgSz w:w="11900" w:h="16838" w:orient="portrait"/>
      <w:cols w:equalWidth="0" w:num="1">
        <w:col w:w="11020"/>
      </w:cols>
      <w:pgMar w:left="440" w:top="2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2021-11-09T01:15:23Z</dcterms:created>
  <dcterms:modified xsi:type="dcterms:W3CDTF">2021-11-09T01:15:23Z</dcterms:modified>
</cp:coreProperties>
</file>