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r>
      <w:r>
        <w:rPr>
          <w:b/>
        </w:rPr>
        <w:t>Washington, D.C. 20549</w:t>
      </w:r>
      <w:r>
        <w:rPr/>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spacing w:before="200" w:after="0"/>
        <w:jc w:val="both"/>
        <w:rPr/>
      </w:pPr>
      <w:r>
        <w:rPr/>
        <w:t>For the month of August, 2026.</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 xml:space="preserve">100 King Street West, Suite 5600, Toronto, Ontario, M5X 1C9 </w:t>
      </w:r>
    </w:p>
    <w:p>
      <w:pPr>
        <w:pStyle w:val="TextBody"/>
        <w:bidi w:val="0"/>
        <w:spacing w:before="0" w:after="200"/>
        <w:jc w:val="center"/>
        <w:rPr/>
      </w:pPr>
      <w:r>
        <w:rPr/>
        <w:t>(Address of principal executive offices)</w:t>
      </w:r>
    </w:p>
    <w:p>
      <w:pPr>
        <w:pStyle w:val="TextBody"/>
        <w:bidi w:val="0"/>
        <w:spacing w:before="200" w:after="0"/>
        <w:jc w:val="both"/>
        <w:rPr/>
      </w:pPr>
      <w:r>
        <w:rPr/>
        <w:t>Indicate by check mark whether the registrant files or will file annual reports under cover Form 20-F or Form 40-F.</w:t>
      </w:r>
    </w:p>
    <w:p>
      <w:pPr>
        <w:pStyle w:val="TextBody"/>
        <w:bidi w:val="0"/>
        <w:spacing w:before="0" w:after="200"/>
        <w:jc w:val="both"/>
        <w:rPr/>
      </w:pPr>
      <w:r>
        <w:rPr/>
        <w:t>Form 20-F □ Form 40-F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INCORPORATION BY REFERENCE</w:t>
      </w:r>
    </w:p>
    <w:p>
      <w:pPr>
        <w:pStyle w:val="TextBody"/>
        <w:bidi w:val="0"/>
        <w:spacing w:before="200" w:after="200"/>
        <w:ind w:left="0" w:right="0" w:firstLine="720"/>
        <w:jc w:val="both"/>
        <w:rPr/>
      </w:pPr>
      <w:r>
        <w:rPr/>
        <w:t>Exhibit 99.1 of this Form 6-K of Cybin Inc. (the "Company") is hereby incorporated by reference into the Registration Statement on Form F-10 (</w:t>
      </w:r>
      <w:hyperlink r:id="rId2">
        <w:r>
          <w:rPr>
            <w:rStyle w:val="InternetLink"/>
          </w:rPr>
          <w:t>File No. 333-292294</w:t>
        </w:r>
      </w:hyperlink>
      <w:r>
        <w:rPr/>
        <w:t>)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ind w:left="0" w:right="0" w:firstLine="720"/>
        <w:jc w:val="both"/>
        <w:rPr/>
      </w:pPr>
      <w:r>
        <w:rPr/>
        <w:t>Pursuant to the requirements of the Securities Exchange Act of 1934, the registrant has duly caused this report to be signed on its behalf by the undersigned, thereunto duly authorized.</w:t>
      </w:r>
    </w:p>
    <w:tbl>
      <w:tblPr>
        <w:tblW w:w="4950" w:type="dxa"/>
        <w:jc w:val="left"/>
        <w:tblInd w:w="0" w:type="dxa"/>
        <w:tblLayout w:type="fixed"/>
        <w:tblCellMar>
          <w:top w:w="0" w:type="dxa"/>
          <w:left w:w="0" w:type="dxa"/>
          <w:bottom w:w="0" w:type="dxa"/>
          <w:right w:w="0" w:type="dxa"/>
        </w:tblCellMar>
      </w:tblPr>
      <w:tblGrid>
        <w:gridCol w:w="2075"/>
        <w:gridCol w:w="650"/>
        <w:gridCol w:w="2225"/>
      </w:tblGrid>
      <w:tr>
        <w:trPr/>
        <w:tc>
          <w:tcPr>
            <w:tcW w:w="2075"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b/>
              </w:rPr>
            </w:pPr>
            <w:r>
              <w:rPr>
                <w:b/>
              </w:rPr>
              <w:t>CYBIN INC.</w:t>
            </w:r>
          </w:p>
        </w:tc>
      </w:tr>
      <w:tr>
        <w:trPr/>
        <w:tc>
          <w:tcPr>
            <w:tcW w:w="2075"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pPr>
            <w:r>
              <w:rPr/>
              <w:t>(Registrant)</w:t>
            </w:r>
          </w:p>
        </w:tc>
      </w:tr>
      <w:tr>
        <w:trPr/>
        <w:tc>
          <w:tcPr>
            <w:tcW w:w="20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0"/>
              <w:jc w:val="left"/>
              <w:rPr/>
            </w:pPr>
            <w:r>
              <w:rPr/>
              <w:t>Date: August 3, 2026</w:t>
            </w:r>
          </w:p>
        </w:tc>
        <w:tc>
          <w:tcPr>
            <w:tcW w:w="650"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i/>
              </w:rPr>
            </w:pPr>
            <w:r>
              <w:rPr>
                <w:i/>
              </w:rPr>
              <w:t xml:space="preserve">/s/ Greg Cavers </w:t>
            </w:r>
          </w:p>
        </w:tc>
      </w:tr>
      <w:tr>
        <w:trPr/>
        <w:tc>
          <w:tcPr>
            <w:tcW w:w="20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Greg Cavers</w:t>
            </w:r>
          </w:p>
        </w:tc>
      </w:tr>
      <w:tr>
        <w:trPr/>
        <w:tc>
          <w:tcPr>
            <w:tcW w:w="20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7" w:name="page_4"/>
      <w:bookmarkEnd w:id="7"/>
      <w:r>
        <w:rPr>
          <w:b/>
          <w:u w:val="single"/>
        </w:rPr>
        <w:t>EXHIBIT INDEX</w:t>
      </w:r>
    </w:p>
    <w:tbl>
      <w:tblPr>
        <w:tblW w:w="3940" w:type="dxa"/>
        <w:jc w:val="left"/>
        <w:tblInd w:w="0" w:type="dxa"/>
        <w:tblLayout w:type="fixed"/>
        <w:tblCellMar>
          <w:top w:w="0" w:type="dxa"/>
          <w:left w:w="0" w:type="dxa"/>
          <w:bottom w:w="0" w:type="dxa"/>
          <w:right w:w="0" w:type="dxa"/>
        </w:tblCellMar>
      </w:tblPr>
      <w:tblGrid>
        <w:gridCol w:w="455"/>
        <w:gridCol w:w="3485"/>
      </w:tblGrid>
      <w:tr>
        <w:trPr/>
        <w:tc>
          <w:tcPr>
            <w:tcW w:w="45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3485" w:type="dxa"/>
            <w:tcBorders/>
            <w:shd w:fill="EEEEEE" w:val="clear"/>
            <w:vAlign w:val="center"/>
          </w:tcPr>
          <w:p>
            <w:pPr>
              <w:pStyle w:val="TableContents"/>
              <w:bidi w:val="0"/>
              <w:spacing w:before="0" w:after="0"/>
              <w:jc w:val="left"/>
              <w:rPr/>
            </w:pPr>
            <w:hyperlink w:anchor="exhibit99-1.htm">
              <w:r>
                <w:rPr>
                  <w:rStyle w:val="InternetLink"/>
                </w:rPr>
                <w:t>News Release dated August 3,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200"/>
        <w:jc w:val="center"/>
        <w:rPr/>
      </w:pPr>
      <w:bookmarkStart w:id="12" w:name="page_11"/>
      <w:bookmarkEnd w:id="12"/>
      <w:r>
        <w:rPr/>
        <w:drawing>
          <wp:inline distT="0" distB="0" distL="0" distR="0">
            <wp:extent cx="1971675"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971675" cy="971550"/>
                    </a:xfrm>
                    <a:prstGeom prst="rect">
                      <a:avLst/>
                    </a:prstGeom>
                  </pic:spPr>
                </pic:pic>
              </a:graphicData>
            </a:graphic>
          </wp:inline>
        </w:drawing>
      </w:r>
    </w:p>
    <w:p>
      <w:pPr>
        <w:pStyle w:val="TextBody"/>
        <w:bidi w:val="0"/>
        <w:spacing w:before="200" w:after="200"/>
        <w:jc w:val="center"/>
        <w:rPr>
          <w:b/>
          <w:sz w:val="24"/>
        </w:rPr>
      </w:pPr>
      <w:r>
        <w:rPr>
          <w:b/>
          <w:sz w:val="24"/>
        </w:rPr>
        <w:t>Helus Pharma Appoints Michael Halstead as Chief Executive Officer</w:t>
      </w:r>
    </w:p>
    <w:p>
      <w:pPr>
        <w:pStyle w:val="TextBody"/>
        <w:bidi w:val="0"/>
        <w:spacing w:before="200" w:after="200"/>
        <w:jc w:val="center"/>
        <w:rPr>
          <w:i/>
        </w:rPr>
      </w:pPr>
      <w:r>
        <w:rPr>
          <w:i/>
        </w:rPr>
        <w:t>Former President of Intra-Cellular Therapies, Inc. was instrumental in building and scaling the company, which was subsequently acquired by Johnson &amp; Johnson</w:t>
      </w:r>
    </w:p>
    <w:p>
      <w:pPr>
        <w:pStyle w:val="TextBody"/>
        <w:bidi w:val="0"/>
        <w:spacing w:before="200" w:after="200"/>
        <w:jc w:val="center"/>
        <w:rPr>
          <w:i/>
        </w:rPr>
      </w:pPr>
      <w:r>
        <w:rPr>
          <w:i/>
        </w:rPr>
        <w:t xml:space="preserve">Experienced executive with a proven track record of guiding pharmaceutical companies through late-stage clinical development and commercialization </w:t>
      </w:r>
    </w:p>
    <w:p>
      <w:pPr>
        <w:pStyle w:val="TextBody"/>
        <w:bidi w:val="0"/>
        <w:spacing w:before="200" w:after="200"/>
        <w:jc w:val="center"/>
        <w:rPr>
          <w:i/>
        </w:rPr>
      </w:pPr>
      <w:r>
        <w:rPr>
          <w:i/>
        </w:rPr>
        <w:t>Appointed as Helus Pharma prepares for topline data readout from APPROACH, the first pivotal Phase 3 Study of HLP003 as an adjunctive treatment for Major Depressive Disorder ("MDD"), expected in Q4 2026</w:t>
      </w:r>
    </w:p>
    <w:p>
      <w:pPr>
        <w:pStyle w:val="TextBody"/>
        <w:bidi w:val="0"/>
        <w:spacing w:before="200" w:after="200"/>
        <w:jc w:val="center"/>
        <w:rPr>
          <w:b/>
          <w:i/>
        </w:rPr>
      </w:pPr>
      <w:r>
        <w:rPr>
          <w:b/>
          <w:i/>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200" w:after="200"/>
        <w:jc w:val="both"/>
        <w:rPr/>
      </w:pPr>
      <w:r>
        <w:rPr>
          <w:b/>
        </w:rPr>
        <w:t xml:space="preserve">NEW YORK &amp; TORONTO </w:t>
      </w:r>
      <w:r>
        <w:rPr/>
        <w:t>- August 3, 2026 - Helus Pharma (Nasdaq: HELP) (Cboe CA: HELP) (the "Company" or "Helus Pharma"), a clinical-stage pharmaceutical company committed to helping minds heal by developing novel serotonergic agonists ("NSAs"), today announced the appointment of Michael Halstead as Chief Executive Officer, effective immediately.</w:t>
      </w:r>
    </w:p>
    <w:p>
      <w:pPr>
        <w:pStyle w:val="TextBody"/>
        <w:bidi w:val="0"/>
        <w:spacing w:before="200" w:after="200"/>
        <w:jc w:val="both"/>
        <w:rPr/>
      </w:pPr>
      <w:r>
        <w:rPr/>
        <w:t>Mr. Halstead's appointment comes as Helus Pharma advances HLP003 through late-stage clinical development and prepares for potential commercialization. Enrollment is complete in APPROACH, with topline data expected in Q4 2026, while enrollment continues in EMBRACE, the second pivotal study in the Phase 3 PARADIGM program. Participant rollover is ongoing into EXTEND, the long-term extension study.</w:t>
      </w:r>
    </w:p>
    <w:p>
      <w:pPr>
        <w:pStyle w:val="TextBody"/>
        <w:bidi w:val="0"/>
        <w:spacing w:before="200" w:after="200"/>
        <w:jc w:val="both"/>
        <w:rPr/>
      </w:pPr>
      <w:r>
        <w:rPr/>
        <w:t>Mr. Halstead brings 25 years of industry experience, most recently serving as President of Intra-Cellular Therapies, Inc. ("Intra-Cellular"). During his tenure at Intra-Cellular, he played a pivotal role in transforming the company from an early-stage clinical development organization into a fully integrated commercial biopharmaceutical enterprise. He was instrumental in the successful development, launch, and commercialization of CAPLYTA® (lumateperone), which has received approvals across multiple indications, including schizophrenia, bipolar depression and the adjunctive treatment of major depressive disorder. Mr. Halstead also supported the advancement of the company's pipeline programs in generalized anxiety disorder and neuropsychiatric symptoms associated with Alzheimer's disease. In addition, he managed multiple equity offerings and led the company's US$14.6 billion sale to Johnson &amp; Johnson in 2025.</w:t>
      </w:r>
    </w:p>
    <w:p>
      <w:pPr>
        <w:pStyle w:val="HorizontalLine"/>
        <w:pBdr>
          <w:bottom w:val="single" w:sz="30" w:space="0" w:color="000000"/>
        </w:pBdr>
        <w:bidi w:val="0"/>
        <w:jc w:val="left"/>
        <w:rPr/>
      </w:pPr>
      <w:r>
        <w:rPr/>
      </w:r>
    </w:p>
    <w:p>
      <w:pPr>
        <w:pStyle w:val="TextBody"/>
        <w:bidi w:val="0"/>
        <w:spacing w:before="200" w:after="200"/>
        <w:jc w:val="both"/>
        <w:rPr/>
      </w:pPr>
      <w:bookmarkStart w:id="13" w:name="page_21"/>
      <w:bookmarkEnd w:id="13"/>
      <w:r>
        <w:rPr/>
        <w:t>"Mr. Halstead's leadership and operational experience guiding pharmaceutical companies through late-stage development, infrastructure buildout, and commercialization will be invaluable as we execute against our upcoming HLP003 and HLP004 clinical, regulatory, and commercial milestones," said Eric So, Co-Founder and Executive Chairman.</w:t>
      </w:r>
    </w:p>
    <w:p>
      <w:pPr>
        <w:pStyle w:val="TextBody"/>
        <w:bidi w:val="0"/>
        <w:spacing w:before="200" w:after="200"/>
        <w:jc w:val="both"/>
        <w:rPr/>
      </w:pPr>
      <w:r>
        <w:rPr/>
        <w:t>"I'm honored to join the Helus Pharma team at this crucial stage in the Company's evolution," said Mr. Halstead. "HLP003, a potential differentiated new option in the adjunctive treatment landscape for MDD, and HLP004, a compelling short-acting compound in development for generalized anxiety disorder, position Helus Pharma to pursue a unique approach focused on the outcomes that matter most to patients."</w:t>
      </w:r>
    </w:p>
    <w:p>
      <w:pPr>
        <w:pStyle w:val="TextBody"/>
        <w:bidi w:val="0"/>
        <w:spacing w:before="200" w:after="200"/>
        <w:jc w:val="both"/>
        <w:rPr/>
      </w:pPr>
      <w:r>
        <w:rPr/>
        <w:t>"The clinical results in the HLP003 program to date suggest the potential to transform the treatment paradigm for MDD. I am impressed with the program's rigor and focus on providing the optimal solution for patients, providers, and payors. The Company's intellectual property portfolio of more than 350 patent applications and more than 100 granted patents worldwide provide a solid foundation for continued growth," concluded Mr. Halstead.</w:t>
      </w:r>
    </w:p>
    <w:p>
      <w:pPr>
        <w:pStyle w:val="TextBody"/>
        <w:bidi w:val="0"/>
        <w:spacing w:before="200" w:after="200"/>
        <w:jc w:val="both"/>
        <w:rPr/>
      </w:pPr>
      <w:r>
        <w:rPr/>
        <w:t>Prior to his time at Intra-Cellular, Mr. Halstead held senior leadership roles at Warner Chilcott plc where he oversaw major strategic initiatives, including the US$3 billion acquisition of Procter &amp; Gamble's pharmaceutical business in 2009 and the integration of its approximately 2,000 employees across multinational operations and Warner Chilcott's US$8.5 billion sale to Actavis in 2013.</w:t>
      </w:r>
    </w:p>
    <w:p>
      <w:pPr>
        <w:pStyle w:val="TextBody"/>
        <w:bidi w:val="0"/>
        <w:spacing w:before="200" w:after="200"/>
        <w:jc w:val="both"/>
        <w:rPr/>
      </w:pPr>
      <w:r>
        <w:rPr/>
        <w:t>Mr. Halstead holds a J.D. from Villanova University Charles Widger School of Law and a B.A. in International Relations from Boston University.</w:t>
      </w:r>
    </w:p>
    <w:p>
      <w:pPr>
        <w:pStyle w:val="TextBody"/>
        <w:shd w:fill="FFFFFF" w:val="clear"/>
        <w:bidi w:val="0"/>
        <w:spacing w:before="200" w:after="200"/>
        <w:jc w:val="both"/>
        <w:rPr>
          <w:b/>
        </w:rPr>
      </w:pPr>
      <w:r>
        <w:rPr>
          <w:b/>
        </w:rPr>
        <w:t>About Helus Pharma</w:t>
      </w:r>
    </w:p>
    <w:p>
      <w:pPr>
        <w:pStyle w:val="TextBody"/>
        <w:bidi w:val="0"/>
        <w:spacing w:before="200" w:after="200"/>
        <w:jc w:val="both"/>
        <w:rPr/>
      </w:pPr>
      <w:r>
        <w:rPr/>
        <w:t>Helus Pharma™, the commercial operating name of Cybin Inc., is a clinical-stage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200" w:after="200"/>
        <w:jc w:val="both"/>
        <w:rPr/>
      </w:pPr>
      <w:r>
        <w:rPr/>
        <w:t>With class-leading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and HLP004, also a proprietary NSA in Phase 2 for GAD. Additionally, Helus Pharma has an extensive research portfolio of investigational NSAs.</w:t>
      </w:r>
    </w:p>
    <w:p>
      <w:pPr>
        <w:pStyle w:val="HorizontalLine"/>
        <w:pBdr>
          <w:bottom w:val="single" w:sz="30" w:space="0" w:color="000000"/>
        </w:pBdr>
        <w:bidi w:val="0"/>
        <w:jc w:val="left"/>
        <w:rPr/>
      </w:pPr>
      <w:r>
        <w:rPr/>
      </w:r>
    </w:p>
    <w:p>
      <w:pPr>
        <w:pStyle w:val="TextBody"/>
        <w:bidi w:val="0"/>
        <w:spacing w:before="200" w:after="200"/>
        <w:jc w:val="both"/>
        <w:rPr/>
      </w:pPr>
      <w:bookmarkStart w:id="14" w:name="page_31"/>
      <w:bookmarkEnd w:id="14"/>
      <w:r>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200" w:after="200"/>
        <w:jc w:val="both"/>
        <w:rPr>
          <w:b/>
        </w:rPr>
      </w:pPr>
      <w:r>
        <w:rPr>
          <w:b/>
        </w:rPr>
        <w:t>Cautionary Notes and Forward-Looking Statements</w:t>
      </w:r>
    </w:p>
    <w:p>
      <w:pPr>
        <w:pStyle w:val="TextBody"/>
        <w:bidi w:val="0"/>
        <w:spacing w:before="200" w:after="200"/>
        <w:jc w:val="both"/>
        <w:rPr/>
      </w:pPr>
      <w:r>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 to readout HLP003 topline data in the fourth quarter of 2026; the Company's expectation that HLP003 will be a differentiated new option in the adjunctive landscape for patients living with MDD; the potential of HLP003 to transform the treatment paradigm for MDD; the potential of HLP003 to meaningfully improve outcomes for patients living with MDD; the commercialization of HLP003; the Company's continued growth; and plans to engineer proprietary drug discovery platforms, innovative drug delivery systems, novel formulation approaches and treatment regimens for mental health conditions.</w:t>
      </w:r>
    </w:p>
    <w:p>
      <w:pPr>
        <w:pStyle w:val="TextBody"/>
        <w:bidi w:val="0"/>
        <w:spacing w:before="200" w:after="200"/>
        <w:jc w:val="both"/>
        <w:rPr/>
      </w:pPr>
      <w:r>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HorizontalLine"/>
        <w:pBdr>
          <w:bottom w:val="single" w:sz="30" w:space="0" w:color="000000"/>
        </w:pBdr>
        <w:bidi w:val="0"/>
        <w:jc w:val="left"/>
        <w:rPr/>
      </w:pPr>
      <w:r>
        <w:rPr/>
      </w:r>
    </w:p>
    <w:p>
      <w:pPr>
        <w:pStyle w:val="TextBody"/>
        <w:bidi w:val="0"/>
        <w:spacing w:before="200" w:after="200"/>
        <w:jc w:val="both"/>
        <w:rPr/>
      </w:pPr>
      <w:bookmarkStart w:id="15" w:name="page_41"/>
      <w:bookmarkEnd w:id="15"/>
      <w:r>
        <w:rPr/>
        <w:t>The Company makes no medical, treatment or health benefit claims about the Company's proposed products. The FDA,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200" w:after="200"/>
        <w:jc w:val="both"/>
        <w:rPr/>
      </w:pPr>
      <w:r>
        <w:rPr/>
        <w:t>Neither Cboe Canada, nor the Nasdaq Global Market stock exchange, have approved or disapproved the contents of this news release and are not responsible for the adequacy and accuracy of the contents herein.</w:t>
      </w:r>
    </w:p>
    <w:p>
      <w:pPr>
        <w:pStyle w:val="TextBody"/>
        <w:bidi w:val="0"/>
        <w:spacing w:before="200" w:after="0"/>
        <w:jc w:val="both"/>
        <w:rPr>
          <w:b/>
        </w:rPr>
      </w:pPr>
      <w:r>
        <w:rPr>
          <w:b/>
        </w:rPr>
        <w:t>Investor Contact:</w:t>
      </w:r>
    </w:p>
    <w:p>
      <w:pPr>
        <w:pStyle w:val="TextBody"/>
        <w:bidi w:val="0"/>
        <w:spacing w:before="0" w:after="0"/>
        <w:jc w:val="both"/>
        <w:rPr/>
      </w:pPr>
      <w:r>
        <w:rPr/>
        <w:t>Matthew Beck</w:t>
      </w:r>
    </w:p>
    <w:p>
      <w:pPr>
        <w:pStyle w:val="TextBody"/>
        <w:bidi w:val="0"/>
        <w:spacing w:before="0" w:after="0"/>
        <w:jc w:val="both"/>
        <w:rPr/>
      </w:pPr>
      <w:r>
        <w:rPr/>
        <w:t>astr partners</w:t>
      </w:r>
    </w:p>
    <w:p>
      <w:pPr>
        <w:pStyle w:val="TextBody"/>
        <w:bidi w:val="0"/>
        <w:spacing w:before="0" w:after="0"/>
        <w:jc w:val="both"/>
        <w:rPr/>
      </w:pPr>
      <w:r>
        <w:rPr/>
        <w:t>Managing Partner</w:t>
      </w:r>
    </w:p>
    <w:p>
      <w:pPr>
        <w:pStyle w:val="TextBody"/>
        <w:bidi w:val="0"/>
        <w:spacing w:before="0" w:after="0"/>
        <w:jc w:val="both"/>
        <w:rPr/>
      </w:pPr>
      <w:r>
        <w:rPr/>
        <w:t>(917) 415-1750</w:t>
      </w:r>
    </w:p>
    <w:p>
      <w:pPr>
        <w:pStyle w:val="TextBody"/>
        <w:bidi w:val="0"/>
        <w:spacing w:before="0" w:after="200"/>
        <w:jc w:val="both"/>
        <w:rPr>
          <w:color w:val="467886"/>
          <w:u w:val="single"/>
        </w:rPr>
      </w:pPr>
      <w:r>
        <w:rPr>
          <w:color w:val="467886"/>
          <w:u w:val="single"/>
        </w:rPr>
        <w:t>Matthew.beck@astrpartners.com</w:t>
      </w:r>
    </w:p>
    <w:p>
      <w:pPr>
        <w:pStyle w:val="TextBody"/>
        <w:bidi w:val="0"/>
        <w:spacing w:before="200" w:after="0"/>
        <w:jc w:val="both"/>
        <w:rPr/>
      </w:pPr>
      <w:r>
        <w:rPr/>
        <w:t>George Tziras</w:t>
      </w:r>
    </w:p>
    <w:p>
      <w:pPr>
        <w:pStyle w:val="TextBody"/>
        <w:bidi w:val="0"/>
        <w:spacing w:before="0" w:after="0"/>
        <w:jc w:val="both"/>
        <w:rPr/>
      </w:pPr>
      <w:r>
        <w:rPr/>
        <w:t>Chief Business Officer</w:t>
      </w:r>
    </w:p>
    <w:p>
      <w:pPr>
        <w:pStyle w:val="TextBody"/>
        <w:bidi w:val="0"/>
        <w:spacing w:before="0" w:after="0"/>
        <w:jc w:val="both"/>
        <w:rPr/>
      </w:pPr>
      <w:r>
        <w:rPr/>
        <w:t>Helus Pharma</w:t>
      </w:r>
    </w:p>
    <w:p>
      <w:pPr>
        <w:pStyle w:val="TextBody"/>
        <w:bidi w:val="0"/>
        <w:spacing w:before="0" w:after="0"/>
        <w:jc w:val="both"/>
        <w:rPr/>
      </w:pPr>
      <w:r>
        <w:rPr/>
        <w:t>1-866-292-4601</w:t>
      </w:r>
    </w:p>
    <w:p>
      <w:pPr>
        <w:pStyle w:val="TextBody"/>
        <w:bidi w:val="0"/>
        <w:spacing w:before="0" w:after="200"/>
        <w:jc w:val="both"/>
        <w:rPr/>
      </w:pPr>
      <w:r>
        <w:rPr>
          <w:color w:val="467886"/>
          <w:u w:val="single"/>
        </w:rPr>
        <w:t>irteam@helus.com</w:t>
      </w:r>
      <w:r>
        <w:rPr/>
        <w:t xml:space="preserve"> - or - </w:t>
      </w:r>
      <w:r>
        <w:rPr>
          <w:color w:val="467886"/>
          <w:u w:val="single"/>
        </w:rPr>
        <w:t>media@helus.com</w:t>
      </w:r>
    </w:p>
    <w:p>
      <w:pPr>
        <w:pStyle w:val="TextBody"/>
        <w:bidi w:val="0"/>
        <w:spacing w:before="200" w:after="0"/>
        <w:jc w:val="both"/>
        <w:rPr>
          <w:b/>
        </w:rPr>
      </w:pPr>
      <w:r>
        <w:rPr>
          <w:b/>
        </w:rPr>
        <w:t>Media Contact:</w:t>
      </w:r>
    </w:p>
    <w:p>
      <w:pPr>
        <w:pStyle w:val="TextBody"/>
        <w:bidi w:val="0"/>
        <w:spacing w:before="0" w:after="0"/>
        <w:jc w:val="both"/>
        <w:rPr/>
      </w:pPr>
      <w:r>
        <w:rPr/>
        <w:t>Charlotte Wray</w:t>
      </w:r>
    </w:p>
    <w:p>
      <w:pPr>
        <w:pStyle w:val="TextBody"/>
        <w:bidi w:val="0"/>
        <w:spacing w:before="0" w:after="0"/>
        <w:jc w:val="both"/>
        <w:rPr/>
      </w:pPr>
      <w:r>
        <w:rPr/>
        <w:t>RXMD</w:t>
      </w:r>
    </w:p>
    <w:p>
      <w:pPr>
        <w:pStyle w:val="TextBody"/>
        <w:bidi w:val="0"/>
        <w:spacing w:before="0" w:after="0"/>
        <w:jc w:val="both"/>
        <w:rPr/>
      </w:pPr>
      <w:r>
        <w:rPr/>
        <w:t>Chief Client Services Officer</w:t>
      </w:r>
    </w:p>
    <w:p>
      <w:pPr>
        <w:pStyle w:val="TextBody"/>
        <w:bidi w:val="0"/>
        <w:spacing w:before="0" w:after="200"/>
        <w:jc w:val="both"/>
        <w:rPr>
          <w:color w:val="467886"/>
          <w:u w:val="single"/>
        </w:rPr>
      </w:pPr>
      <w:r>
        <w:rPr>
          <w:color w:val="467886"/>
          <w:u w:val="single"/>
        </w:rPr>
        <w:t>cwray@rxmedyn.com</w:t>
      </w:r>
    </w:p>
    <w:p>
      <w:pPr>
        <w:pStyle w:val="TextBody"/>
        <w:bidi w:val="0"/>
        <w:spacing w:before="0" w:after="0"/>
        <w:jc w:val="left"/>
        <w:rPr/>
      </w:pPr>
      <w:r>
        <w:rPr/>
        <w:t> </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5017416/formf10.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1643</Words>
  <Characters>9840</Characters>
  <CharactersWithSpaces>11438</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