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2022.</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are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43"/>
        </w:trPr>
        <w:tc>
          <w:tcPr>
            <w:tcW w:w="56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6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15, 2023</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9"/>
        </w:trPr>
        <w:tc>
          <w:tcPr>
            <w:tcW w:w="5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Material Change Report Dated August 8, 2022</w:t>
      </w:r>
    </w:p>
    <w:p>
      <w:pPr>
        <w:sectPr>
          <w:pgSz w:w="11900" w:h="16838" w:orient="portrait"/>
          <w:cols w:equalWidth="0" w:num="1">
            <w:col w:w="10119"/>
          </w:cols>
          <w:pgMar w:left="340" w:top="1404" w:right="1440" w:bottom="1440" w:gutter="0" w:footer="0" w:header="0"/>
        </w:sectPr>
      </w:pPr>
    </w:p>
    <w:bookmarkStart w:id="3" w:name="page4"/>
    <w:bookmarkEnd w:id="3"/>
    <w:p>
      <w:pPr>
        <w:jc w:val="center"/>
        <w:ind w:left="720"/>
        <w:spacing w:after="0"/>
        <w:rPr>
          <w:sz w:val="20"/>
          <w:szCs w:val="20"/>
          <w:color w:val="auto"/>
        </w:rPr>
      </w:pPr>
      <w:r>
        <w:rPr>
          <w:rFonts w:ascii="Arial" w:cs="Arial" w:eastAsia="Arial" w:hAnsi="Arial"/>
          <w:sz w:val="20"/>
          <w:szCs w:val="20"/>
          <w:b w:val="1"/>
          <w:bCs w:val="1"/>
          <w:color w:val="auto"/>
        </w:rPr>
        <w:t>FORM 51-102F3</w:t>
      </w:r>
    </w:p>
    <w:p>
      <w:pPr>
        <w:jc w:val="center"/>
        <w:ind w:left="720"/>
        <w:spacing w:after="0"/>
        <w:rPr>
          <w:sz w:val="20"/>
          <w:szCs w:val="20"/>
          <w:color w:val="auto"/>
        </w:rPr>
      </w:pPr>
      <w:r>
        <w:rPr>
          <w:rFonts w:ascii="Arial" w:cs="Arial" w:eastAsia="Arial" w:hAnsi="Arial"/>
          <w:sz w:val="20"/>
          <w:szCs w:val="20"/>
          <w:b w:val="1"/>
          <w:bCs w:val="1"/>
          <w:color w:val="auto"/>
        </w:rPr>
        <w:t>MATERIAL CHANGE REPORT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Name and Address of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Cybin Inc. (formerly, Clarmin Explorations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7" w:lineRule="auto"/>
        <w:rPr>
          <w:sz w:val="20"/>
          <w:szCs w:val="20"/>
          <w:color w:val="auto"/>
        </w:rPr>
      </w:pPr>
      <w:r>
        <w:rPr>
          <w:rFonts w:ascii="Arial" w:cs="Arial" w:eastAsia="Arial" w:hAnsi="Arial"/>
          <w:sz w:val="20"/>
          <w:szCs w:val="20"/>
          <w:color w:val="auto"/>
        </w:rPr>
        <w:t>100 King Street West, Suite 5600</w:t>
      </w:r>
    </w:p>
    <w:p>
      <w:pPr>
        <w:spacing w:after="0" w:line="211"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Date of Material Change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August 8,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News Release</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 news release with respect to the material change was disseminated by the Company on August 8, 2022 through BusinessWire (the “</w:t>
      </w:r>
      <w:r>
        <w:rPr>
          <w:rFonts w:ascii="Arial" w:cs="Arial" w:eastAsia="Arial" w:hAnsi="Arial"/>
          <w:sz w:val="20"/>
          <w:szCs w:val="20"/>
          <w:b w:val="1"/>
          <w:bCs w:val="1"/>
          <w:color w:val="auto"/>
        </w:rPr>
        <w:t>News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Release </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Summary of Material Change</w:t>
      </w:r>
    </w:p>
    <w:p>
      <w:pPr>
        <w:spacing w:after="0" w:line="8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On August 8, 2022, the Company announced that it had established an at-the-market equity program (the “</w:t>
      </w:r>
      <w:r>
        <w:rPr>
          <w:rFonts w:ascii="Arial" w:cs="Arial" w:eastAsia="Arial" w:hAnsi="Arial"/>
          <w:sz w:val="18"/>
          <w:szCs w:val="18"/>
          <w:b w:val="1"/>
          <w:bCs w:val="1"/>
          <w:color w:val="auto"/>
        </w:rPr>
        <w:t>ATM Program</w:t>
      </w:r>
      <w:r>
        <w:rPr>
          <w:rFonts w:ascii="Arial" w:cs="Arial" w:eastAsia="Arial" w:hAnsi="Arial"/>
          <w:sz w:val="18"/>
          <w:szCs w:val="18"/>
          <w:color w:val="auto"/>
        </w:rPr>
        <w:t>”) that allows the Company to issue and sell up to USD$35,000,000 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from treasury to the</w:t>
      </w:r>
    </w:p>
    <w:p>
      <w:pPr>
        <w:spacing w:after="0" w:line="223" w:lineRule="auto"/>
        <w:rPr>
          <w:sz w:val="20"/>
          <w:szCs w:val="20"/>
          <w:color w:val="auto"/>
        </w:rPr>
      </w:pPr>
      <w:r>
        <w:rPr>
          <w:rFonts w:ascii="Arial" w:cs="Arial" w:eastAsia="Arial" w:hAnsi="Arial"/>
          <w:sz w:val="19"/>
          <w:szCs w:val="19"/>
          <w:color w:val="auto"/>
        </w:rPr>
        <w:t>public, from time to time. The ATM Program is being established, and the sale of the Shares through the ATM Program will be made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pursuant to, and qualified by way of a prospectus supplement dated August 8, 2022 (the “</w:t>
      </w:r>
      <w:r>
        <w:rPr>
          <w:rFonts w:ascii="Arial" w:cs="Arial" w:eastAsia="Arial" w:hAnsi="Arial"/>
          <w:sz w:val="18"/>
          <w:szCs w:val="18"/>
          <w:b w:val="1"/>
          <w:bCs w:val="1"/>
          <w:color w:val="auto"/>
        </w:rPr>
        <w:t>Supplement</w:t>
      </w:r>
      <w:r>
        <w:rPr>
          <w:rFonts w:ascii="Arial" w:cs="Arial" w:eastAsia="Arial" w:hAnsi="Arial"/>
          <w:sz w:val="18"/>
          <w:szCs w:val="18"/>
          <w:color w:val="auto"/>
        </w:rPr>
        <w:t>”) to the Company’s short form base shelf prospectus dated July 5, 2021, filed with the securities commissions in each of the provinces and territories of Canada. The</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Supplement was also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part of a registration statement on Form F-10, which was declared effective by the SEC on October 8, 2021, in accordance with the Multijurisdictional Disclosure System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established between Canada and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of the Shares under the ATM Program, if any, will be made pursuant to the terms and conditions of an “at-the-market equity”</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distribution agreement (the “</w:t>
      </w:r>
      <w:r>
        <w:rPr>
          <w:rFonts w:ascii="Arial" w:cs="Arial" w:eastAsia="Arial" w:hAnsi="Arial"/>
          <w:sz w:val="18"/>
          <w:szCs w:val="18"/>
          <w:b w:val="1"/>
          <w:bCs w:val="1"/>
          <w:color w:val="auto"/>
        </w:rPr>
        <w:t>Distribution Agreement</w:t>
      </w:r>
      <w:r>
        <w:rPr>
          <w:rFonts w:ascii="Arial" w:cs="Arial" w:eastAsia="Arial" w:hAnsi="Arial"/>
          <w:sz w:val="18"/>
          <w:szCs w:val="18"/>
          <w:color w:val="auto"/>
        </w:rPr>
        <w:t>”) dated August 8, 2022, that the Company entered into with Cantor Fitzgerald Canada Corporation and Cantor Fitzgerald &amp; Co. The ATM Program will be effective until the earlier of the issuance and sale of all of the</w:t>
      </w:r>
    </w:p>
    <w:p>
      <w:pPr>
        <w:spacing w:after="0" w:line="236" w:lineRule="auto"/>
        <w:rPr>
          <w:sz w:val="20"/>
          <w:szCs w:val="20"/>
          <w:color w:val="auto"/>
        </w:rPr>
      </w:pPr>
      <w:r>
        <w:rPr>
          <w:rFonts w:ascii="Arial" w:cs="Arial" w:eastAsia="Arial" w:hAnsi="Arial"/>
          <w:sz w:val="18"/>
          <w:szCs w:val="18"/>
          <w:color w:val="auto"/>
        </w:rPr>
        <w:t>Shares issuable pursuant to the ATM Program and August 5, 2023, unless terminated earlier in accordance with the terms of the Distribution</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Agreement. Cybin intends to use the net proceeds from sales of the Shares under the ATM Program, if any, for growth opportunities and working capital initiatives.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Full Description of Material Change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See the full text of the News Release attached hereto as Schedule “A”.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Reliance on subsection 7.1(2) of National Instrument 51-102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Omitted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Executive Officer</w:t>
      </w:r>
    </w:p>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Further information regarding the matters described in this report may be obtained from Gabriel Fahel, Chief Legal Officer of the Company, who is knowledgeable about the details of the material change and may be contacted at 1-866-292-4601.</w:t>
      </w:r>
    </w:p>
    <w:p>
      <w:pPr>
        <w:sectPr>
          <w:pgSz w:w="11900" w:h="16838" w:orient="portrait"/>
          <w:cols w:equalWidth="0" w:num="1">
            <w:col w:w="11240"/>
          </w:cols>
          <w:pgMar w:left="320" w:top="1394" w:right="339" w:bottom="1440" w:gutter="0" w:footer="0" w:header="0"/>
        </w:sectPr>
      </w:pPr>
    </w:p>
    <w:bookmarkStart w:id="4" w:name="page5"/>
    <w:bookmarkEnd w:id="4"/>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August 17, 2022.</w:t>
      </w:r>
    </w:p>
    <w:p>
      <w:pPr>
        <w:sectPr>
          <w:pgSz w:w="11900" w:h="16838" w:orient="portrait"/>
          <w:cols w:equalWidth="0" w:num="1">
            <w:col w:w="10139"/>
          </w:cols>
          <w:pgMar w:left="320" w:top="144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280035</wp:posOffset>
            </wp:positionV>
            <wp:extent cx="2211705" cy="1586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170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ANNOUNCES UP TO USD$35 MILLION AT-THE-MARKET EQUITY PROGRAM</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19"/>
          <w:szCs w:val="19"/>
          <w:u w:val="single" w:color="auto"/>
          <w:color w:val="0000FF"/>
        </w:rPr>
        <w:t>Cybin Inc.</w:t>
      </w:r>
      <w:r>
        <w:rPr>
          <w:rFonts w:ascii="Arial" w:cs="Arial" w:eastAsia="Arial" w:hAnsi="Arial"/>
          <w:sz w:val="19"/>
          <w:szCs w:val="19"/>
          <w:color w:val="0000FF"/>
        </w:rPr>
        <w:t xml:space="preserve"> </w:t>
      </w:r>
      <w:r>
        <w:rPr>
          <w:rFonts w:ascii="Arial" w:cs="Arial" w:eastAsia="Arial" w:hAnsi="Arial"/>
          <w:sz w:val="19"/>
          <w:szCs w:val="19"/>
          <w:color w:val="000000"/>
        </w:rPr>
        <w:t>(</w:t>
      </w:r>
      <w:r>
        <w:rPr>
          <w:rFonts w:ascii="Arial" w:cs="Arial" w:eastAsia="Arial" w:hAnsi="Arial"/>
          <w:sz w:val="19"/>
          <w:szCs w:val="19"/>
          <w:u w:val="single" w:color="auto"/>
          <w:color w:val="0000FF"/>
        </w:rPr>
        <w:t>NEO: CYBN</w:t>
      </w:r>
      <w:r>
        <w:rPr>
          <w:rFonts w:ascii="Arial" w:cs="Arial" w:eastAsia="Arial" w:hAnsi="Arial"/>
          <w:sz w:val="19"/>
          <w:szCs w:val="19"/>
          <w:color w:val="000000"/>
        </w:rPr>
        <w:t>) (NYSE American: CYBN) (“</w:t>
      </w:r>
      <w:r>
        <w:rPr>
          <w:rFonts w:ascii="Arial" w:cs="Arial" w:eastAsia="Arial" w:hAnsi="Arial"/>
          <w:sz w:val="19"/>
          <w:szCs w:val="19"/>
          <w:b w:val="1"/>
          <w:bCs w:val="1"/>
          <w:color w:val="000000"/>
        </w:rPr>
        <w:t>Cybin</w:t>
      </w:r>
      <w:r>
        <w:rPr>
          <w:rFonts w:ascii="Arial" w:cs="Arial" w:eastAsia="Arial" w:hAnsi="Arial"/>
          <w:sz w:val="19"/>
          <w:szCs w:val="19"/>
          <w:color w:val="000000"/>
        </w:rPr>
        <w:t>” or the “</w:t>
      </w:r>
      <w:r>
        <w:rPr>
          <w:rFonts w:ascii="Arial" w:cs="Arial" w:eastAsia="Arial" w:hAnsi="Arial"/>
          <w:sz w:val="19"/>
          <w:szCs w:val="19"/>
          <w:color w:val="0000FF"/>
        </w:rPr>
        <w:t xml:space="preserve"> </w:t>
      </w:r>
      <w:r>
        <w:rPr>
          <w:rFonts w:ascii="Arial" w:cs="Arial" w:eastAsia="Arial" w:hAnsi="Arial"/>
          <w:sz w:val="19"/>
          <w:szCs w:val="19"/>
          <w:b w:val="1"/>
          <w:bCs w:val="1"/>
          <w:color w:val="000000"/>
        </w:rPr>
        <w:t>Company</w:t>
      </w:r>
      <w:r>
        <w:rPr>
          <w:rFonts w:ascii="Arial" w:cs="Arial" w:eastAsia="Arial" w:hAnsi="Arial"/>
          <w:sz w:val="19"/>
          <w:szCs w:val="19"/>
          <w:color w:val="000000"/>
        </w:rPr>
        <w:t>”), a biopharmaceutical company focused on</w:t>
      </w:r>
      <w:r>
        <w:rPr>
          <w:rFonts w:ascii="Arial" w:cs="Arial" w:eastAsia="Arial" w:hAnsi="Arial"/>
          <w:sz w:val="19"/>
          <w:szCs w:val="19"/>
          <w:color w:val="0000FF"/>
        </w:rPr>
        <w:t xml:space="preserve"> </w:t>
      </w:r>
      <w:r>
        <w:rPr>
          <w:rFonts w:ascii="Arial" w:cs="Arial" w:eastAsia="Arial" w:hAnsi="Arial"/>
          <w:sz w:val="19"/>
          <w:szCs w:val="19"/>
          <w:color w:val="000000"/>
        </w:rPr>
        <w:t>progressing “Psychedelics to Therapeutics</w:t>
      </w:r>
      <w:r>
        <w:rPr>
          <w:rFonts w:ascii="Arial" w:cs="Arial" w:eastAsia="Arial" w:hAnsi="Arial"/>
          <w:sz w:val="25"/>
          <w:szCs w:val="25"/>
          <w:color w:val="000000"/>
          <w:vertAlign w:val="superscript"/>
        </w:rPr>
        <w:t>TM</w:t>
      </w:r>
      <w:r>
        <w:rPr>
          <w:rFonts w:ascii="Arial" w:cs="Arial" w:eastAsia="Arial" w:hAnsi="Arial"/>
          <w:sz w:val="19"/>
          <w:szCs w:val="19"/>
          <w:color w:val="000000"/>
        </w:rPr>
        <w:t>”, announced today that it has established an at-the-market equity program (the “</w:t>
      </w:r>
      <w:r>
        <w:rPr>
          <w:rFonts w:ascii="Arial" w:cs="Arial" w:eastAsia="Arial" w:hAnsi="Arial"/>
          <w:sz w:val="19"/>
          <w:szCs w:val="19"/>
          <w:b w:val="1"/>
          <w:bCs w:val="1"/>
          <w:color w:val="000000"/>
        </w:rPr>
        <w:t>ATM Program</w:t>
      </w:r>
      <w:r>
        <w:rPr>
          <w:rFonts w:ascii="Arial" w:cs="Arial" w:eastAsia="Arial" w:hAnsi="Arial"/>
          <w:sz w:val="19"/>
          <w:szCs w:val="19"/>
          <w:color w:val="000000"/>
        </w:rPr>
        <w:t>”) that allows Cybin to issue and sell up to USD$35,000,000 of common shares (“</w:t>
      </w:r>
      <w:r>
        <w:rPr>
          <w:rFonts w:ascii="Arial" w:cs="Arial" w:eastAsia="Arial" w:hAnsi="Arial"/>
          <w:sz w:val="19"/>
          <w:szCs w:val="19"/>
          <w:b w:val="1"/>
          <w:bCs w:val="1"/>
          <w:color w:val="000000"/>
        </w:rPr>
        <w:t>Shares</w:t>
      </w:r>
      <w:r>
        <w:rPr>
          <w:rFonts w:ascii="Arial" w:cs="Arial" w:eastAsia="Arial" w:hAnsi="Arial"/>
          <w:sz w:val="19"/>
          <w:szCs w:val="19"/>
          <w:color w:val="000000"/>
        </w:rPr>
        <w:t>”) in the capital of the Company from treasury to the public, from time to time, through the Agents (as defined below). All Shares sold under the ATM Program will be sold in transactions that are deemed to be “at-the-market” distributions as defined in National Instrument 44-102</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Shelf Distributions</w:t>
      </w:r>
      <w:r>
        <w:rPr>
          <w:rFonts w:ascii="Arial" w:cs="Arial" w:eastAsia="Arial" w:hAnsi="Arial"/>
          <w:sz w:val="21"/>
          <w:szCs w:val="21"/>
          <w:color w:val="auto"/>
        </w:rPr>
        <w:t>, directly through the Neo Exchange Inc. (the “</w:t>
      </w:r>
      <w:r>
        <w:rPr>
          <w:rFonts w:ascii="Arial" w:cs="Arial" w:eastAsia="Arial" w:hAnsi="Arial"/>
          <w:sz w:val="21"/>
          <w:szCs w:val="21"/>
          <w:b w:val="1"/>
          <w:bCs w:val="1"/>
          <w:color w:val="auto"/>
        </w:rPr>
        <w:t>NEO Exchange</w:t>
      </w:r>
      <w:r>
        <w:rPr>
          <w:rFonts w:ascii="Arial" w:cs="Arial" w:eastAsia="Arial" w:hAnsi="Arial"/>
          <w:sz w:val="21"/>
          <w:szCs w:val="21"/>
          <w:color w:val="auto"/>
        </w:rPr>
        <w:t>”), the NYSE American LLC or any other “marketplace” (as defined in National Instrument 21-101 Marketplace Operation) upon which the Shares are listed, quoted or otherwise traded, at the prevailing market price at the time of sale. Cybin intends to use the net proceeds from sales of Shares under the ATM Program, if any, for growth opportunities and working capital initiatives.</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Distributions of Shares under the ATM Program, if any, will be made pursuant to the terms and conditions of an “at-the-market equity” distribution agreement (the “</w:t>
      </w:r>
      <w:r>
        <w:rPr>
          <w:rFonts w:ascii="Arial" w:cs="Arial" w:eastAsia="Arial" w:hAnsi="Arial"/>
          <w:sz w:val="19"/>
          <w:szCs w:val="19"/>
          <w:b w:val="1"/>
          <w:bCs w:val="1"/>
          <w:color w:val="auto"/>
        </w:rPr>
        <w:t>Distribution Agreement</w:t>
      </w:r>
      <w:r>
        <w:rPr>
          <w:rFonts w:ascii="Arial" w:cs="Arial" w:eastAsia="Arial" w:hAnsi="Arial"/>
          <w:sz w:val="19"/>
          <w:szCs w:val="19"/>
          <w:color w:val="auto"/>
        </w:rPr>
        <w:t xml:space="preserve"> ”) dated August 8, 2022 that the Company entered into with Cantor Fitzgerald Canada Corporation and Cantor Fitzgerald &amp; Co. (collectively, the “</w:t>
      </w:r>
      <w:r>
        <w:rPr>
          <w:rFonts w:ascii="Arial" w:cs="Arial" w:eastAsia="Arial" w:hAnsi="Arial"/>
          <w:sz w:val="19"/>
          <w:szCs w:val="19"/>
          <w:b w:val="1"/>
          <w:bCs w:val="1"/>
          <w:color w:val="auto"/>
        </w:rPr>
        <w:t>Agents</w:t>
      </w:r>
      <w:r>
        <w:rPr>
          <w:rFonts w:ascii="Arial" w:cs="Arial" w:eastAsia="Arial" w:hAnsi="Arial"/>
          <w:sz w:val="19"/>
          <w:szCs w:val="19"/>
          <w:color w:val="auto"/>
        </w:rPr>
        <w:t>”). The ATM Program will be effective until the earlier of the issuance and sale of all of the Shares issuable pursuant to the ATM Program and August 5, 2023 unless earlier terminated in accordance with the terms of the Distribution Agreement. The Company is not obligated to make any sales of Shares under the ATM Program and there can be no assurance as to when such sales will be completed, if ever. The volume and timing of distributions under the ATM Program, if any, will be determined in Cybin’s sole discretion and in accordance with the Distribution Agreement. As any Shares distributed under the ATM Program will be issued and sold at the prevailing market price at the time of the applicable sale, prices may vary among purchasers through the duration of the ATM Program. The completion of sales of Shares under the ATM Program will be subject to customary closing conditions, including the listing of such Shares on the Neo Exchange and the NYSE American LLC, and any required approvals of each exchange.</w:t>
      </w:r>
    </w:p>
    <w:p>
      <w:pPr>
        <w:spacing w:after="0" w:line="18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The ATM Program is being established, and the sale of the Shares through the ATM Program will be made pursuant to, and qualified by way of a prospectus supplement dated August 8, 2022 (the “</w:t>
      </w:r>
      <w:r>
        <w:rPr>
          <w:rFonts w:ascii="Arial" w:cs="Arial" w:eastAsia="Arial" w:hAnsi="Arial"/>
          <w:sz w:val="21"/>
          <w:szCs w:val="21"/>
          <w:b w:val="1"/>
          <w:bCs w:val="1"/>
          <w:color w:val="auto"/>
        </w:rPr>
        <w:t>Supplement</w:t>
      </w:r>
      <w:r>
        <w:rPr>
          <w:rFonts w:ascii="Arial" w:cs="Arial" w:eastAsia="Arial" w:hAnsi="Arial"/>
          <w:sz w:val="21"/>
          <w:szCs w:val="21"/>
          <w:color w:val="auto"/>
        </w:rPr>
        <w:t>”) to the Company’s short form base shelf prospectus dated July 5, 2021 (the “</w:t>
      </w:r>
      <w:r>
        <w:rPr>
          <w:rFonts w:ascii="Arial" w:cs="Arial" w:eastAsia="Arial" w:hAnsi="Arial"/>
          <w:sz w:val="21"/>
          <w:szCs w:val="21"/>
          <w:b w:val="1"/>
          <w:bCs w:val="1"/>
          <w:color w:val="auto"/>
        </w:rPr>
        <w:t>Base Prospectus</w:t>
      </w:r>
      <w:r>
        <w:rPr>
          <w:rFonts w:ascii="Arial" w:cs="Arial" w:eastAsia="Arial" w:hAnsi="Arial"/>
          <w:sz w:val="21"/>
          <w:szCs w:val="21"/>
          <w:color w:val="auto"/>
        </w:rPr>
        <w:t>”) filed with the securities commissions in each of the provinces and territories of Canada. The Supplement was also filed with the United States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as part of a registration statement on Form F-10, which was declared</w:t>
      </w:r>
    </w:p>
    <w:p>
      <w:pPr>
        <w:sectPr>
          <w:pgSz w:w="11900" w:h="16838" w:orient="portrait"/>
          <w:cols w:equalWidth="0" w:num="1">
            <w:col w:w="11240"/>
          </w:cols>
          <w:pgMar w:left="320" w:top="1399" w:right="339" w:bottom="1440" w:gutter="0" w:footer="0" w:header="0"/>
        </w:sectPr>
      </w:pPr>
    </w:p>
    <w:bookmarkStart w:id="6" w:name="page7"/>
    <w:bookmarkEnd w:id="6"/>
    <w:p>
      <w:pPr>
        <w:jc w:val="both"/>
        <w:spacing w:after="0" w:line="232" w:lineRule="auto"/>
        <w:rPr>
          <w:sz w:val="20"/>
          <w:szCs w:val="20"/>
          <w:color w:val="auto"/>
        </w:rPr>
      </w:pPr>
      <w:r>
        <w:rPr>
          <w:rFonts w:ascii="Arial" w:cs="Arial" w:eastAsia="Arial" w:hAnsi="Arial"/>
          <w:sz w:val="22"/>
          <w:szCs w:val="22"/>
          <w:color w:val="auto"/>
        </w:rPr>
        <w:t>effective by the SEC on October 8, 2021, in accordance with the Multijurisdictional Disclosure System established between Canada and the United States.</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Supplement and accompanying Base Prospectus contain important detailed information about the ATM Program. The Supplement and accompanying Base Prospectus can be found under the Company’s profile on SEDAR at www.sedar.com and with the United States Securities and Exchange Commission on EDGAR at www.sec.gov. Copies of the Supplement and accompanying Base Prospectus may also be obtained from Cantor Fitzgerald Canada Corporation, Attn: Equity Capital Markets, 181 University Avenue, Suite 1500, Toronto, ON, M5H 3M7, Email: ecmcanada@cantor.com, Cantor Fitzgerald &amp; Co., Attn:</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Capital Markets, 499 Park Avenue, 4th floor, New York, New York 10022, Email: prospectus@cantor.com. Prospective investors should read the Supplement and accompanying Base Prospectus and the other documents the Company has filed before making an investment decision.</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spacing w:after="0" w:line="204" w:lineRule="auto"/>
        <w:rPr>
          <w:sz w:val="20"/>
          <w:szCs w:val="20"/>
          <w:color w:val="auto"/>
        </w:rPr>
      </w:pPr>
      <w:r>
        <w:rPr>
          <w:rFonts w:ascii="Arial" w:cs="Arial" w:eastAsia="Arial" w:hAnsi="Arial"/>
          <w:sz w:val="22"/>
          <w:szCs w:val="22"/>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w:t>
      </w:r>
      <w:r>
        <w:rPr>
          <w:rFonts w:ascii="Arial" w:cs="Arial" w:eastAsia="Arial" w:hAnsi="Arial"/>
          <w:sz w:val="28"/>
          <w:szCs w:val="28"/>
          <w:color w:val="auto"/>
          <w:vertAlign w:val="superscript"/>
        </w:rPr>
        <w:t>TM</w:t>
      </w:r>
      <w:r>
        <w:rPr>
          <w:rFonts w:ascii="Arial" w:cs="Arial" w:eastAsia="Arial" w:hAnsi="Arial"/>
          <w:sz w:val="22"/>
          <w:szCs w:val="22"/>
          <w:color w:val="auto"/>
        </w:rPr>
        <w:t>” by engineering proprietary drug discovery platforms, innovative drug delivery systems, novel formulation approaches and treatment regimens for mental health disorders.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ind w:right="100"/>
        <w:spacing w:after="0" w:line="244" w:lineRule="auto"/>
        <w:rPr>
          <w:sz w:val="20"/>
          <w:szCs w:val="20"/>
          <w:color w:val="auto"/>
        </w:rPr>
      </w:pPr>
      <w:r>
        <w:rPr>
          <w:rFonts w:ascii="Arial" w:cs="Arial" w:eastAsia="Arial" w:hAnsi="Arial"/>
          <w:sz w:val="19"/>
          <w:szCs w:val="19"/>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sale of Shares from time to time under the ATM Program and the Company’s intended use of the net proceeds from sales of Shares, if any, under the ATM Program and the receipt of applicable regulatory approvals, including the acceptance of the NEO Exchange and authorization by NYSE American LLC.</w:t>
      </w:r>
    </w:p>
    <w:p>
      <w:pPr>
        <w:spacing w:after="0" w:line="161" w:lineRule="exact"/>
        <w:rPr>
          <w:sz w:val="20"/>
          <w:szCs w:val="20"/>
          <w:color w:val="auto"/>
        </w:rPr>
      </w:pPr>
    </w:p>
    <w:p>
      <w:pPr>
        <w:jc w:val="both"/>
        <w:ind w:right="100"/>
        <w:spacing w:after="0" w:line="246"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w:t>
      </w:r>
    </w:p>
    <w:p>
      <w:pPr>
        <w:sectPr>
          <w:pgSz w:w="11900" w:h="16838" w:orient="portrait"/>
          <w:cols w:equalWidth="0" w:num="1">
            <w:col w:w="11240"/>
          </w:cols>
          <w:pgMar w:left="320" w:top="1401" w:right="339" w:bottom="1440" w:gutter="0" w:footer="0" w:header="0"/>
        </w:sectPr>
      </w:pPr>
    </w:p>
    <w:bookmarkStart w:id="7" w:name="page8"/>
    <w:bookmarkEnd w:id="7"/>
    <w:p>
      <w:pPr>
        <w:jc w:val="both"/>
        <w:spacing w:after="0" w:line="244" w:lineRule="auto"/>
        <w:rPr>
          <w:sz w:val="20"/>
          <w:szCs w:val="20"/>
          <w:color w:val="auto"/>
        </w:rPr>
      </w:pPr>
      <w:r>
        <w:rPr>
          <w:rFonts w:ascii="Arial" w:cs="Arial" w:eastAsia="Arial" w:hAnsi="Arial"/>
          <w:sz w:val="19"/>
          <w:szCs w:val="19"/>
          <w:color w:val="auto"/>
        </w:rPr>
        <w:t>impose restrictions in the markets where the Company operates; and the risk factors set out in the Company’s management’s discussion and analysis for the year ended March 31, 2022 and the Company’s annual information form dated June 20, 2022, which are available under the Company’s profile on www.sedar.com and with the United States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1" w:lineRule="exact"/>
        <w:rPr>
          <w:sz w:val="20"/>
          <w:szCs w:val="20"/>
          <w:color w:val="auto"/>
        </w:rPr>
      </w:pPr>
    </w:p>
    <w:p>
      <w:pPr>
        <w:jc w:val="both"/>
        <w:ind w:right="80"/>
        <w:spacing w:after="0" w:line="244" w:lineRule="auto"/>
        <w:rPr>
          <w:sz w:val="20"/>
          <w:szCs w:val="20"/>
          <w:color w:val="auto"/>
        </w:rPr>
      </w:pPr>
      <w:r>
        <w:rPr>
          <w:rFonts w:ascii="Arial" w:cs="Arial" w:eastAsia="Arial" w:hAnsi="Arial"/>
          <w:sz w:val="19"/>
          <w:szCs w:val="19"/>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8" w:lineRule="exact"/>
        <w:rPr>
          <w:sz w:val="20"/>
          <w:szCs w:val="20"/>
          <w:color w:val="auto"/>
        </w:rPr>
      </w:pPr>
    </w:p>
    <w:p>
      <w:pPr>
        <w:jc w:val="both"/>
        <w:ind w:right="80"/>
        <w:spacing w:after="0" w:line="232" w:lineRule="auto"/>
        <w:rPr>
          <w:sz w:val="20"/>
          <w:szCs w:val="20"/>
          <w:color w:val="auto"/>
        </w:rPr>
      </w:pPr>
      <w:r>
        <w:rPr>
          <w:rFonts w:ascii="Arial" w:cs="Arial" w:eastAsia="Arial" w:hAnsi="Arial"/>
          <w:sz w:val="22"/>
          <w:szCs w:val="22"/>
          <w:i w:val="1"/>
          <w:iCs w:val="1"/>
          <w:color w:val="auto"/>
        </w:rPr>
        <w:t>Neither the NEO Exchange nor the NYSE American LLC stock exchange have approved or disapproved the contents of this news release and are not responsible for the adequacy and accuracy of the contents herein.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Contacts:</w:t>
      </w:r>
    </w:p>
    <w:p>
      <w:pPr>
        <w:spacing w:after="0" w:line="204" w:lineRule="auto"/>
        <w:rPr>
          <w:sz w:val="20"/>
          <w:szCs w:val="20"/>
          <w:color w:val="auto"/>
        </w:rPr>
      </w:pPr>
      <w:r>
        <w:rPr>
          <w:rFonts w:ascii="Arial" w:cs="Arial" w:eastAsia="Arial" w:hAnsi="Arial"/>
          <w:sz w:val="22"/>
          <w:szCs w:val="22"/>
          <w:color w:val="auto"/>
        </w:rPr>
        <w:t>Leah Gibson</w:t>
      </w:r>
    </w:p>
    <w:p>
      <w:pPr>
        <w:spacing w:after="0" w:line="205" w:lineRule="auto"/>
        <w:rPr>
          <w:sz w:val="20"/>
          <w:szCs w:val="20"/>
          <w:color w:val="auto"/>
        </w:rPr>
      </w:pPr>
      <w:r>
        <w:rPr>
          <w:rFonts w:ascii="Arial" w:cs="Arial" w:eastAsia="Arial" w:hAnsi="Arial"/>
          <w:sz w:val="22"/>
          <w:szCs w:val="22"/>
          <w:color w:val="auto"/>
        </w:rPr>
        <w:t>Vice President, Investor Relations &amp; Strategic Communications</w:t>
      </w:r>
    </w:p>
    <w:p>
      <w:pPr>
        <w:spacing w:after="0" w:line="205" w:lineRule="auto"/>
        <w:rPr>
          <w:sz w:val="20"/>
          <w:szCs w:val="20"/>
          <w:color w:val="auto"/>
        </w:rPr>
      </w:pPr>
      <w:r>
        <w:rPr>
          <w:rFonts w:ascii="Arial" w:cs="Arial" w:eastAsia="Arial" w:hAnsi="Arial"/>
          <w:sz w:val="22"/>
          <w:szCs w:val="22"/>
          <w:color w:val="auto"/>
        </w:rPr>
        <w:t>Cybin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irteam@cybin.com</w:t>
      </w:r>
      <w:r>
        <w:rPr>
          <w:rFonts w:ascii="Arial" w:cs="Arial" w:eastAsia="Arial" w:hAnsi="Arial"/>
          <w:sz w:val="22"/>
          <w:szCs w:val="22"/>
          <w:color w:val="0000FF"/>
        </w:rPr>
        <w:t xml:space="preserve"> </w:t>
      </w:r>
      <w:r>
        <w:rPr>
          <w:rFonts w:ascii="Arial" w:cs="Arial" w:eastAsia="Arial" w:hAnsi="Arial"/>
          <w:sz w:val="22"/>
          <w:szCs w:val="22"/>
          <w:color w:val="000000"/>
        </w:rPr>
        <w:t>– or –</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media@cybin.com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gabriel@cybin.com</w:t>
      </w:r>
    </w:p>
    <w:sectPr>
      <w:pgSz w:w="11900" w:h="16838" w:orient="portrait"/>
      <w:cols w:equalWidth="0" w:num="1">
        <w:col w:w="11140"/>
      </w:cols>
      <w:pgMar w:left="320" w:top="140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2023-06-15T15:24:35Z</dcterms:created>
  <dcterms:modified xsi:type="dcterms:W3CDTF">2023-06-15T15:24:35Z</dcterms:modified>
</cp:coreProperties>
</file>