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21,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1066165</wp:posOffset>
            </wp:positionV>
            <wp:extent cx="1628775" cy="942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Partners with Osmind to Accelerate Commercial Preparation for its Clinical-Stage Psychiatry Programs</w:t>
      </w:r>
    </w:p>
    <w:p>
      <w:pPr>
        <w:spacing w:after="0" w:line="138" w:lineRule="exact"/>
        <w:rPr>
          <w:sz w:val="20"/>
          <w:szCs w:val="20"/>
          <w:color w:val="auto"/>
        </w:rPr>
      </w:pPr>
    </w:p>
    <w:p>
      <w:pPr>
        <w:ind w:left="520" w:hanging="116"/>
        <w:spacing w:after="0"/>
        <w:tabs>
          <w:tab w:leader="none" w:pos="5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 will leverage Osmind's 800-clinic network, point-of-care software, and real-world data to support the commercial</w:t>
      </w:r>
    </w:p>
    <w:p>
      <w:pPr>
        <w:spacing w:after="0" w:line="40" w:lineRule="exact"/>
        <w:rPr>
          <w:rFonts w:ascii="Arial" w:cs="Arial" w:eastAsia="Arial" w:hAnsi="Arial"/>
          <w:sz w:val="20"/>
          <w:szCs w:val="20"/>
          <w:i w:val="1"/>
          <w:iCs w:val="1"/>
          <w:color w:val="auto"/>
        </w:rPr>
      </w:pPr>
    </w:p>
    <w:p>
      <w:pPr>
        <w:ind w:left="38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preparation for its clinical-stage pipeline -</w:t>
      </w:r>
    </w:p>
    <w:p>
      <w:pPr>
        <w:spacing w:after="0" w:line="269" w:lineRule="exact"/>
        <w:rPr>
          <w:rFonts w:ascii="Arial" w:cs="Arial" w:eastAsia="Arial" w:hAnsi="Arial"/>
          <w:sz w:val="20"/>
          <w:szCs w:val="20"/>
          <w:i w:val="1"/>
          <w:iCs w:val="1"/>
          <w:color w:val="auto"/>
        </w:rPr>
      </w:pPr>
    </w:p>
    <w:p>
      <w:pPr>
        <w:jc w:val="center"/>
        <w:ind w:left="2220" w:right="140" w:hanging="2078"/>
        <w:spacing w:after="0" w:line="314" w:lineRule="auto"/>
        <w:tabs>
          <w:tab w:leader="none" w:pos="257"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Osmind is a leading service provider to psychiatry practices in the U.S. focused on advancing psychiatry through technology and services to bring innovative mental health treatments to patients in need -</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April 21,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467886"/>
        </w:rPr>
        <w:t>Cybin</w:t>
      </w:r>
      <w:r>
        <w:rPr>
          <w:rFonts w:ascii="Arial" w:cs="Arial" w:eastAsia="Arial" w:hAnsi="Arial"/>
          <w:sz w:val="20"/>
          <w:szCs w:val="20"/>
          <w:b w:val="1"/>
          <w:bCs w:val="1"/>
          <w:color w:val="auto"/>
        </w:rPr>
        <w:t xml:space="preserve"> </w:t>
      </w:r>
      <w:r>
        <w:rPr>
          <w:rFonts w:ascii="Arial" w:cs="Arial" w:eastAsia="Arial" w:hAnsi="Arial"/>
          <w:sz w:val="20"/>
          <w:szCs w:val="20"/>
          <w:color w:val="auto"/>
        </w:rPr>
        <w:t>Inc. (NYSE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today announced a strategic partnership with Osmind, a leading service provider advancing psychiatry through technology, services, and real-world evidence to bring innovative mental health treatments to patients in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-725170</wp:posOffset>
            </wp:positionV>
            <wp:extent cx="23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“Preparation for the commercialization of our clinical stage programs is a top priority, and aligning ourselves with Osmind will help us accelerate our goals,” said Doug Drysdale, Chief Executive Officer of Cybin. "Osmind’s extensive network of over 800 psychiatry clinics in the U.S., combined with our expertise, allows us to align on and prepare for the operational infrastructure needs relevant for interventional treatments. End-to-end mapping in key areas of clinic workflow and patients’ journey such as pharmacy, fulfillment, patient access and reimbursement will lay the groundwork for commercialization of our lead clinical programs: CYB003 in Phase 3 development for the adjunctive treatment of major depressive disorder, and CYB004 in a Phase</w:t>
      </w:r>
    </w:p>
    <w:p>
      <w:pPr>
        <w:spacing w:after="0" w:line="1"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2 study for generalized anxiety disorder</w:t>
      </w:r>
      <w:r>
        <w:rPr>
          <w:rFonts w:ascii="Arial" w:cs="Arial" w:eastAsia="Arial" w:hAnsi="Arial"/>
          <w:sz w:val="21"/>
          <w:szCs w:val="21"/>
          <w:color w:val="auto"/>
        </w:rPr>
        <w:t>.</w:t>
      </w:r>
      <w:r>
        <w:rPr>
          <w:rFonts w:ascii="Arial" w:cs="Arial" w:eastAsia="Arial" w:hAnsi="Arial"/>
          <w:sz w:val="20"/>
          <w:szCs w:val="20"/>
          <w:color w:val="auto"/>
        </w:rPr>
        <w:t xml:space="preserve"> We look forward to a productive collaboration that leads to meaningful progress in transforming the treatment paradigm for patients with mental health disorders.”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With 52.9 million people in the U.S., or nearly one in five Americans </w:t>
      </w:r>
      <w:r>
        <w:rPr>
          <w:rFonts w:ascii="Arial" w:cs="Arial" w:eastAsia="Arial" w:hAnsi="Arial"/>
          <w:sz w:val="25"/>
          <w:szCs w:val="25"/>
          <w:color w:val="auto"/>
          <w:vertAlign w:val="superscript"/>
        </w:rPr>
        <w:t>1</w:t>
      </w:r>
      <w:r>
        <w:rPr>
          <w:rFonts w:ascii="Arial" w:cs="Arial" w:eastAsia="Arial" w:hAnsi="Arial"/>
          <w:sz w:val="20"/>
          <w:szCs w:val="20"/>
          <w:color w:val="auto"/>
        </w:rPr>
        <w:t>, living with a mental illness, there remains a significant unmet need in addressing the mental health crisis. Many patients do not experience relief with the standard of care, highlighting a need for innovation and improved therapeutic options.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“We are thrilled to partner with Cybin; together, we are aligning incentives across stakeholders to help patients in need,” said Jimmy Qian, President of Osmind. “By preparing real-world care settings for next-generation neuropsychiatric interventions, Osmind is reducing friction and promoting practice success for clinicians, increasing access for patients, while supporting Cybin’s market penetration and commercial launch. Osmind and Cybin share a common mission to scale cutting-edge mental health treatments to as many patients as possible. We are delighted to support Cybin’s differentiated research, development, and commercialization efforts.”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Opportunity to Address Unmet Needs in Mental Health</w:t>
      </w:r>
    </w:p>
    <w:p>
      <w:pPr>
        <w:spacing w:after="0" w:line="273" w:lineRule="exact"/>
        <w:rPr>
          <w:sz w:val="20"/>
          <w:szCs w:val="20"/>
          <w:color w:val="auto"/>
        </w:rPr>
      </w:pPr>
    </w:p>
    <w:p>
      <w:pPr>
        <w:jc w:val="both"/>
        <w:ind w:left="660" w:right="20" w:hanging="328"/>
        <w:spacing w:after="0" w:line="242" w:lineRule="auto"/>
        <w:tabs>
          <w:tab w:leader="none" w:pos="671"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Globally, it is estimated that over 300 million people suffer from major depressive disorder (MDD)</w:t>
      </w:r>
      <w:r>
        <w:rPr>
          <w:rFonts w:ascii="Arial" w:cs="Arial" w:eastAsia="Arial" w:hAnsi="Arial"/>
          <w:sz w:val="25"/>
          <w:szCs w:val="25"/>
          <w:color w:val="auto"/>
          <w:vertAlign w:val="superscript"/>
        </w:rPr>
        <w:t>2</w:t>
      </w:r>
      <w:r>
        <w:rPr>
          <w:rFonts w:ascii="Arial" w:cs="Arial" w:eastAsia="Arial" w:hAnsi="Arial"/>
          <w:sz w:val="20"/>
          <w:szCs w:val="20"/>
          <w:color w:val="auto"/>
        </w:rPr>
        <w:t>. The global market size for major depressive disorder was estimated at $5.15 billion in 2024 and is projected to rise to $11.09 billion by 2033.</w:t>
      </w:r>
      <w:r>
        <w:rPr>
          <w:rFonts w:ascii="Arial" w:cs="Arial" w:eastAsia="Arial" w:hAnsi="Arial"/>
          <w:sz w:val="25"/>
          <w:szCs w:val="25"/>
          <w:color w:val="auto"/>
          <w:vertAlign w:val="superscript"/>
        </w:rPr>
        <w:t>3</w:t>
      </w:r>
    </w:p>
    <w:p>
      <w:pPr>
        <w:spacing w:after="0" w:line="1" w:lineRule="exact"/>
        <w:rPr>
          <w:rFonts w:ascii="Times New Roman" w:cs="Times New Roman" w:eastAsia="Times New Roman" w:hAnsi="Times New Roman"/>
          <w:sz w:val="20"/>
          <w:szCs w:val="20"/>
          <w:color w:val="auto"/>
        </w:rPr>
      </w:pPr>
    </w:p>
    <w:p>
      <w:pPr>
        <w:ind w:left="660" w:hanging="328"/>
        <w:spacing w:after="0" w:line="219" w:lineRule="auto"/>
        <w:tabs>
          <w:tab w:leader="none" w:pos="685"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An estimated 21 million Americans experienced at least one major depressive episode in 2021.</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About two-thirds of patients with MDD do not experience relief with initial antidepressant treatment.</w:t>
      </w:r>
      <w:r>
        <w:rPr>
          <w:rFonts w:ascii="Arial" w:cs="Arial" w:eastAsia="Arial" w:hAnsi="Arial"/>
          <w:sz w:val="25"/>
          <w:szCs w:val="25"/>
          <w:color w:val="auto"/>
          <w:vertAlign w:val="superscript"/>
        </w:rPr>
        <w:t>5</w:t>
      </w:r>
    </w:p>
    <w:p>
      <w:pPr>
        <w:spacing w:after="0" w:line="1" w:lineRule="exact"/>
        <w:rPr>
          <w:rFonts w:ascii="Times New Roman" w:cs="Times New Roman" w:eastAsia="Times New Roman" w:hAnsi="Times New Roman"/>
          <w:sz w:val="20"/>
          <w:szCs w:val="20"/>
          <w:color w:val="auto"/>
        </w:rPr>
      </w:pPr>
    </w:p>
    <w:p>
      <w:pPr>
        <w:jc w:val="both"/>
        <w:ind w:left="660" w:hanging="328"/>
        <w:spacing w:after="0" w:line="259" w:lineRule="auto"/>
        <w:tabs>
          <w:tab w:leader="none" w:pos="65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It is estimated that 6.8 million people in the U.S. suffer from generalized anxiety disorder (“GAD”).</w:t>
      </w:r>
      <w:r>
        <w:rPr>
          <w:rFonts w:ascii="Arial" w:cs="Arial" w:eastAsia="Arial" w:hAnsi="Arial"/>
          <w:sz w:val="25"/>
          <w:szCs w:val="25"/>
          <w:color w:val="auto"/>
          <w:vertAlign w:val="superscript"/>
        </w:rPr>
        <w:t>6</w:t>
      </w:r>
      <w:r>
        <w:rPr>
          <w:rFonts w:ascii="Arial" w:cs="Arial" w:eastAsia="Arial" w:hAnsi="Arial"/>
          <w:sz w:val="20"/>
          <w:szCs w:val="20"/>
          <w:color w:val="auto"/>
        </w:rPr>
        <w:t xml:space="preserve"> Approximately 50% of patients with GAD are unresponsive to first line treatment with selective serotonin reuptake inhibitors (“SSRIs”) and serotonin-norepinephrine reuptake inhibitors (“SNRIs”).</w:t>
      </w:r>
      <w:r>
        <w:rPr>
          <w:rFonts w:ascii="Arial" w:cs="Arial" w:eastAsia="Arial" w:hAnsi="Arial"/>
          <w:sz w:val="25"/>
          <w:szCs w:val="25"/>
          <w:color w:val="auto"/>
          <w:vertAlign w:val="superscript"/>
        </w:rPr>
        <w:t>7</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Osmind</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Osmind is a public benefit corporation advancing psychiatry through technology, services, and real-world evidence to bring innovative mental health treatments to patients in need. Osmind’s psychiatry-tailored software and services, used by leading psychiatry practices across the U.S., help improve patient outcomes while driving practice success. Osmind's network of over 800 clinics comprises the country's largest network of interventional psychiatry practices. Simultaneously, Osmind's clinic network, point-of-care software, and real-world data support life sciences companies in developing and scaling access to cutting-edge treatments.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1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generalized anxiety disorder. The company also has a research pipeline of investigational, 5-HT-receptor focused compounds.</w:t>
      </w:r>
    </w:p>
    <w:p>
      <w:pPr>
        <w:spacing w:after="0" w:line="297"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Sources</w:t>
      </w:r>
    </w:p>
    <w:p>
      <w:pPr>
        <w:spacing w:after="0" w:line="272"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467886"/>
        </w:rPr>
        <w:t>https://www.nimh.nih.gov/health/statistics/mental-illness</w:t>
      </w:r>
    </w:p>
    <w:p>
      <w:pPr>
        <w:spacing w:after="0" w:line="40" w:lineRule="exact"/>
        <w:rPr>
          <w:rFonts w:ascii="Arial" w:cs="Arial" w:eastAsia="Arial" w:hAnsi="Arial"/>
          <w:sz w:val="20"/>
          <w:szCs w:val="20"/>
          <w:color w:val="auto"/>
        </w:rPr>
      </w:pPr>
    </w:p>
    <w:p>
      <w:pPr>
        <w:ind w:left="660" w:right="500" w:hanging="328"/>
        <w:spacing w:after="0" w:line="274"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World Health Organization. (2017). Depression and other common mental disorders: global health estimates. World Health Organization. </w:t>
      </w:r>
      <w:r>
        <w:rPr>
          <w:rFonts w:ascii="Arial" w:cs="Arial" w:eastAsia="Arial" w:hAnsi="Arial"/>
          <w:sz w:val="20"/>
          <w:szCs w:val="20"/>
          <w:u w:val="single" w:color="auto"/>
          <w:color w:val="467886"/>
        </w:rPr>
        <w:t>https://iris.who.int/handle/10665/254610</w:t>
      </w:r>
    </w:p>
    <w:p>
      <w:pPr>
        <w:spacing w:after="0" w:line="1" w:lineRule="exact"/>
        <w:rPr>
          <w:rFonts w:ascii="Arial" w:cs="Arial" w:eastAsia="Arial" w:hAnsi="Arial"/>
          <w:sz w:val="20"/>
          <w:szCs w:val="20"/>
          <w:color w:val="auto"/>
        </w:rPr>
      </w:pPr>
    </w:p>
    <w:p>
      <w:pPr>
        <w:jc w:val="both"/>
        <w:ind w:left="660" w:hanging="328"/>
        <w:spacing w:after="0" w:line="274"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Business Research Insights. (2025, March 24). Major depressive disorder market size, share, growth, and industry analysis by type (antidepressant drugs, SSRIs, SNRIs, benzodiazepines and others), by application (hospitals, clinics and others), regional insights and forecast from 2025 to 2033. Major Depressive Disorder Market Size to Hit USD 11.09 Bn by 2033. </w:t>
      </w:r>
      <w:r>
        <w:rPr>
          <w:rFonts w:ascii="Arial" w:cs="Arial" w:eastAsia="Arial" w:hAnsi="Arial"/>
          <w:sz w:val="20"/>
          <w:szCs w:val="20"/>
          <w:u w:val="single" w:color="auto"/>
          <w:color w:val="467886"/>
        </w:rPr>
        <w:t>https://www.businessresearchinsights.com/market-reports/major-depressive-disorder-market-108486</w:t>
      </w:r>
    </w:p>
    <w:p>
      <w:pPr>
        <w:spacing w:after="0" w:line="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467886"/>
        </w:rPr>
        <w:t>https://www.nimh.nih.gov/health/statistics/major-depression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Little A. (2009). Treatment-resistant depression. </w:t>
      </w:r>
      <w:r>
        <w:rPr>
          <w:rFonts w:ascii="Arial" w:cs="Arial" w:eastAsia="Arial" w:hAnsi="Arial"/>
          <w:sz w:val="20"/>
          <w:szCs w:val="20"/>
          <w:i w:val="1"/>
          <w:iCs w:val="1"/>
          <w:color w:val="auto"/>
        </w:rPr>
        <w:t>American family physician</w:t>
      </w:r>
      <w:r>
        <w:rPr>
          <w:rFonts w:ascii="Arial" w:cs="Arial" w:eastAsia="Arial" w:hAnsi="Arial"/>
          <w:sz w:val="20"/>
          <w:szCs w:val="20"/>
          <w:color w:val="auto"/>
        </w:rPr>
        <w:t>, 80(2), 167–172.</w:t>
      </w:r>
    </w:p>
    <w:p>
      <w:pPr>
        <w:spacing w:after="0" w:line="3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467886"/>
        </w:rPr>
        <w:t>https://adaa.org/understanding-anxiety/generalized-anxiety-disorder-gad</w:t>
      </w:r>
    </w:p>
    <w:p>
      <w:pPr>
        <w:spacing w:after="0" w:line="31" w:lineRule="exact"/>
        <w:rPr>
          <w:rFonts w:ascii="Arial" w:cs="Arial" w:eastAsia="Arial" w:hAnsi="Arial"/>
          <w:sz w:val="20"/>
          <w:szCs w:val="20"/>
          <w:color w:val="auto"/>
        </w:rPr>
      </w:pPr>
    </w:p>
    <w:p>
      <w:pPr>
        <w:ind w:left="660" w:hanging="328"/>
        <w:spacing w:after="0" w:line="309"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Ansara E. D. (2020). Management of treatment-resistant generalized anxiety disorder. </w:t>
      </w:r>
      <w:r>
        <w:rPr>
          <w:rFonts w:ascii="Arial" w:cs="Arial" w:eastAsia="Arial" w:hAnsi="Arial"/>
          <w:sz w:val="20"/>
          <w:szCs w:val="20"/>
          <w:i w:val="1"/>
          <w:iCs w:val="1"/>
          <w:color w:val="auto"/>
        </w:rPr>
        <w:t>The mental health clinician</w:t>
      </w:r>
      <w:r>
        <w:rPr>
          <w:rFonts w:ascii="Arial" w:cs="Arial" w:eastAsia="Arial" w:hAnsi="Arial"/>
          <w:sz w:val="20"/>
          <w:szCs w:val="20"/>
          <w:color w:val="auto"/>
        </w:rPr>
        <w:t>, 10(6), 326–334. https://doi.org/10.9740/mhc.2020.11.326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ability to successfully leverage Osmind’s clinical network, software and data to accelerate its clinical programs; commercialization of its clinical stage programs; and the Company’s plans to engineer proprietary drug discovery platforms, innovative drug delivery systems, novel formulation approaches and treatment regimens for mental health disorders.</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2024 and the Company’s annual information form for the year ended March 31, 2024, which are available under the Company's profile on SEDAR+ at </w:t>
      </w:r>
      <w:r>
        <w:rPr>
          <w:rFonts w:ascii="Arial" w:cs="Arial" w:eastAsia="Arial" w:hAnsi="Arial"/>
          <w:sz w:val="20"/>
          <w:szCs w:val="20"/>
          <w:u w:val="single" w:color="auto"/>
          <w:color w:val="467886"/>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467886"/>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28"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Investor &amp; Media Contact: </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467886"/>
        </w:rPr>
        <w:t>irteam@cybin.com</w:t>
      </w:r>
      <w:r>
        <w:rPr>
          <w:rFonts w:ascii="Arial" w:cs="Arial" w:eastAsia="Arial" w:hAnsi="Arial"/>
          <w:sz w:val="19"/>
          <w:szCs w:val="19"/>
          <w:color w:val="467886"/>
        </w:rPr>
        <w:t xml:space="preserve"> </w:t>
      </w:r>
      <w:r>
        <w:rPr>
          <w:rFonts w:ascii="Arial" w:cs="Arial" w:eastAsia="Arial" w:hAnsi="Arial"/>
          <w:sz w:val="19"/>
          <w:szCs w:val="19"/>
          <w:color w:val="000000"/>
        </w:rPr>
        <w:t>– or –</w:t>
      </w:r>
      <w:r>
        <w:rPr>
          <w:rFonts w:ascii="Arial" w:cs="Arial" w:eastAsia="Arial" w:hAnsi="Arial"/>
          <w:sz w:val="19"/>
          <w:szCs w:val="19"/>
          <w:color w:val="467886"/>
        </w:rPr>
        <w:t xml:space="preserve"> </w:t>
      </w:r>
      <w:r>
        <w:rPr>
          <w:rFonts w:ascii="Arial" w:cs="Arial" w:eastAsia="Arial" w:hAnsi="Arial"/>
          <w:sz w:val="19"/>
          <w:szCs w:val="19"/>
          <w:u w:val="single" w:color="auto"/>
          <w:color w:val="467886"/>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2025-04-21T16:35:48Z</dcterms:created>
  <dcterms:modified xsi:type="dcterms:W3CDTF">2025-04-21T16:35:48Z</dcterms:modified>
</cp:coreProperties>
</file>