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201295</wp:posOffset>
            </wp:positionH>
            <wp:positionV relativeFrom="page">
              <wp:posOffset>1028700</wp:posOffset>
            </wp:positionV>
            <wp:extent cx="480504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805045" cy="1524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____________________</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40-F</w:t>
      </w:r>
    </w:p>
    <w:p>
      <w:pPr>
        <w:spacing w:after="0" w:line="105" w:lineRule="exact"/>
        <w:rPr>
          <w:sz w:val="24"/>
          <w:szCs w:val="24"/>
          <w:color w:val="auto"/>
        </w:rPr>
      </w:pPr>
    </w:p>
    <w:p>
      <w:pPr>
        <w:ind w:left="580" w:right="5160" w:hanging="567"/>
        <w:spacing w:after="0" w:line="271" w:lineRule="auto"/>
        <w:tabs>
          <w:tab w:leader="none" w:pos="-515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pursuant to Section 12 of the Securities Exchange Act of 1934 or</w:t>
      </w:r>
    </w:p>
    <w:p>
      <w:pPr>
        <w:spacing w:after="0" w:line="1" w:lineRule="exact"/>
        <w:rPr>
          <w:sz w:val="24"/>
          <w:szCs w:val="24"/>
          <w:color w:val="auto"/>
        </w:rPr>
      </w:pPr>
    </w:p>
    <w:p>
      <w:pPr>
        <w:ind w:left="580" w:hanging="56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report pursuant to Section 13(a) or 15(d) of the Securities Exchange Act of 1934</w:t>
      </w:r>
    </w:p>
    <w:p>
      <w:pPr>
        <w:spacing w:after="0" w:line="344"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fiscal year ended</w:t>
            </w: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2"/>
          </w:tcPr>
          <w:p>
            <w:pPr>
              <w:ind w:left="122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2400" w:type="dxa"/>
            <w:vAlign w:val="bottom"/>
            <w:tcBorders>
              <w:bottom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b w:val="1"/>
                <w:bCs w:val="1"/>
                <w:color w:val="auto"/>
              </w:rPr>
              <w:t>001-40673</w:t>
            </w:r>
          </w:p>
        </w:tc>
      </w:tr>
      <w:tr>
        <w:trPr>
          <w:trHeight w:val="344"/>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80" w:type="dxa"/>
            <w:vAlign w:val="bottom"/>
            <w:gridSpan w:val="4"/>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____________________</w:t>
            </w:r>
          </w:p>
        </w:tc>
        <w:tc>
          <w:tcPr>
            <w:tcW w:w="2400" w:type="dxa"/>
            <w:vAlign w:val="bottom"/>
          </w:tcPr>
          <w:p>
            <w:pPr>
              <w:spacing w:after="0"/>
              <w:rPr>
                <w:sz w:val="24"/>
                <w:szCs w:val="24"/>
                <w:color w:val="auto"/>
              </w:rPr>
            </w:pPr>
          </w:p>
        </w:tc>
      </w:tr>
      <w:tr>
        <w:trPr>
          <w:trHeight w:val="381"/>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9"/>
                <w:szCs w:val="29"/>
                <w:b w:val="1"/>
                <w:bCs w:val="1"/>
                <w:color w:val="auto"/>
              </w:rPr>
              <w:t>Cybin Inc.</w:t>
            </w:r>
          </w:p>
        </w:tc>
        <w:tc>
          <w:tcPr>
            <w:tcW w:w="25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8"/>
        </w:trPr>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80" w:type="dxa"/>
            <w:vAlign w:val="bottom"/>
            <w:gridSpan w:val="4"/>
          </w:tcPr>
          <w:p>
            <w:pPr>
              <w:jc w:val="center"/>
              <w:ind w:right="15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2400" w:type="dxa"/>
            <w:vAlign w:val="bottom"/>
          </w:tcPr>
          <w:p>
            <w:pPr>
              <w:spacing w:after="0"/>
              <w:rPr>
                <w:sz w:val="18"/>
                <w:szCs w:val="18"/>
                <w:color w:val="auto"/>
              </w:rPr>
            </w:pPr>
          </w:p>
        </w:tc>
      </w:tr>
      <w:tr>
        <w:trPr>
          <w:trHeight w:val="311"/>
        </w:trPr>
        <w:tc>
          <w:tcPr>
            <w:tcW w:w="2660" w:type="dxa"/>
            <w:vAlign w:val="bottom"/>
          </w:tcPr>
          <w:p>
            <w:pPr>
              <w:jc w:val="center"/>
              <w:ind w:left="1051"/>
              <w:spacing w:after="0"/>
              <w:rPr>
                <w:sz w:val="20"/>
                <w:szCs w:val="20"/>
                <w:color w:val="auto"/>
              </w:rPr>
            </w:pPr>
            <w:r>
              <w:rPr>
                <w:rFonts w:ascii="Times New Roman" w:cs="Times New Roman" w:eastAsia="Times New Roman" w:hAnsi="Times New Roman"/>
                <w:sz w:val="16"/>
                <w:szCs w:val="16"/>
                <w:b w:val="1"/>
                <w:bCs w:val="1"/>
                <w:color w:val="auto"/>
                <w:w w:val="99"/>
              </w:rPr>
              <w:t>Ontario</w:t>
            </w:r>
          </w:p>
        </w:tc>
        <w:tc>
          <w:tcPr>
            <w:tcW w:w="1200" w:type="dxa"/>
            <w:vAlign w:val="bottom"/>
          </w:tcPr>
          <w:p>
            <w:pPr>
              <w:spacing w:after="0"/>
              <w:rPr>
                <w:sz w:val="24"/>
                <w:szCs w:val="24"/>
                <w:color w:val="auto"/>
              </w:rPr>
            </w:pPr>
          </w:p>
        </w:tc>
        <w:tc>
          <w:tcPr>
            <w:tcW w:w="2400" w:type="dxa"/>
            <w:vAlign w:val="bottom"/>
            <w:gridSpan w:val="3"/>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2834</w:t>
            </w:r>
          </w:p>
        </w:tc>
        <w:tc>
          <w:tcPr>
            <w:tcW w:w="2580" w:type="dxa"/>
            <w:vAlign w:val="bottom"/>
          </w:tcPr>
          <w:p>
            <w:pPr>
              <w:spacing w:after="0"/>
              <w:rPr>
                <w:sz w:val="24"/>
                <w:szCs w:val="24"/>
                <w:color w:val="auto"/>
              </w:rPr>
            </w:pPr>
          </w:p>
        </w:tc>
        <w:tc>
          <w:tcPr>
            <w:tcW w:w="2400" w:type="dxa"/>
            <w:vAlign w:val="bottom"/>
          </w:tcPr>
          <w:p>
            <w:pPr>
              <w:jc w:val="right"/>
              <w:ind w:right="1639"/>
              <w:spacing w:after="0"/>
              <w:rPr>
                <w:sz w:val="20"/>
                <w:szCs w:val="20"/>
                <w:color w:val="auto"/>
              </w:rPr>
            </w:pPr>
            <w:r>
              <w:rPr>
                <w:rFonts w:ascii="Times New Roman" w:cs="Times New Roman" w:eastAsia="Times New Roman" w:hAnsi="Times New Roman"/>
                <w:sz w:val="16"/>
                <w:szCs w:val="16"/>
                <w:b w:val="1"/>
                <w:bCs w:val="1"/>
                <w:color w:val="auto"/>
              </w:rPr>
              <w:t>N/A</w:t>
            </w:r>
          </w:p>
        </w:tc>
      </w:tr>
      <w:tr>
        <w:trPr>
          <w:trHeight w:val="79"/>
        </w:trPr>
        <w:tc>
          <w:tcPr>
            <w:tcW w:w="386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9"/>
                <w:szCs w:val="9"/>
                <w:color w:val="auto"/>
              </w:rPr>
              <w:t>(Province or other jurisdiction of incorporation or</w:t>
            </w:r>
          </w:p>
        </w:tc>
        <w:tc>
          <w:tcPr>
            <w:tcW w:w="4980" w:type="dxa"/>
            <w:vAlign w:val="bottom"/>
            <w:gridSpan w:val="4"/>
          </w:tcPr>
          <w:p>
            <w:pPr>
              <w:jc w:val="center"/>
              <w:ind w:right="1360"/>
              <w:spacing w:after="0" w:line="79" w:lineRule="exact"/>
              <w:rPr>
                <w:sz w:val="20"/>
                <w:szCs w:val="20"/>
                <w:color w:val="auto"/>
              </w:rPr>
            </w:pPr>
            <w:r>
              <w:rPr>
                <w:rFonts w:ascii="Times New Roman" w:cs="Times New Roman" w:eastAsia="Times New Roman" w:hAnsi="Times New Roman"/>
                <w:sz w:val="9"/>
                <w:szCs w:val="9"/>
                <w:color w:val="auto"/>
              </w:rPr>
              <w:t>(Primary Standard Industrial Classification</w:t>
            </w:r>
          </w:p>
        </w:tc>
        <w:tc>
          <w:tcPr>
            <w:tcW w:w="2400" w:type="dxa"/>
            <w:vAlign w:val="bottom"/>
          </w:tcPr>
          <w:p>
            <w:pPr>
              <w:spacing w:after="0"/>
              <w:rPr>
                <w:sz w:val="6"/>
                <w:szCs w:val="6"/>
                <w:color w:val="auto"/>
              </w:rPr>
            </w:pPr>
          </w:p>
        </w:tc>
      </w:tr>
    </w:tbl>
    <w:p>
      <w:pPr>
        <w:spacing w:after="0" w:line="1" w:lineRule="exact"/>
        <w:rPr>
          <w:sz w:val="24"/>
          <w:szCs w:val="24"/>
          <w:color w:val="auto"/>
        </w:rPr>
      </w:pPr>
    </w:p>
    <w:tbl>
      <w:tblPr>
        <w:tblLayout w:type="fixed"/>
        <w:tblInd w:w="1480" w:type="dxa"/>
        <w:tblCellMar>
          <w:top w:w="0" w:type="dxa"/>
          <w:left w:w="0" w:type="dxa"/>
          <w:bottom w:w="0" w:type="dxa"/>
          <w:right w:w="0" w:type="dxa"/>
        </w:tblCellMar>
      </w:tblPr>
      <w:tr>
        <w:trPr>
          <w:trHeight w:val="176"/>
        </w:trPr>
        <w:tc>
          <w:tcPr>
            <w:tcW w:w="1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organization)</w:t>
            </w:r>
          </w:p>
        </w:tc>
        <w:tc>
          <w:tcPr>
            <w:tcW w:w="7380" w:type="dxa"/>
            <w:vAlign w:val="bottom"/>
          </w:tcPr>
          <w:p>
            <w:pPr>
              <w:jc w:val="center"/>
              <w:ind w:left="5799"/>
              <w:spacing w:after="0" w:line="176"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113"/>
        </w:trPr>
        <w:tc>
          <w:tcPr>
            <w:tcW w:w="1280" w:type="dxa"/>
            <w:vAlign w:val="bottom"/>
            <w:vMerge w:val="continue"/>
          </w:tcPr>
          <w:p>
            <w:pPr>
              <w:spacing w:after="0"/>
              <w:rPr>
                <w:sz w:val="9"/>
                <w:szCs w:val="9"/>
                <w:color w:val="auto"/>
              </w:rPr>
            </w:pPr>
          </w:p>
        </w:tc>
        <w:tc>
          <w:tcPr>
            <w:tcW w:w="7380" w:type="dxa"/>
            <w:vAlign w:val="bottom"/>
            <w:vMerge w:val="restart"/>
          </w:tcPr>
          <w:p>
            <w:pPr>
              <w:jc w:val="center"/>
              <w:ind w:left="5799"/>
              <w:spacing w:after="0"/>
              <w:rPr>
                <w:sz w:val="20"/>
                <w:szCs w:val="20"/>
                <w:color w:val="auto"/>
              </w:rPr>
            </w:pPr>
            <w:r>
              <w:rPr>
                <w:rFonts w:ascii="Times New Roman" w:cs="Times New Roman" w:eastAsia="Times New Roman" w:hAnsi="Times New Roman"/>
                <w:sz w:val="16"/>
                <w:szCs w:val="16"/>
                <w:color w:val="auto"/>
              </w:rPr>
              <w:t>Identification Number)</w:t>
            </w: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7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1280" w:type="dxa"/>
            <w:vAlign w:val="bottom"/>
          </w:tcPr>
          <w:p>
            <w:pPr>
              <w:spacing w:after="0"/>
              <w:rPr>
                <w:sz w:val="22"/>
                <w:szCs w:val="22"/>
                <w:color w:val="auto"/>
              </w:rPr>
            </w:pPr>
          </w:p>
        </w:tc>
        <w:tc>
          <w:tcPr>
            <w:tcW w:w="73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Code Number)</w:t>
            </w:r>
          </w:p>
        </w:tc>
        <w:tc>
          <w:tcPr>
            <w:tcW w:w="0" w:type="dxa"/>
            <w:vAlign w:val="bottom"/>
          </w:tcPr>
          <w:p>
            <w:pPr>
              <w:spacing w:after="0"/>
              <w:rPr>
                <w:sz w:val="1"/>
                <w:szCs w:val="1"/>
                <w:color w:val="auto"/>
              </w:rPr>
            </w:pPr>
          </w:p>
        </w:tc>
      </w:tr>
      <w:tr>
        <w:trPr>
          <w:trHeight w:val="334"/>
        </w:trPr>
        <w:tc>
          <w:tcPr>
            <w:tcW w:w="1280" w:type="dxa"/>
            <w:vAlign w:val="bottom"/>
          </w:tcPr>
          <w:p>
            <w:pPr>
              <w:spacing w:after="0"/>
              <w:rPr>
                <w:sz w:val="24"/>
                <w:szCs w:val="24"/>
                <w:color w:val="auto"/>
              </w:rPr>
            </w:pPr>
          </w:p>
        </w:tc>
        <w:tc>
          <w:tcPr>
            <w:tcW w:w="738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w w:val="99"/>
              </w:rPr>
              <w:t>100 King Street West, Suite 5600</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38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Toronto, Ontario, Canada M5X 1C9</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38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w w:val="99"/>
              </w:rPr>
              <w:t>(908) 764-8385</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80" w:type="dxa"/>
            <w:vAlign w:val="bottom"/>
          </w:tcPr>
          <w:p>
            <w:pPr>
              <w:jc w:val="center"/>
              <w:ind w:right="1559"/>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tc>
        <w:tc>
          <w:tcPr>
            <w:tcW w:w="0" w:type="dxa"/>
            <w:vAlign w:val="bottom"/>
          </w:tcPr>
          <w:p>
            <w:pPr>
              <w:spacing w:after="0"/>
              <w:rPr>
                <w:sz w:val="1"/>
                <w:szCs w:val="1"/>
                <w:color w:val="auto"/>
              </w:rPr>
            </w:pPr>
          </w:p>
        </w:tc>
      </w:tr>
      <w:tr>
        <w:trPr>
          <w:trHeight w:val="279"/>
        </w:trPr>
        <w:tc>
          <w:tcPr>
            <w:tcW w:w="1280" w:type="dxa"/>
            <w:vAlign w:val="bottom"/>
          </w:tcPr>
          <w:p>
            <w:pPr>
              <w:spacing w:after="0"/>
              <w:rPr>
                <w:sz w:val="24"/>
                <w:szCs w:val="24"/>
                <w:color w:val="auto"/>
              </w:rPr>
            </w:pPr>
          </w:p>
        </w:tc>
        <w:tc>
          <w:tcPr>
            <w:tcW w:w="738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____________________</w:t>
            </w:r>
          </w:p>
        </w:tc>
        <w:tc>
          <w:tcPr>
            <w:tcW w:w="0" w:type="dxa"/>
            <w:vAlign w:val="bottom"/>
          </w:tcPr>
          <w:p>
            <w:pPr>
              <w:spacing w:after="0"/>
              <w:rPr>
                <w:sz w:val="1"/>
                <w:szCs w:val="1"/>
                <w:color w:val="auto"/>
              </w:rPr>
            </w:pPr>
          </w:p>
        </w:tc>
      </w:tr>
      <w:tr>
        <w:trPr>
          <w:trHeight w:val="261"/>
        </w:trPr>
        <w:tc>
          <w:tcPr>
            <w:tcW w:w="1280" w:type="dxa"/>
            <w:vAlign w:val="bottom"/>
          </w:tcPr>
          <w:p>
            <w:pPr>
              <w:spacing w:after="0"/>
              <w:rPr>
                <w:sz w:val="22"/>
                <w:szCs w:val="22"/>
                <w:color w:val="auto"/>
              </w:rPr>
            </w:pPr>
          </w:p>
        </w:tc>
        <w:tc>
          <w:tcPr>
            <w:tcW w:w="738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CT Corporation System</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38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1015 15th Street N.W., Suite 1000</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38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Washington, DC 20005</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38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w w:val="99"/>
              </w:rPr>
              <w:t>(202) 572-3133</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380" w:type="dxa"/>
            <w:vAlign w:val="bottom"/>
          </w:tcPr>
          <w:p>
            <w:pPr>
              <w:jc w:val="center"/>
              <w:ind w:right="1579"/>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380" w:type="dxa"/>
            <w:vAlign w:val="bottom"/>
          </w:tcPr>
          <w:p>
            <w:pPr>
              <w:jc w:val="center"/>
              <w:ind w:right="1579"/>
              <w:spacing w:after="0"/>
              <w:rPr>
                <w:sz w:val="20"/>
                <w:szCs w:val="20"/>
                <w:color w:val="auto"/>
              </w:rPr>
            </w:pPr>
            <w:r>
              <w:rPr>
                <w:rFonts w:ascii="Times New Roman" w:cs="Times New Roman" w:eastAsia="Times New Roman" w:hAnsi="Times New Roman"/>
                <w:sz w:val="16"/>
                <w:szCs w:val="16"/>
                <w:color w:val="auto"/>
              </w:rPr>
              <w:t>area code) of agent for service in the United States)</w:t>
            </w:r>
          </w:p>
        </w:tc>
        <w:tc>
          <w:tcPr>
            <w:tcW w:w="0" w:type="dxa"/>
            <w:vAlign w:val="bottom"/>
          </w:tcPr>
          <w:p>
            <w:pPr>
              <w:spacing w:after="0"/>
              <w:rPr>
                <w:sz w:val="1"/>
                <w:szCs w:val="1"/>
                <w:color w:val="auto"/>
              </w:rPr>
            </w:pPr>
          </w:p>
        </w:tc>
      </w:tr>
      <w:tr>
        <w:trPr>
          <w:trHeight w:val="267"/>
        </w:trPr>
        <w:tc>
          <w:tcPr>
            <w:tcW w:w="1280" w:type="dxa"/>
            <w:vAlign w:val="bottom"/>
          </w:tcPr>
          <w:p>
            <w:pPr>
              <w:spacing w:after="0"/>
              <w:rPr>
                <w:sz w:val="23"/>
                <w:szCs w:val="23"/>
                <w:color w:val="auto"/>
              </w:rPr>
            </w:pPr>
          </w:p>
        </w:tc>
        <w:tc>
          <w:tcPr>
            <w:tcW w:w="738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____________________</w:t>
            </w:r>
          </w:p>
        </w:tc>
        <w:tc>
          <w:tcPr>
            <w:tcW w:w="0" w:type="dxa"/>
            <w:vAlign w:val="bottom"/>
          </w:tcPr>
          <w:p>
            <w:pPr>
              <w:spacing w:after="0"/>
              <w:rPr>
                <w:sz w:val="1"/>
                <w:szCs w:val="1"/>
                <w:color w:val="auto"/>
              </w:rPr>
            </w:pPr>
          </w:p>
        </w:tc>
      </w:tr>
    </w:tbl>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2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 of each class</w:t>
            </w: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Trading Symbol(s)</w:t>
            </w:r>
          </w:p>
        </w:tc>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1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Common Shares, no par value</w:t>
            </w: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CYBN</w:t>
            </w:r>
          </w:p>
        </w:tc>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NYSE American LLC</w:t>
            </w:r>
          </w:p>
        </w:tc>
      </w:tr>
    </w:tbl>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859155</wp:posOffset>
            </wp:positionV>
            <wp:extent cx="717169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ind w:left="3" w:right="5200"/>
        <w:spacing w:after="0" w:line="379" w:lineRule="auto"/>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 None For annual reports, indicate by check mark the information filed with this Form:</w:t>
      </w:r>
    </w:p>
    <w:p>
      <w:pPr>
        <w:spacing w:after="0" w:line="1" w:lineRule="exact"/>
        <w:rPr>
          <w:sz w:val="20"/>
          <w:szCs w:val="20"/>
          <w:color w:val="auto"/>
        </w:rPr>
      </w:pPr>
    </w:p>
    <w:p>
      <w:pPr>
        <w:ind w:left="23"/>
        <w:spacing w:after="0"/>
        <w:tabs>
          <w:tab w:leader="none" w:pos="5623" w:val="left"/>
        </w:tabs>
        <w:rPr>
          <w:sz w:val="20"/>
          <w:szCs w:val="20"/>
          <w:color w:val="auto"/>
        </w:rPr>
      </w:pPr>
      <w:r>
        <w:rPr>
          <w:rFonts w:ascii="Times New Roman" w:cs="Times New Roman" w:eastAsia="Times New Roman" w:hAnsi="Times New Roman"/>
          <w:sz w:val="16"/>
          <w:szCs w:val="16"/>
          <w:color w:val="auto"/>
        </w:rPr>
        <w:t>[X] Annual information form</w:t>
      </w:r>
      <w:r>
        <w:rPr>
          <w:sz w:val="20"/>
          <w:szCs w:val="20"/>
          <w:color w:val="auto"/>
        </w:rPr>
        <w:tab/>
      </w:r>
      <w:r>
        <w:rPr>
          <w:rFonts w:ascii="Times New Roman" w:cs="Times New Roman" w:eastAsia="Times New Roman" w:hAnsi="Times New Roman"/>
          <w:sz w:val="16"/>
          <w:szCs w:val="16"/>
          <w:color w:val="auto"/>
        </w:rPr>
        <w:t>[X] Audited annual financial statements</w:t>
      </w:r>
    </w:p>
    <w:p>
      <w:pPr>
        <w:spacing w:after="0" w:line="168"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As at March 31, 2024, the Cybin Inc. had 760,053,342 common shares outstanding.</w:t>
      </w:r>
    </w:p>
    <w:p>
      <w:pPr>
        <w:spacing w:after="0" w:line="33"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 X ] Yes [ ] No</w:t>
      </w:r>
    </w:p>
    <w:p>
      <w:pPr>
        <w:spacing w:after="0" w:line="33"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12b-2 of the Exchange Act.</w:t>
      </w:r>
    </w:p>
    <w:p>
      <w:pPr>
        <w:spacing w:after="0" w:line="95" w:lineRule="exact"/>
        <w:rPr>
          <w:sz w:val="20"/>
          <w:szCs w:val="20"/>
          <w:color w:val="auto"/>
        </w:rPr>
      </w:pPr>
    </w:p>
    <w:p>
      <w:pPr>
        <w:ind w:left="9223"/>
        <w:spacing w:after="0"/>
        <w:rPr>
          <w:sz w:val="20"/>
          <w:szCs w:val="20"/>
          <w:color w:val="auto"/>
        </w:rPr>
      </w:pPr>
      <w:r>
        <w:rPr>
          <w:rFonts w:ascii="Times New Roman" w:cs="Times New Roman" w:eastAsia="Times New Roman" w:hAnsi="Times New Roman"/>
          <w:sz w:val="16"/>
          <w:szCs w:val="16"/>
          <w:color w:val="auto"/>
        </w:rPr>
        <w:t>Emerging growth company [X]</w:t>
      </w:r>
    </w:p>
    <w:p>
      <w:pPr>
        <w:spacing w:after="0" w:line="95"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spacing w:after="0" w:line="21" w:lineRule="exact"/>
        <w:rPr>
          <w:sz w:val="20"/>
          <w:szCs w:val="20"/>
          <w:color w:val="auto"/>
        </w:rPr>
      </w:pPr>
    </w:p>
    <w:p>
      <w:pPr>
        <w:ind w:left="3" w:right="20" w:hanging="3"/>
        <w:spacing w:after="0" w:line="287" w:lineRule="auto"/>
        <w:tabs>
          <w:tab w:leader="none" w:pos="12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33"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pacing w:after="0" w:line="33"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spacing w:after="0" w:line="21"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§240.10D-(b).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958215</wp:posOffset>
            </wp:positionV>
            <wp:extent cx="717169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3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Cybin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 is a Canadian issuer that is permitted, under the multijurisdictional disclosure system adopted in the United States, to prepare this Annual Report on Form 40-F (this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 pursuant to Section 13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in accordance with Canadian disclosure requirements, which are different from those of the United States. The Company is a “foreign private issuer” as defined in Rule 3b-4 under the Exchange Act and Rule 405 under the Securities Act of 1933, as amended. Equity securities of the Company are accordingly exempt from Sections 14(a), 14(b), 14(c), 14(f) and 16 of the Exchange Act pursuant to Rule 3a12-3 thereunder.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Annual Report, including the documents incorporated by reference herein, may contain “forward-looking information” or “forward-looking statements” within the meaning of applicable securities laws (collectively referred to herein as “</w:t>
      </w:r>
      <w:r>
        <w:rPr>
          <w:rFonts w:ascii="Times New Roman" w:cs="Times New Roman" w:eastAsia="Times New Roman" w:hAnsi="Times New Roman"/>
          <w:sz w:val="16"/>
          <w:szCs w:val="16"/>
          <w:b w:val="1"/>
          <w:bCs w:val="1"/>
          <w:color w:val="auto"/>
        </w:rPr>
        <w:t>forward-looking statements</w:t>
      </w:r>
      <w:r>
        <w:rPr>
          <w:rFonts w:ascii="Times New Roman" w:cs="Times New Roman" w:eastAsia="Times New Roman" w:hAnsi="Times New Roman"/>
          <w:sz w:val="16"/>
          <w:szCs w:val="16"/>
          <w:color w:val="auto"/>
        </w:rPr>
        <w:t xml:space="preserve">”). All statements other than statements of historical fact, including, without limitation, those regarding the future financial position and results of operations, strategy, plans, objectives, goals, targets and future developments of the Registrant in the markets where the Registrant participates or is seeking to participate, and any statements preceded by, followed by or that include the words “considers”, “plans”, “expects” or “does not expect”, “is expected”, “budget”, “scheduled”, “estimates”, “forecasts”, “intends”, “anticipates” or “does not anticipate”, or “believes”, or variations of such words and phrases or statements that certain actions, events or results “may”, “could”, “would”, “might” or “will be taken”, “occur” or “be achieved” or the negative of these terms or comparable terminology, are forward-looking statements. These statements reflect management’s beliefs with respect to future events and are based on information available to management as of the respective dates of this Annual Report and the document incorporated by reference herein, including reasonable assumptions, estimates, internal and external analysis and opinions of management considering its experience, perception of trends, current conditions and expected developments as well as other factors that management believed to be relevant as at the date such statements were made. These statements involve known and unknown risks, uncertainties, and other factors that may cause actual results or events to differ materially from those anticipated or implied in such forward-looking statements, including, without limitation, those described in the Registrant’s Annual Information Form for the year ended March 31, 2024, attached hereto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w:t>
      </w:r>
    </w:p>
    <w:p>
      <w:pPr>
        <w:spacing w:after="0" w:line="5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Registrant and management caution readers not to place undue reliance on any forward-looking statements, which speak only as of the date made. Although the Registrant believes that the expectations reflected in the forward-looking statements were reasonable as of the time such forward-looking statements were made, it can give no assurance that such expectations will prove to have been correct. The Registrant and management assume no obligation to update or revise them to reflect new events or circumstances except as required by applicable securities laws.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DIFFERENCES IN UNITED STATES AND CANADIAN REPORTING PRACTICES</w:t>
      </w:r>
    </w:p>
    <w:p>
      <w:pPr>
        <w:spacing w:after="0" w:line="9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Registrant is permitted, under a multijurisdictional disclosure system adopted by the United States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xml:space="preserve">”), to prepare this report in accordance with Canadian disclosure requirements, which are different from those of the United States. The Registrant prepares its consolidated financial statements, which are filed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Annual Report, in accordance with International Financial Reporting Standards as issued by the International Accounting Standards Board and the audit is subject to Canadian auditing and auditor independence standards.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p>
      <w:pPr>
        <w:spacing w:after="0" w:line="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Unless otherwise indicated, all dollar amounts in this Annual Report are in Canadian dollars. The exchange rate of United States dollars into Canadian dollars, on March 28, 2024, based upon the daily exchange rate as quoted by the Bank of Canada was USD$1.00 = CAD$1.3550.</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PRINCIPAL DOCUMENTS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documents have been filed as part of this Annual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929640</wp:posOffset>
            </wp:positionV>
            <wp:extent cx="717169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70" w:right="319" w:bottom="1440" w:gutter="0" w:footer="0" w:header="0"/>
        </w:sectPr>
      </w:pPr>
    </w:p>
    <w:bookmarkStart w:id="3" w:name="page4"/>
    <w:bookmarkEnd w:id="3"/>
    <w:p>
      <w:pPr>
        <w:ind w:right="340"/>
        <w:spacing w:after="0" w:line="289" w:lineRule="auto"/>
        <w:rPr>
          <w:sz w:val="20"/>
          <w:szCs w:val="20"/>
          <w:color w:val="auto"/>
        </w:rPr>
      </w:pPr>
      <w:r>
        <w:rPr>
          <w:rFonts w:ascii="Times New Roman" w:cs="Times New Roman" w:eastAsia="Times New Roman" w:hAnsi="Times New Roman"/>
          <w:sz w:val="16"/>
          <w:szCs w:val="16"/>
          <w:color w:val="auto"/>
        </w:rPr>
        <w:t>The Registrant’s Annual Information Form for the fiscal year ended March 31, 2024 (the “</w:t>
      </w:r>
      <w:r>
        <w:rPr>
          <w:rFonts w:ascii="Times New Roman" w:cs="Times New Roman" w:eastAsia="Times New Roman" w:hAnsi="Times New Roman"/>
          <w:sz w:val="16"/>
          <w:szCs w:val="16"/>
          <w:b w:val="1"/>
          <w:bCs w:val="1"/>
          <w:color w:val="auto"/>
        </w:rPr>
        <w:t>AIF</w:t>
      </w:r>
      <w:r>
        <w:rPr>
          <w:rFonts w:ascii="Times New Roman" w:cs="Times New Roman" w:eastAsia="Times New Roman" w:hAnsi="Times New Roman"/>
          <w:sz w:val="16"/>
          <w:szCs w:val="16"/>
          <w:color w:val="auto"/>
        </w:rPr>
        <w:t xml:space="preserve">”) is attached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Annual Report and is incorporated by reference herein.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Audited Annual Financial Statements</w:t>
      </w:r>
    </w:p>
    <w:p>
      <w:pPr>
        <w:spacing w:after="0" w:line="20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The Registrant’s consolidated audited annual financial statements for the fiscal year ended March 31, 2024, including the reports of the independent registered public accounting firm with respect thereto are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Annual Report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-144780</wp:posOffset>
            </wp:positionV>
            <wp:extent cx="2625725" cy="11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5725" cy="11557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Management’s Discussion and Analysis</w:t>
      </w:r>
    </w:p>
    <w:p>
      <w:pPr>
        <w:spacing w:after="0" w:line="20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Registrant’s management’s discussion and analysis of financial condition and operating performance for the fiscal year ended March 31, 2024 (the “</w:t>
      </w:r>
      <w:r>
        <w:rPr>
          <w:rFonts w:ascii="Times New Roman" w:cs="Times New Roman" w:eastAsia="Times New Roman" w:hAnsi="Times New Roman"/>
          <w:sz w:val="16"/>
          <w:szCs w:val="16"/>
          <w:b w:val="1"/>
          <w:bCs w:val="1"/>
          <w:color w:val="auto"/>
        </w:rPr>
        <w:t>MD&amp;A</w:t>
      </w:r>
      <w:r>
        <w:rPr>
          <w:rFonts w:ascii="Times New Roman" w:cs="Times New Roman" w:eastAsia="Times New Roman" w:hAnsi="Times New Roman"/>
          <w:sz w:val="16"/>
          <w:szCs w:val="16"/>
          <w:color w:val="auto"/>
        </w:rPr>
        <w:t xml:space="preserve">”) is attached as </w:t>
      </w:r>
      <w:r>
        <w:rPr>
          <w:rFonts w:ascii="Times New Roman" w:cs="Times New Roman" w:eastAsia="Times New Roman" w:hAnsi="Times New Roman"/>
          <w:sz w:val="16"/>
          <w:szCs w:val="16"/>
          <w:u w:val="single" w:color="auto"/>
          <w:color w:val="auto"/>
        </w:rPr>
        <w:t>Exhibit 99.3</w:t>
      </w:r>
      <w:r>
        <w:rPr>
          <w:rFonts w:ascii="Times New Roman" w:cs="Times New Roman" w:eastAsia="Times New Roman" w:hAnsi="Times New Roman"/>
          <w:sz w:val="16"/>
          <w:szCs w:val="16"/>
          <w:color w:val="auto"/>
        </w:rPr>
        <w:t xml:space="preserve"> to this Annual Report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-146050</wp:posOffset>
            </wp:positionV>
            <wp:extent cx="2571750" cy="115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1557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 MATTERS</w:t>
      </w:r>
    </w:p>
    <w:p>
      <w:pPr>
        <w:spacing w:after="0" w:line="9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Purchasing, holding, or disposing of the Company’s securities may have tax consequences under the laws of the United States and Canada that are not described in this Annual Report.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the end of the period covered by this Annual Report, the Company carried out an evaluation, under the supervision of the Company's Chief Executive Officer (the “</w:t>
      </w:r>
      <w:r>
        <w:rPr>
          <w:rFonts w:ascii="Times New Roman" w:cs="Times New Roman" w:eastAsia="Times New Roman" w:hAnsi="Times New Roman"/>
          <w:sz w:val="16"/>
          <w:szCs w:val="16"/>
          <w:b w:val="1"/>
          <w:bCs w:val="1"/>
          <w:color w:val="auto"/>
        </w:rPr>
        <w:t>CEO</w:t>
      </w:r>
      <w:r>
        <w:rPr>
          <w:rFonts w:ascii="Times New Roman" w:cs="Times New Roman" w:eastAsia="Times New Roman" w:hAnsi="Times New Roman"/>
          <w:sz w:val="16"/>
          <w:szCs w:val="16"/>
          <w:color w:val="auto"/>
        </w:rPr>
        <w:t>”) and Chief Financial Officer (the “</w:t>
      </w:r>
      <w:r>
        <w:rPr>
          <w:rFonts w:ascii="Times New Roman" w:cs="Times New Roman" w:eastAsia="Times New Roman" w:hAnsi="Times New Roman"/>
          <w:sz w:val="16"/>
          <w:szCs w:val="16"/>
          <w:b w:val="1"/>
          <w:bCs w:val="1"/>
          <w:color w:val="auto"/>
        </w:rPr>
        <w:t>CFO</w:t>
      </w:r>
      <w:r>
        <w:rPr>
          <w:rFonts w:ascii="Times New Roman" w:cs="Times New Roman" w:eastAsia="Times New Roman" w:hAnsi="Times New Roman"/>
          <w:sz w:val="16"/>
          <w:szCs w:val="16"/>
          <w:color w:val="auto"/>
        </w:rPr>
        <w:t>”), of the effectiveness of the Company’s disclosure controls and procedures (as defined in Rules 13a-15(e) and 15d-15(e) of the Exchange Act). Based upon that evaluation, the Company’s CEO and CFO have concluded that, as of the end of the period covered by this Annual Report, the Company’s disclosure controls and procedures are effective to ensure that information required to be disclosed by the Company in reports that it files or submits under the Exchange Act is (i) recorded, processed, summarized and reported within the time periods specified in SEC rules and forms, and (ii) accumulated and communicated to the Company’s management, including its principal executive officer and principal financial officer, to allow timely decisions regarding required disclosure.</w:t>
      </w:r>
    </w:p>
    <w:p>
      <w:pPr>
        <w:spacing w:after="0" w:line="16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While the Company’s principal executive officer and principal financial officer believe that the Company’s disclosure controls and procedures provide a reasonable level of assurance that they are effective, they do not expect that the Company’s disclosure controls and procedures or internal control over financial reporting will prevent all errors or fraud. A control system, no matter how well conceived or operated, can provide only reasonable, not absolute, assurance that the objectives of the control system are met.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ANNUAL REPORT 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Management, including the CEO and CFO, is responsible for establishing and maintaining adequate internal control over financial reporting, as defined in Rule 13a-15(f) under the Exchange Act. The Company’s management has employed a framework consistent with Exchange Act Rule 13a-15(c), to evaluate the Company’s internal control over financial reporting described below.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5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 company’s internal control over financial reporting includes those policies and procedures that (i) pertain to the maintenance of records that, in reasonable detail, that accurately and fairly reflect the transactions and dispositions of the assets of the company; (ii) provide reasonable assurance that transactions are recorded as necessary to permit preparation of financial statements in accordance with applicable IFRS, and that receipts and expenditures of the company are only being made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It should be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833120</wp:posOffset>
            </wp:positionV>
            <wp:extent cx="717169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6"/>
          <w:szCs w:val="16"/>
          <w:color w:val="auto"/>
        </w:rPr>
        <w:t>that a control system, no matter how well designed or operated, can provide only reasonable assurance,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Also, projections of any evaluation of effectiveness to future periods are subject to the risk that any design will not succeed in achieving its stated goals under all potential future conditions. Accordingly, because of the inherent limitations in a cost effective control system, misstatements due to error or fraud may occur and not be detected.</w:t>
      </w:r>
    </w:p>
    <w:p>
      <w:pPr>
        <w:spacing w:after="0" w:line="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Company’s management, including the CEO and CFO, is responsible for establishing and maintaining adequate internal control over financial reporting, and used the framework issued by the Committee of Sponsoring Organizations of the Treadway Commission (2013)(COSO) to evaluate the effectiveness of our controls. Based on this evaluation, management concluded that the Company’s internal controls over financial reporting were effective as of March 31, 2024.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an "emerging growth company" under the Jumpstart our Business Startups Act, the Company is exempt from Section 404(b) of the Sarbanes-Oxley Act of 2002, which requires that a public company's registered public accounting firm provide an attestation report relating to management' assessment of internal control over financial reporting.</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31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There has been no change in the Registrant’s internal control over financial reporting during the fiscal year ended March 31, 2024, that has materially affected, or is reasonably likely to materially affect, the Registrant’s internal control over financial reporting.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NOTICES PURSUANT TO REGULATION BTR</w:t>
      </w:r>
    </w:p>
    <w:p>
      <w:pPr>
        <w:spacing w:after="0" w:line="9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There were no notices required by Rule 104 of Regulation BTR that the Company sent during the year ended March 31, 2024 concerning any equity security subject to a blackout period under Rule 101 of Regulation BTR.</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95" w:lineRule="exact"/>
        <w:rPr>
          <w:sz w:val="20"/>
          <w:szCs w:val="20"/>
          <w:color w:val="auto"/>
        </w:rPr>
      </w:pPr>
    </w:p>
    <w:p>
      <w:pPr>
        <w:jc w:val="both"/>
        <w:ind w:right="20" w:hanging="7"/>
        <w:spacing w:after="0" w:line="265" w:lineRule="auto"/>
        <w:rPr>
          <w:sz w:val="20"/>
          <w:szCs w:val="20"/>
          <w:color w:val="auto"/>
        </w:rPr>
      </w:pPr>
      <w:r>
        <w:rPr>
          <w:rFonts w:ascii="Times New Roman" w:cs="Times New Roman" w:eastAsia="Times New Roman" w:hAnsi="Times New Roman"/>
          <w:sz w:val="16"/>
          <w:szCs w:val="16"/>
          <w:color w:val="auto"/>
        </w:rPr>
        <w:t>The Company's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xml:space="preserve">”) is responsible for the Company’s corporate governance and has the following independent designated standing committees: the Compensation Committee, the Governance and Nomination Committee and Audit Committee. The charters of each committee can be viewed on the Company's corporate website at https://ir.cybin.com/investors/governance/governance-documents/. In addition, the Company's Audit Committee Charter is attached as Exhibit "A" to the AIF, which is filed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Annual Report.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Board has established an independent Audit Committee for the purpose of overseeing our accounting and financial reporting processes and the audit of our annual financial statements. The Audit Committee is composed entirely of independent directors who meet the independence and experience requirements of the NYSE American LLC (the “</w:t>
      </w:r>
      <w:r>
        <w:rPr>
          <w:rFonts w:ascii="Times New Roman" w:cs="Times New Roman" w:eastAsia="Times New Roman" w:hAnsi="Times New Roman"/>
          <w:sz w:val="16"/>
          <w:szCs w:val="16"/>
          <w:b w:val="1"/>
          <w:bCs w:val="1"/>
          <w:color w:val="auto"/>
        </w:rPr>
        <w:t>NYSE American</w:t>
      </w:r>
      <w:r>
        <w:rPr>
          <w:rFonts w:ascii="Times New Roman" w:cs="Times New Roman" w:eastAsia="Times New Roman" w:hAnsi="Times New Roman"/>
          <w:sz w:val="16"/>
          <w:szCs w:val="16"/>
          <w:color w:val="auto"/>
        </w:rPr>
        <w:t>”), the Toronto Stock Exchange, SEC rules and National Instrument 52-110 adopted by Canadian securities regulators,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is composed of Mark Lawson (Chair), Eric Hoskins, Theresa Firestone and Grant Froese.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1066800</wp:posOffset>
            </wp:positionV>
            <wp:extent cx="71716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72" w:right="319" w:bottom="1440" w:gutter="0" w:footer="0" w:header="0"/>
        </w:sectPr>
      </w:pPr>
    </w:p>
    <w:bookmarkStart w:id="5" w:name="page6"/>
    <w:bookmarkEnd w:id="5"/>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 Committee Financial Experts</w:t>
      </w:r>
    </w:p>
    <w:p>
      <w:pPr>
        <w:spacing w:after="0" w:line="23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 Board has determined that each member of the audit committee qualifies as a financial expert (as defined in Item 407(d)(5)(ii) of Regulation S-K under the Exchange Act) and that all members are independent (as determined under Exchange Act Rule 10A-3 and Section 803.A(2) of the NYSE American Company Guide).</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22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The Company has adopted a code of ethics (the “</w:t>
      </w:r>
      <w:r>
        <w:rPr>
          <w:rFonts w:ascii="Times New Roman" w:cs="Times New Roman" w:eastAsia="Times New Roman" w:hAnsi="Times New Roman"/>
          <w:sz w:val="16"/>
          <w:szCs w:val="16"/>
          <w:b w:val="1"/>
          <w:bCs w:val="1"/>
          <w:color w:val="auto"/>
        </w:rPr>
        <w:t>Code of Business Conduct</w:t>
      </w:r>
      <w:r>
        <w:rPr>
          <w:rFonts w:ascii="Times New Roman" w:cs="Times New Roman" w:eastAsia="Times New Roman" w:hAnsi="Times New Roman"/>
          <w:sz w:val="16"/>
          <w:szCs w:val="16"/>
          <w:color w:val="auto"/>
        </w:rPr>
        <w:t>”) that applies to all employees and officers, and directors. The Code of Business Conduct is available on the Company's corporate website at https://ir.cybin.com/investors/governance/governance-documents</w:t>
      </w:r>
      <w:r>
        <w:rPr>
          <w:rFonts w:ascii="Times New Roman" w:cs="Times New Roman" w:eastAsia="Times New Roman" w:hAnsi="Times New Roman"/>
          <w:sz w:val="16"/>
          <w:szCs w:val="16"/>
          <w:u w:val="single" w:color="auto"/>
          <w:color w:val="0563C1"/>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[Any amendments to the Code of Business Conduct will</w:t>
      </w:r>
      <w:r>
        <w:rPr>
          <w:rFonts w:ascii="Times New Roman" w:cs="Times New Roman" w:eastAsia="Times New Roman" w:hAnsi="Times New Roman"/>
          <w:sz w:val="16"/>
          <w:szCs w:val="16"/>
          <w:color w:val="auto"/>
        </w:rPr>
        <w:t xml:space="preserve"> be posted at the Company’s Internet website at the address listed above.][</w:t>
      </w: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Cybin to advise whether any amendments were made to the Code or whether Cybin granted a waiver from a provision of the Code to the company’s CEO, CFO, Chief Financial Officer or any other person performing a similar role during the 2024 fiscal year.]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ACCOUNTANT FEES AND SERVICES</w:t>
      </w:r>
    </w:p>
    <w:p>
      <w:pPr>
        <w:spacing w:after="0" w:line="226"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Tabular disclosure of the amounts billed to us by our independent auditors for each of our last two fiscal years ended March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as Audit Fees, Audit-Related Fees, Tax Fees and All Other Fees, is made on page 124 of the AIF, filed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Annual Report and is incorporated by reference herein.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 PROVIDED BY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Charter sets out responsibilities regarding the provision of non-audit services by the Registrant’s external auditors and requires the Audit Committee to</w:t>
      </w:r>
    </w:p>
    <w:p>
      <w:pPr>
        <w:spacing w:after="0" w:line="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pre-approve all permitted non-audit services to be provided by the Registrant’s external auditors, in accordance with applicable law. The Company’s Audit Committee Charter is attached as Exhibit "A" to the AIF, which is filed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Annual Report and is incorporated by reference herein.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The Company's description of off-balance sheet arrangements is provided in the section entitled “Off-balance sheet arrangements" contained in the MD&amp;A filed as </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99.3</w:t>
      </w:r>
      <w:r>
        <w:rPr>
          <w:rFonts w:ascii="Times New Roman" w:cs="Times New Roman" w:eastAsia="Times New Roman" w:hAnsi="Times New Roman"/>
          <w:sz w:val="16"/>
          <w:szCs w:val="16"/>
          <w:color w:val="auto"/>
        </w:rPr>
        <w:t xml:space="preserve"> to this Annual Report is incorporated by reference herein.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The Company's description of contractual and other obligations is provided in the section entitled “Contractual obligations and commitments" contained in the MD&amp;A filed as </w:t>
      </w:r>
      <w:r>
        <w:rPr>
          <w:rFonts w:ascii="Times New Roman" w:cs="Times New Roman" w:eastAsia="Times New Roman" w:hAnsi="Times New Roman"/>
          <w:sz w:val="16"/>
          <w:szCs w:val="16"/>
          <w:u w:val="single" w:color="auto"/>
          <w:color w:val="auto"/>
        </w:rPr>
        <w:t>Exhibit 99.3</w:t>
      </w:r>
      <w:r>
        <w:rPr>
          <w:rFonts w:ascii="Times New Roman" w:cs="Times New Roman" w:eastAsia="Times New Roman" w:hAnsi="Times New Roman"/>
          <w:sz w:val="16"/>
          <w:szCs w:val="16"/>
          <w:color w:val="auto"/>
        </w:rPr>
        <w:t xml:space="preserve"> to this Annual Report is incorporated by reference herein.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NYSE AMERICAN CORPORATE GOVERNANCE</w:t>
      </w:r>
    </w:p>
    <w:p>
      <w:pPr>
        <w:spacing w:after="0" w:line="22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Company’s common shares are listed on the NYSE American. Section 110 of the NYSE American Company Guide (the “</w:t>
      </w:r>
      <w:r>
        <w:rPr>
          <w:rFonts w:ascii="Times New Roman" w:cs="Times New Roman" w:eastAsia="Times New Roman" w:hAnsi="Times New Roman"/>
          <w:sz w:val="16"/>
          <w:szCs w:val="16"/>
          <w:b w:val="1"/>
          <w:bCs w:val="1"/>
          <w:color w:val="auto"/>
        </w:rPr>
        <w:t>Company Guide</w:t>
      </w:r>
      <w:r>
        <w:rPr>
          <w:rFonts w:ascii="Times New Roman" w:cs="Times New Roman" w:eastAsia="Times New Roman" w:hAnsi="Times New Roman"/>
          <w:sz w:val="16"/>
          <w:szCs w:val="16"/>
          <w:color w:val="auto"/>
        </w:rPr>
        <w:t>”) permits the NYSE American to consider the laws, customs and practices of foreign issuers in permitting deviations from certain NYSE American listing criteria, and to grant exemptions from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774065</wp:posOffset>
            </wp:positionV>
            <wp:extent cx="717169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NYSE American listing criteria based on these considerations. A company seeking relief under these provisions is required to provide written certification from independent local counsel that the non-complying practice is not prohibited by home country law. A description of the significant ways in which the Company’s governance practices differ from those followed by United States domestic companies pursuant to the Company Guide is set forth below.</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Quorum for Shareholders’ Meetings</w:t>
      </w:r>
      <w:r>
        <w:rPr>
          <w:rFonts w:ascii="Times New Roman" w:cs="Times New Roman" w:eastAsia="Times New Roman" w:hAnsi="Times New Roman"/>
          <w:sz w:val="16"/>
          <w:szCs w:val="16"/>
          <w:color w:val="auto"/>
        </w:rPr>
        <w:t xml:space="preserve">. The Company Guide requires that a listed company’s bylaws provide for a quorum of not less than 33 1/3 percent of such company’s shares issued and outstanding and entitled to vote at a meeting of shareholders. The Company’s quorum requirements, as set forth in its by-laws, provide that the quorum for a shareholders’ meeting shall be two (2) individuals present in person, each of whom is either a shareholder entitled to attend and vote at such meeting or the proxyholder of such a shareholder appointed by means of a valid proxy, holding or representing by proxy not less than five percent (5%) of the total number of the issued shares of the Company for the time being enjoying voting rights at such meeting unless a greater number of shareholders and/or a greater number of shares are required by the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Corporations Act </w:t>
      </w:r>
      <w:r>
        <w:rPr>
          <w:rFonts w:ascii="Times New Roman" w:cs="Times New Roman" w:eastAsia="Times New Roman" w:hAnsi="Times New Roman"/>
          <w:sz w:val="16"/>
          <w:szCs w:val="16"/>
          <w:color w:val="auto"/>
        </w:rPr>
        <w:t>(Ontario) or by the articles or the by-laws).</w:t>
      </w:r>
    </w:p>
    <w:p>
      <w:pPr>
        <w:spacing w:after="0" w:line="191" w:lineRule="exact"/>
        <w:rPr>
          <w:sz w:val="20"/>
          <w:szCs w:val="20"/>
          <w:color w:val="auto"/>
        </w:rPr>
      </w:pPr>
    </w:p>
    <w:p>
      <w:pPr>
        <w:jc w:val="both"/>
        <w:ind w:right="20" w:hanging="7"/>
        <w:spacing w:after="0" w:line="270" w:lineRule="auto"/>
        <w:rPr>
          <w:sz w:val="20"/>
          <w:szCs w:val="20"/>
          <w:color w:val="auto"/>
        </w:rPr>
      </w:pPr>
      <w:r>
        <w:rPr>
          <w:rFonts w:ascii="Times New Roman" w:cs="Times New Roman" w:eastAsia="Times New Roman" w:hAnsi="Times New Roman"/>
          <w:sz w:val="16"/>
          <w:szCs w:val="16"/>
          <w:u w:val="single" w:color="auto"/>
          <w:color w:val="auto"/>
        </w:rPr>
        <w:t>Board Composition</w:t>
      </w:r>
      <w:r>
        <w:rPr>
          <w:rFonts w:ascii="Times New Roman" w:cs="Times New Roman" w:eastAsia="Times New Roman" w:hAnsi="Times New Roman"/>
          <w:sz w:val="16"/>
          <w:szCs w:val="16"/>
          <w:color w:val="auto"/>
        </w:rPr>
        <w:t>. The Company Guide requires that a listed company have a board of directors consisting of at least a majority of members who satisfy applicable independence standards under the Company Guide. The Company’s Board is currently composed of 6 members, 4 of whom qualify as independent under applicable independence standards under the Company Guide</w:t>
      </w:r>
    </w:p>
    <w:p>
      <w:pPr>
        <w:spacing w:after="0" w:line="2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u w:val="single" w:color="auto"/>
          <w:color w:val="auto"/>
        </w:rPr>
        <w:t>Governance and Nominating Committee.</w:t>
      </w:r>
      <w:r>
        <w:rPr>
          <w:rFonts w:ascii="Times New Roman" w:cs="Times New Roman" w:eastAsia="Times New Roman" w:hAnsi="Times New Roman"/>
          <w:sz w:val="16"/>
          <w:szCs w:val="16"/>
          <w:color w:val="auto"/>
        </w:rPr>
        <w:t xml:space="preserve"> The Company Guide requires board of director nominees to be selected or recommended by either a Nominating Committee comprised solely of independent directors or by a majority of such company’s independent directors. The Company’s Governance and Nominating Committee is currently composed of 4 members, 3 of whom qualify as independent under applicable independence standards under the Company Guide.</w:t>
      </w:r>
    </w:p>
    <w:p>
      <w:pPr>
        <w:spacing w:after="0" w:line="17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u w:val="single" w:color="auto"/>
          <w:color w:val="auto"/>
        </w:rPr>
        <w:t>Compensation Committee.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The Company Guide requires the compensation of a listed company’s chief executive officer to be determined or recommended to the board of</w:t>
      </w:r>
      <w:r>
        <w:rPr>
          <w:rFonts w:ascii="Times New Roman" w:cs="Times New Roman" w:eastAsia="Times New Roman" w:hAnsi="Times New Roman"/>
          <w:sz w:val="16"/>
          <w:szCs w:val="16"/>
          <w:color w:val="auto"/>
        </w:rPr>
        <w:t xml:space="preserve"> directors for determination, either by a Compensation Committee comprised of independent directors or by a majority of such company’s independent directors. The Company’s Compensation Committee consists of 3 directors, of which 2 are independent under applicable independence standards under the Company Guide</w:t>
      </w:r>
    </w:p>
    <w:p>
      <w:pPr>
        <w:spacing w:after="0" w:line="1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u w:val="single" w:color="auto"/>
          <w:color w:val="auto"/>
        </w:rPr>
        <w:t>Shareholder Approval Requirements.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The Company Guide requires a listed company to obtain the approval of its shareholders for certain types of securities issuances,</w:t>
      </w:r>
      <w:r>
        <w:rPr>
          <w:rFonts w:ascii="Times New Roman" w:cs="Times New Roman" w:eastAsia="Times New Roman" w:hAnsi="Times New Roman"/>
          <w:sz w:val="16"/>
          <w:szCs w:val="16"/>
          <w:color w:val="auto"/>
        </w:rPr>
        <w:t xml:space="preserve"> including private placements that may result in the issuance of common shares (or securities convertible into common shares) equal to 20 percent or more of presently outstanding shares for less than the greater of book or market value of the shares. The Company may seek a waiver from NYSE American’s shareholder approval requirements in circumstances where the securities issuance would not trigger such a requirement under Ontario law or under the rules of the Cboe Canada (the “</w:t>
      </w:r>
      <w:r>
        <w:rPr>
          <w:rFonts w:ascii="Times New Roman" w:cs="Times New Roman" w:eastAsia="Times New Roman" w:hAnsi="Times New Roman"/>
          <w:sz w:val="16"/>
          <w:szCs w:val="16"/>
          <w:b w:val="1"/>
          <w:bCs w:val="1"/>
          <w:color w:val="auto"/>
        </w:rPr>
        <w:t>Cboe</w:t>
      </w:r>
      <w:r>
        <w:rPr>
          <w:rFonts w:ascii="Times New Roman" w:cs="Times New Roman" w:eastAsia="Times New Roman" w:hAnsi="Times New Roman"/>
          <w:sz w:val="16"/>
          <w:szCs w:val="16"/>
          <w:color w:val="auto"/>
        </w:rPr>
        <w:t>”), on which the Company’s common shares are also listed.</w:t>
      </w:r>
    </w:p>
    <w:p>
      <w:pPr>
        <w:spacing w:after="0" w:line="18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u w:val="single" w:color="auto"/>
          <w:color w:val="auto"/>
        </w:rPr>
        <w:t>Proxy Delivery.</w:t>
      </w:r>
      <w:r>
        <w:rPr>
          <w:rFonts w:ascii="Times New Roman" w:cs="Times New Roman" w:eastAsia="Times New Roman" w:hAnsi="Times New Roman"/>
          <w:sz w:val="16"/>
          <w:szCs w:val="16"/>
          <w:color w:val="auto"/>
        </w:rPr>
        <w:t xml:space="preserve"> The Company Guide requires the solicitation of proxies and delivery of proxy statements for all shareholder meetings of a listed company and requires that these proxies be solicited pursuant to a proxy statement that conforms to SEC proxy rules. The Company is a “foreign private issuer” under Rule 3b-4 of the Exchange Act, and the equity securities of the Company are accordingly exempt from the proxy rules set forth in Sections 14(a), 14(b), 14(c) and 14(f) of the Exchange Act. The Company solicits proxies in accordance with applicable rules and regulations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-502920</wp:posOffset>
            </wp:positionV>
            <wp:extent cx="6499225" cy="115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9225" cy="115570"/>
                    </a:xfrm>
                    <a:prstGeom prst="rect">
                      <a:avLst/>
                    </a:prstGeom>
                    <a:noFill/>
                  </pic:spPr>
                </pic:pic>
              </a:graphicData>
            </a:graphic>
          </wp:anchor>
        </w:drawing>
      </w:r>
    </w:p>
    <w:p>
      <w:pPr>
        <w:spacing w:after="0" w:line="16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foregoing is consistent with the laws, customs and practices in Canada and the rules of the Cboe. In addition, the Company may from time-to-time seek relief from the NYSE American corporate governance requirements on specific transactions under Section 110 of the Company Guide by providing written certification from independent local counsel that the non-complying practice is not prohibited by its home country law, in which case, the Company shall make the disclosure of such transactions available on its website at www.cybin.com. Information contained on, or accessible through, our website is not part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777240</wp:posOffset>
            </wp:positionV>
            <wp:extent cx="717169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87" w:right="319" w:bottom="1440" w:gutter="0" w:footer="0" w:header="0"/>
        </w:sectPr>
      </w:pPr>
    </w:p>
    <w:bookmarkStart w:id="7" w:name="page8"/>
    <w:bookmarkEnd w:id="7"/>
    <w:p>
      <w:pPr>
        <w:spacing w:after="0" w:line="2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MINE SAFETY DISCLOSURE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29"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2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RECOVERY OF ERRONEOUSLY AWARDED COMPENSATION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805180</wp:posOffset>
            </wp:positionV>
            <wp:extent cx="717169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UNDERTAKING</w:t>
      </w:r>
    </w:p>
    <w:p>
      <w:pPr>
        <w:spacing w:after="0" w:line="8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Company undertakes to make available, in person or by telephone, representatives to respond to inquiries made by the SEC staff, and to furnish promptly, when requested to do so by the SEC staff, information relating to: the securities registered pursuant to Form 40-F; the securities in relation to which the obligation to file an annual report on Form 40-F arises; or transactions in said securities.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TO SERVICE OF PROCESS</w:t>
      </w:r>
    </w:p>
    <w:p>
      <w:pPr>
        <w:spacing w:after="0" w:line="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 Registrant previously filed with the SEC a written consent to service of process on Form F-X. Any change to the name or address of the Registrant’s agent for service shall be communicated promptly to the SEC by amendment to the Form F-X referencing the file number of the Registrant.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Pursuant to the requirements of the Exchange Act, the Registrant certifies that it meets all of the requirements for filing on Form 40-F and has duly caused this Annual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Cybin Inc.</w:t>
            </w:r>
          </w:p>
        </w:tc>
      </w:tr>
      <w:tr>
        <w:trPr>
          <w:trHeight w:val="619"/>
        </w:trPr>
        <w:tc>
          <w:tcPr>
            <w:tcW w:w="5740" w:type="dxa"/>
            <w:vAlign w:val="bottom"/>
          </w:tcPr>
          <w:p>
            <w:pPr>
              <w:ind w:left="5180"/>
              <w:spacing w:after="0"/>
              <w:rPr>
                <w:sz w:val="20"/>
                <w:szCs w:val="20"/>
                <w:color w:val="auto"/>
              </w:rPr>
            </w:pPr>
            <w:r>
              <w:rPr>
                <w:rFonts w:ascii="Times New Roman" w:cs="Times New Roman" w:eastAsia="Times New Roman" w:hAnsi="Times New Roman"/>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/s/ Greg Cavers</w:t>
            </w:r>
          </w:p>
        </w:tc>
      </w:tr>
      <w:tr>
        <w:trPr>
          <w:trHeight w:val="194"/>
        </w:trPr>
        <w:tc>
          <w:tcPr>
            <w:tcW w:w="574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 Greg Cavers</w:t>
            </w:r>
          </w:p>
        </w:tc>
      </w:tr>
      <w:tr>
        <w:trPr>
          <w:trHeight w:val="210"/>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 June 25, 2024</w:t>
            </w: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Chief Financial Officer</w:t>
            </w:r>
          </w:p>
        </w:tc>
      </w:tr>
      <w:tr>
        <w:trPr>
          <w:trHeight w:val="2285"/>
        </w:trPr>
        <w:tc>
          <w:tcPr>
            <w:tcW w:w="574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7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0" w:type="dxa"/>
            <w:vAlign w:val="bottom"/>
            <w:gridSpan w:val="9"/>
          </w:tcPr>
          <w:p>
            <w:pPr>
              <w:ind w:left="60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400"/>
        </w:trPr>
        <w:tc>
          <w:tcPr>
            <w:tcW w:w="108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The following documents are being filed with the SEC as Exhibits to this Form 40-F:</w:t>
            </w:r>
          </w:p>
        </w:tc>
        <w:tc>
          <w:tcPr>
            <w:tcW w:w="0" w:type="dxa"/>
            <w:vAlign w:val="bottom"/>
          </w:tcPr>
          <w:p>
            <w:pPr>
              <w:spacing w:after="0"/>
              <w:rPr>
                <w:sz w:val="1"/>
                <w:szCs w:val="1"/>
                <w:color w:val="auto"/>
              </w:rPr>
            </w:pPr>
          </w:p>
        </w:tc>
      </w:tr>
      <w:tr>
        <w:trPr>
          <w:trHeight w:val="413"/>
        </w:trPr>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60" w:type="dxa"/>
            <w:vAlign w:val="bottom"/>
          </w:tcPr>
          <w:p>
            <w:pPr>
              <w:spacing w:after="0"/>
              <w:rPr>
                <w:sz w:val="24"/>
                <w:szCs w:val="24"/>
                <w:color w:val="auto"/>
              </w:rPr>
            </w:pPr>
          </w:p>
        </w:tc>
        <w:tc>
          <w:tcPr>
            <w:tcW w:w="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8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97.1</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Incentive Compensation Recovery Policy</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99.1</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Annual Information Form for the fiscal year ended March 31, 2024</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99.2</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Audited Annual Consolidated Financial Statements for the fiscal years ended March 31, 2024 and March 31, 2023</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99.3</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Operating Performance for the fiscal year ended March 31, 2024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99.4</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or 15d-14 of the Securities Exchange Act of 1934, as amended</w:t>
            </w:r>
          </w:p>
        </w:tc>
        <w:tc>
          <w:tcPr>
            <w:tcW w:w="0" w:type="dxa"/>
            <w:vAlign w:val="bottom"/>
          </w:tcPr>
          <w:p>
            <w:pPr>
              <w:spacing w:after="0"/>
              <w:rPr>
                <w:sz w:val="1"/>
                <w:szCs w:val="1"/>
                <w:color w:val="auto"/>
              </w:rPr>
            </w:pPr>
          </w:p>
        </w:tc>
      </w:tr>
      <w:tr>
        <w:trPr>
          <w:trHeight w:val="259"/>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99.5</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or 15d-14 of the Securities Exchange Act of 1934, as amended</w:t>
            </w:r>
          </w:p>
        </w:tc>
        <w:tc>
          <w:tcPr>
            <w:tcW w:w="6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99.6</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Section 906 of the Sarbanes-Oxley Act of 2002</w:t>
            </w:r>
          </w:p>
        </w:tc>
        <w:tc>
          <w:tcPr>
            <w:tcW w:w="7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99.7</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6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99.8</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w w:val="99"/>
              </w:rPr>
              <w:t>Consent of Zeifmans LLP and Laurence W. Zeifman</w:t>
            </w:r>
          </w:p>
        </w:tc>
        <w:tc>
          <w:tcPr>
            <w:tcW w:w="570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60" w:type="dxa"/>
            <w:vAlign w:val="bottom"/>
          </w:tcPr>
          <w:p>
            <w:pPr>
              <w:spacing w:after="0"/>
              <w:rPr>
                <w:sz w:val="17"/>
                <w:szCs w:val="17"/>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Instance – the instance document does not appear in the Interactive Data File as its XBRL tags are embedded within the Inline XBRL</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1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color w:val="auto"/>
              </w:rPr>
              <w:t>document</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910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60" w:type="dxa"/>
            <w:vAlign w:val="bottom"/>
          </w:tcPr>
          <w:p>
            <w:pPr>
              <w:spacing w:after="0"/>
              <w:rPr>
                <w:sz w:val="17"/>
                <w:szCs w:val="17"/>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60" w:type="dxa"/>
            <w:vAlign w:val="bottom"/>
          </w:tcPr>
          <w:p>
            <w:pPr>
              <w:spacing w:after="0"/>
              <w:rPr>
                <w:sz w:val="17"/>
                <w:szCs w:val="17"/>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60" w:type="dxa"/>
            <w:vAlign w:val="bottom"/>
          </w:tcPr>
          <w:p>
            <w:pPr>
              <w:spacing w:after="0"/>
              <w:rPr>
                <w:sz w:val="17"/>
                <w:szCs w:val="17"/>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60" w:type="dxa"/>
            <w:vAlign w:val="bottom"/>
          </w:tcPr>
          <w:p>
            <w:pPr>
              <w:spacing w:after="0"/>
              <w:rPr>
                <w:sz w:val="17"/>
                <w:szCs w:val="17"/>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60" w:type="dxa"/>
            <w:vAlign w:val="bottom"/>
          </w:tcPr>
          <w:p>
            <w:pPr>
              <w:spacing w:after="0"/>
              <w:rPr>
                <w:sz w:val="17"/>
                <w:szCs w:val="17"/>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0" w:type="dxa"/>
            <w:vAlign w:val="bottom"/>
          </w:tcPr>
          <w:p>
            <w:pPr>
              <w:spacing w:after="0"/>
              <w:rPr>
                <w:sz w:val="1"/>
                <w:szCs w:val="1"/>
                <w:color w:val="auto"/>
              </w:rPr>
            </w:pPr>
          </w:p>
        </w:tc>
      </w:tr>
      <w:tr>
        <w:trPr>
          <w:trHeight w:val="210"/>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104</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ectPr>
          <w:pgSz w:w="11900" w:h="16838" w:orient="portrait"/>
          <w:cols w:equalWidth="0" w:num="1">
            <w:col w:w="10800"/>
          </w:cols>
          <w:pgMar w:left="320" w:top="1285" w:right="779" w:bottom="1440" w:gutter="0" w:footer="0" w:header="0"/>
        </w:sectPr>
      </w:pPr>
    </w:p>
    <w:bookmarkStart w:id="10" w:name="page11"/>
    <w:bookmarkEnd w:id="10"/>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3"/>
          <w:szCs w:val="23"/>
          <w:b w:val="1"/>
          <w:bCs w:val="1"/>
          <w:color w:val="auto"/>
        </w:rPr>
        <w:t>Cybin Inc.</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INCENTIVE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3"/>
          <w:szCs w:val="23"/>
          <w:b w:val="1"/>
          <w:bCs w:val="1"/>
          <w:color w:val="auto"/>
        </w:rPr>
        <w:t>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2104390</wp:posOffset>
            </wp:positionV>
            <wp:extent cx="1016635"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6635" cy="6083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16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CYBIN INC.</w:t>
      </w:r>
    </w:p>
    <w:p>
      <w:pPr>
        <w:spacing w:after="0" w:line="2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pacing w:after="0" w:line="400" w:lineRule="exact"/>
        <w:rPr>
          <w:sz w:val="20"/>
          <w:szCs w:val="20"/>
          <w:color w:val="auto"/>
        </w:rPr>
      </w:pPr>
    </w:p>
    <w:p>
      <w:pPr>
        <w:ind w:left="706" w:hanging="415"/>
        <w:spacing w:after="0"/>
        <w:tabs>
          <w:tab w:leader="none" w:pos="706"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Introduction</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left="6"/>
        <w:spacing w:after="0" w:line="262" w:lineRule="auto"/>
        <w:rPr>
          <w:sz w:val="20"/>
          <w:szCs w:val="20"/>
          <w:color w:val="auto"/>
        </w:rPr>
      </w:pPr>
      <w:r>
        <w:rPr>
          <w:rFonts w:ascii="Times New Roman" w:cs="Times New Roman" w:eastAsia="Times New Roman" w:hAnsi="Times New Roman"/>
          <w:sz w:val="19"/>
          <w:szCs w:val="19"/>
          <w:color w:val="auto"/>
        </w:rPr>
        <w:t>The Board of Directors of Cybin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believe that it is in the best interests of the Company and its shareholders to create and maintain a culture that emphasizes integrity and accountability and that reinforces the Company's compensation philosophy. The Board has therefore adopted this policy, which provides for the recovery of erroneously awarded incentive compensation if the Company is required to prepare an accounting restatement due to material non-compliance of the Company with any financial reporting requirements under applicable securities laws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This Policy is designed to comply with Section 10D of the United States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related rules and the listing standards of the NYSE American or any other securities exchange on which the Company’s shares are listed in the future.</w:t>
      </w:r>
    </w:p>
    <w:p>
      <w:pPr>
        <w:spacing w:after="0" w:line="162" w:lineRule="exact"/>
        <w:rPr>
          <w:sz w:val="20"/>
          <w:szCs w:val="20"/>
          <w:color w:val="auto"/>
        </w:rPr>
      </w:pPr>
    </w:p>
    <w:p>
      <w:pPr>
        <w:ind w:left="706" w:hanging="415"/>
        <w:spacing w:after="0"/>
        <w:tabs>
          <w:tab w:leader="none" w:pos="706"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Administration</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ind w:left="6"/>
        <w:spacing w:after="0" w:line="272" w:lineRule="auto"/>
        <w:rPr>
          <w:sz w:val="20"/>
          <w:szCs w:val="20"/>
          <w:color w:val="auto"/>
        </w:rPr>
      </w:pPr>
      <w:r>
        <w:rPr>
          <w:rFonts w:ascii="Times New Roman" w:cs="Times New Roman" w:eastAsia="Times New Roman" w:hAnsi="Times New Roman"/>
          <w:sz w:val="19"/>
          <w:szCs w:val="19"/>
          <w:color w:val="auto"/>
        </w:rPr>
        <w:t>This Policy shall be administered by the Board or, if so designated by the Board, the Governance &amp; Nomination Committee (the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in which case, all references herein to the Board shall be deemed references to the Committee. Any determinations made by the Board shall be final and binding on all affected individuals.</w:t>
      </w:r>
    </w:p>
    <w:p>
      <w:pPr>
        <w:spacing w:after="0" w:line="138" w:lineRule="exact"/>
        <w:rPr>
          <w:sz w:val="20"/>
          <w:szCs w:val="20"/>
          <w:color w:val="auto"/>
        </w:rPr>
      </w:pPr>
    </w:p>
    <w:p>
      <w:pPr>
        <w:ind w:left="726" w:hanging="436"/>
        <w:spacing w:after="0"/>
        <w:tabs>
          <w:tab w:leader="none" w:pos="726"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Covered Executives</w:t>
      </w:r>
      <w:r>
        <w:rPr>
          <w:rFonts w:ascii="Times New Roman" w:cs="Times New Roman" w:eastAsia="Times New Roman" w:hAnsi="Times New Roman"/>
          <w:sz w:val="19"/>
          <w:szCs w:val="19"/>
          <w:color w:val="auto"/>
        </w:rPr>
        <w:t>.</w:t>
      </w:r>
      <w:r>
        <w:rPr>
          <w:rFonts w:ascii="Times New Roman" w:cs="Times New Roman" w:eastAsia="Times New Roman" w:hAnsi="Times New Roman"/>
          <w:sz w:val="25"/>
          <w:szCs w:val="25"/>
          <w:color w:val="auto"/>
          <w:vertAlign w:val="superscript"/>
        </w:rPr>
        <w:t>1</w:t>
      </w:r>
    </w:p>
    <w:p>
      <w:pPr>
        <w:spacing w:after="0" w:line="149" w:lineRule="exact"/>
        <w:rPr>
          <w:sz w:val="20"/>
          <w:szCs w:val="20"/>
          <w:color w:val="auto"/>
        </w:rPr>
      </w:pPr>
    </w:p>
    <w:p>
      <w:pPr>
        <w:jc w:val="both"/>
        <w:ind w:left="6"/>
        <w:spacing w:after="0" w:line="259" w:lineRule="auto"/>
        <w:rPr>
          <w:sz w:val="20"/>
          <w:szCs w:val="20"/>
          <w:color w:val="auto"/>
        </w:rPr>
      </w:pPr>
      <w:r>
        <w:rPr>
          <w:rFonts w:ascii="Times New Roman" w:cs="Times New Roman" w:eastAsia="Times New Roman" w:hAnsi="Times New Roman"/>
          <w:sz w:val="19"/>
          <w:szCs w:val="19"/>
          <w:color w:val="auto"/>
        </w:rPr>
        <w:t>Unless and until the Board determines otherwise, for purposes of this Policy, the term “</w:t>
      </w:r>
      <w:r>
        <w:rPr>
          <w:rFonts w:ascii="Times New Roman" w:cs="Times New Roman" w:eastAsia="Times New Roman" w:hAnsi="Times New Roman"/>
          <w:sz w:val="19"/>
          <w:szCs w:val="19"/>
          <w:b w:val="1"/>
          <w:bCs w:val="1"/>
          <w:color w:val="auto"/>
        </w:rPr>
        <w:t>Covered Executive</w:t>
      </w:r>
      <w:r>
        <w:rPr>
          <w:rFonts w:ascii="Times New Roman" w:cs="Times New Roman" w:eastAsia="Times New Roman" w:hAnsi="Times New Roman"/>
          <w:sz w:val="19"/>
          <w:szCs w:val="19"/>
          <w:color w:val="auto"/>
        </w:rPr>
        <w:t xml:space="preserve">” means a current or former employee who is or was identified by the Company as the Company’s president, principal financial officer, principal compliance officer, a division head of the Company in charge of a principal business unit, division, or function (such as sales, legal, administration, or finance), any other officer who performs a policy-making function, or any other person who performs similar policy-making functions for the Company. Executive officers of the Company’s subsidiaries are deemed “Covered Executives” if they perform such policy-making functions for the Company. “Policy-making function” is not intended to include policy-making functions that are not significant. “Covered Executives” will include, at minimum, the executive officers identified by the Company pursuant to Item 401(b) of Regulation S-K of the Exchange Act. For the avoidance of doubt, “Covered Executives” will include at least the following Company officers: </w:t>
      </w:r>
      <w:r>
        <w:rPr>
          <w:rFonts w:ascii="Times New Roman" w:cs="Times New Roman" w:eastAsia="Times New Roman" w:hAnsi="Times New Roman"/>
          <w:sz w:val="19"/>
          <w:szCs w:val="19"/>
          <w:i w:val="1"/>
          <w:iCs w:val="1"/>
          <w:color w:val="auto"/>
        </w:rPr>
        <w:t>Chief Executive Officer, President, Chief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Operating Officer, Chief Financial Officer, Chief Compliance, Ethics &amp; Administrative Officer, Chief Growth Officer, Chief Scientific Officer, Chief Medical Officer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238760</wp:posOffset>
            </wp:positionV>
            <wp:extent cx="14782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8280" cy="76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6" w:hanging="86"/>
        <w:spacing w:after="0"/>
        <w:tabs>
          <w:tab w:leader="none" w:pos="86" w:val="left"/>
        </w:tabs>
        <w:numPr>
          <w:ilvl w:val="0"/>
          <w:numId w:val="7"/>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212B45"/>
        </w:rPr>
        <w:t>“Covered Executive” is based on the definition of “officer” under Rule 16a-1(f) of the Exchange Act as presented in the listings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163195</wp:posOffset>
            </wp:positionV>
            <wp:extent cx="647065" cy="384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065" cy="38481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066"/>
          </w:cols>
          <w:pgMar w:left="414" w:top="1440" w:right="419" w:bottom="1440" w:gutter="0" w:footer="0" w:header="0"/>
        </w:sectPr>
      </w:pPr>
    </w:p>
    <w:bookmarkStart w:id="12" w:name="page13"/>
    <w:bookmarkEnd w:id="12"/>
    <w:p>
      <w:pPr>
        <w:ind w:right="20"/>
        <w:spacing w:after="0" w:line="290" w:lineRule="auto"/>
        <w:rPr>
          <w:sz w:val="20"/>
          <w:szCs w:val="20"/>
          <w:color w:val="auto"/>
        </w:rPr>
      </w:pPr>
      <w:r>
        <w:rPr>
          <w:rFonts w:ascii="Times New Roman" w:cs="Times New Roman" w:eastAsia="Times New Roman" w:hAnsi="Times New Roman"/>
          <w:sz w:val="19"/>
          <w:szCs w:val="19"/>
          <w:color w:val="auto"/>
        </w:rPr>
        <w:t>This Policy covers Incentive Compensation (defined below) received by a person after beginning service as a Covered Executive and who served as a Covered Executive at any time during the performance period for that Incentive Compensation.</w:t>
      </w:r>
    </w:p>
    <w:p>
      <w:pPr>
        <w:spacing w:after="0" w:line="123" w:lineRule="exact"/>
        <w:rPr>
          <w:sz w:val="20"/>
          <w:szCs w:val="20"/>
          <w:color w:val="auto"/>
        </w:rPr>
      </w:pPr>
    </w:p>
    <w:p>
      <w:pPr>
        <w:ind w:left="700" w:hanging="415"/>
        <w:spacing w:after="0"/>
        <w:tabs>
          <w:tab w:leader="none" w:pos="7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Recovery: Accounting Restatement</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the event the Company is required to prepare an accounting restatement of its financial statements filed with the Securities and Exchange Commission (the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due to the Company’s material noncompliance with any financial reporting requirements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9"/>
          <w:szCs w:val="19"/>
          <w:b w:val="1"/>
          <w:bCs w:val="1"/>
          <w:color w:val="auto"/>
        </w:rPr>
        <w:t>Accounting Restatement</w:t>
      </w:r>
      <w:r>
        <w:rPr>
          <w:rFonts w:ascii="Times New Roman" w:cs="Times New Roman" w:eastAsia="Times New Roman" w:hAnsi="Times New Roman"/>
          <w:sz w:val="19"/>
          <w:szCs w:val="19"/>
          <w:color w:val="auto"/>
        </w:rPr>
        <w:t xml:space="preserve">”), the Company will recover reasonably promptly any excess Incentive Compensation (defined below) received by any Covered Executive during the three completed fiscal years immediately preceding the date on which the Company is required to prepare an Accounting Restatement, including transition periods resulting from a change in the Company’s fiscal year as provided in Rule 10D-1 of the Exchange Act. Incentive Compensation is deemed </w:t>
      </w:r>
      <w:r>
        <w:rPr>
          <w:rFonts w:ascii="Times New Roman" w:cs="Times New Roman" w:eastAsia="Times New Roman" w:hAnsi="Times New Roman"/>
          <w:sz w:val="19"/>
          <w:szCs w:val="19"/>
          <w:b w:val="1"/>
          <w:bCs w:val="1"/>
          <w:color w:val="auto"/>
        </w:rPr>
        <w:t>“received”</w:t>
      </w:r>
      <w:r>
        <w:rPr>
          <w:rFonts w:ascii="Times New Roman" w:cs="Times New Roman" w:eastAsia="Times New Roman" w:hAnsi="Times New Roman"/>
          <w:sz w:val="19"/>
          <w:szCs w:val="19"/>
          <w:color w:val="auto"/>
        </w:rPr>
        <w:t xml:space="preserve"> in the Company’s fiscal period during which the financial reporting measure specified in the Incentive Compensation award is attained, even if the payment or grant of the Incentive Compensation occurs after the end of that period. The determination of the time when the Company is “required” to prepare an Accounting Restatement shall be made in accordance with applicable SEC and national securities exchange rules and regulations.</w:t>
      </w:r>
    </w:p>
    <w:p>
      <w:pPr>
        <w:spacing w:after="0" w:line="159" w:lineRule="exact"/>
        <w:rPr>
          <w:sz w:val="20"/>
          <w:szCs w:val="20"/>
          <w:color w:val="auto"/>
        </w:rPr>
      </w:pPr>
    </w:p>
    <w:p>
      <w:pPr>
        <w:ind w:left="1160" w:hanging="584"/>
        <w:spacing w:after="0"/>
        <w:tabs>
          <w:tab w:leader="none" w:pos="11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Incentive Compensation</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jc w:val="both"/>
        <w:ind w:left="1160"/>
        <w:spacing w:after="0" w:line="26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Policy, “</w:t>
      </w:r>
      <w:r>
        <w:rPr>
          <w:rFonts w:ascii="Times New Roman" w:cs="Times New Roman" w:eastAsia="Times New Roman" w:hAnsi="Times New Roman"/>
          <w:sz w:val="19"/>
          <w:szCs w:val="19"/>
          <w:b w:val="1"/>
          <w:bCs w:val="1"/>
          <w:color w:val="auto"/>
        </w:rPr>
        <w:t>Incentive Compensation</w:t>
      </w:r>
      <w:r>
        <w:rPr>
          <w:rFonts w:ascii="Times New Roman" w:cs="Times New Roman" w:eastAsia="Times New Roman" w:hAnsi="Times New Roman"/>
          <w:sz w:val="19"/>
          <w:szCs w:val="19"/>
          <w:color w:val="auto"/>
        </w:rPr>
        <w:t>” means any compensation that is granted, earned, or vested based wholly or in part upon the attainment of a “financial reporting measure” (as defined in paragraph (b) below), including, for example, bonuses or awards under the Company’s short and long-term incentive plans, grants and awards under the Company’s equity incentive plans, and contributions of such bonuses or awards to the Company’s deferred compensation plans or other employee benefit plans that are not tax-qualified plans. For avoidance of doubt, Incentive Compensation that is deferred (either mandatorily or voluntarily) under the Company’s non-qualified deferred compensation plans, as well as any matching amounts and earnings thereon, are subject to this Policy. Incentive Compensation does not include awards which are granted, earned and vested without regard to attainment of financial reporting measures, such as time- vesting awards, discretionary awards and awards based wholly on subjective standards, strategic measures or operational measures.</w:t>
      </w:r>
    </w:p>
    <w:p>
      <w:pPr>
        <w:spacing w:after="0" w:line="157" w:lineRule="exact"/>
        <w:rPr>
          <w:rFonts w:ascii="Times New Roman" w:cs="Times New Roman" w:eastAsia="Times New Roman" w:hAnsi="Times New Roman"/>
          <w:sz w:val="19"/>
          <w:szCs w:val="19"/>
          <w:color w:val="auto"/>
        </w:rPr>
      </w:pPr>
    </w:p>
    <w:p>
      <w:pPr>
        <w:ind w:left="1160" w:hanging="584"/>
        <w:spacing w:after="0"/>
        <w:tabs>
          <w:tab w:leader="none" w:pos="11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Reporting Measures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jc w:val="both"/>
        <w:ind w:left="1160"/>
        <w:spacing w:after="0" w:line="27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reporting measures are those that are determined and presented in accordance with the accounting principles used in preparing the Company’s financial statements (including non-GAAP financial measures) and any measures derived wholly or in part from such financial measures.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134620</wp:posOffset>
            </wp:positionV>
            <wp:extent cx="647065" cy="38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065" cy="38481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060"/>
          </w:cols>
          <w:pgMar w:left="420" w:top="1291" w:right="419" w:bottom="1440" w:gutter="0" w:footer="0" w:header="0"/>
        </w:sectPr>
      </w:pPr>
    </w:p>
    <w:bookmarkStart w:id="13" w:name="page14"/>
    <w:bookmarkEnd w:id="13"/>
    <w:p>
      <w:pPr>
        <w:ind w:left="584"/>
        <w:spacing w:after="0"/>
        <w:rPr>
          <w:sz w:val="20"/>
          <w:szCs w:val="20"/>
          <w:color w:val="auto"/>
        </w:rPr>
      </w:pPr>
      <w:r>
        <w:rPr>
          <w:rFonts w:ascii="Times New Roman" w:cs="Times New Roman" w:eastAsia="Times New Roman" w:hAnsi="Times New Roman"/>
          <w:sz w:val="19"/>
          <w:szCs w:val="19"/>
          <w:color w:val="auto"/>
        </w:rPr>
        <w:t>doubt, financial reporting measures include stock price and total shareholder return.</w:t>
      </w:r>
    </w:p>
    <w:p>
      <w:pPr>
        <w:spacing w:after="0" w:line="85" w:lineRule="exact"/>
        <w:rPr>
          <w:sz w:val="20"/>
          <w:szCs w:val="20"/>
          <w:color w:val="auto"/>
        </w:rPr>
      </w:pPr>
    </w:p>
    <w:p>
      <w:pPr>
        <w:ind w:left="584" w:right="20"/>
        <w:spacing w:after="0" w:line="290" w:lineRule="auto"/>
        <w:rPr>
          <w:sz w:val="20"/>
          <w:szCs w:val="20"/>
          <w:color w:val="auto"/>
        </w:rPr>
      </w:pPr>
      <w:r>
        <w:rPr>
          <w:rFonts w:ascii="Times New Roman" w:cs="Times New Roman" w:eastAsia="Times New Roman" w:hAnsi="Times New Roman"/>
          <w:sz w:val="19"/>
          <w:szCs w:val="19"/>
          <w:color w:val="auto"/>
        </w:rPr>
        <w:t>A measure need not be presented within the financial statements or included in a filing with the SEC to constitute a financial reporting measure for purposes of this Policy.</w:t>
      </w:r>
    </w:p>
    <w:p>
      <w:pPr>
        <w:spacing w:after="0" w:line="127" w:lineRule="exact"/>
        <w:rPr>
          <w:sz w:val="20"/>
          <w:szCs w:val="20"/>
          <w:color w:val="auto"/>
        </w:rPr>
      </w:pPr>
    </w:p>
    <w:p>
      <w:pPr>
        <w:ind w:left="584" w:hanging="584"/>
        <w:spacing w:after="0"/>
        <w:tabs>
          <w:tab w:leader="none" w:pos="58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Excess Incentive Compensation: Amount Subject to Recovery</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jc w:val="both"/>
        <w:ind w:left="584"/>
        <w:spacing w:after="0" w:line="27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to be recovered from the Covered Executive will be the amount(s) by which the Covered Executive’s Incentive Compensation for the relevant period(s) exceeded the amount(s) that the Covered Executive otherwise would have received had such Incentive Compensation been determined based on the restated amounts contained in the Accounting Restatement. All amounts shall be computed without regard to taxes paid.</w:t>
      </w:r>
    </w:p>
    <w:p>
      <w:pPr>
        <w:spacing w:after="0" w:line="144" w:lineRule="exact"/>
        <w:rPr>
          <w:rFonts w:ascii="Times New Roman" w:cs="Times New Roman" w:eastAsia="Times New Roman" w:hAnsi="Times New Roman"/>
          <w:sz w:val="19"/>
          <w:szCs w:val="19"/>
          <w:color w:val="auto"/>
        </w:rPr>
      </w:pPr>
    </w:p>
    <w:p>
      <w:pPr>
        <w:jc w:val="both"/>
        <w:ind w:left="584"/>
        <w:spacing w:after="0" w:line="26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Incentive Compensation based on financial reporting measures such as stock price or total shareholder return, where the amount of excess compensation is not subject to mathematical recalculation directly from the information in an Accounting Restatement, the Board will calculate the amount to be reimbursed based on a reasonable estimate of the effect of the Accounting Restatement on such financial reporting measure upon which the Incentive Compensation was received. The Company will maintain documentation of that reasonable estimate and will provide such documentation to the applicable national securities exchange.</w:t>
      </w:r>
    </w:p>
    <w:p>
      <w:pPr>
        <w:spacing w:after="0" w:line="152" w:lineRule="exact"/>
        <w:rPr>
          <w:rFonts w:ascii="Times New Roman" w:cs="Times New Roman" w:eastAsia="Times New Roman" w:hAnsi="Times New Roman"/>
          <w:sz w:val="19"/>
          <w:szCs w:val="19"/>
          <w:color w:val="auto"/>
        </w:rPr>
      </w:pPr>
    </w:p>
    <w:p>
      <w:pPr>
        <w:ind w:left="584" w:hanging="584"/>
        <w:spacing w:after="0"/>
        <w:tabs>
          <w:tab w:leader="none" w:pos="58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Method of Recovery</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584"/>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will determine, in its sole discretion, the method(s) for recovering as soon as practicable excess Incentive Compensation hereunder. Such methods may include, without limitation:</w:t>
      </w:r>
    </w:p>
    <w:p>
      <w:pPr>
        <w:spacing w:after="0" w:line="113" w:lineRule="exact"/>
        <w:rPr>
          <w:rFonts w:ascii="Times New Roman" w:cs="Times New Roman" w:eastAsia="Times New Roman" w:hAnsi="Times New Roman"/>
          <w:sz w:val="19"/>
          <w:szCs w:val="19"/>
          <w:color w:val="auto"/>
        </w:rPr>
      </w:pPr>
    </w:p>
    <w:p>
      <w:pPr>
        <w:ind w:left="1144" w:hanging="562"/>
        <w:spacing w:after="0"/>
        <w:tabs>
          <w:tab w:leader="none" w:pos="1144"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reimbursement of Incentive Compensation previously paid;</w:t>
      </w:r>
    </w:p>
    <w:p>
      <w:pPr>
        <w:spacing w:after="0" w:line="205" w:lineRule="exact"/>
        <w:rPr>
          <w:rFonts w:ascii="Times New Roman" w:cs="Times New Roman" w:eastAsia="Times New Roman" w:hAnsi="Times New Roman"/>
          <w:sz w:val="19"/>
          <w:szCs w:val="19"/>
          <w:color w:val="auto"/>
        </w:rPr>
      </w:pPr>
    </w:p>
    <w:p>
      <w:pPr>
        <w:ind w:left="1164" w:hanging="582"/>
        <w:spacing w:after="0"/>
        <w:tabs>
          <w:tab w:leader="none" w:pos="1164"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forfeiting any Incentive Compensation contribution made under the Company’s deferred compensation plans;</w:t>
      </w:r>
    </w:p>
    <w:p>
      <w:pPr>
        <w:spacing w:after="0" w:line="205" w:lineRule="exact"/>
        <w:rPr>
          <w:rFonts w:ascii="Times New Roman" w:cs="Times New Roman" w:eastAsia="Times New Roman" w:hAnsi="Times New Roman"/>
          <w:sz w:val="19"/>
          <w:szCs w:val="19"/>
          <w:color w:val="auto"/>
        </w:rPr>
      </w:pPr>
    </w:p>
    <w:p>
      <w:pPr>
        <w:ind w:left="1164" w:right="280" w:hanging="582"/>
        <w:spacing w:after="0" w:line="290" w:lineRule="auto"/>
        <w:tabs>
          <w:tab w:leader="none" w:pos="1164"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offsetting the recovered amount from any compensation or Incentive Compensation that the Covered Executive may earn or be awarded in the future;</w:t>
      </w:r>
    </w:p>
    <w:p>
      <w:pPr>
        <w:spacing w:after="0" w:line="126" w:lineRule="exact"/>
        <w:rPr>
          <w:rFonts w:ascii="Times New Roman" w:cs="Times New Roman" w:eastAsia="Times New Roman" w:hAnsi="Times New Roman"/>
          <w:sz w:val="19"/>
          <w:szCs w:val="19"/>
          <w:color w:val="auto"/>
        </w:rPr>
      </w:pPr>
    </w:p>
    <w:p>
      <w:pPr>
        <w:ind w:left="1144" w:hanging="562"/>
        <w:spacing w:after="0"/>
        <w:tabs>
          <w:tab w:leader="none" w:pos="1144"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some combination of the foregoing; or</w:t>
      </w:r>
    </w:p>
    <w:p>
      <w:pPr>
        <w:spacing w:after="0" w:line="218" w:lineRule="exact"/>
        <w:rPr>
          <w:rFonts w:ascii="Times New Roman" w:cs="Times New Roman" w:eastAsia="Times New Roman" w:hAnsi="Times New Roman"/>
          <w:sz w:val="19"/>
          <w:szCs w:val="19"/>
          <w:color w:val="auto"/>
        </w:rPr>
      </w:pPr>
    </w:p>
    <w:p>
      <w:pPr>
        <w:ind w:left="1164" w:hanging="582"/>
        <w:spacing w:after="0"/>
        <w:tabs>
          <w:tab w:leader="none" w:pos="1164"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taking any other remedial and recovery action permitted by law,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701040</wp:posOffset>
            </wp:positionV>
            <wp:extent cx="647065" cy="384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065"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484"/>
          </w:cols>
          <w:pgMar w:left="996" w:top="1412" w:right="419" w:bottom="1440" w:gutter="0" w:footer="0" w:header="0"/>
        </w:sectPr>
      </w:pPr>
    </w:p>
    <w:bookmarkStart w:id="14" w:name="page15"/>
    <w:bookmarkEnd w:id="14"/>
    <w:p>
      <w:pPr>
        <w:ind w:left="706" w:hanging="415"/>
        <w:spacing w:after="0"/>
        <w:tabs>
          <w:tab w:leader="none" w:pos="706"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Indemnification or Advance</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6" w:right="60"/>
        <w:spacing w:after="0" w:line="278" w:lineRule="auto"/>
        <w:rPr>
          <w:sz w:val="20"/>
          <w:szCs w:val="20"/>
          <w:color w:val="auto"/>
        </w:rPr>
      </w:pPr>
      <w:r>
        <w:rPr>
          <w:rFonts w:ascii="Times New Roman" w:cs="Times New Roman" w:eastAsia="Times New Roman" w:hAnsi="Times New Roman"/>
          <w:sz w:val="19"/>
          <w:szCs w:val="19"/>
          <w:color w:val="auto"/>
        </w:rPr>
        <w:t>Subject to applicable law, the Company shall not indemnify, including by paying or reimbursing for premiums for any insurance policy covering any potential losses, any Covered Executives against the loss of any erroneously awarded Incentive Compensation, nor shall the Company advance any costs or expenses to any Covered Executives in connection with any action to recover excess Incentive Compensation.</w:t>
      </w:r>
    </w:p>
    <w:p>
      <w:pPr>
        <w:spacing w:after="0" w:line="110" w:lineRule="exact"/>
        <w:rPr>
          <w:sz w:val="20"/>
          <w:szCs w:val="20"/>
          <w:color w:val="auto"/>
        </w:rPr>
      </w:pPr>
    </w:p>
    <w:p>
      <w:pPr>
        <w:ind w:left="686" w:hanging="395"/>
        <w:spacing w:after="0"/>
        <w:tabs>
          <w:tab w:leader="none" w:pos="686" w:val="left"/>
        </w:tabs>
        <w:numPr>
          <w:ilvl w:val="0"/>
          <w:numId w:val="12"/>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Interpretation.</w:t>
      </w:r>
    </w:p>
    <w:p>
      <w:pPr>
        <w:spacing w:after="0" w:line="198" w:lineRule="exact"/>
        <w:rPr>
          <w:sz w:val="20"/>
          <w:szCs w:val="20"/>
          <w:color w:val="auto"/>
        </w:rPr>
      </w:pPr>
    </w:p>
    <w:p>
      <w:pPr>
        <w:ind w:left="6" w:right="160"/>
        <w:spacing w:after="0" w:line="270" w:lineRule="auto"/>
        <w:rPr>
          <w:sz w:val="20"/>
          <w:szCs w:val="20"/>
          <w:color w:val="auto"/>
        </w:rPr>
      </w:pPr>
      <w:r>
        <w:rPr>
          <w:rFonts w:ascii="Times New Roman" w:cs="Times New Roman" w:eastAsia="Times New Roman" w:hAnsi="Times New Roman"/>
          <w:sz w:val="19"/>
          <w:szCs w:val="19"/>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spacing w:after="0" w:line="141" w:lineRule="exact"/>
        <w:rPr>
          <w:sz w:val="20"/>
          <w:szCs w:val="20"/>
          <w:color w:val="auto"/>
        </w:rPr>
      </w:pPr>
    </w:p>
    <w:p>
      <w:pPr>
        <w:ind w:left="6"/>
        <w:spacing w:after="0"/>
        <w:tabs>
          <w:tab w:leader="none" w:pos="326" w:val="left"/>
        </w:tabs>
        <w:rPr>
          <w:sz w:val="20"/>
          <w:szCs w:val="20"/>
          <w:color w:val="auto"/>
        </w:rPr>
      </w:pPr>
      <w:r>
        <w:rPr>
          <w:rFonts w:ascii="Times New Roman" w:cs="Times New Roman" w:eastAsia="Times New Roman" w:hAnsi="Times New Roman"/>
          <w:sz w:val="19"/>
          <w:szCs w:val="19"/>
          <w:b w:val="1"/>
          <w:bCs w:val="1"/>
          <w:u w:val="single" w:color="auto"/>
          <w:color w:val="auto"/>
        </w:rPr>
        <w:t>7.</w:t>
      </w:r>
      <w:r>
        <w:rPr>
          <w:sz w:val="20"/>
          <w:szCs w:val="20"/>
          <w:color w:val="auto"/>
        </w:rPr>
        <w:tab/>
      </w:r>
      <w:r>
        <w:rPr>
          <w:rFonts w:ascii="Times New Roman" w:cs="Times New Roman" w:eastAsia="Times New Roman" w:hAnsi="Times New Roman"/>
          <w:sz w:val="19"/>
          <w:szCs w:val="19"/>
          <w:b w:val="1"/>
          <w:bCs w:val="1"/>
          <w:u w:val="single" w:color="auto"/>
          <w:color w:val="auto"/>
        </w:rPr>
        <w:t>Effective Date</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9"/>
          <w:szCs w:val="19"/>
          <w:color w:val="auto"/>
        </w:rPr>
        <w:t>The effective date of this Policy is August 11,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This Policy applies to Incentive Compensation received by Covered Executives on or after the Effective Date that results from attainment of a financial reporting measure based on or derived from financial information for any fiscal period ending on or after the Effective Date. In addition, this Policy is intended to be and will be incorporated as an essential term and condition of any Incentive Compensation agreement, plan or program that the Company establishes or maintains on or after the Effective Date.</w:t>
      </w:r>
    </w:p>
    <w:p>
      <w:pPr>
        <w:spacing w:after="0" w:line="148" w:lineRule="exact"/>
        <w:rPr>
          <w:sz w:val="20"/>
          <w:szCs w:val="20"/>
          <w:color w:val="auto"/>
        </w:rPr>
      </w:pPr>
    </w:p>
    <w:p>
      <w:pPr>
        <w:ind w:left="466" w:hanging="466"/>
        <w:spacing w:after="0"/>
        <w:tabs>
          <w:tab w:leader="none" w:pos="466" w:val="left"/>
        </w:tabs>
        <w:numPr>
          <w:ilvl w:val="0"/>
          <w:numId w:val="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 and Termination</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8643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64360" cy="7620"/>
                    </a:xfrm>
                    <a:prstGeom prst="rect">
                      <a:avLst/>
                    </a:prstGeom>
                    <a:noFill/>
                  </pic:spPr>
                </pic:pic>
              </a:graphicData>
            </a:graphic>
          </wp:anchor>
        </w:drawing>
      </w:r>
    </w:p>
    <w:p>
      <w:pPr>
        <w:spacing w:after="0" w:line="190" w:lineRule="exact"/>
        <w:rPr>
          <w:sz w:val="20"/>
          <w:szCs w:val="20"/>
          <w:color w:val="auto"/>
        </w:rPr>
      </w:pPr>
    </w:p>
    <w:p>
      <w:pPr>
        <w:jc w:val="both"/>
        <w:ind w:left="6"/>
        <w:spacing w:after="0" w:line="272" w:lineRule="auto"/>
        <w:rPr>
          <w:sz w:val="20"/>
          <w:szCs w:val="20"/>
          <w:color w:val="auto"/>
        </w:rPr>
      </w:pPr>
      <w:r>
        <w:rPr>
          <w:rFonts w:ascii="Times New Roman" w:cs="Times New Roman" w:eastAsia="Times New Roman" w:hAnsi="Times New Roman"/>
          <w:sz w:val="19"/>
          <w:szCs w:val="19"/>
          <w:color w:val="auto"/>
        </w:rPr>
        <w:t>The Board may amend this Policy from time to time at its discretion, and shall amend this Policy as it deems necessary to reflect changes in regulations adopted by the SEC under Section 10D of the Exchange Act and to comply with any rules or standards adopted by the NYSE American or any other United States securities exchange on which the Company’s shares are listed in the future.</w:t>
      </w:r>
    </w:p>
    <w:p>
      <w:pPr>
        <w:spacing w:after="0" w:line="151" w:lineRule="exact"/>
        <w:rPr>
          <w:sz w:val="20"/>
          <w:szCs w:val="20"/>
          <w:color w:val="auto"/>
        </w:rPr>
      </w:pPr>
    </w:p>
    <w:p>
      <w:pPr>
        <w:ind w:left="6"/>
        <w:spacing w:after="0"/>
        <w:tabs>
          <w:tab w:leader="none" w:pos="326" w:val="left"/>
        </w:tabs>
        <w:rPr>
          <w:sz w:val="20"/>
          <w:szCs w:val="20"/>
          <w:color w:val="auto"/>
        </w:rPr>
      </w:pPr>
      <w:r>
        <w:rPr>
          <w:rFonts w:ascii="Times New Roman" w:cs="Times New Roman" w:eastAsia="Times New Roman" w:hAnsi="Times New Roman"/>
          <w:sz w:val="19"/>
          <w:szCs w:val="19"/>
          <w:b w:val="1"/>
          <w:bCs w:val="1"/>
          <w:u w:val="single" w:color="auto"/>
          <w:color w:val="auto"/>
        </w:rPr>
        <w:t>9.</w:t>
      </w:r>
      <w:r>
        <w:rPr>
          <w:sz w:val="20"/>
          <w:szCs w:val="20"/>
          <w:color w:val="auto"/>
        </w:rPr>
        <w:tab/>
      </w:r>
      <w:r>
        <w:rPr>
          <w:rFonts w:ascii="Times New Roman" w:cs="Times New Roman" w:eastAsia="Times New Roman" w:hAnsi="Times New Roman"/>
          <w:sz w:val="19"/>
          <w:szCs w:val="19"/>
          <w:b w:val="1"/>
          <w:bCs w:val="1"/>
          <w:u w:val="single" w:color="auto"/>
          <w:color w:val="auto"/>
        </w:rPr>
        <w:t>Other Recovery Rights</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9"/>
          <w:szCs w:val="19"/>
          <w:color w:val="auto"/>
        </w:rPr>
        <w:t>The Board intends that this Policy will be applied to the fullest extent of the law. The Board may require that any employment agreement or similar agreement relating to Incentive Compensation entered into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303530</wp:posOffset>
            </wp:positionV>
            <wp:extent cx="647065" cy="384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7065"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066"/>
          </w:cols>
          <w:pgMar w:left="414" w:top="1408" w:right="419" w:bottom="1440" w:gutter="0" w:footer="0" w:header="0"/>
        </w:sectPr>
      </w:pPr>
    </w:p>
    <w:bookmarkStart w:id="15" w:name="page16"/>
    <w:bookmarkEnd w:id="15"/>
    <w:p>
      <w:pPr>
        <w:ind w:left="6"/>
        <w:spacing w:after="0"/>
        <w:tabs>
          <w:tab w:leader="none" w:pos="426" w:val="left"/>
        </w:tabs>
        <w:rPr>
          <w:sz w:val="20"/>
          <w:szCs w:val="20"/>
          <w:color w:val="auto"/>
        </w:rPr>
      </w:pPr>
      <w:r>
        <w:rPr>
          <w:rFonts w:ascii="Times New Roman" w:cs="Times New Roman" w:eastAsia="Times New Roman" w:hAnsi="Times New Roman"/>
          <w:sz w:val="19"/>
          <w:szCs w:val="19"/>
          <w:b w:val="1"/>
          <w:bCs w:val="1"/>
          <w:u w:val="single" w:color="auto"/>
          <w:color w:val="auto"/>
        </w:rPr>
        <w:t>10.</w:t>
      </w:r>
      <w:r>
        <w:rPr>
          <w:sz w:val="20"/>
          <w:szCs w:val="20"/>
          <w:color w:val="auto"/>
        </w:rPr>
        <w:tab/>
      </w:r>
      <w:r>
        <w:rPr>
          <w:rFonts w:ascii="Times New Roman" w:cs="Times New Roman" w:eastAsia="Times New Roman" w:hAnsi="Times New Roman"/>
          <w:sz w:val="19"/>
          <w:szCs w:val="19"/>
          <w:b w:val="1"/>
          <w:bCs w:val="1"/>
          <w:u w:val="single" w:color="auto"/>
          <w:color w:val="auto"/>
        </w:rPr>
        <w:t>Impracticability</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ind w:left="6"/>
        <w:spacing w:after="0" w:line="278" w:lineRule="auto"/>
        <w:rPr>
          <w:sz w:val="20"/>
          <w:szCs w:val="20"/>
          <w:color w:val="auto"/>
        </w:rPr>
      </w:pPr>
      <w:r>
        <w:rPr>
          <w:rFonts w:ascii="Times New Roman" w:cs="Times New Roman" w:eastAsia="Times New Roman" w:hAnsi="Times New Roman"/>
          <w:sz w:val="19"/>
          <w:szCs w:val="19"/>
          <w:color w:val="auto"/>
        </w:rPr>
        <w:t>The Company shall recover any excess Incentive Compensation in accordance with this Policy, except to the extent that certain conditions are met and the Board has determined that such recovery would be impracticable, all in accordance with Rule 10D-1 of the Exchange Act and the NYSE American or any other securities exchange on which the Company’s shares are listed in the future.</w:t>
      </w:r>
    </w:p>
    <w:p>
      <w:pPr>
        <w:spacing w:after="0" w:line="1" w:lineRule="exact"/>
        <w:rPr>
          <w:sz w:val="20"/>
          <w:szCs w:val="20"/>
          <w:color w:val="auto"/>
        </w:rPr>
      </w:pPr>
    </w:p>
    <w:p>
      <w:pPr>
        <w:ind w:left="426" w:hanging="426"/>
        <w:spacing w:after="0"/>
        <w:tabs>
          <w:tab w:leader="none" w:pos="426" w:val="left"/>
        </w:tabs>
        <w:numPr>
          <w:ilvl w:val="0"/>
          <w:numId w:val="14"/>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6" w:right="160"/>
        <w:spacing w:after="0" w:line="304" w:lineRule="auto"/>
        <w:rPr>
          <w:sz w:val="20"/>
          <w:szCs w:val="20"/>
          <w:color w:val="auto"/>
        </w:rPr>
      </w:pPr>
      <w:r>
        <w:rPr>
          <w:rFonts w:ascii="Times New Roman" w:cs="Times New Roman" w:eastAsia="Times New Roman" w:hAnsi="Times New Roman"/>
          <w:sz w:val="19"/>
          <w:szCs w:val="19"/>
          <w:color w:val="auto"/>
        </w:rPr>
        <w:t>This Policy shall be binding upon and enforceable against all Covered Executives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118745</wp:posOffset>
            </wp:positionV>
            <wp:extent cx="647065" cy="38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7065" cy="38481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066"/>
          </w:cols>
          <w:pgMar w:left="414" w:top="1408" w:right="4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2591435</wp:posOffset>
            </wp:positionV>
            <wp:extent cx="1386205" cy="800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86205" cy="80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39"/>
          <w:szCs w:val="39"/>
          <w:b w:val="1"/>
          <w:bCs w:val="1"/>
          <w:color w:val="auto"/>
        </w:rPr>
        <w:t>CYBIN INC.</w:t>
      </w:r>
    </w:p>
    <w:p>
      <w:pPr>
        <w:spacing w:after="0" w:line="17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FINANCIAL STATEMENTS</w:t>
      </w:r>
    </w:p>
    <w:p>
      <w:pPr>
        <w:spacing w:after="0" w:line="157"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1222375</wp:posOffset>
            </wp:positionV>
            <wp:extent cx="717169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Responsibility for Consolidated Financial Statements</w:t>
      </w:r>
    </w:p>
    <w:p>
      <w:pPr>
        <w:spacing w:after="0" w:line="217" w:lineRule="exact"/>
        <w:rPr>
          <w:sz w:val="20"/>
          <w:szCs w:val="20"/>
          <w:color w:val="auto"/>
        </w:rPr>
      </w:pPr>
    </w:p>
    <w:p>
      <w:pPr>
        <w:jc w:val="both"/>
        <w:spacing w:after="0" w:line="234" w:lineRule="auto"/>
        <w:rPr>
          <w:sz w:val="20"/>
          <w:szCs w:val="20"/>
          <w:color w:val="auto"/>
        </w:rPr>
      </w:pPr>
      <w:r>
        <w:rPr>
          <w:rFonts w:ascii="Calibri" w:cs="Calibri" w:eastAsia="Calibri" w:hAnsi="Calibri"/>
          <w:sz w:val="19"/>
          <w:szCs w:val="19"/>
          <w:color w:val="auto"/>
        </w:rPr>
        <w:t>The Company’s management is responsible for the integrity and fairness of presentaton of these consolidated fnancial statements. The consolidated fnancial statements have been prepared by management, in accordance with Internatonal Financial Reportng Standards as issued by the Internatonal Accountng Standards Board, for approval by the Board of Directors.</w:t>
      </w:r>
    </w:p>
    <w:p>
      <w:pPr>
        <w:spacing w:after="0" w:line="207" w:lineRule="exact"/>
        <w:rPr>
          <w:sz w:val="20"/>
          <w:szCs w:val="20"/>
          <w:color w:val="auto"/>
        </w:rPr>
      </w:pPr>
    </w:p>
    <w:p>
      <w:pPr>
        <w:jc w:val="both"/>
        <w:ind w:right="20"/>
        <w:spacing w:after="0" w:line="232" w:lineRule="auto"/>
        <w:rPr>
          <w:sz w:val="20"/>
          <w:szCs w:val="20"/>
          <w:color w:val="auto"/>
        </w:rPr>
      </w:pPr>
      <w:r>
        <w:rPr>
          <w:rFonts w:ascii="Calibri" w:cs="Calibri" w:eastAsia="Calibri" w:hAnsi="Calibri"/>
          <w:sz w:val="19"/>
          <w:szCs w:val="19"/>
          <w:color w:val="auto"/>
        </w:rPr>
        <w:t>Where necessary, management has made judgements and estmates in preparing the consolidated fnancial statements and such statements have been prepared within acceptable limits of materiality. Management maintains a system of internal accountng controls to ensure, on a reasonable and cost-efectve basis, that the fnancial informaton is tmely reported and is accurate and reliable in all material respects and that the Company’s assets are appropriately accounted for and adequately safeguarded.</w:t>
      </w:r>
    </w:p>
    <w:p>
      <w:pPr>
        <w:spacing w:after="0" w:line="207" w:lineRule="exact"/>
        <w:rPr>
          <w:sz w:val="20"/>
          <w:szCs w:val="20"/>
          <w:color w:val="auto"/>
        </w:rPr>
      </w:pPr>
    </w:p>
    <w:p>
      <w:pPr>
        <w:jc w:val="both"/>
        <w:spacing w:after="0" w:line="234" w:lineRule="auto"/>
        <w:rPr>
          <w:sz w:val="20"/>
          <w:szCs w:val="20"/>
          <w:color w:val="auto"/>
        </w:rPr>
      </w:pPr>
      <w:r>
        <w:rPr>
          <w:rFonts w:ascii="Calibri" w:cs="Calibri" w:eastAsia="Calibri" w:hAnsi="Calibri"/>
          <w:sz w:val="19"/>
          <w:szCs w:val="19"/>
          <w:color w:val="auto"/>
        </w:rPr>
        <w:t>A frm of independent Chartered Professional Accountants, Zeifmans LLP, appointed by the shareholders, audited the consolidated fnancial statements in accordance with Canadian generally accepted auditng standards and provided an independent professional opinion on the consolidated fnancial statements.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alibri" w:cs="Calibri" w:eastAsia="Calibri" w:hAnsi="Calibri"/>
          <w:sz w:val="19"/>
          <w:szCs w:val="19"/>
          <w:i w:val="1"/>
          <w:iCs w:val="1"/>
          <w:u w:val="single" w:color="auto"/>
          <w:color w:val="auto"/>
        </w:rPr>
        <w:t>/s/ Doug Drysdale</w:t>
      </w:r>
    </w:p>
    <w:p>
      <w:pPr>
        <w:spacing w:after="0" w:line="213" w:lineRule="auto"/>
        <w:rPr>
          <w:sz w:val="20"/>
          <w:szCs w:val="20"/>
          <w:color w:val="auto"/>
        </w:rPr>
      </w:pPr>
      <w:r>
        <w:rPr>
          <w:rFonts w:ascii="Calibri" w:cs="Calibri" w:eastAsia="Calibri" w:hAnsi="Calibri"/>
          <w:sz w:val="19"/>
          <w:szCs w:val="19"/>
          <w:color w:val="auto"/>
        </w:rPr>
        <w:t>Chief Executve Ofcer</w:t>
      </w:r>
    </w:p>
    <w:p>
      <w:pPr>
        <w:spacing w:after="0" w:line="238" w:lineRule="auto"/>
        <w:rPr>
          <w:sz w:val="20"/>
          <w:szCs w:val="20"/>
          <w:color w:val="auto"/>
        </w:rPr>
      </w:pPr>
      <w:r>
        <w:rPr>
          <w:rFonts w:ascii="Calibri" w:cs="Calibri" w:eastAsia="Calibri" w:hAnsi="Calibri"/>
          <w:sz w:val="19"/>
          <w:szCs w:val="19"/>
          <w:color w:val="auto"/>
        </w:rPr>
        <w:t>June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796925</wp:posOffset>
            </wp:positionV>
            <wp:extent cx="71716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INDEPENDENT AUDITORS’ REPORT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Cybin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w:t>
      </w:r>
    </w:p>
    <w:p>
      <w:pPr>
        <w:spacing w:after="0" w:line="21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We have audited the consolidated financial statements of Cybin Inc. and its subsidiaries (together, the “Company”), which comprise the consolidated statements of financial position as at March 31, 2024 and 2023, and the consolidated statements of loss and comprehensive loss, changes in shareholders’ equity and cash flows for the years then ended, and notes to the consolidated financial statements, including material accounting policy information.</w:t>
      </w:r>
    </w:p>
    <w:p>
      <w:pPr>
        <w:spacing w:after="0" w:line="18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6"/>
          <w:szCs w:val="16"/>
          <w:color w:val="auto"/>
        </w:rPr>
        <w:t>In our opinion, the accompanying consolidated financial statements present fairly, in all material respects, the consolidated financial position of the Company as at March 31, 2024 and 2023 and its consolidated financial performance and its consolidated cash flows for the years then ended in accordance with International Financial Reporting Standards (“IFRS”) as issued by the International Accounting Standards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We conducted our audits in accordance with Canadian generally accepted auditing standards (“GAAS”). Our responsibilities under those standards are further described in the </w:t>
      </w:r>
      <w:r>
        <w:rPr>
          <w:rFonts w:ascii="Times New Roman" w:cs="Times New Roman" w:eastAsia="Times New Roman" w:hAnsi="Times New Roman"/>
          <w:sz w:val="19"/>
          <w:szCs w:val="19"/>
          <w:i w:val="1"/>
          <w:iCs w:val="1"/>
          <w:color w:val="auto"/>
        </w:rPr>
        <w:t>Auditors’ Responsibilities for the Audits of the Consolidated Financial Statements</w:t>
      </w:r>
      <w:r>
        <w:rPr>
          <w:rFonts w:ascii="Times New Roman" w:cs="Times New Roman" w:eastAsia="Times New Roman" w:hAnsi="Times New Roman"/>
          <w:sz w:val="16"/>
          <w:szCs w:val="16"/>
          <w:color w:val="auto"/>
        </w:rPr>
        <w:t xml:space="preserve">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Key Audit Matters</w:t>
      </w:r>
    </w:p>
    <w:p>
      <w:pPr>
        <w:spacing w:after="0" w:line="21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Key audit matters are those matters that, in our professional judgment, were of most significance in our audit of the consolidated financial statements as at and for the year ended March 31, 2024. These matters were addressed in the context of our audit of the consolidated financial statements as a whole, and in forming our opinion thereon, and we do not provide a separate opinion on these matters.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determined the matters described below to be the key audit matters to be communicated in our report.</w:t>
      </w: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20" w:type="dxa"/>
            <w:vAlign w:val="bottom"/>
            <w:tcBorders>
              <w:top w:val="single" w:sz="8" w:color="auto"/>
              <w:left w:val="single" w:sz="8" w:color="auto"/>
              <w:bottom w:val="single" w:sz="8" w:color="FBD4B4"/>
              <w:right w:val="single" w:sz="8" w:color="auto"/>
            </w:tcBorders>
            <w:shd w:val="clear" w:color="auto" w:fill="FBD4B4"/>
          </w:tcPr>
          <w:p>
            <w:pPr>
              <w:ind w:left="20"/>
              <w:spacing w:after="0"/>
              <w:rPr>
                <w:sz w:val="20"/>
                <w:szCs w:val="20"/>
                <w:color w:val="auto"/>
              </w:rPr>
            </w:pPr>
            <w:r>
              <w:rPr>
                <w:rFonts w:ascii="Times New Roman" w:cs="Times New Roman" w:eastAsia="Times New Roman" w:hAnsi="Times New Roman"/>
                <w:sz w:val="16"/>
                <w:szCs w:val="16"/>
                <w:color w:val="FFFFFF"/>
              </w:rPr>
              <w:t>Key audit matter</w:t>
            </w:r>
          </w:p>
        </w:tc>
        <w:tc>
          <w:tcPr>
            <w:tcW w:w="5620" w:type="dxa"/>
            <w:vAlign w:val="bottom"/>
            <w:tcBorders>
              <w:top w:val="single" w:sz="8" w:color="auto"/>
              <w:bottom w:val="single" w:sz="8" w:color="FBD4B4"/>
              <w:right w:val="single" w:sz="8" w:color="auto"/>
            </w:tcBorders>
            <w:shd w:val="clear" w:color="auto" w:fill="FBD4B4"/>
          </w:tcPr>
          <w:p>
            <w:pPr>
              <w:spacing w:after="0"/>
              <w:rPr>
                <w:sz w:val="20"/>
                <w:szCs w:val="20"/>
                <w:color w:val="auto"/>
              </w:rPr>
            </w:pPr>
            <w:r>
              <w:rPr>
                <w:rFonts w:ascii="Times New Roman" w:cs="Times New Roman" w:eastAsia="Times New Roman" w:hAnsi="Times New Roman"/>
                <w:sz w:val="16"/>
                <w:szCs w:val="16"/>
                <w:color w:val="FFFFFF"/>
              </w:rPr>
              <w:t>How are audit addressed the key audit matter</w:t>
            </w:r>
          </w:p>
        </w:tc>
        <w:tc>
          <w:tcPr>
            <w:tcW w:w="20" w:type="dxa"/>
            <w:vAlign w:val="bottom"/>
          </w:tcPr>
          <w:p>
            <w:pPr>
              <w:spacing w:after="0"/>
              <w:rPr>
                <w:sz w:val="21"/>
                <w:szCs w:val="21"/>
                <w:color w:val="auto"/>
              </w:rPr>
            </w:pPr>
          </w:p>
        </w:tc>
      </w:tr>
      <w:tr>
        <w:trPr>
          <w:trHeight w:val="1549"/>
        </w:trPr>
        <w:tc>
          <w:tcPr>
            <w:tcW w:w="5620" w:type="dxa"/>
            <w:vAlign w:val="bottom"/>
            <w:tcBorders>
              <w:top w:val="single" w:sz="8" w:color="auto"/>
              <w:bottom w:val="single" w:sz="8" w:color="9A9A9A"/>
            </w:tcBorders>
          </w:tcPr>
          <w:p>
            <w:pPr>
              <w:spacing w:after="0"/>
              <w:rPr>
                <w:sz w:val="24"/>
                <w:szCs w:val="24"/>
                <w:color w:val="auto"/>
              </w:rPr>
            </w:pPr>
          </w:p>
        </w:tc>
        <w:tc>
          <w:tcPr>
            <w:tcW w:w="56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79646"/>
        </w:rPr>
        <w:t>Acquisition of Small Pharma Inc. (“SP”)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Refer to note 2 - Material accounting policy information and note 4 – Acquisition</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On October 23, 2024, Cybin completed the acquisition (the “Acquisition”) of SP and its wholly-owned subsidiary Small Pharma Ltd.</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acquisition has been accounted for as a business combination using the acquisition method of accounting. The SP purchase price allocation (“PPA”) results in the recognition of intellectual property of $29.3 million and goodwill of $22.7 million.</w:t>
      </w:r>
    </w:p>
    <w:p>
      <w:pPr>
        <w:spacing w:after="0" w:line="3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considered this a key audit matter due to the subjectivity and complexity in performing procedures to test the key assumptions used by management in determining the purchase price allocation, which involved significant judgment by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Our approach to addressing the matter included the following procedures,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-267970</wp:posOffset>
            </wp:positionV>
            <wp:extent cx="7131050" cy="2140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1050" cy="2140585"/>
                    </a:xfrm>
                    <a:prstGeom prst="rect">
                      <a:avLst/>
                    </a:prstGeom>
                    <a:noFill/>
                  </pic:spPr>
                </pic:pic>
              </a:graphicData>
            </a:graphic>
          </wp:anchor>
        </w:drawing>
      </w:r>
    </w:p>
    <w:p>
      <w:pPr>
        <w:spacing w:after="0" w:line="147" w:lineRule="exact"/>
        <w:rPr>
          <w:sz w:val="20"/>
          <w:szCs w:val="20"/>
          <w:color w:val="auto"/>
        </w:rPr>
      </w:pPr>
    </w:p>
    <w:p>
      <w:pPr>
        <w:jc w:val="both"/>
        <w:ind w:left="600" w:hanging="301"/>
        <w:spacing w:after="0" w:line="245" w:lineRule="auto"/>
        <w:tabs>
          <w:tab w:leader="none" w:pos="59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analyzed the Acquisition agreements to obtain an understanding of the key terms and conditions and to identify the necessary accounting considerations;</w:t>
      </w:r>
    </w:p>
    <w:p>
      <w:pPr>
        <w:ind w:left="600" w:right="20" w:hanging="301"/>
        <w:spacing w:after="0" w:line="229" w:lineRule="auto"/>
        <w:tabs>
          <w:tab w:leader="none" w:pos="59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obtained an understanding of management’s internal control process as it relates to the determination of key inputs and assumptions;</w:t>
      </w:r>
    </w:p>
    <w:p>
      <w:pPr>
        <w:ind w:left="600" w:hanging="301"/>
        <w:spacing w:after="0" w:line="237" w:lineRule="auto"/>
        <w:tabs>
          <w:tab w:leader="none" w:pos="59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mathematical accuracy of management’s PPA model related to the Acquisition;</w:t>
      </w:r>
    </w:p>
    <w:p>
      <w:pPr>
        <w:ind w:left="600" w:hanging="301"/>
        <w:spacing w:after="0" w:line="237" w:lineRule="auto"/>
        <w:tabs>
          <w:tab w:leader="none" w:pos="59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a valuation specialist, we evaluated the appropriateness of the methods used and the discounted cash flow model;</w:t>
      </w:r>
    </w:p>
    <w:p>
      <w:pPr>
        <w:ind w:left="580" w:hanging="281"/>
        <w:spacing w:after="0" w:line="237"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assessed the reasonableness of the discount rates applied;</w:t>
      </w:r>
    </w:p>
    <w:p>
      <w:pPr>
        <w:ind w:left="600" w:hanging="301"/>
        <w:spacing w:after="0" w:line="237" w:lineRule="auto"/>
        <w:tabs>
          <w:tab w:leader="none" w:pos="59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 sensitivity analysis of the PPA model by developing a range of independent estimates of key assumptions;</w:t>
      </w:r>
    </w:p>
    <w:p>
      <w:pPr>
        <w:jc w:val="both"/>
        <w:ind w:left="600" w:hanging="301"/>
        <w:spacing w:after="0" w:line="242" w:lineRule="auto"/>
        <w:tabs>
          <w:tab w:leader="none" w:pos="59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adequacy and completeness of the disclosure in the consolidated financial statements including the assumptions used in the PPA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1003935</wp:posOffset>
            </wp:positionV>
            <wp:extent cx="717169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2">
            <w:col w:w="5560" w:space="40"/>
            <w:col w:w="5580"/>
          </w:cols>
          <w:pgMar w:left="340" w:top="1440" w:right="37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Assessment of impairment of goodwill and intangible assets</w:t>
      </w:r>
    </w:p>
    <w:p>
      <w:pPr>
        <w:spacing w:after="0" w:line="216"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6"/>
          <w:szCs w:val="16"/>
          <w:color w:val="auto"/>
        </w:rPr>
        <w:t>Refer to note 2 – Material accounting policy information, note 6 - Intangible assets and note 8 - Goodwill</w:t>
      </w:r>
    </w:p>
    <w:p>
      <w:pPr>
        <w:spacing w:after="0" w:line="167" w:lineRule="exact"/>
        <w:rPr>
          <w:sz w:val="20"/>
          <w:szCs w:val="20"/>
          <w:color w:val="auto"/>
        </w:rPr>
      </w:pPr>
    </w:p>
    <w:p>
      <w:pPr>
        <w:jc w:val="both"/>
        <w:ind w:left="20"/>
        <w:spacing w:after="0" w:line="239" w:lineRule="auto"/>
        <w:rPr>
          <w:sz w:val="20"/>
          <w:szCs w:val="20"/>
          <w:color w:val="auto"/>
        </w:rPr>
      </w:pPr>
      <w:r>
        <w:rPr>
          <w:rFonts w:ascii="Times New Roman" w:cs="Times New Roman" w:eastAsia="Times New Roman" w:hAnsi="Times New Roman"/>
          <w:sz w:val="16"/>
          <w:szCs w:val="16"/>
          <w:color w:val="auto"/>
        </w:rPr>
        <w:t>In accordance with IAS 36, Impairment of Assets, management is required to test goodwill and intangible assets not yet available for use for impairment annually, or when facts and circumstances suggest they may be impaired. Goodwill arising from business combinations is allocated to each of the Company’s cash-generating units (“CGU”) that is expected to benefit from the synergies of the combination. The recoverable amount of the CGU to which the goodwill and intangible assets have been allocated is tested for impairment at the same time every year. As at March 31, 2024 the Company had goodwill of $47.5 million and intangible assets of $35.5 million before the impairment test. The annual impairment test has been performed as of March 31, 2024, and no impairment was recognized.</w:t>
      </w:r>
    </w:p>
    <w:p>
      <w:pPr>
        <w:spacing w:after="0" w:line="193" w:lineRule="exact"/>
        <w:rPr>
          <w:sz w:val="20"/>
          <w:szCs w:val="20"/>
          <w:color w:val="auto"/>
        </w:rPr>
      </w:pPr>
    </w:p>
    <w:p>
      <w:pPr>
        <w:jc w:val="both"/>
        <w:ind w:left="20"/>
        <w:spacing w:after="0" w:line="239" w:lineRule="auto"/>
        <w:rPr>
          <w:sz w:val="20"/>
          <w:szCs w:val="20"/>
          <w:color w:val="auto"/>
        </w:rPr>
      </w:pPr>
      <w:r>
        <w:rPr>
          <w:rFonts w:ascii="Times New Roman" w:cs="Times New Roman" w:eastAsia="Times New Roman" w:hAnsi="Times New Roman"/>
          <w:sz w:val="16"/>
          <w:szCs w:val="16"/>
          <w:color w:val="auto"/>
        </w:rPr>
        <w:t>For the purpose of the impairment test, the recoverable amount of the Company’s CGU has been determined by management based on an assessment of its value in use following a discounted cash flow approach over a period of thirteen years. Management made certain assumptions in determining the cash flow projections based on its internally approved budgets and include management’s best estimates of expected market conditions. The future cash flows used in the model are inherently uncertain and could materially change over time as a result of changes to the key assumptions estimated by management including revenue growth, discount rate, terminal growth rate, costs, future tax, risk premiums applicable to the CGU’s operations and future capital expenditure.</w:t>
      </w:r>
    </w:p>
    <w:p>
      <w:pPr>
        <w:spacing w:after="0" w:line="193"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6"/>
          <w:szCs w:val="16"/>
          <w:color w:val="auto"/>
        </w:rPr>
        <w:t>We considered this a key audit matter due to the subjectivity and complexity in performing procedures to test the key assumptions used by management in determining the recoverable amount of the Company’s CGU, which involved significant judgment from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Our approach to addressing the matter included the following procedures,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-267970</wp:posOffset>
            </wp:positionV>
            <wp:extent cx="7131050" cy="384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1050" cy="3842385"/>
                    </a:xfrm>
                    <a:prstGeom prst="rect">
                      <a:avLst/>
                    </a:prstGeom>
                    <a:noFill/>
                  </pic:spPr>
                </pic:pic>
              </a:graphicData>
            </a:graphic>
          </wp:anchor>
        </w:drawing>
      </w:r>
    </w:p>
    <w:p>
      <w:pPr>
        <w:spacing w:after="0" w:line="147" w:lineRule="exact"/>
        <w:rPr>
          <w:sz w:val="20"/>
          <w:szCs w:val="20"/>
          <w:color w:val="auto"/>
        </w:rPr>
      </w:pPr>
    </w:p>
    <w:p>
      <w:pPr>
        <w:ind w:left="600" w:hanging="301"/>
        <w:spacing w:after="0" w:line="249" w:lineRule="auto"/>
        <w:tabs>
          <w:tab w:leader="none" w:pos="59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appropriateness of the value-in-use method and discounted cash flow forecast models;</w:t>
      </w:r>
    </w:p>
    <w:p>
      <w:pPr>
        <w:jc w:val="both"/>
        <w:ind w:left="600" w:right="20" w:hanging="301"/>
        <w:spacing w:after="0" w:line="232" w:lineRule="auto"/>
        <w:tabs>
          <w:tab w:leader="none" w:pos="59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reviewed the controls and methodology used to develop information for assessing the recoverable amount including the risk assessment process, and the nature and extent of oversight and governance over financial reporting;</w:t>
      </w:r>
    </w:p>
    <w:p>
      <w:pPr>
        <w:jc w:val="both"/>
        <w:ind w:left="600" w:hanging="301"/>
        <w:spacing w:after="0" w:line="237" w:lineRule="auto"/>
        <w:tabs>
          <w:tab w:leader="none" w:pos="59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assumptions applied to key inputs, such as forecasted revenues, gross margin, operating expenses, long-term growth rates and discount rates used by management in the discounted cash flow projection models and value-in-use determination;</w:t>
      </w:r>
    </w:p>
    <w:p>
      <w:pPr>
        <w:jc w:val="both"/>
        <w:ind w:left="600" w:hanging="301"/>
        <w:spacing w:after="0" w:line="237" w:lineRule="auto"/>
        <w:tabs>
          <w:tab w:leader="none" w:pos="59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 retrospective review to compare management’s assumptions in the prior year’s expected future cash flows to the actual results to assess the Company’s budgeting process;</w:t>
      </w:r>
    </w:p>
    <w:p>
      <w:pPr>
        <w:ind w:left="600" w:hanging="301"/>
        <w:spacing w:after="0" w:line="237" w:lineRule="auto"/>
        <w:tabs>
          <w:tab w:leader="none" w:pos="59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mathematical accuracy of management’s impairment model and supporting calculations;</w:t>
      </w:r>
    </w:p>
    <w:p>
      <w:pPr>
        <w:jc w:val="both"/>
        <w:ind w:left="600" w:hanging="301"/>
        <w:spacing w:after="0" w:line="234" w:lineRule="auto"/>
        <w:tabs>
          <w:tab w:leader="none" w:pos="59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a valuation specialist, we evaluated the reasonableness of the Company’s impairment model and the discount rates by comparing the Company’s weighted average cost of capital against publicly available market date; and</w:t>
      </w:r>
    </w:p>
    <w:p>
      <w:pPr>
        <w:spacing w:after="0" w:line="16" w:lineRule="exact"/>
        <w:rPr>
          <w:sz w:val="20"/>
          <w:szCs w:val="20"/>
          <w:color w:val="auto"/>
        </w:rPr>
      </w:pPr>
    </w:p>
    <w:p>
      <w:pPr>
        <w:jc w:val="both"/>
        <w:ind w:left="600" w:hanging="301"/>
        <w:spacing w:after="0" w:line="234" w:lineRule="auto"/>
        <w:tabs>
          <w:tab w:leader="none" w:pos="592"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6"/>
          <w:szCs w:val="16"/>
          <w:color w:val="auto"/>
        </w:rPr>
        <w:t>We assessed the appropriateness of the disclosure of the assumptions used in the impairment assessment in the notes to the consolidated financial statements.</w:t>
      </w:r>
    </w:p>
    <w:p>
      <w:pPr>
        <w:spacing w:after="0" w:line="1552" w:lineRule="exact"/>
        <w:rPr>
          <w:sz w:val="20"/>
          <w:szCs w:val="20"/>
          <w:color w:val="auto"/>
        </w:rPr>
      </w:pPr>
    </w:p>
    <w:p>
      <w:pPr>
        <w:sectPr>
          <w:pgSz w:w="11900" w:h="16838" w:orient="portrait"/>
          <w:cols w:equalWidth="0" w:num="2">
            <w:col w:w="5580" w:space="40"/>
            <w:col w:w="5580"/>
          </w:cols>
          <w:pgMar w:left="320" w:top="1440" w:right="379" w:bottom="144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944880</wp:posOffset>
            </wp:positionV>
            <wp:extent cx="717169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Management is responsible for the other information. The other information comprises the information included in the Management Discussion and Analysis (“MD&amp;A”) but does not include the consolidated financial statements and our auditors’ report thereon.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opinion on the consolidated financial statements does not cover the MD&amp;A and we do not express any form of assurance conclusion thereon.</w:t>
      </w:r>
    </w:p>
    <w:p>
      <w:pPr>
        <w:spacing w:after="0" w:line="2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connection with our audits of the consolidated financial statements, our responsibility is to read the MD&amp;A identified above and, in doing so, consider whether the MD&amp;A is materially inconsistent with the consolidated financial statements or our knowledge obtained in the audits, or otherwise appears to be materially misstated.</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We obtained the MD&amp;A prior to the date of this auditors’ report. If, based on the work we have performed on this MD&amp;A, we conclude that there is a material misstatement of this MD&amp;A, we are required to report that fact in this auditors’ report. We have nothing to report in this regard.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Responsibilities of Management and Those Charged with Governance for the Consolidated Financial Statements</w:t>
      </w: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consolidated financial statements in accordance with IFRS, and for such internal control as management determines is necessary to enable the preparation of consolidated financial statements that are free from material misstatement, whether due to fraud or error.</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preparing the consolidated financial statements, management is responsible for assessing the Company’s ability to continue as a going concern, disclosing, as applicable, matters relating to going concern and using the going concern basis of accounting unless management either intends to liquidate the Company or to cease operations, or has no realistic alternative but to do 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Those charged with governance are responsible for overseeing the Company’s financial reporting process.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Auditors’ Responsibilities for the Audits of the Consolidated Financial Statements</w:t>
      </w:r>
    </w:p>
    <w:p>
      <w:pPr>
        <w:spacing w:after="0" w:line="21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 As part of an audit in accordance with GAAS, we exercise professional judgment and maintain professional skepticism throughout the audits. We also:</w:t>
      </w:r>
    </w:p>
    <w:p>
      <w:pPr>
        <w:spacing w:after="0" w:line="177" w:lineRule="exact"/>
        <w:rPr>
          <w:sz w:val="20"/>
          <w:szCs w:val="20"/>
          <w:color w:val="auto"/>
        </w:rPr>
      </w:pPr>
    </w:p>
    <w:p>
      <w:pPr>
        <w:jc w:val="both"/>
        <w:ind w:left="580" w:right="20" w:hanging="292"/>
        <w:spacing w:after="0" w:line="235" w:lineRule="auto"/>
        <w:tabs>
          <w:tab w:leader="none" w:pos="57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ind w:left="580" w:right="20" w:hanging="292"/>
        <w:spacing w:after="0" w:line="221" w:lineRule="auto"/>
        <w:tabs>
          <w:tab w:leader="none" w:pos="57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audits in order to design audit procedures that are appropriate in the circumstances, but not for the purposes of expressing an opinion on the effectiveness of the Company’s internal control.</w:t>
      </w:r>
    </w:p>
    <w:p>
      <w:pPr>
        <w:spacing w:after="0" w:line="1" w:lineRule="exact"/>
        <w:rPr>
          <w:sz w:val="20"/>
          <w:szCs w:val="20"/>
          <w:color w:val="auto"/>
        </w:rPr>
      </w:pPr>
    </w:p>
    <w:p>
      <w:pPr>
        <w:ind w:left="280"/>
        <w:spacing w:after="0"/>
        <w:tabs>
          <w:tab w:leader="none" w:pos="560" w:val="left"/>
          <w:tab w:leader="none" w:pos="7500" w:val="left"/>
        </w:tabs>
        <w:rPr>
          <w:sz w:val="20"/>
          <w:szCs w:val="20"/>
          <w:color w:val="auto"/>
        </w:rPr>
      </w:pPr>
      <w:r>
        <w:rPr>
          <w:rFonts w:ascii="Times New Roman" w:cs="Times New Roman" w:eastAsia="Times New Roman" w:hAnsi="Times New Roman"/>
          <w:sz w:val="16"/>
          <w:szCs w:val="16"/>
          <w:color w:val="auto"/>
        </w:rPr>
        <w:t>•</w:t>
        <w:tab/>
        <w:t>Evaluate the appropriateness of accounting policies used and the reasonableness of accounting estimates</w:t>
        <w:tab/>
        <w:t>and related disclosures made by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924560</wp:posOffset>
            </wp:positionV>
            <wp:extent cx="717169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580" w:hanging="292"/>
        <w:spacing w:after="0" w:line="229" w:lineRule="auto"/>
        <w:tabs>
          <w:tab w:leader="none" w:pos="57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1" w:lineRule="exact"/>
        <w:rPr>
          <w:rFonts w:ascii="Times New Roman" w:cs="Times New Roman" w:eastAsia="Times New Roman" w:hAnsi="Times New Roman"/>
          <w:sz w:val="16"/>
          <w:szCs w:val="16"/>
          <w:color w:val="auto"/>
        </w:rPr>
      </w:pPr>
    </w:p>
    <w:p>
      <w:pPr>
        <w:ind w:left="580" w:right="20" w:hanging="292"/>
        <w:spacing w:after="0" w:line="229" w:lineRule="auto"/>
        <w:tabs>
          <w:tab w:leader="none" w:pos="57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jc w:val="both"/>
        <w:ind w:left="580" w:right="20" w:hanging="292"/>
        <w:spacing w:after="0" w:line="226" w:lineRule="auto"/>
        <w:tabs>
          <w:tab w:leader="none" w:pos="57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audits. We remain solely responsible for our audit opinion.</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communicate with those charged with governance regarding, among other matters, the planned scope and timing of the audits and significant audit findings, including any significant deficiencies in internal control that we identify during our audits.</w:t>
      </w:r>
    </w:p>
    <w:p>
      <w:pPr>
        <w:spacing w:after="0" w:line="18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17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From the matters communicated with those charged with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engagement partner on the audits resulting in this independent auditors’ report is Laurence W. Zeifman, CPA, CA.</w:t>
      </w:r>
    </w:p>
    <w:p>
      <w:pPr>
        <w:sectPr>
          <w:pgSz w:w="11900" w:h="16838" w:orient="portrait"/>
          <w:cols w:equalWidth="0" w:num="1">
            <w:col w:w="11260"/>
          </w:cols>
          <w:pgMar w:left="320" w:top="1440" w:right="319" w:bottom="1440" w:gutter="0" w:footer="0" w:header="0"/>
        </w:sect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Toronto, Ontario</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Chartered Professional Accountants</w:t>
      </w:r>
    </w:p>
    <w:p>
      <w:pPr>
        <w:spacing w:after="0" w:line="34" w:lineRule="exact"/>
        <w:rPr>
          <w:sz w:val="20"/>
          <w:szCs w:val="20"/>
          <w:color w:val="auto"/>
        </w:rPr>
      </w:pPr>
    </w:p>
    <w:p>
      <w:pPr>
        <w:sectPr>
          <w:pgSz w:w="11900" w:h="16838" w:orient="portrait"/>
          <w:cols w:equalWidth="0" w:num="2">
            <w:col w:w="1240" w:space="720"/>
            <w:col w:w="9300"/>
          </w:cols>
          <w:pgMar w:left="320" w:top="144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June 25,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Licensed Public Accountants</w:t>
      </w:r>
    </w:p>
    <w:p>
      <w:pPr>
        <w:spacing w:after="0" w:line="24" w:lineRule="exact"/>
        <w:rPr>
          <w:sz w:val="20"/>
          <w:szCs w:val="20"/>
          <w:color w:val="auto"/>
        </w:rPr>
      </w:pPr>
    </w:p>
    <w:p>
      <w:pPr>
        <w:sectPr>
          <w:pgSz w:w="11900" w:h="16838" w:orient="portrait"/>
          <w:cols w:equalWidth="0" w:num="2">
            <w:col w:w="1060" w:space="720"/>
            <w:col w:w="9480"/>
          </w:cols>
          <w:pgMar w:left="320" w:top="1440"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1149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1204595</wp:posOffset>
            </wp:positionV>
            <wp:extent cx="717169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23" w:name="page24"/>
    <w:bookmarkEnd w:id="2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CONSOLIDATED STATEMENTS OF FINANCIAL POSITION</w:t>
      </w:r>
    </w:p>
    <w:p>
      <w:pPr>
        <w:ind w:left="60"/>
        <w:spacing w:after="0" w:line="238" w:lineRule="auto"/>
        <w:rPr>
          <w:sz w:val="20"/>
          <w:szCs w:val="20"/>
          <w:color w:val="auto"/>
        </w:rPr>
      </w:pPr>
      <w:r>
        <w:rPr>
          <w:rFonts w:ascii="Calibri" w:cs="Calibri" w:eastAsia="Calibri" w:hAnsi="Calibri"/>
          <w:sz w:val="19"/>
          <w:szCs w:val="19"/>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462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860" w:type="dxa"/>
            <w:vAlign w:val="bottom"/>
            <w:tcBorders>
              <w:bottom w:val="single" w:sz="8" w:color="auto"/>
            </w:tcBorders>
          </w:tcPr>
          <w:p>
            <w:pPr>
              <w:jc w:val="center"/>
              <w:ind w:left="1207"/>
              <w:spacing w:after="0"/>
              <w:rPr>
                <w:sz w:val="20"/>
                <w:szCs w:val="20"/>
                <w:color w:val="auto"/>
              </w:rPr>
            </w:pPr>
            <w:r>
              <w:rPr>
                <w:rFonts w:ascii="Calibri" w:cs="Calibri" w:eastAsia="Calibri" w:hAnsi="Calibri"/>
                <w:sz w:val="15"/>
                <w:szCs w:val="15"/>
                <w:i w:val="1"/>
                <w:iCs w:val="1"/>
                <w:color w:val="auto"/>
                <w:w w:val="95"/>
              </w:rPr>
              <w:t>Notes</w:t>
            </w:r>
          </w:p>
        </w:tc>
        <w:tc>
          <w:tcPr>
            <w:tcW w:w="2060" w:type="dxa"/>
            <w:vAlign w:val="bottom"/>
            <w:tcBorders>
              <w:bottom w:val="single" w:sz="8" w:color="auto"/>
            </w:tcBorders>
          </w:tcPr>
          <w:p>
            <w:pPr>
              <w:jc w:val="right"/>
              <w:ind w:right="427"/>
              <w:spacing w:after="0"/>
              <w:rPr>
                <w:sz w:val="20"/>
                <w:szCs w:val="20"/>
                <w:color w:val="auto"/>
              </w:rPr>
            </w:pPr>
            <w:r>
              <w:rPr>
                <w:rFonts w:ascii="Calibri" w:cs="Calibri" w:eastAsia="Calibri" w:hAnsi="Calibri"/>
                <w:sz w:val="15"/>
                <w:szCs w:val="15"/>
                <w:b w:val="1"/>
                <w:bCs w:val="1"/>
                <w:color w:val="auto"/>
              </w:rPr>
              <w:t>March 31, 2024</w:t>
            </w: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b w:val="1"/>
                <w:bCs w:val="1"/>
                <w:color w:val="auto"/>
              </w:rPr>
              <w:t>March 31, 2023</w:t>
            </w:r>
          </w:p>
        </w:tc>
      </w:tr>
      <w:tr>
        <w:trPr>
          <w:trHeight w:val="359"/>
        </w:trPr>
        <w:tc>
          <w:tcPr>
            <w:tcW w:w="4840" w:type="dxa"/>
            <w:vAlign w:val="bottom"/>
          </w:tcPr>
          <w:p>
            <w:pPr>
              <w:ind w:left="60"/>
              <w:spacing w:after="0"/>
              <w:rPr>
                <w:sz w:val="20"/>
                <w:szCs w:val="20"/>
                <w:color w:val="auto"/>
              </w:rPr>
            </w:pPr>
            <w:r>
              <w:rPr>
                <w:rFonts w:ascii="Calibri" w:cs="Calibri" w:eastAsia="Calibri" w:hAnsi="Calibri"/>
                <w:sz w:val="15"/>
                <w:szCs w:val="15"/>
                <w:b w:val="1"/>
                <w:bCs w:val="1"/>
                <w:color w:val="auto"/>
              </w:rPr>
              <w:t>ASSETS</w:t>
            </w:r>
          </w:p>
        </w:tc>
        <w:tc>
          <w:tcPr>
            <w:tcW w:w="2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6"/>
        </w:trPr>
        <w:tc>
          <w:tcPr>
            <w:tcW w:w="484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4840" w:type="dxa"/>
            <w:vAlign w:val="bottom"/>
          </w:tcPr>
          <w:p>
            <w:pPr>
              <w:ind w:left="500"/>
              <w:spacing w:after="0"/>
              <w:rPr>
                <w:sz w:val="20"/>
                <w:szCs w:val="20"/>
                <w:color w:val="auto"/>
              </w:rPr>
            </w:pPr>
            <w:r>
              <w:rPr>
                <w:rFonts w:ascii="Calibri" w:cs="Calibri" w:eastAsia="Calibri" w:hAnsi="Calibri"/>
                <w:sz w:val="15"/>
                <w:szCs w:val="15"/>
                <w:color w:val="auto"/>
              </w:rPr>
              <w:t>Cash</w:t>
            </w:r>
          </w:p>
        </w:tc>
        <w:tc>
          <w:tcPr>
            <w:tcW w:w="2860" w:type="dxa"/>
            <w:vAlign w:val="bottom"/>
          </w:tcPr>
          <w:p>
            <w:pPr>
              <w:spacing w:after="0"/>
              <w:rPr>
                <w:sz w:val="20"/>
                <w:szCs w:val="20"/>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208,992</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16,633</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Accounts receivable</w:t>
            </w:r>
          </w:p>
        </w:tc>
        <w:tc>
          <w:tcPr>
            <w:tcW w:w="2860" w:type="dxa"/>
            <w:vAlign w:val="bottom"/>
          </w:tcPr>
          <w:p>
            <w:pPr>
              <w:spacing w:after="0"/>
              <w:rPr>
                <w:sz w:val="18"/>
                <w:szCs w:val="18"/>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4,476</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3,050</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Prepaid expenses</w:t>
            </w:r>
          </w:p>
        </w:tc>
        <w:tc>
          <w:tcPr>
            <w:tcW w:w="2860" w:type="dxa"/>
            <w:vAlign w:val="bottom"/>
          </w:tcPr>
          <w:p>
            <w:pPr>
              <w:spacing w:after="0"/>
              <w:rPr>
                <w:sz w:val="18"/>
                <w:szCs w:val="18"/>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2,891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1,733</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Other current assets</w:t>
            </w:r>
          </w:p>
        </w:tc>
        <w:tc>
          <w:tcPr>
            <w:tcW w:w="2860" w:type="dxa"/>
            <w:vAlign w:val="bottom"/>
          </w:tcPr>
          <w:p>
            <w:pPr>
              <w:spacing w:after="0"/>
              <w:rPr>
                <w:sz w:val="18"/>
                <w:szCs w:val="18"/>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2,177</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1,769</w:t>
            </w:r>
          </w:p>
        </w:tc>
      </w:tr>
      <w:tr>
        <w:trPr>
          <w:trHeight w:val="134"/>
        </w:trPr>
        <w:tc>
          <w:tcPr>
            <w:tcW w:w="48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5"/>
        </w:trPr>
        <w:tc>
          <w:tcPr>
            <w:tcW w:w="484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Current Assets</w:t>
            </w:r>
          </w:p>
        </w:tc>
        <w:tc>
          <w:tcPr>
            <w:tcW w:w="2860" w:type="dxa"/>
            <w:vAlign w:val="bottom"/>
          </w:tcPr>
          <w:p>
            <w:pPr>
              <w:spacing w:after="0"/>
              <w:rPr>
                <w:sz w:val="14"/>
                <w:szCs w:val="14"/>
                <w:color w:val="auto"/>
              </w:rPr>
            </w:pPr>
          </w:p>
        </w:tc>
        <w:tc>
          <w:tcPr>
            <w:tcW w:w="206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218,536</w:t>
            </w:r>
          </w:p>
        </w:tc>
        <w:tc>
          <w:tcPr>
            <w:tcW w:w="1500" w:type="dxa"/>
            <w:vAlign w:val="bottom"/>
          </w:tcPr>
          <w:p>
            <w:pPr>
              <w:jc w:val="right"/>
              <w:spacing w:after="0" w:line="165" w:lineRule="exact"/>
              <w:rPr>
                <w:sz w:val="20"/>
                <w:szCs w:val="20"/>
                <w:color w:val="auto"/>
              </w:rPr>
            </w:pPr>
            <w:r>
              <w:rPr>
                <w:rFonts w:ascii="Calibri" w:cs="Calibri" w:eastAsia="Calibri" w:hAnsi="Calibri"/>
                <w:sz w:val="15"/>
                <w:szCs w:val="15"/>
                <w:color w:val="auto"/>
              </w:rPr>
              <w:t>23,185</w:t>
            </w: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1"/>
        </w:trPr>
        <w:tc>
          <w:tcPr>
            <w:tcW w:w="4840" w:type="dxa"/>
            <w:vAlign w:val="bottom"/>
          </w:tcPr>
          <w:p>
            <w:pPr>
              <w:ind w:left="200"/>
              <w:spacing w:after="0"/>
              <w:rPr>
                <w:sz w:val="20"/>
                <w:szCs w:val="20"/>
                <w:color w:val="auto"/>
              </w:rPr>
            </w:pPr>
            <w:r>
              <w:rPr>
                <w:rFonts w:ascii="Calibri" w:cs="Calibri" w:eastAsia="Calibri" w:hAnsi="Calibri"/>
                <w:sz w:val="15"/>
                <w:szCs w:val="15"/>
                <w:b w:val="1"/>
                <w:bCs w:val="1"/>
                <w:color w:val="auto"/>
              </w:rPr>
              <w:t>Non-current</w:t>
            </w:r>
          </w:p>
        </w:tc>
        <w:tc>
          <w:tcPr>
            <w:tcW w:w="2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0"/>
        </w:trPr>
        <w:tc>
          <w:tcPr>
            <w:tcW w:w="4840" w:type="dxa"/>
            <w:vAlign w:val="bottom"/>
          </w:tcPr>
          <w:p>
            <w:pPr>
              <w:ind w:left="500"/>
              <w:spacing w:after="0"/>
              <w:rPr>
                <w:sz w:val="20"/>
                <w:szCs w:val="20"/>
                <w:color w:val="auto"/>
              </w:rPr>
            </w:pPr>
            <w:r>
              <w:rPr>
                <w:rFonts w:ascii="Calibri" w:cs="Calibri" w:eastAsia="Calibri" w:hAnsi="Calibri"/>
                <w:sz w:val="15"/>
                <w:szCs w:val="15"/>
                <w:color w:val="auto"/>
              </w:rPr>
              <w:t>Equipment</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5</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266</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450</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Intangible assets</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6</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35,465</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5,470</w:t>
            </w:r>
          </w:p>
        </w:tc>
      </w:tr>
      <w:tr>
        <w:trPr>
          <w:trHeight w:val="194"/>
        </w:trPr>
        <w:tc>
          <w:tcPr>
            <w:tcW w:w="4840" w:type="dxa"/>
            <w:vAlign w:val="bottom"/>
          </w:tcPr>
          <w:p>
            <w:pPr>
              <w:ind w:left="480"/>
              <w:spacing w:after="0"/>
              <w:rPr>
                <w:sz w:val="20"/>
                <w:szCs w:val="20"/>
                <w:color w:val="auto"/>
              </w:rPr>
            </w:pPr>
            <w:r>
              <w:rPr>
                <w:rFonts w:ascii="Calibri" w:cs="Calibri" w:eastAsia="Calibri" w:hAnsi="Calibri"/>
                <w:sz w:val="15"/>
                <w:szCs w:val="15"/>
                <w:color w:val="auto"/>
              </w:rPr>
              <w:t>Right-of-use asset</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7</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281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Goodwill</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8</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47,475</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24,792</w:t>
            </w:r>
          </w:p>
        </w:tc>
      </w:tr>
      <w:tr>
        <w:trPr>
          <w:trHeight w:val="134"/>
        </w:trPr>
        <w:tc>
          <w:tcPr>
            <w:tcW w:w="48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5"/>
        </w:trPr>
        <w:tc>
          <w:tcPr>
            <w:tcW w:w="484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Non-Current Assets</w:t>
            </w:r>
          </w:p>
        </w:tc>
        <w:tc>
          <w:tcPr>
            <w:tcW w:w="2860" w:type="dxa"/>
            <w:vAlign w:val="bottom"/>
          </w:tcPr>
          <w:p>
            <w:pPr>
              <w:spacing w:after="0"/>
              <w:rPr>
                <w:sz w:val="14"/>
                <w:szCs w:val="14"/>
                <w:color w:val="auto"/>
              </w:rPr>
            </w:pPr>
          </w:p>
        </w:tc>
        <w:tc>
          <w:tcPr>
            <w:tcW w:w="206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83,487</w:t>
            </w:r>
          </w:p>
        </w:tc>
        <w:tc>
          <w:tcPr>
            <w:tcW w:w="1500" w:type="dxa"/>
            <w:vAlign w:val="bottom"/>
          </w:tcPr>
          <w:p>
            <w:pPr>
              <w:jc w:val="right"/>
              <w:spacing w:after="0" w:line="165" w:lineRule="exact"/>
              <w:rPr>
                <w:sz w:val="20"/>
                <w:szCs w:val="20"/>
                <w:color w:val="auto"/>
              </w:rPr>
            </w:pPr>
            <w:r>
              <w:rPr>
                <w:rFonts w:ascii="Calibri" w:cs="Calibri" w:eastAsia="Calibri" w:hAnsi="Calibri"/>
                <w:sz w:val="15"/>
                <w:szCs w:val="15"/>
                <w:color w:val="auto"/>
              </w:rPr>
              <w:t>30,712</w:t>
            </w: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
        </w:trPr>
        <w:tc>
          <w:tcPr>
            <w:tcW w:w="48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484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ASSETS</w:t>
            </w:r>
          </w:p>
        </w:tc>
        <w:tc>
          <w:tcPr>
            <w:tcW w:w="2860" w:type="dxa"/>
            <w:vAlign w:val="bottom"/>
            <w:tcBorders>
              <w:bottom w:val="single" w:sz="8" w:color="D9D9D9"/>
            </w:tcBorders>
            <w:shd w:val="clear" w:color="auto" w:fill="D9D9D9"/>
          </w:tcPr>
          <w:p>
            <w:pPr>
              <w:spacing w:after="0"/>
              <w:rPr>
                <w:sz w:val="16"/>
                <w:szCs w:val="16"/>
                <w:color w:val="auto"/>
              </w:rPr>
            </w:pPr>
          </w:p>
        </w:tc>
        <w:tc>
          <w:tcPr>
            <w:tcW w:w="206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302,023</w:t>
            </w:r>
          </w:p>
        </w:tc>
        <w:tc>
          <w:tcPr>
            <w:tcW w:w="150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53,897</w:t>
            </w:r>
          </w:p>
        </w:tc>
      </w:tr>
      <w:tr>
        <w:trPr>
          <w:trHeight w:val="198"/>
        </w:trPr>
        <w:tc>
          <w:tcPr>
            <w:tcW w:w="484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286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06"/>
        </w:trPr>
        <w:tc>
          <w:tcPr>
            <w:tcW w:w="484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484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2860" w:type="dxa"/>
            <w:vAlign w:val="bottom"/>
          </w:tcPr>
          <w:p>
            <w:pPr>
              <w:spacing w:after="0"/>
              <w:rPr>
                <w:sz w:val="20"/>
                <w:szCs w:val="20"/>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9,805</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5,663</w:t>
            </w:r>
          </w:p>
        </w:tc>
      </w:tr>
      <w:tr>
        <w:trPr>
          <w:trHeight w:val="194"/>
        </w:trPr>
        <w:tc>
          <w:tcPr>
            <w:tcW w:w="4840" w:type="dxa"/>
            <w:vAlign w:val="bottom"/>
          </w:tcPr>
          <w:p>
            <w:pPr>
              <w:ind w:left="500"/>
              <w:spacing w:after="0"/>
              <w:rPr>
                <w:sz w:val="20"/>
                <w:szCs w:val="20"/>
                <w:color w:val="auto"/>
              </w:rPr>
            </w:pPr>
            <w:r>
              <w:rPr>
                <w:rFonts w:ascii="Calibri" w:cs="Calibri" w:eastAsia="Calibri" w:hAnsi="Calibri"/>
                <w:sz w:val="15"/>
                <w:szCs w:val="15"/>
                <w:color w:val="auto"/>
              </w:rPr>
              <w:t>Lease liabilites</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7</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291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158"/>
        </w:trPr>
        <w:tc>
          <w:tcPr>
            <w:tcW w:w="48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65"/>
        </w:trPr>
        <w:tc>
          <w:tcPr>
            <w:tcW w:w="484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Liabilites</w:t>
            </w:r>
          </w:p>
        </w:tc>
        <w:tc>
          <w:tcPr>
            <w:tcW w:w="2860" w:type="dxa"/>
            <w:vAlign w:val="bottom"/>
          </w:tcPr>
          <w:p>
            <w:pPr>
              <w:spacing w:after="0"/>
              <w:rPr>
                <w:sz w:val="14"/>
                <w:szCs w:val="14"/>
                <w:color w:val="auto"/>
              </w:rPr>
            </w:pPr>
          </w:p>
        </w:tc>
        <w:tc>
          <w:tcPr>
            <w:tcW w:w="206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10,096</w:t>
            </w:r>
          </w:p>
        </w:tc>
        <w:tc>
          <w:tcPr>
            <w:tcW w:w="1500" w:type="dxa"/>
            <w:vAlign w:val="bottom"/>
          </w:tcPr>
          <w:p>
            <w:pPr>
              <w:jc w:val="right"/>
              <w:spacing w:after="0" w:line="165" w:lineRule="exact"/>
              <w:rPr>
                <w:sz w:val="20"/>
                <w:szCs w:val="20"/>
                <w:color w:val="auto"/>
              </w:rPr>
            </w:pPr>
            <w:r>
              <w:rPr>
                <w:rFonts w:ascii="Calibri" w:cs="Calibri" w:eastAsia="Calibri" w:hAnsi="Calibri"/>
                <w:sz w:val="15"/>
                <w:szCs w:val="15"/>
                <w:color w:val="auto"/>
              </w:rPr>
              <w:t>5,663</w:t>
            </w: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8"/>
        </w:trPr>
        <w:tc>
          <w:tcPr>
            <w:tcW w:w="4840" w:type="dxa"/>
            <w:vAlign w:val="bottom"/>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2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Share capital</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9</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443,877</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158,162</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2860" w:type="dxa"/>
            <w:vAlign w:val="bottom"/>
          </w:tcPr>
          <w:p>
            <w:pPr>
              <w:spacing w:after="0"/>
              <w:rPr>
                <w:sz w:val="18"/>
                <w:szCs w:val="18"/>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11,750</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2,102</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Optons reserve</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9</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39,177</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27,283</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Warrants reserve</w:t>
            </w:r>
          </w:p>
        </w:tc>
        <w:tc>
          <w:tcPr>
            <w:tcW w:w="2860" w:type="dxa"/>
            <w:vAlign w:val="bottom"/>
          </w:tcPr>
          <w:p>
            <w:pPr>
              <w:jc w:val="center"/>
              <w:ind w:left="1227"/>
              <w:spacing w:after="0"/>
              <w:rPr>
                <w:sz w:val="20"/>
                <w:szCs w:val="20"/>
                <w:color w:val="auto"/>
              </w:rPr>
            </w:pPr>
            <w:r>
              <w:rPr>
                <w:rFonts w:ascii="Calibri" w:cs="Calibri" w:eastAsia="Calibri" w:hAnsi="Calibri"/>
                <w:sz w:val="15"/>
                <w:szCs w:val="15"/>
                <w:i w:val="1"/>
                <w:iCs w:val="1"/>
                <w:color w:val="auto"/>
              </w:rPr>
              <w:t>9</w:t>
            </w: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25,639</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10,873</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Accumulated other comprehensive loss</w:t>
            </w:r>
          </w:p>
        </w:tc>
        <w:tc>
          <w:tcPr>
            <w:tcW w:w="2860" w:type="dxa"/>
            <w:vAlign w:val="bottom"/>
          </w:tcPr>
          <w:p>
            <w:pPr>
              <w:spacing w:after="0"/>
              <w:rPr>
                <w:sz w:val="18"/>
                <w:szCs w:val="18"/>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(2,285)</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(2,035)</w:t>
            </w:r>
          </w:p>
        </w:tc>
      </w:tr>
      <w:tr>
        <w:trPr>
          <w:trHeight w:val="218"/>
        </w:trPr>
        <w:tc>
          <w:tcPr>
            <w:tcW w:w="484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2860" w:type="dxa"/>
            <w:vAlign w:val="bottom"/>
          </w:tcPr>
          <w:p>
            <w:pPr>
              <w:spacing w:after="0"/>
              <w:rPr>
                <w:sz w:val="18"/>
                <w:szCs w:val="18"/>
                <w:color w:val="auto"/>
              </w:rPr>
            </w:pPr>
          </w:p>
        </w:tc>
        <w:tc>
          <w:tcPr>
            <w:tcW w:w="20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(226,231)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(148,151)</w:t>
            </w:r>
          </w:p>
        </w:tc>
      </w:tr>
      <w:tr>
        <w:trPr>
          <w:trHeight w:val="134"/>
        </w:trPr>
        <w:tc>
          <w:tcPr>
            <w:tcW w:w="48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91"/>
        </w:trPr>
        <w:tc>
          <w:tcPr>
            <w:tcW w:w="484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SHAREHOLDERS' EQUITY</w:t>
            </w:r>
          </w:p>
        </w:tc>
        <w:tc>
          <w:tcPr>
            <w:tcW w:w="2860" w:type="dxa"/>
            <w:vAlign w:val="bottom"/>
            <w:tcBorders>
              <w:bottom w:val="single" w:sz="8" w:color="D9D9D9"/>
            </w:tcBorders>
            <w:shd w:val="clear" w:color="auto" w:fill="D9D9D9"/>
          </w:tcPr>
          <w:p>
            <w:pPr>
              <w:spacing w:after="0"/>
              <w:rPr>
                <w:sz w:val="16"/>
                <w:szCs w:val="16"/>
                <w:color w:val="auto"/>
              </w:rPr>
            </w:pPr>
          </w:p>
        </w:tc>
        <w:tc>
          <w:tcPr>
            <w:tcW w:w="2060" w:type="dxa"/>
            <w:vAlign w:val="bottom"/>
            <w:tcBorders>
              <w:bottom w:val="single" w:sz="8" w:color="D9D9D9"/>
            </w:tcBorders>
            <w:shd w:val="clear" w:color="auto" w:fill="D9D9D9"/>
          </w:tcPr>
          <w:p>
            <w:pPr>
              <w:jc w:val="right"/>
              <w:ind w:right="427"/>
              <w:spacing w:after="0" w:line="165" w:lineRule="exact"/>
              <w:rPr>
                <w:sz w:val="20"/>
                <w:szCs w:val="20"/>
                <w:color w:val="auto"/>
              </w:rPr>
            </w:pPr>
            <w:r>
              <w:rPr>
                <w:rFonts w:ascii="Calibri" w:cs="Calibri" w:eastAsia="Calibri" w:hAnsi="Calibri"/>
                <w:sz w:val="15"/>
                <w:szCs w:val="15"/>
                <w:b w:val="1"/>
                <w:bCs w:val="1"/>
                <w:color w:val="auto"/>
              </w:rPr>
              <w:t>291,927</w:t>
            </w:r>
          </w:p>
        </w:tc>
        <w:tc>
          <w:tcPr>
            <w:tcW w:w="150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48,234</w:t>
            </w:r>
          </w:p>
        </w:tc>
      </w:tr>
      <w:tr>
        <w:trPr>
          <w:trHeight w:val="29"/>
        </w:trPr>
        <w:tc>
          <w:tcPr>
            <w:tcW w:w="4840" w:type="dxa"/>
            <w:vAlign w:val="bottom"/>
            <w:tcBorders>
              <w:top w:val="single" w:sz="8" w:color="auto"/>
            </w:tcBorders>
          </w:tcPr>
          <w:p>
            <w:pPr>
              <w:spacing w:after="0"/>
              <w:rPr>
                <w:sz w:val="2"/>
                <w:szCs w:val="2"/>
                <w:color w:val="auto"/>
              </w:rPr>
            </w:pPr>
          </w:p>
        </w:tc>
        <w:tc>
          <w:tcPr>
            <w:tcW w:w="2860" w:type="dxa"/>
            <w:vAlign w:val="bottom"/>
            <w:tcBorders>
              <w:top w:val="single" w:sz="8" w:color="auto"/>
            </w:tcBorders>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r>
      <w:tr>
        <w:trPr>
          <w:trHeight w:val="174"/>
        </w:trPr>
        <w:tc>
          <w:tcPr>
            <w:tcW w:w="484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2860" w:type="dxa"/>
            <w:vAlign w:val="bottom"/>
            <w:tcBorders>
              <w:bottom w:val="single" w:sz="8" w:color="D9D9D9"/>
            </w:tcBorders>
            <w:shd w:val="clear" w:color="auto" w:fill="D9D9D9"/>
          </w:tcPr>
          <w:p>
            <w:pPr>
              <w:spacing w:after="0"/>
              <w:rPr>
                <w:sz w:val="15"/>
                <w:szCs w:val="15"/>
                <w:color w:val="auto"/>
              </w:rPr>
            </w:pPr>
          </w:p>
        </w:tc>
        <w:tc>
          <w:tcPr>
            <w:tcW w:w="206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302,023</w:t>
            </w:r>
          </w:p>
        </w:tc>
        <w:tc>
          <w:tcPr>
            <w:tcW w:w="150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53,897</w:t>
            </w:r>
          </w:p>
        </w:tc>
      </w:tr>
      <w:tr>
        <w:trPr>
          <w:trHeight w:val="20"/>
        </w:trPr>
        <w:tc>
          <w:tcPr>
            <w:tcW w:w="484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 Contracts, commitments and contngencies (note 13)Subsequent events (note 17)</w:t>
      </w:r>
    </w:p>
    <w:p>
      <w:pPr>
        <w:spacing w:after="0" w:line="148"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p>
    <w:p>
      <w:pPr>
        <w:spacing w:after="0" w:line="120" w:lineRule="exact"/>
        <w:rPr>
          <w:sz w:val="20"/>
          <w:szCs w:val="20"/>
          <w:color w:val="auto"/>
        </w:rPr>
      </w:pPr>
    </w:p>
    <w:p>
      <w:pPr>
        <w:spacing w:after="0"/>
        <w:rPr>
          <w:sz w:val="20"/>
          <w:szCs w:val="20"/>
          <w:color w:val="auto"/>
        </w:rPr>
      </w:pPr>
      <w:r>
        <w:rPr>
          <w:rFonts w:ascii="Calibri" w:cs="Calibri" w:eastAsia="Calibri" w:hAnsi="Calibri"/>
          <w:sz w:val="16"/>
          <w:szCs w:val="16"/>
          <w:color w:val="auto"/>
        </w:rPr>
        <w:t>These consolidated fnancial statements were approved for issue on June 25, 2024 by the board of directors and signed on its behalf by:</w:t>
      </w:r>
    </w:p>
    <w:p>
      <w:pPr>
        <w:spacing w:after="0" w:line="108" w:lineRule="exact"/>
        <w:rPr>
          <w:sz w:val="20"/>
          <w:szCs w:val="20"/>
          <w:color w:val="auto"/>
        </w:rPr>
      </w:pPr>
    </w:p>
    <w:p>
      <w:pPr>
        <w:spacing w:after="0"/>
        <w:tabs>
          <w:tab w:leader="none" w:pos="272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801370</wp:posOffset>
            </wp:positionV>
            <wp:extent cx="717169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24" w:name="page25"/>
    <w:bookmarkEnd w:id="2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25" w:lineRule="auto"/>
        <w:rPr>
          <w:sz w:val="20"/>
          <w:szCs w:val="20"/>
          <w:color w:val="auto"/>
        </w:rPr>
      </w:pPr>
      <w:r>
        <w:rPr>
          <w:rFonts w:ascii="Calibri" w:cs="Calibri" w:eastAsia="Calibri" w:hAnsi="Calibri"/>
          <w:sz w:val="19"/>
          <w:szCs w:val="19"/>
          <w:b w:val="1"/>
          <w:bCs w:val="1"/>
          <w:color w:val="auto"/>
        </w:rPr>
        <w:t>CONSOLIDATED STATEMENTS OF LOSS AND COMPREHENSIVE LOSS</w:t>
      </w:r>
    </w:p>
    <w:p>
      <w:pPr>
        <w:ind w:left="60"/>
        <w:spacing w:after="0"/>
        <w:rPr>
          <w:sz w:val="20"/>
          <w:szCs w:val="20"/>
          <w:color w:val="auto"/>
        </w:rPr>
      </w:pPr>
      <w:r>
        <w:rPr>
          <w:rFonts w:ascii="Calibri" w:cs="Calibri" w:eastAsia="Calibri" w:hAnsi="Calibri"/>
          <w:sz w:val="19"/>
          <w:szCs w:val="19"/>
          <w:b w:val="1"/>
          <w:bCs w:val="1"/>
          <w:color w:val="auto"/>
        </w:rPr>
        <w:t>(All amounts expressed in thousands of Canadian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462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40" w:type="dxa"/>
            <w:vAlign w:val="bottom"/>
            <w:gridSpan w:val="2"/>
          </w:tcPr>
          <w:p>
            <w:pPr>
              <w:jc w:val="right"/>
              <w:ind w:right="527"/>
              <w:spacing w:after="0"/>
              <w:rPr>
                <w:sz w:val="20"/>
                <w:szCs w:val="20"/>
                <w:color w:val="auto"/>
              </w:rPr>
            </w:pPr>
            <w:r>
              <w:rPr>
                <w:rFonts w:ascii="Calibri" w:cs="Calibri" w:eastAsia="Calibri" w:hAnsi="Calibri"/>
                <w:sz w:val="16"/>
                <w:szCs w:val="16"/>
                <w:b w:val="1"/>
                <w:bCs w:val="1"/>
                <w:color w:val="auto"/>
              </w:rPr>
              <w:t>For the year ended</w:t>
            </w:r>
          </w:p>
        </w:tc>
      </w:tr>
      <w:tr>
        <w:trPr>
          <w:trHeight w:val="193"/>
        </w:trPr>
        <w:tc>
          <w:tcPr>
            <w:tcW w:w="6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March 31,</w:t>
            </w:r>
          </w:p>
        </w:tc>
        <w:tc>
          <w:tcPr>
            <w:tcW w:w="840" w:type="dxa"/>
            <w:vAlign w:val="bottom"/>
          </w:tcPr>
          <w:p>
            <w:pPr>
              <w:spacing w:after="0"/>
              <w:rPr>
                <w:sz w:val="16"/>
                <w:szCs w:val="16"/>
                <w:color w:val="auto"/>
              </w:rPr>
            </w:pPr>
          </w:p>
        </w:tc>
      </w:tr>
      <w:tr>
        <w:trPr>
          <w:trHeight w:val="33"/>
        </w:trPr>
        <w:tc>
          <w:tcPr>
            <w:tcW w:w="65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5"/>
        </w:trPr>
        <w:tc>
          <w:tcPr>
            <w:tcW w:w="6560" w:type="dxa"/>
            <w:vAlign w:val="bottom"/>
          </w:tcPr>
          <w:p>
            <w:pPr>
              <w:spacing w:after="0"/>
              <w:rPr>
                <w:sz w:val="14"/>
                <w:szCs w:val="14"/>
                <w:color w:val="auto"/>
              </w:rPr>
            </w:pPr>
          </w:p>
        </w:tc>
        <w:tc>
          <w:tcPr>
            <w:tcW w:w="2260" w:type="dxa"/>
            <w:vAlign w:val="bottom"/>
          </w:tcPr>
          <w:p>
            <w:pPr>
              <w:ind w:left="1860"/>
              <w:spacing w:after="0" w:line="165" w:lineRule="exact"/>
              <w:rPr>
                <w:sz w:val="20"/>
                <w:szCs w:val="20"/>
                <w:color w:val="auto"/>
              </w:rPr>
            </w:pPr>
            <w:r>
              <w:rPr>
                <w:rFonts w:ascii="Calibri" w:cs="Calibri" w:eastAsia="Calibri" w:hAnsi="Calibri"/>
                <w:sz w:val="15"/>
                <w:szCs w:val="15"/>
                <w:i w:val="1"/>
                <w:iCs w:val="1"/>
                <w:color w:val="auto"/>
              </w:rPr>
              <w:t>Notes</w:t>
            </w:r>
          </w:p>
        </w:tc>
        <w:tc>
          <w:tcPr>
            <w:tcW w:w="1600" w:type="dxa"/>
            <w:vAlign w:val="bottom"/>
          </w:tcPr>
          <w:p>
            <w:pPr>
              <w:jc w:val="right"/>
              <w:ind w:right="366"/>
              <w:spacing w:after="0" w:line="165" w:lineRule="exact"/>
              <w:rPr>
                <w:sz w:val="20"/>
                <w:szCs w:val="20"/>
                <w:color w:val="auto"/>
              </w:rPr>
            </w:pPr>
            <w:r>
              <w:rPr>
                <w:rFonts w:ascii="Calibri" w:cs="Calibri" w:eastAsia="Calibri" w:hAnsi="Calibri"/>
                <w:sz w:val="15"/>
                <w:szCs w:val="15"/>
                <w:b w:val="1"/>
                <w:bCs w:val="1"/>
                <w:color w:val="auto"/>
              </w:rPr>
              <w:t>2024</w:t>
            </w:r>
          </w:p>
        </w:tc>
        <w:tc>
          <w:tcPr>
            <w:tcW w:w="84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2023</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80"/>
        </w:trPr>
        <w:tc>
          <w:tcPr>
            <w:tcW w:w="656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2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8"/>
        </w:trPr>
        <w:tc>
          <w:tcPr>
            <w:tcW w:w="6560" w:type="dxa"/>
            <w:vAlign w:val="bottom"/>
          </w:tcPr>
          <w:p>
            <w:pPr>
              <w:ind w:left="200"/>
              <w:spacing w:after="0"/>
              <w:rPr>
                <w:sz w:val="20"/>
                <w:szCs w:val="20"/>
                <w:color w:val="auto"/>
              </w:rPr>
            </w:pPr>
            <w:r>
              <w:rPr>
                <w:rFonts w:ascii="Calibri" w:cs="Calibri" w:eastAsia="Calibri" w:hAnsi="Calibri"/>
                <w:sz w:val="15"/>
                <w:szCs w:val="15"/>
                <w:color w:val="auto"/>
              </w:rPr>
              <w:t>Research</w:t>
            </w:r>
          </w:p>
        </w:tc>
        <w:tc>
          <w:tcPr>
            <w:tcW w:w="2260" w:type="dxa"/>
            <w:vAlign w:val="bottom"/>
          </w:tcPr>
          <w:p>
            <w:pPr>
              <w:jc w:val="center"/>
              <w:ind w:left="1127"/>
              <w:spacing w:after="0"/>
              <w:rPr>
                <w:sz w:val="20"/>
                <w:szCs w:val="20"/>
                <w:color w:val="auto"/>
              </w:rPr>
            </w:pPr>
            <w:r>
              <w:rPr>
                <w:rFonts w:ascii="Calibri" w:cs="Calibri" w:eastAsia="Calibri" w:hAnsi="Calibri"/>
                <w:sz w:val="15"/>
                <w:szCs w:val="15"/>
                <w:i w:val="1"/>
                <w:iCs w:val="1"/>
                <w:color w:val="auto"/>
                <w:w w:val="91"/>
              </w:rPr>
              <w:t>12</w:t>
            </w: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32,362</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25,491</w:t>
            </w:r>
          </w:p>
        </w:tc>
      </w:tr>
      <w:tr>
        <w:trPr>
          <w:trHeight w:val="218"/>
        </w:trPr>
        <w:tc>
          <w:tcPr>
            <w:tcW w:w="6560" w:type="dxa"/>
            <w:vAlign w:val="bottom"/>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2260" w:type="dxa"/>
            <w:vAlign w:val="bottom"/>
          </w:tcPr>
          <w:p>
            <w:pPr>
              <w:jc w:val="center"/>
              <w:ind w:left="1127"/>
              <w:spacing w:after="0"/>
              <w:rPr>
                <w:sz w:val="20"/>
                <w:szCs w:val="20"/>
                <w:color w:val="auto"/>
              </w:rPr>
            </w:pPr>
            <w:r>
              <w:rPr>
                <w:rFonts w:ascii="Calibri" w:cs="Calibri" w:eastAsia="Calibri" w:hAnsi="Calibri"/>
                <w:sz w:val="15"/>
                <w:szCs w:val="15"/>
                <w:i w:val="1"/>
                <w:iCs w:val="1"/>
                <w:color w:val="auto"/>
                <w:w w:val="91"/>
              </w:rPr>
              <w:t>11</w:t>
            </w: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32,588</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21,341</w:t>
            </w:r>
          </w:p>
        </w:tc>
      </w:tr>
      <w:tr>
        <w:trPr>
          <w:trHeight w:val="218"/>
        </w:trPr>
        <w:tc>
          <w:tcPr>
            <w:tcW w:w="6560" w:type="dxa"/>
            <w:vAlign w:val="bottom"/>
          </w:tcPr>
          <w:p>
            <w:pPr>
              <w:ind w:left="200"/>
              <w:spacing w:after="0"/>
              <w:rPr>
                <w:sz w:val="20"/>
                <w:szCs w:val="20"/>
                <w:color w:val="auto"/>
              </w:rPr>
            </w:pPr>
            <w:r>
              <w:rPr>
                <w:rFonts w:ascii="Calibri" w:cs="Calibri" w:eastAsia="Calibri" w:hAnsi="Calibri"/>
                <w:sz w:val="15"/>
                <w:szCs w:val="15"/>
                <w:color w:val="auto"/>
              </w:rPr>
              <w:t>Share-based compensaton</w:t>
            </w:r>
          </w:p>
        </w:tc>
        <w:tc>
          <w:tcPr>
            <w:tcW w:w="2260" w:type="dxa"/>
            <w:vAlign w:val="bottom"/>
          </w:tcPr>
          <w:p>
            <w:pPr>
              <w:jc w:val="center"/>
              <w:ind w:left="1127"/>
              <w:spacing w:after="0"/>
              <w:rPr>
                <w:sz w:val="20"/>
                <w:szCs w:val="20"/>
                <w:color w:val="auto"/>
              </w:rPr>
            </w:pPr>
            <w:r>
              <w:rPr>
                <w:rFonts w:ascii="Calibri" w:cs="Calibri" w:eastAsia="Calibri" w:hAnsi="Calibri"/>
                <w:sz w:val="15"/>
                <w:szCs w:val="15"/>
                <w:i w:val="1"/>
                <w:iCs w:val="1"/>
                <w:color w:val="auto"/>
                <w:w w:val="78"/>
              </w:rPr>
              <w:t>9</w:t>
            </w: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13,886</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4,686</w:t>
            </w:r>
          </w:p>
        </w:tc>
      </w:tr>
      <w:tr>
        <w:trPr>
          <w:trHeight w:val="255"/>
        </w:trPr>
        <w:tc>
          <w:tcPr>
            <w:tcW w:w="65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165"/>
        </w:trPr>
        <w:tc>
          <w:tcPr>
            <w:tcW w:w="656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EXPENSES</w:t>
            </w:r>
          </w:p>
        </w:tc>
        <w:tc>
          <w:tcPr>
            <w:tcW w:w="2260" w:type="dxa"/>
            <w:vAlign w:val="bottom"/>
          </w:tcPr>
          <w:p>
            <w:pPr>
              <w:spacing w:after="0"/>
              <w:rPr>
                <w:sz w:val="14"/>
                <w:szCs w:val="14"/>
                <w:color w:val="auto"/>
              </w:rPr>
            </w:pPr>
          </w:p>
        </w:tc>
        <w:tc>
          <w:tcPr>
            <w:tcW w:w="1600" w:type="dxa"/>
            <w:vAlign w:val="bottom"/>
          </w:tcPr>
          <w:p>
            <w:pPr>
              <w:jc w:val="right"/>
              <w:ind w:right="366"/>
              <w:spacing w:after="0" w:line="165" w:lineRule="exact"/>
              <w:rPr>
                <w:sz w:val="20"/>
                <w:szCs w:val="20"/>
                <w:color w:val="auto"/>
              </w:rPr>
            </w:pPr>
            <w:r>
              <w:rPr>
                <w:rFonts w:ascii="Calibri" w:cs="Calibri" w:eastAsia="Calibri" w:hAnsi="Calibri"/>
                <w:sz w:val="15"/>
                <w:szCs w:val="15"/>
                <w:b w:val="1"/>
                <w:bCs w:val="1"/>
                <w:color w:val="auto"/>
              </w:rPr>
              <w:t>78,836</w:t>
            </w:r>
          </w:p>
        </w:tc>
        <w:tc>
          <w:tcPr>
            <w:tcW w:w="840" w:type="dxa"/>
            <w:vAlign w:val="bottom"/>
          </w:tcPr>
          <w:p>
            <w:pPr>
              <w:jc w:val="right"/>
              <w:spacing w:after="0" w:line="165" w:lineRule="exact"/>
              <w:rPr>
                <w:sz w:val="20"/>
                <w:szCs w:val="20"/>
                <w:color w:val="auto"/>
              </w:rPr>
            </w:pPr>
            <w:r>
              <w:rPr>
                <w:rFonts w:ascii="Calibri" w:cs="Calibri" w:eastAsia="Calibri" w:hAnsi="Calibri"/>
                <w:sz w:val="15"/>
                <w:szCs w:val="15"/>
                <w:color w:val="auto"/>
              </w:rPr>
              <w:t>51,518</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80"/>
        </w:trPr>
        <w:tc>
          <w:tcPr>
            <w:tcW w:w="656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2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8"/>
        </w:trPr>
        <w:tc>
          <w:tcPr>
            <w:tcW w:w="656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2260" w:type="dxa"/>
            <w:vAlign w:val="bottom"/>
          </w:tcPr>
          <w:p>
            <w:pPr>
              <w:spacing w:after="0"/>
              <w:rPr>
                <w:sz w:val="18"/>
                <w:szCs w:val="18"/>
                <w:color w:val="auto"/>
              </w:rPr>
            </w:pP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137</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4,027</w:t>
            </w:r>
          </w:p>
        </w:tc>
      </w:tr>
      <w:tr>
        <w:trPr>
          <w:trHeight w:val="218"/>
        </w:trPr>
        <w:tc>
          <w:tcPr>
            <w:tcW w:w="656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2260" w:type="dxa"/>
            <w:vAlign w:val="bottom"/>
          </w:tcPr>
          <w:p>
            <w:pPr>
              <w:spacing w:after="0"/>
              <w:rPr>
                <w:sz w:val="18"/>
                <w:szCs w:val="18"/>
                <w:color w:val="auto"/>
              </w:rPr>
            </w:pP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619</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603</w:t>
            </w:r>
          </w:p>
        </w:tc>
      </w:tr>
      <w:tr>
        <w:trPr>
          <w:trHeight w:val="194"/>
        </w:trPr>
        <w:tc>
          <w:tcPr>
            <w:tcW w:w="6560" w:type="dxa"/>
            <w:vAlign w:val="bottom"/>
          </w:tcPr>
          <w:p>
            <w:pPr>
              <w:ind w:left="20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2260" w:type="dxa"/>
            <w:vAlign w:val="bottom"/>
          </w:tcPr>
          <w:p>
            <w:pPr>
              <w:spacing w:after="0"/>
              <w:rPr>
                <w:sz w:val="16"/>
                <w:szCs w:val="16"/>
                <w:color w:val="auto"/>
              </w:rPr>
            </w:pP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(260)</w:t>
            </w:r>
          </w:p>
        </w:tc>
      </w:tr>
      <w:tr>
        <w:trPr>
          <w:trHeight w:val="218"/>
        </w:trPr>
        <w:tc>
          <w:tcPr>
            <w:tcW w:w="6560" w:type="dxa"/>
            <w:vAlign w:val="bottom"/>
          </w:tcPr>
          <w:p>
            <w:pPr>
              <w:ind w:left="220"/>
              <w:spacing w:after="0"/>
              <w:rPr>
                <w:sz w:val="20"/>
                <w:szCs w:val="20"/>
                <w:color w:val="auto"/>
              </w:rPr>
            </w:pPr>
            <w:r>
              <w:rPr>
                <w:rFonts w:ascii="Calibri" w:cs="Calibri" w:eastAsia="Calibri" w:hAnsi="Calibri"/>
                <w:sz w:val="15"/>
                <w:szCs w:val="15"/>
                <w:color w:val="auto"/>
              </w:rPr>
              <w:t>Contngent consideraton accreton</w:t>
            </w:r>
          </w:p>
        </w:tc>
        <w:tc>
          <w:tcPr>
            <w:tcW w:w="2260" w:type="dxa"/>
            <w:vAlign w:val="bottom"/>
          </w:tcPr>
          <w:p>
            <w:pPr>
              <w:spacing w:after="0"/>
              <w:rPr>
                <w:sz w:val="18"/>
                <w:szCs w:val="18"/>
                <w:color w:val="auto"/>
              </w:rPr>
            </w:pP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(13)</w:t>
            </w:r>
          </w:p>
        </w:tc>
      </w:tr>
      <w:tr>
        <w:trPr>
          <w:trHeight w:val="206"/>
        </w:trPr>
        <w:tc>
          <w:tcPr>
            <w:tcW w:w="6560" w:type="dxa"/>
            <w:vAlign w:val="bottom"/>
          </w:tcPr>
          <w:p>
            <w:pPr>
              <w:ind w:left="200"/>
              <w:spacing w:after="0"/>
              <w:rPr>
                <w:sz w:val="20"/>
                <w:szCs w:val="20"/>
                <w:color w:val="auto"/>
              </w:rPr>
            </w:pPr>
            <w:r>
              <w:rPr>
                <w:rFonts w:ascii="Calibri" w:cs="Calibri" w:eastAsia="Calibri" w:hAnsi="Calibri"/>
                <w:sz w:val="15"/>
                <w:szCs w:val="15"/>
                <w:color w:val="auto"/>
              </w:rPr>
              <w:t>Change in fair value of contngent consideraton</w:t>
            </w:r>
          </w:p>
        </w:tc>
        <w:tc>
          <w:tcPr>
            <w:tcW w:w="2260" w:type="dxa"/>
            <w:vAlign w:val="bottom"/>
          </w:tcPr>
          <w:p>
            <w:pPr>
              <w:spacing w:after="0"/>
              <w:rPr>
                <w:sz w:val="17"/>
                <w:szCs w:val="17"/>
                <w:color w:val="auto"/>
              </w:rPr>
            </w:pP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(329)</w:t>
            </w:r>
          </w:p>
        </w:tc>
      </w:tr>
      <w:tr>
        <w:trPr>
          <w:trHeight w:val="267"/>
        </w:trPr>
        <w:tc>
          <w:tcPr>
            <w:tcW w:w="656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r>
      <w:tr>
        <w:trPr>
          <w:trHeight w:val="165"/>
        </w:trPr>
        <w:tc>
          <w:tcPr>
            <w:tcW w:w="656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OTHER INCOME (EXPENSES)</w:t>
            </w:r>
          </w:p>
        </w:tc>
        <w:tc>
          <w:tcPr>
            <w:tcW w:w="2260" w:type="dxa"/>
            <w:vAlign w:val="bottom"/>
          </w:tcPr>
          <w:p>
            <w:pPr>
              <w:spacing w:after="0"/>
              <w:rPr>
                <w:sz w:val="14"/>
                <w:szCs w:val="14"/>
                <w:color w:val="auto"/>
              </w:rPr>
            </w:pPr>
          </w:p>
        </w:tc>
        <w:tc>
          <w:tcPr>
            <w:tcW w:w="1600" w:type="dxa"/>
            <w:vAlign w:val="bottom"/>
          </w:tcPr>
          <w:p>
            <w:pPr>
              <w:jc w:val="right"/>
              <w:ind w:right="366"/>
              <w:spacing w:after="0" w:line="165" w:lineRule="exact"/>
              <w:rPr>
                <w:sz w:val="20"/>
                <w:szCs w:val="20"/>
                <w:color w:val="auto"/>
              </w:rPr>
            </w:pPr>
            <w:r>
              <w:rPr>
                <w:rFonts w:ascii="Calibri" w:cs="Calibri" w:eastAsia="Calibri" w:hAnsi="Calibri"/>
                <w:sz w:val="15"/>
                <w:szCs w:val="15"/>
                <w:b w:val="1"/>
                <w:bCs w:val="1"/>
                <w:color w:val="auto"/>
              </w:rPr>
              <w:t>756</w:t>
            </w:r>
          </w:p>
        </w:tc>
        <w:tc>
          <w:tcPr>
            <w:tcW w:w="840" w:type="dxa"/>
            <w:vAlign w:val="bottom"/>
          </w:tcPr>
          <w:p>
            <w:pPr>
              <w:jc w:val="right"/>
              <w:spacing w:after="0" w:line="165" w:lineRule="exact"/>
              <w:rPr>
                <w:sz w:val="20"/>
                <w:szCs w:val="20"/>
                <w:color w:val="auto"/>
              </w:rPr>
            </w:pPr>
            <w:r>
              <w:rPr>
                <w:rFonts w:ascii="Calibri" w:cs="Calibri" w:eastAsia="Calibri" w:hAnsi="Calibri"/>
                <w:sz w:val="15"/>
                <w:szCs w:val="15"/>
                <w:color w:val="auto"/>
              </w:rPr>
              <w:t>4,028</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6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91"/>
        </w:trPr>
        <w:tc>
          <w:tcPr>
            <w:tcW w:w="656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NET LOSS FOR THE YEAR</w:t>
            </w:r>
          </w:p>
        </w:tc>
        <w:tc>
          <w:tcPr>
            <w:tcW w:w="2260" w:type="dxa"/>
            <w:vAlign w:val="bottom"/>
            <w:tcBorders>
              <w:bottom w:val="single" w:sz="8" w:color="D9D9D9"/>
            </w:tcBorders>
            <w:shd w:val="clear" w:color="auto" w:fill="D9D9D9"/>
          </w:tcPr>
          <w:p>
            <w:pPr>
              <w:spacing w:after="0"/>
              <w:rPr>
                <w:sz w:val="16"/>
                <w:szCs w:val="16"/>
                <w:color w:val="auto"/>
              </w:rPr>
            </w:pPr>
          </w:p>
        </w:tc>
        <w:tc>
          <w:tcPr>
            <w:tcW w:w="1600" w:type="dxa"/>
            <w:vAlign w:val="bottom"/>
            <w:tcBorders>
              <w:bottom w:val="single" w:sz="8" w:color="DBDBDB"/>
            </w:tcBorders>
            <w:shd w:val="clear" w:color="auto" w:fill="DBDBDB"/>
          </w:tcPr>
          <w:p>
            <w:pPr>
              <w:jc w:val="right"/>
              <w:ind w:right="366"/>
              <w:spacing w:after="0" w:line="165" w:lineRule="exact"/>
              <w:rPr>
                <w:sz w:val="20"/>
                <w:szCs w:val="20"/>
                <w:color w:val="auto"/>
              </w:rPr>
            </w:pPr>
            <w:r>
              <w:rPr>
                <w:rFonts w:ascii="Calibri" w:cs="Calibri" w:eastAsia="Calibri" w:hAnsi="Calibri"/>
                <w:sz w:val="15"/>
                <w:szCs w:val="15"/>
                <w:b w:val="1"/>
                <w:bCs w:val="1"/>
                <w:color w:val="auto"/>
              </w:rPr>
              <w:t>(78,080)</w:t>
            </w:r>
          </w:p>
        </w:tc>
        <w:tc>
          <w:tcPr>
            <w:tcW w:w="84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(47,490)</w:t>
            </w:r>
          </w:p>
        </w:tc>
      </w:tr>
      <w:tr>
        <w:trPr>
          <w:trHeight w:val="380"/>
        </w:trPr>
        <w:tc>
          <w:tcPr>
            <w:tcW w:w="656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LOSS</w:t>
            </w:r>
          </w:p>
        </w:tc>
        <w:tc>
          <w:tcPr>
            <w:tcW w:w="22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18"/>
        </w:trPr>
        <w:tc>
          <w:tcPr>
            <w:tcW w:w="656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2260" w:type="dxa"/>
            <w:vAlign w:val="bottom"/>
          </w:tcPr>
          <w:p>
            <w:pPr>
              <w:spacing w:after="0"/>
              <w:rPr>
                <w:sz w:val="18"/>
                <w:szCs w:val="18"/>
                <w:color w:val="auto"/>
              </w:rPr>
            </w:pPr>
          </w:p>
        </w:tc>
        <w:tc>
          <w:tcPr>
            <w:tcW w:w="1600" w:type="dxa"/>
            <w:vAlign w:val="bottom"/>
          </w:tcPr>
          <w:p>
            <w:pPr>
              <w:jc w:val="right"/>
              <w:ind w:right="366"/>
              <w:spacing w:after="0"/>
              <w:rPr>
                <w:sz w:val="20"/>
                <w:szCs w:val="20"/>
                <w:color w:val="auto"/>
              </w:rPr>
            </w:pPr>
            <w:r>
              <w:rPr>
                <w:rFonts w:ascii="Calibri" w:cs="Calibri" w:eastAsia="Calibri" w:hAnsi="Calibri"/>
                <w:sz w:val="15"/>
                <w:szCs w:val="15"/>
                <w:b w:val="1"/>
                <w:bCs w:val="1"/>
                <w:color w:val="auto"/>
              </w:rPr>
              <w:t>(250)</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(1,669)</w:t>
            </w:r>
          </w:p>
        </w:tc>
      </w:tr>
      <w:tr>
        <w:trPr>
          <w:trHeight w:val="25"/>
        </w:trPr>
        <w:tc>
          <w:tcPr>
            <w:tcW w:w="65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1"/>
        </w:trPr>
        <w:tc>
          <w:tcPr>
            <w:tcW w:w="656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COMPREHENSIVE LOSS FOR THE YEAR</w:t>
            </w:r>
          </w:p>
        </w:tc>
        <w:tc>
          <w:tcPr>
            <w:tcW w:w="2260" w:type="dxa"/>
            <w:vAlign w:val="bottom"/>
            <w:tcBorders>
              <w:bottom w:val="single" w:sz="8" w:color="D9D9D9"/>
            </w:tcBorders>
            <w:shd w:val="clear" w:color="auto" w:fill="D9D9D9"/>
          </w:tcPr>
          <w:p>
            <w:pPr>
              <w:spacing w:after="0"/>
              <w:rPr>
                <w:sz w:val="16"/>
                <w:szCs w:val="16"/>
                <w:color w:val="auto"/>
              </w:rPr>
            </w:pPr>
          </w:p>
        </w:tc>
        <w:tc>
          <w:tcPr>
            <w:tcW w:w="1600" w:type="dxa"/>
            <w:vAlign w:val="bottom"/>
            <w:tcBorders>
              <w:bottom w:val="single" w:sz="8" w:color="DBDBDB"/>
            </w:tcBorders>
            <w:shd w:val="clear" w:color="auto" w:fill="DBDBDB"/>
          </w:tcPr>
          <w:p>
            <w:pPr>
              <w:jc w:val="right"/>
              <w:ind w:right="366"/>
              <w:spacing w:after="0" w:line="165" w:lineRule="exact"/>
              <w:rPr>
                <w:sz w:val="20"/>
                <w:szCs w:val="20"/>
                <w:color w:val="auto"/>
              </w:rPr>
            </w:pPr>
            <w:r>
              <w:rPr>
                <w:rFonts w:ascii="Calibri" w:cs="Calibri" w:eastAsia="Calibri" w:hAnsi="Calibri"/>
                <w:sz w:val="15"/>
                <w:szCs w:val="15"/>
                <w:b w:val="1"/>
                <w:bCs w:val="1"/>
                <w:color w:val="auto"/>
              </w:rPr>
              <w:t>(78,330)</w:t>
            </w:r>
          </w:p>
        </w:tc>
        <w:tc>
          <w:tcPr>
            <w:tcW w:w="84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(49,159)</w:t>
            </w:r>
          </w:p>
        </w:tc>
      </w:tr>
      <w:tr>
        <w:trPr>
          <w:trHeight w:val="380"/>
        </w:trPr>
        <w:tc>
          <w:tcPr>
            <w:tcW w:w="656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year</w:t>
            </w:r>
          </w:p>
        </w:tc>
        <w:tc>
          <w:tcPr>
            <w:tcW w:w="22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right"/>
              <w:ind w:right="366"/>
              <w:spacing w:after="0"/>
              <w:rPr>
                <w:sz w:val="20"/>
                <w:szCs w:val="20"/>
                <w:color w:val="auto"/>
              </w:rPr>
            </w:pPr>
            <w:r>
              <w:rPr>
                <w:rFonts w:ascii="Calibri" w:cs="Calibri" w:eastAsia="Calibri" w:hAnsi="Calibri"/>
                <w:sz w:val="15"/>
                <w:szCs w:val="15"/>
                <w:b w:val="1"/>
                <w:bCs w:val="1"/>
                <w:color w:val="auto"/>
              </w:rPr>
              <w:t>(0.25)</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(0.26)</w:t>
            </w:r>
          </w:p>
        </w:tc>
      </w:tr>
      <w:tr>
        <w:trPr>
          <w:trHeight w:val="25"/>
        </w:trPr>
        <w:tc>
          <w:tcPr>
            <w:tcW w:w="65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5"/>
        </w:trPr>
        <w:tc>
          <w:tcPr>
            <w:tcW w:w="656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2260" w:type="dxa"/>
            <w:vAlign w:val="bottom"/>
          </w:tcPr>
          <w:p>
            <w:pPr>
              <w:spacing w:after="0"/>
              <w:rPr>
                <w:sz w:val="14"/>
                <w:szCs w:val="14"/>
                <w:color w:val="auto"/>
              </w:rPr>
            </w:pPr>
          </w:p>
        </w:tc>
        <w:tc>
          <w:tcPr>
            <w:tcW w:w="1600" w:type="dxa"/>
            <w:vAlign w:val="bottom"/>
          </w:tcPr>
          <w:p>
            <w:pPr>
              <w:jc w:val="right"/>
              <w:ind w:right="366"/>
              <w:spacing w:after="0" w:line="165" w:lineRule="exact"/>
              <w:rPr>
                <w:sz w:val="20"/>
                <w:szCs w:val="20"/>
                <w:color w:val="auto"/>
              </w:rPr>
            </w:pPr>
            <w:r>
              <w:rPr>
                <w:rFonts w:ascii="Calibri" w:cs="Calibri" w:eastAsia="Calibri" w:hAnsi="Calibri"/>
                <w:sz w:val="15"/>
                <w:szCs w:val="15"/>
                <w:b w:val="1"/>
                <w:bCs w:val="1"/>
                <w:color w:val="auto"/>
              </w:rPr>
              <w:t>315,300,042</w:t>
            </w:r>
          </w:p>
        </w:tc>
        <w:tc>
          <w:tcPr>
            <w:tcW w:w="840" w:type="dxa"/>
            <w:vAlign w:val="bottom"/>
          </w:tcPr>
          <w:p>
            <w:pPr>
              <w:jc w:val="right"/>
              <w:spacing w:after="0" w:line="165" w:lineRule="exact"/>
              <w:rPr>
                <w:sz w:val="20"/>
                <w:szCs w:val="20"/>
                <w:color w:val="auto"/>
              </w:rPr>
            </w:pPr>
            <w:r>
              <w:rPr>
                <w:rFonts w:ascii="Calibri" w:cs="Calibri" w:eastAsia="Calibri" w:hAnsi="Calibri"/>
                <w:sz w:val="15"/>
                <w:szCs w:val="15"/>
                <w:color w:val="auto"/>
              </w:rPr>
              <w:t>185,428,767</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801370</wp:posOffset>
            </wp:positionV>
            <wp:extent cx="717169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48" w:right="319" w:bottom="1440" w:gutter="0" w:footer="0" w:header="0"/>
        </w:sectPr>
      </w:pPr>
    </w:p>
    <w:bookmarkStart w:id="25" w:name="page26"/>
    <w:bookmarkEnd w:id="2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CONSOLIDATED STATEMENTS OF CHANGES IN SHAREHOLDERS’ EQUITY</w:t>
      </w:r>
    </w:p>
    <w:p>
      <w:pPr>
        <w:ind w:left="60"/>
        <w:spacing w:after="0" w:line="238" w:lineRule="auto"/>
        <w:rPr>
          <w:sz w:val="20"/>
          <w:szCs w:val="20"/>
          <w:color w:val="auto"/>
        </w:rPr>
      </w:pPr>
      <w:r>
        <w:rPr>
          <w:rFonts w:ascii="Calibri" w:cs="Calibri" w:eastAsia="Calibri" w:hAnsi="Calibri"/>
          <w:sz w:val="19"/>
          <w:szCs w:val="19"/>
          <w:b w:val="1"/>
          <w:bCs w:val="1"/>
          <w:color w:val="auto"/>
        </w:rPr>
        <w:t>For the years ended March 31, 2024 and 2023</w:t>
      </w:r>
    </w:p>
    <w:p>
      <w:pPr>
        <w:spacing w:after="0" w:line="16"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jc w:val="right"/>
              <w:ind w:right="494"/>
              <w:spacing w:after="0"/>
              <w:rPr>
                <w:sz w:val="20"/>
                <w:szCs w:val="20"/>
                <w:color w:val="auto"/>
              </w:rPr>
            </w:pPr>
            <w:r>
              <w:rPr>
                <w:rFonts w:ascii="Calibri" w:cs="Calibri" w:eastAsia="Calibri" w:hAnsi="Calibri"/>
                <w:sz w:val="13"/>
                <w:szCs w:val="13"/>
                <w:b w:val="1"/>
                <w:bCs w:val="1"/>
                <w:color w:val="auto"/>
              </w:rPr>
              <w:t>Share capital</w:t>
            </w:r>
          </w:p>
        </w:tc>
        <w:tc>
          <w:tcPr>
            <w:tcW w:w="920" w:type="dxa"/>
            <w:vAlign w:val="bottom"/>
          </w:tcPr>
          <w:p>
            <w:pPr>
              <w:spacing w:after="0"/>
              <w:rPr>
                <w:sz w:val="16"/>
                <w:szCs w:val="16"/>
                <w:color w:val="auto"/>
              </w:rPr>
            </w:pPr>
          </w:p>
        </w:tc>
        <w:tc>
          <w:tcPr>
            <w:tcW w:w="820" w:type="dxa"/>
            <w:vAlign w:val="bottom"/>
          </w:tcPr>
          <w:p>
            <w:pPr>
              <w:jc w:val="center"/>
              <w:ind w:right="15"/>
              <w:spacing w:after="0"/>
              <w:rPr>
                <w:sz w:val="20"/>
                <w:szCs w:val="20"/>
                <w:color w:val="auto"/>
              </w:rPr>
            </w:pPr>
            <w:r>
              <w:rPr>
                <w:rFonts w:ascii="Calibri" w:cs="Calibri" w:eastAsia="Calibri" w:hAnsi="Calibri"/>
                <w:sz w:val="16"/>
                <w:szCs w:val="16"/>
                <w:b w:val="1"/>
                <w:bCs w:val="1"/>
                <w:color w:val="auto"/>
                <w:w w:val="97"/>
              </w:rPr>
              <w:t>Reserves</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vMerge w:val="restart"/>
          </w:tcPr>
          <w:p>
            <w:pPr>
              <w:jc w:val="center"/>
              <w:spacing w:after="0" w:line="141" w:lineRule="exact"/>
              <w:rPr>
                <w:sz w:val="20"/>
                <w:szCs w:val="20"/>
                <w:color w:val="auto"/>
              </w:rPr>
            </w:pPr>
            <w:r>
              <w:rPr>
                <w:rFonts w:ascii="Calibri" w:cs="Calibri" w:eastAsia="Calibri" w:hAnsi="Calibri"/>
                <w:sz w:val="13"/>
                <w:szCs w:val="13"/>
                <w:b w:val="1"/>
                <w:bCs w:val="1"/>
                <w:color w:val="auto"/>
                <w:w w:val="98"/>
              </w:rPr>
              <w:t>Accumulated</w:t>
            </w: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Calibri" w:cs="Calibri" w:eastAsia="Calibri" w:hAnsi="Calibri"/>
                <w:sz w:val="13"/>
                <w:szCs w:val="13"/>
                <w:b w:val="1"/>
                <w:bCs w:val="1"/>
                <w:color w:val="auto"/>
              </w:rPr>
              <w:t>other</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Calibri" w:cs="Calibri" w:eastAsia="Calibri" w:hAnsi="Calibri"/>
                <w:sz w:val="13"/>
                <w:szCs w:val="13"/>
                <w:b w:val="1"/>
                <w:bCs w:val="1"/>
                <w:color w:val="auto"/>
                <w:w w:val="99"/>
              </w:rPr>
              <w:t>Number of</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Calibri" w:cs="Calibri" w:eastAsia="Calibri" w:hAnsi="Calibri"/>
                <w:sz w:val="13"/>
                <w:szCs w:val="13"/>
                <w:b w:val="1"/>
                <w:bCs w:val="1"/>
                <w:color w:val="auto"/>
              </w:rPr>
              <w:t>Contributed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Calibri" w:cs="Calibri" w:eastAsia="Calibri" w:hAnsi="Calibri"/>
                <w:sz w:val="13"/>
                <w:szCs w:val="13"/>
                <w:b w:val="1"/>
                <w:bCs w:val="1"/>
                <w:color w:val="auto"/>
                <w:w w:val="99"/>
              </w:rPr>
              <w:t>comprehensive</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62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w w:val="97"/>
              </w:rPr>
              <w:t>Note</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shares</w:t>
            </w:r>
          </w:p>
        </w:tc>
        <w:tc>
          <w:tcPr>
            <w:tcW w:w="840" w:type="dxa"/>
            <w:vAlign w:val="bottom"/>
          </w:tcPr>
          <w:p>
            <w:pPr>
              <w:jc w:val="right"/>
              <w:ind w:right="214"/>
              <w:spacing w:after="0" w:line="155" w:lineRule="exact"/>
              <w:rPr>
                <w:sz w:val="20"/>
                <w:szCs w:val="20"/>
                <w:color w:val="auto"/>
              </w:rPr>
            </w:pPr>
            <w:r>
              <w:rPr>
                <w:rFonts w:ascii="Calibri" w:cs="Calibri" w:eastAsia="Calibri" w:hAnsi="Calibri"/>
                <w:sz w:val="13"/>
                <w:szCs w:val="13"/>
                <w:b w:val="1"/>
                <w:bCs w:val="1"/>
                <w:color w:val="auto"/>
              </w:rPr>
              <w:t>Amount</w:t>
            </w:r>
          </w:p>
        </w:tc>
        <w:tc>
          <w:tcPr>
            <w:tcW w:w="920" w:type="dxa"/>
            <w:vAlign w:val="bottom"/>
          </w:tcPr>
          <w:p>
            <w:pPr>
              <w:jc w:val="right"/>
              <w:ind w:right="175"/>
              <w:spacing w:after="0" w:line="155" w:lineRule="exact"/>
              <w:rPr>
                <w:sz w:val="20"/>
                <w:szCs w:val="20"/>
                <w:color w:val="auto"/>
              </w:rPr>
            </w:pPr>
            <w:r>
              <w:rPr>
                <w:rFonts w:ascii="Calibri" w:cs="Calibri" w:eastAsia="Calibri" w:hAnsi="Calibri"/>
                <w:sz w:val="13"/>
                <w:szCs w:val="13"/>
                <w:b w:val="1"/>
                <w:bCs w:val="1"/>
                <w:color w:val="auto"/>
              </w:rPr>
              <w:t>Warrants</w:t>
            </w:r>
          </w:p>
        </w:tc>
        <w:tc>
          <w:tcPr>
            <w:tcW w:w="820" w:type="dxa"/>
            <w:vAlign w:val="bottom"/>
          </w:tcPr>
          <w:p>
            <w:pPr>
              <w:jc w:val="center"/>
              <w:ind w:right="15"/>
              <w:spacing w:after="0" w:line="155" w:lineRule="exact"/>
              <w:rPr>
                <w:sz w:val="20"/>
                <w:szCs w:val="20"/>
                <w:color w:val="auto"/>
              </w:rPr>
            </w:pPr>
            <w:r>
              <w:rPr>
                <w:rFonts w:ascii="Calibri" w:cs="Calibri" w:eastAsia="Calibri" w:hAnsi="Calibri"/>
                <w:sz w:val="13"/>
                <w:szCs w:val="13"/>
                <w:b w:val="1"/>
                <w:bCs w:val="1"/>
                <w:color w:val="auto"/>
              </w:rPr>
              <w:t>Optons</w:t>
            </w:r>
          </w:p>
        </w:tc>
        <w:tc>
          <w:tcPr>
            <w:tcW w:w="880" w:type="dxa"/>
            <w:vAlign w:val="bottom"/>
          </w:tcPr>
          <w:p>
            <w:pPr>
              <w:jc w:val="center"/>
              <w:ind w:right="35"/>
              <w:spacing w:after="0"/>
              <w:rPr>
                <w:sz w:val="20"/>
                <w:szCs w:val="20"/>
                <w:color w:val="auto"/>
              </w:rPr>
            </w:pPr>
            <w:r>
              <w:rPr>
                <w:rFonts w:ascii="Calibri" w:cs="Calibri" w:eastAsia="Calibri" w:hAnsi="Calibri"/>
                <w:sz w:val="13"/>
                <w:szCs w:val="13"/>
                <w:b w:val="1"/>
                <w:bCs w:val="1"/>
                <w:color w:val="auto"/>
                <w:w w:val="96"/>
              </w:rPr>
              <w:t>surplus</w:t>
            </w:r>
          </w:p>
        </w:tc>
        <w:tc>
          <w:tcPr>
            <w:tcW w:w="860" w:type="dxa"/>
            <w:vAlign w:val="bottom"/>
          </w:tcPr>
          <w:p>
            <w:pPr>
              <w:jc w:val="right"/>
              <w:ind w:right="195"/>
              <w:spacing w:after="0" w:line="155" w:lineRule="exact"/>
              <w:rPr>
                <w:sz w:val="20"/>
                <w:szCs w:val="20"/>
                <w:color w:val="auto"/>
              </w:rPr>
            </w:pPr>
            <w:r>
              <w:rPr>
                <w:rFonts w:ascii="Calibri" w:cs="Calibri" w:eastAsia="Calibri" w:hAnsi="Calibri"/>
                <w:sz w:val="13"/>
                <w:szCs w:val="13"/>
                <w:b w:val="1"/>
                <w:bCs w:val="1"/>
                <w:color w:val="auto"/>
              </w:rPr>
              <w:t>Defcit</w:t>
            </w:r>
          </w:p>
        </w:tc>
        <w:tc>
          <w:tcPr>
            <w:tcW w:w="80" w:type="dxa"/>
            <w:vAlign w:val="bottom"/>
          </w:tcPr>
          <w:p>
            <w:pPr>
              <w:spacing w:after="0"/>
              <w:rPr>
                <w:sz w:val="14"/>
                <w:szCs w:val="14"/>
                <w:color w:val="auto"/>
              </w:rPr>
            </w:pPr>
          </w:p>
        </w:tc>
        <w:tc>
          <w:tcPr>
            <w:tcW w:w="104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rPr>
              <w:t>loss</w:t>
            </w:r>
          </w:p>
        </w:tc>
        <w:tc>
          <w:tcPr>
            <w:tcW w:w="60" w:type="dxa"/>
            <w:vAlign w:val="bottom"/>
          </w:tcPr>
          <w:p>
            <w:pPr>
              <w:spacing w:after="0"/>
              <w:rPr>
                <w:sz w:val="14"/>
                <w:szCs w:val="14"/>
                <w:color w:val="auto"/>
              </w:rPr>
            </w:pPr>
          </w:p>
        </w:tc>
        <w:tc>
          <w:tcPr>
            <w:tcW w:w="900" w:type="dxa"/>
            <w:vAlign w:val="bottom"/>
          </w:tcPr>
          <w:p>
            <w:pPr>
              <w:jc w:val="right"/>
              <w:ind w:right="255"/>
              <w:spacing w:after="0" w:line="155"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29"/>
        </w:trPr>
        <w:tc>
          <w:tcPr>
            <w:tcW w:w="3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Calibri" w:cs="Calibri" w:eastAsia="Calibri" w:hAnsi="Calibri"/>
                <w:sz w:val="13"/>
                <w:szCs w:val="13"/>
                <w:b w:val="1"/>
                <w:bCs w:val="1"/>
                <w:color w:val="auto"/>
                <w:w w:val="91"/>
              </w:rPr>
              <w:t>#</w:t>
            </w:r>
          </w:p>
        </w:tc>
        <w:tc>
          <w:tcPr>
            <w:tcW w:w="840" w:type="dxa"/>
            <w:vAlign w:val="bottom"/>
          </w:tcPr>
          <w:p>
            <w:pPr>
              <w:jc w:val="right"/>
              <w:ind w:right="394"/>
              <w:spacing w:after="0" w:line="147" w:lineRule="exact"/>
              <w:rPr>
                <w:sz w:val="20"/>
                <w:szCs w:val="20"/>
                <w:color w:val="auto"/>
              </w:rPr>
            </w:pPr>
            <w:r>
              <w:rPr>
                <w:rFonts w:ascii="Calibri" w:cs="Calibri" w:eastAsia="Calibri" w:hAnsi="Calibri"/>
                <w:sz w:val="13"/>
                <w:szCs w:val="13"/>
                <w:b w:val="1"/>
                <w:bCs w:val="1"/>
                <w:color w:val="auto"/>
              </w:rPr>
              <w:t>$</w:t>
            </w:r>
          </w:p>
        </w:tc>
        <w:tc>
          <w:tcPr>
            <w:tcW w:w="920" w:type="dxa"/>
            <w:vAlign w:val="bottom"/>
          </w:tcPr>
          <w:p>
            <w:pPr>
              <w:jc w:val="right"/>
              <w:ind w:right="395"/>
              <w:spacing w:after="0" w:line="147" w:lineRule="exact"/>
              <w:rPr>
                <w:sz w:val="20"/>
                <w:szCs w:val="20"/>
                <w:color w:val="auto"/>
              </w:rPr>
            </w:pPr>
            <w:r>
              <w:rPr>
                <w:rFonts w:ascii="Calibri" w:cs="Calibri" w:eastAsia="Calibri" w:hAnsi="Calibri"/>
                <w:sz w:val="13"/>
                <w:szCs w:val="13"/>
                <w:b w:val="1"/>
                <w:bCs w:val="1"/>
                <w:color w:val="auto"/>
              </w:rPr>
              <w:t>$</w:t>
            </w:r>
          </w:p>
        </w:tc>
        <w:tc>
          <w:tcPr>
            <w:tcW w:w="820" w:type="dxa"/>
            <w:vAlign w:val="bottom"/>
          </w:tcPr>
          <w:p>
            <w:pPr>
              <w:jc w:val="center"/>
              <w:ind w:right="35"/>
              <w:spacing w:after="0" w:line="147" w:lineRule="exact"/>
              <w:rPr>
                <w:sz w:val="20"/>
                <w:szCs w:val="20"/>
                <w:color w:val="auto"/>
              </w:rPr>
            </w:pPr>
            <w:r>
              <w:rPr>
                <w:rFonts w:ascii="Calibri" w:cs="Calibri" w:eastAsia="Calibri" w:hAnsi="Calibri"/>
                <w:sz w:val="13"/>
                <w:szCs w:val="13"/>
                <w:b w:val="1"/>
                <w:bCs w:val="1"/>
                <w:color w:val="auto"/>
              </w:rPr>
              <w:t>$</w:t>
            </w:r>
          </w:p>
        </w:tc>
        <w:tc>
          <w:tcPr>
            <w:tcW w:w="880" w:type="dxa"/>
            <w:vAlign w:val="bottom"/>
          </w:tcPr>
          <w:p>
            <w:pPr>
              <w:jc w:val="center"/>
              <w:ind w:right="35"/>
              <w:spacing w:after="0" w:line="147" w:lineRule="exact"/>
              <w:rPr>
                <w:sz w:val="20"/>
                <w:szCs w:val="20"/>
                <w:color w:val="auto"/>
              </w:rPr>
            </w:pPr>
            <w:r>
              <w:rPr>
                <w:rFonts w:ascii="Calibri" w:cs="Calibri" w:eastAsia="Calibri" w:hAnsi="Calibri"/>
                <w:sz w:val="13"/>
                <w:szCs w:val="13"/>
                <w:b w:val="1"/>
                <w:bCs w:val="1"/>
                <w:color w:val="auto"/>
                <w:w w:val="90"/>
              </w:rPr>
              <w:t>$</w:t>
            </w:r>
          </w:p>
        </w:tc>
        <w:tc>
          <w:tcPr>
            <w:tcW w:w="860" w:type="dxa"/>
            <w:vAlign w:val="bottom"/>
          </w:tcPr>
          <w:p>
            <w:pPr>
              <w:jc w:val="right"/>
              <w:ind w:right="335"/>
              <w:spacing w:after="0" w:line="147"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1040" w:type="dxa"/>
            <w:vAlign w:val="bottom"/>
          </w:tcPr>
          <w:p>
            <w:pPr>
              <w:jc w:val="right"/>
              <w:ind w:right="395"/>
              <w:spacing w:after="0" w:line="147" w:lineRule="exact"/>
              <w:rPr>
                <w:sz w:val="20"/>
                <w:szCs w:val="20"/>
                <w:color w:val="auto"/>
              </w:rPr>
            </w:pPr>
            <w:r>
              <w:rPr>
                <w:rFonts w:ascii="Calibri" w:cs="Calibri" w:eastAsia="Calibri" w:hAnsi="Calibri"/>
                <w:sz w:val="13"/>
                <w:szCs w:val="13"/>
                <w:b w:val="1"/>
                <w:bCs w:val="1"/>
                <w:color w:val="auto"/>
              </w:rPr>
              <w:t>$</w:t>
            </w:r>
          </w:p>
        </w:tc>
        <w:tc>
          <w:tcPr>
            <w:tcW w:w="960" w:type="dxa"/>
            <w:vAlign w:val="bottom"/>
            <w:gridSpan w:val="2"/>
          </w:tcPr>
          <w:p>
            <w:pPr>
              <w:jc w:val="right"/>
              <w:ind w:right="355"/>
              <w:spacing w:after="0" w:line="147"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as at March 31, 2022</w:t>
            </w:r>
          </w:p>
        </w:tc>
        <w:tc>
          <w:tcPr>
            <w:tcW w:w="620" w:type="dxa"/>
            <w:vAlign w:val="bottom"/>
            <w:tcBorders>
              <w:bottom w:val="single" w:sz="8" w:color="D9D9D9"/>
            </w:tcBorders>
            <w:shd w:val="clear" w:color="auto" w:fill="D9D9D9"/>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9D9D9"/>
            </w:tcBorders>
            <w:shd w:val="clear" w:color="auto" w:fill="D9D9D9"/>
          </w:tcPr>
          <w:p>
            <w:pPr>
              <w:jc w:val="right"/>
              <w:ind w:right="74"/>
              <w:spacing w:after="0" w:line="147" w:lineRule="exact"/>
              <w:rPr>
                <w:sz w:val="20"/>
                <w:szCs w:val="20"/>
                <w:color w:val="auto"/>
              </w:rPr>
            </w:pPr>
            <w:r>
              <w:rPr>
                <w:rFonts w:ascii="Calibri" w:cs="Calibri" w:eastAsia="Calibri" w:hAnsi="Calibri"/>
                <w:sz w:val="13"/>
                <w:szCs w:val="13"/>
                <w:b w:val="1"/>
                <w:bCs w:val="1"/>
                <w:color w:val="auto"/>
              </w:rPr>
              <w:t>175,111,654</w:t>
            </w:r>
          </w:p>
        </w:tc>
        <w:tc>
          <w:tcPr>
            <w:tcW w:w="840" w:type="dxa"/>
            <w:vAlign w:val="bottom"/>
            <w:tcBorders>
              <w:bottom w:val="single" w:sz="8" w:color="D9D9D9"/>
              <w:right w:val="single" w:sz="8" w:color="DBDBDB"/>
            </w:tcBorders>
            <w:shd w:val="clear" w:color="auto" w:fill="D9D9D9"/>
          </w:tcPr>
          <w:p>
            <w:pPr>
              <w:jc w:val="right"/>
              <w:ind w:right="54"/>
              <w:spacing w:after="0" w:line="147" w:lineRule="exact"/>
              <w:rPr>
                <w:sz w:val="20"/>
                <w:szCs w:val="20"/>
                <w:color w:val="auto"/>
              </w:rPr>
            </w:pPr>
            <w:r>
              <w:rPr>
                <w:rFonts w:ascii="Calibri" w:cs="Calibri" w:eastAsia="Calibri" w:hAnsi="Calibri"/>
                <w:sz w:val="13"/>
                <w:szCs w:val="13"/>
                <w:b w:val="1"/>
                <w:bCs w:val="1"/>
                <w:color w:val="auto"/>
              </w:rPr>
              <w:t>141,451</w:t>
            </w:r>
          </w:p>
        </w:tc>
        <w:tc>
          <w:tcPr>
            <w:tcW w:w="920" w:type="dxa"/>
            <w:vAlign w:val="bottom"/>
            <w:tcBorders>
              <w:bottom w:val="single" w:sz="8" w:color="D9D9D9"/>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11,423</w:t>
            </w:r>
          </w:p>
        </w:tc>
        <w:tc>
          <w:tcPr>
            <w:tcW w:w="82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23,783</w:t>
            </w:r>
          </w:p>
        </w:tc>
        <w:tc>
          <w:tcPr>
            <w:tcW w:w="880" w:type="dxa"/>
            <w:vAlign w:val="bottom"/>
            <w:tcBorders>
              <w:bottom w:val="single" w:sz="8" w:color="D9D9D9"/>
              <w:right w:val="single" w:sz="8" w:color="DBDBDB"/>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525</w:t>
            </w: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(100,661)</w:t>
            </w:r>
          </w:p>
        </w:tc>
        <w:tc>
          <w:tcPr>
            <w:tcW w:w="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(366)</w:t>
            </w:r>
          </w:p>
        </w:tc>
        <w:tc>
          <w:tcPr>
            <w:tcW w:w="60" w:type="dxa"/>
            <w:vAlign w:val="bottom"/>
          </w:tcPr>
          <w:p>
            <w:pPr>
              <w:spacing w:after="0"/>
              <w:rPr>
                <w:sz w:val="15"/>
                <w:szCs w:val="15"/>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76,155</w:t>
            </w:r>
          </w:p>
        </w:tc>
        <w:tc>
          <w:tcPr>
            <w:tcW w:w="0" w:type="dxa"/>
            <w:vAlign w:val="bottom"/>
          </w:tcPr>
          <w:p>
            <w:pPr>
              <w:spacing w:after="0"/>
              <w:rPr>
                <w:sz w:val="1"/>
                <w:szCs w:val="1"/>
                <w:color w:val="auto"/>
              </w:rPr>
            </w:pPr>
          </w:p>
        </w:tc>
      </w:tr>
      <w:tr>
        <w:trPr>
          <w:trHeight w:val="147"/>
        </w:trPr>
        <w:tc>
          <w:tcPr>
            <w:tcW w:w="3240" w:type="dxa"/>
            <w:vAlign w:val="bottom"/>
            <w:tcBorders>
              <w:top w:val="single" w:sz="8" w:color="auto"/>
            </w:tcBorders>
          </w:tcPr>
          <w:p>
            <w:pPr>
              <w:ind w:left="60"/>
              <w:spacing w:after="0" w:line="147" w:lineRule="exact"/>
              <w:rPr>
                <w:sz w:val="20"/>
                <w:szCs w:val="20"/>
                <w:color w:val="auto"/>
              </w:rPr>
            </w:pPr>
            <w:r>
              <w:rPr>
                <w:rFonts w:ascii="Calibri" w:cs="Calibri" w:eastAsia="Calibri" w:hAnsi="Calibri"/>
                <w:sz w:val="13"/>
                <w:szCs w:val="13"/>
                <w:color w:val="auto"/>
              </w:rPr>
              <w:t>At-the-market ofering - net of share issuance costs</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4"/>
              <w:spacing w:after="0" w:line="147" w:lineRule="exact"/>
              <w:rPr>
                <w:sz w:val="20"/>
                <w:szCs w:val="20"/>
                <w:color w:val="auto"/>
              </w:rPr>
            </w:pPr>
            <w:r>
              <w:rPr>
                <w:rFonts w:ascii="Calibri" w:cs="Calibri" w:eastAsia="Calibri" w:hAnsi="Calibri"/>
                <w:sz w:val="13"/>
                <w:szCs w:val="13"/>
                <w:color w:val="auto"/>
              </w:rPr>
              <w:t>20,754,120</w:t>
            </w:r>
          </w:p>
        </w:tc>
        <w:tc>
          <w:tcPr>
            <w:tcW w:w="840" w:type="dxa"/>
            <w:vAlign w:val="bottom"/>
            <w:tcBorders>
              <w:top w:val="single" w:sz="8" w:color="auto"/>
            </w:tcBorders>
          </w:tcPr>
          <w:p>
            <w:pPr>
              <w:jc w:val="right"/>
              <w:ind w:right="54"/>
              <w:spacing w:after="0" w:line="147" w:lineRule="exact"/>
              <w:rPr>
                <w:sz w:val="20"/>
                <w:szCs w:val="20"/>
                <w:color w:val="auto"/>
              </w:rPr>
            </w:pPr>
            <w:r>
              <w:rPr>
                <w:rFonts w:ascii="Calibri" w:cs="Calibri" w:eastAsia="Calibri" w:hAnsi="Calibri"/>
                <w:sz w:val="13"/>
                <w:szCs w:val="13"/>
                <w:color w:val="auto"/>
              </w:rPr>
              <w:t>13,202</w:t>
            </w:r>
          </w:p>
        </w:tc>
        <w:tc>
          <w:tcPr>
            <w:tcW w:w="920" w:type="dxa"/>
            <w:vAlign w:val="bottom"/>
            <w:tcBorders>
              <w:top w:val="single" w:sz="8" w:color="auto"/>
            </w:tcBorders>
          </w:tcPr>
          <w:p>
            <w:pPr>
              <w:jc w:val="right"/>
              <w:ind w:right="55"/>
              <w:spacing w:after="0" w:line="147" w:lineRule="exact"/>
              <w:rPr>
                <w:sz w:val="20"/>
                <w:szCs w:val="20"/>
                <w:color w:val="auto"/>
              </w:rPr>
            </w:pPr>
            <w:r>
              <w:rPr>
                <w:rFonts w:ascii="Calibri" w:cs="Calibri" w:eastAsia="Calibri" w:hAnsi="Calibri"/>
                <w:sz w:val="13"/>
                <w:szCs w:val="13"/>
                <w:color w:val="auto"/>
              </w:rPr>
              <w:t>—</w:t>
            </w:r>
          </w:p>
        </w:tc>
        <w:tc>
          <w:tcPr>
            <w:tcW w:w="820" w:type="dxa"/>
            <w:vAlign w:val="bottom"/>
            <w:tcBorders>
              <w:top w:val="single" w:sz="8" w:color="auto"/>
            </w:tcBorders>
          </w:tcPr>
          <w:p>
            <w:pPr>
              <w:jc w:val="right"/>
              <w:ind w:right="35"/>
              <w:spacing w:after="0" w:line="147" w:lineRule="exact"/>
              <w:rPr>
                <w:sz w:val="20"/>
                <w:szCs w:val="20"/>
                <w:color w:val="auto"/>
              </w:rPr>
            </w:pPr>
            <w:r>
              <w:rPr>
                <w:rFonts w:ascii="Calibri" w:cs="Calibri" w:eastAsia="Calibri" w:hAnsi="Calibri"/>
                <w:sz w:val="13"/>
                <w:szCs w:val="13"/>
                <w:color w:val="auto"/>
              </w:rPr>
              <w:t>—</w:t>
            </w:r>
          </w:p>
        </w:tc>
        <w:tc>
          <w:tcPr>
            <w:tcW w:w="880" w:type="dxa"/>
            <w:vAlign w:val="bottom"/>
            <w:tcBorders>
              <w:top w:val="single" w:sz="8" w:color="auto"/>
            </w:tcBorders>
          </w:tcPr>
          <w:p>
            <w:pPr>
              <w:jc w:val="right"/>
              <w:ind w:right="55"/>
              <w:spacing w:after="0" w:line="147" w:lineRule="exact"/>
              <w:rPr>
                <w:sz w:val="20"/>
                <w:szCs w:val="20"/>
                <w:color w:val="auto"/>
              </w:rPr>
            </w:pPr>
            <w:r>
              <w:rPr>
                <w:rFonts w:ascii="Calibri" w:cs="Calibri" w:eastAsia="Calibri" w:hAnsi="Calibri"/>
                <w:sz w:val="13"/>
                <w:szCs w:val="13"/>
                <w:color w:val="auto"/>
              </w:rPr>
              <w:t>—</w:t>
            </w:r>
          </w:p>
        </w:tc>
        <w:tc>
          <w:tcPr>
            <w:tcW w:w="86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13,202</w:t>
            </w:r>
          </w:p>
        </w:tc>
        <w:tc>
          <w:tcPr>
            <w:tcW w:w="0" w:type="dxa"/>
            <w:vAlign w:val="bottom"/>
          </w:tcPr>
          <w:p>
            <w:pPr>
              <w:spacing w:after="0"/>
              <w:rPr>
                <w:sz w:val="1"/>
                <w:szCs w:val="1"/>
                <w:color w:val="auto"/>
              </w:rPr>
            </w:pPr>
          </w:p>
        </w:tc>
      </w:tr>
      <w:tr>
        <w:trPr>
          <w:trHeight w:val="168"/>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Shares issued on Adelia milestones</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1000" w:type="dxa"/>
            <w:vAlign w:val="bottom"/>
            <w:gridSpan w:val="2"/>
          </w:tcPr>
          <w:p>
            <w:pPr>
              <w:jc w:val="right"/>
              <w:ind w:right="74"/>
              <w:spacing w:after="0"/>
              <w:rPr>
                <w:sz w:val="20"/>
                <w:szCs w:val="20"/>
                <w:color w:val="auto"/>
              </w:rPr>
            </w:pPr>
            <w:r>
              <w:rPr>
                <w:rFonts w:ascii="Calibri" w:cs="Calibri" w:eastAsia="Calibri" w:hAnsi="Calibri"/>
                <w:sz w:val="13"/>
                <w:szCs w:val="13"/>
                <w:color w:val="auto"/>
              </w:rPr>
              <w:t>3,603,742</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2,988</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2,988</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1000" w:type="dxa"/>
            <w:vAlign w:val="bottom"/>
            <w:gridSpan w:val="2"/>
          </w:tcPr>
          <w:p>
            <w:pPr>
              <w:jc w:val="right"/>
              <w:ind w:right="74"/>
              <w:spacing w:after="0"/>
              <w:rPr>
                <w:sz w:val="20"/>
                <w:szCs w:val="20"/>
                <w:color w:val="auto"/>
              </w:rPr>
            </w:pPr>
            <w:r>
              <w:rPr>
                <w:rFonts w:ascii="Calibri" w:cs="Calibri" w:eastAsia="Calibri" w:hAnsi="Calibri"/>
                <w:sz w:val="13"/>
                <w:szCs w:val="13"/>
                <w:color w:val="auto"/>
              </w:rPr>
              <w:t>1,164,638</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527</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(165)</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362</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Optons forfeited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(1,180)</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1,180</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Warrants expired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(397)</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397</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Finders' warrants</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(6)</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6</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6</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4,680</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4,686</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Unrealized loss on translaton of foreign operatons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(1,669)</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(1,669)</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Net loss for the year</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(47,490)</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(47,490)</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2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as at March 31, 2023</w:t>
            </w:r>
          </w:p>
        </w:tc>
        <w:tc>
          <w:tcPr>
            <w:tcW w:w="620" w:type="dxa"/>
            <w:vAlign w:val="bottom"/>
            <w:tcBorders>
              <w:bottom w:val="single" w:sz="8" w:color="D9D9D9"/>
            </w:tcBorders>
            <w:shd w:val="clear" w:color="auto" w:fill="D9D9D9"/>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9D9D9"/>
            </w:tcBorders>
            <w:shd w:val="clear" w:color="auto" w:fill="D9D9D9"/>
          </w:tcPr>
          <w:p>
            <w:pPr>
              <w:jc w:val="right"/>
              <w:ind w:right="74"/>
              <w:spacing w:after="0" w:line="147" w:lineRule="exact"/>
              <w:rPr>
                <w:sz w:val="20"/>
                <w:szCs w:val="20"/>
                <w:color w:val="auto"/>
              </w:rPr>
            </w:pPr>
            <w:r>
              <w:rPr>
                <w:rFonts w:ascii="Calibri" w:cs="Calibri" w:eastAsia="Calibri" w:hAnsi="Calibri"/>
                <w:sz w:val="13"/>
                <w:szCs w:val="13"/>
                <w:b w:val="1"/>
                <w:bCs w:val="1"/>
                <w:color w:val="auto"/>
              </w:rPr>
              <w:t>200,634,154</w:t>
            </w:r>
          </w:p>
        </w:tc>
        <w:tc>
          <w:tcPr>
            <w:tcW w:w="840" w:type="dxa"/>
            <w:vAlign w:val="bottom"/>
            <w:tcBorders>
              <w:bottom w:val="single" w:sz="8" w:color="D9D9D9"/>
              <w:right w:val="single" w:sz="8" w:color="DBDBDB"/>
            </w:tcBorders>
            <w:shd w:val="clear" w:color="auto" w:fill="D9D9D9"/>
          </w:tcPr>
          <w:p>
            <w:pPr>
              <w:jc w:val="right"/>
              <w:ind w:right="54"/>
              <w:spacing w:after="0" w:line="147" w:lineRule="exact"/>
              <w:rPr>
                <w:sz w:val="20"/>
                <w:szCs w:val="20"/>
                <w:color w:val="auto"/>
              </w:rPr>
            </w:pPr>
            <w:r>
              <w:rPr>
                <w:rFonts w:ascii="Calibri" w:cs="Calibri" w:eastAsia="Calibri" w:hAnsi="Calibri"/>
                <w:sz w:val="13"/>
                <w:szCs w:val="13"/>
                <w:b w:val="1"/>
                <w:bCs w:val="1"/>
                <w:color w:val="auto"/>
              </w:rPr>
              <w:t>158,162</w:t>
            </w:r>
          </w:p>
        </w:tc>
        <w:tc>
          <w:tcPr>
            <w:tcW w:w="920" w:type="dxa"/>
            <w:vAlign w:val="bottom"/>
            <w:tcBorders>
              <w:bottom w:val="single" w:sz="8" w:color="D9D9D9"/>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10,873</w:t>
            </w:r>
          </w:p>
        </w:tc>
        <w:tc>
          <w:tcPr>
            <w:tcW w:w="82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27,283</w:t>
            </w:r>
          </w:p>
        </w:tc>
        <w:tc>
          <w:tcPr>
            <w:tcW w:w="880" w:type="dxa"/>
            <w:vAlign w:val="bottom"/>
            <w:tcBorders>
              <w:bottom w:val="single" w:sz="8" w:color="D9D9D9"/>
              <w:right w:val="single" w:sz="8" w:color="D9D9D9"/>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2,102</w:t>
            </w: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(148,151)</w:t>
            </w:r>
          </w:p>
        </w:tc>
        <w:tc>
          <w:tcPr>
            <w:tcW w:w="1120" w:type="dxa"/>
            <w:vAlign w:val="bottom"/>
            <w:tcBorders>
              <w:bottom w:val="single" w:sz="8" w:color="D9D9D9"/>
            </w:tcBorders>
            <w:gridSpan w:val="2"/>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(2,035)</w:t>
            </w:r>
          </w:p>
        </w:tc>
        <w:tc>
          <w:tcPr>
            <w:tcW w:w="96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48,234</w:t>
            </w:r>
          </w:p>
        </w:tc>
        <w:tc>
          <w:tcPr>
            <w:tcW w:w="0" w:type="dxa"/>
            <w:vAlign w:val="bottom"/>
          </w:tcPr>
          <w:p>
            <w:pPr>
              <w:spacing w:after="0"/>
              <w:rPr>
                <w:sz w:val="1"/>
                <w:szCs w:val="1"/>
                <w:color w:val="auto"/>
              </w:rPr>
            </w:pPr>
          </w:p>
        </w:tc>
      </w:tr>
      <w:tr>
        <w:trPr>
          <w:trHeight w:val="147"/>
        </w:trPr>
        <w:tc>
          <w:tcPr>
            <w:tcW w:w="3240" w:type="dxa"/>
            <w:vAlign w:val="bottom"/>
            <w:tcBorders>
              <w:top w:val="single" w:sz="8" w:color="auto"/>
            </w:tcBorders>
          </w:tcPr>
          <w:p>
            <w:pPr>
              <w:ind w:left="60"/>
              <w:spacing w:after="0" w:line="147" w:lineRule="exact"/>
              <w:rPr>
                <w:sz w:val="20"/>
                <w:szCs w:val="20"/>
                <w:color w:val="auto"/>
              </w:rPr>
            </w:pPr>
            <w:r>
              <w:rPr>
                <w:rFonts w:ascii="Calibri" w:cs="Calibri" w:eastAsia="Calibri" w:hAnsi="Calibri"/>
                <w:sz w:val="13"/>
                <w:szCs w:val="13"/>
                <w:color w:val="auto"/>
              </w:rPr>
              <w:t>Share issuance net of share issuance costs</w:t>
            </w:r>
          </w:p>
        </w:tc>
        <w:tc>
          <w:tcPr>
            <w:tcW w:w="620" w:type="dxa"/>
            <w:vAlign w:val="bottom"/>
            <w:tcBorders>
              <w:top w:val="single" w:sz="8" w:color="auto"/>
            </w:tcBorders>
          </w:tcPr>
          <w:p>
            <w:pPr>
              <w:jc w:val="center"/>
              <w:spacing w:after="0" w:line="147" w:lineRule="exact"/>
              <w:rPr>
                <w:sz w:val="20"/>
                <w:szCs w:val="20"/>
                <w:color w:val="auto"/>
              </w:rPr>
            </w:pPr>
            <w:r>
              <w:rPr>
                <w:rFonts w:ascii="Calibri" w:cs="Calibri" w:eastAsia="Calibri" w:hAnsi="Calibri"/>
                <w:sz w:val="13"/>
                <w:szCs w:val="13"/>
                <w:color w:val="auto"/>
                <w:w w:val="90"/>
              </w:rPr>
              <w:t>9</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4"/>
              <w:spacing w:after="0" w:line="147" w:lineRule="exact"/>
              <w:rPr>
                <w:sz w:val="20"/>
                <w:szCs w:val="20"/>
                <w:color w:val="auto"/>
              </w:rPr>
            </w:pPr>
            <w:r>
              <w:rPr>
                <w:rFonts w:ascii="Calibri" w:cs="Calibri" w:eastAsia="Calibri" w:hAnsi="Calibri"/>
                <w:sz w:val="13"/>
                <w:szCs w:val="13"/>
                <w:color w:val="auto"/>
              </w:rPr>
              <w:t>439,768,583</w:t>
            </w:r>
          </w:p>
        </w:tc>
        <w:tc>
          <w:tcPr>
            <w:tcW w:w="840" w:type="dxa"/>
            <w:vAlign w:val="bottom"/>
            <w:tcBorders>
              <w:top w:val="single" w:sz="8" w:color="auto"/>
            </w:tcBorders>
          </w:tcPr>
          <w:p>
            <w:pPr>
              <w:jc w:val="right"/>
              <w:ind w:right="54"/>
              <w:spacing w:after="0" w:line="147" w:lineRule="exact"/>
              <w:rPr>
                <w:sz w:val="20"/>
                <w:szCs w:val="20"/>
                <w:color w:val="auto"/>
              </w:rPr>
            </w:pPr>
            <w:r>
              <w:rPr>
                <w:rFonts w:ascii="Calibri" w:cs="Calibri" w:eastAsia="Calibri" w:hAnsi="Calibri"/>
                <w:sz w:val="13"/>
                <w:szCs w:val="13"/>
                <w:color w:val="auto"/>
              </w:rPr>
              <w:t>217,311</w:t>
            </w:r>
          </w:p>
        </w:tc>
        <w:tc>
          <w:tcPr>
            <w:tcW w:w="920" w:type="dxa"/>
            <w:vAlign w:val="bottom"/>
            <w:tcBorders>
              <w:top w:val="single" w:sz="8" w:color="auto"/>
            </w:tcBorders>
          </w:tcPr>
          <w:p>
            <w:pPr>
              <w:jc w:val="right"/>
              <w:ind w:right="55"/>
              <w:spacing w:after="0" w:line="147" w:lineRule="exact"/>
              <w:rPr>
                <w:sz w:val="20"/>
                <w:szCs w:val="20"/>
                <w:color w:val="auto"/>
              </w:rPr>
            </w:pPr>
            <w:r>
              <w:rPr>
                <w:rFonts w:ascii="Calibri" w:cs="Calibri" w:eastAsia="Calibri" w:hAnsi="Calibri"/>
                <w:sz w:val="13"/>
                <w:szCs w:val="13"/>
                <w:color w:val="auto"/>
              </w:rPr>
              <w:t>22,442</w:t>
            </w:r>
          </w:p>
        </w:tc>
        <w:tc>
          <w:tcPr>
            <w:tcW w:w="820" w:type="dxa"/>
            <w:vAlign w:val="bottom"/>
            <w:tcBorders>
              <w:top w:val="single" w:sz="8" w:color="auto"/>
            </w:tcBorders>
          </w:tcPr>
          <w:p>
            <w:pPr>
              <w:jc w:val="right"/>
              <w:ind w:right="15"/>
              <w:spacing w:after="0" w:line="147" w:lineRule="exact"/>
              <w:rPr>
                <w:sz w:val="20"/>
                <w:szCs w:val="20"/>
                <w:color w:val="auto"/>
              </w:rPr>
            </w:pPr>
            <w:r>
              <w:rPr>
                <w:rFonts w:ascii="Calibri" w:cs="Calibri" w:eastAsia="Calibri" w:hAnsi="Calibri"/>
                <w:sz w:val="13"/>
                <w:szCs w:val="13"/>
                <w:b w:val="1"/>
                <w:bCs w:val="1"/>
                <w:color w:val="auto"/>
              </w:rPr>
              <w:t>—</w:t>
            </w:r>
          </w:p>
        </w:tc>
        <w:tc>
          <w:tcPr>
            <w:tcW w:w="880" w:type="dxa"/>
            <w:vAlign w:val="bottom"/>
            <w:tcBorders>
              <w:top w:val="single" w:sz="8" w:color="auto"/>
            </w:tcBorders>
          </w:tcPr>
          <w:p>
            <w:pPr>
              <w:jc w:val="right"/>
              <w:ind w:right="55"/>
              <w:spacing w:after="0" w:line="147" w:lineRule="exact"/>
              <w:rPr>
                <w:sz w:val="20"/>
                <w:szCs w:val="20"/>
                <w:color w:val="auto"/>
              </w:rPr>
            </w:pPr>
            <w:r>
              <w:rPr>
                <w:rFonts w:ascii="Calibri" w:cs="Calibri" w:eastAsia="Calibri" w:hAnsi="Calibri"/>
                <w:sz w:val="13"/>
                <w:szCs w:val="13"/>
                <w:b w:val="1"/>
                <w:bCs w:val="1"/>
                <w:color w:val="auto"/>
              </w:rPr>
              <w:t>—</w:t>
            </w:r>
          </w:p>
        </w:tc>
        <w:tc>
          <w:tcPr>
            <w:tcW w:w="86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960" w:type="dxa"/>
            <w:vAlign w:val="bottom"/>
            <w:tcBorders>
              <w:top w:val="single" w:sz="8" w:color="auto"/>
            </w:tcBorders>
            <w:gridSpan w:val="2"/>
          </w:tcPr>
          <w:p>
            <w:pPr>
              <w:jc w:val="right"/>
              <w:spacing w:after="0" w:line="147" w:lineRule="exact"/>
              <w:rPr>
                <w:sz w:val="20"/>
                <w:szCs w:val="20"/>
                <w:color w:val="auto"/>
              </w:rPr>
            </w:pPr>
            <w:r>
              <w:rPr>
                <w:rFonts w:ascii="Calibri" w:cs="Calibri" w:eastAsia="Calibri" w:hAnsi="Calibri"/>
                <w:sz w:val="13"/>
                <w:szCs w:val="13"/>
                <w:color w:val="auto"/>
              </w:rPr>
              <w:t>239,753</w:t>
            </w:r>
          </w:p>
        </w:tc>
        <w:tc>
          <w:tcPr>
            <w:tcW w:w="0" w:type="dxa"/>
            <w:vAlign w:val="bottom"/>
          </w:tcPr>
          <w:p>
            <w:pPr>
              <w:spacing w:after="0"/>
              <w:rPr>
                <w:sz w:val="1"/>
                <w:szCs w:val="1"/>
                <w:color w:val="auto"/>
              </w:rPr>
            </w:pPr>
          </w:p>
        </w:tc>
      </w:tr>
      <w:tr>
        <w:trPr>
          <w:trHeight w:val="168"/>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 issuance on business acquisiton</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1000" w:type="dxa"/>
            <w:vAlign w:val="bottom"/>
            <w:gridSpan w:val="2"/>
          </w:tcPr>
          <w:p>
            <w:pPr>
              <w:jc w:val="right"/>
              <w:ind w:right="54"/>
              <w:spacing w:after="0"/>
              <w:rPr>
                <w:sz w:val="20"/>
                <w:szCs w:val="20"/>
                <w:color w:val="auto"/>
              </w:rPr>
            </w:pPr>
            <w:r>
              <w:rPr>
                <w:rFonts w:ascii="Calibri" w:cs="Calibri" w:eastAsia="Calibri" w:hAnsi="Calibri"/>
                <w:sz w:val="13"/>
                <w:szCs w:val="13"/>
                <w:color w:val="auto"/>
              </w:rPr>
              <w:t>80,945,254</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53,481</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53,481</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At-the-market ofering - net of share issuance costs</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1000" w:type="dxa"/>
            <w:vAlign w:val="bottom"/>
            <w:gridSpan w:val="2"/>
          </w:tcPr>
          <w:p>
            <w:pPr>
              <w:jc w:val="right"/>
              <w:ind w:right="54"/>
              <w:spacing w:after="0"/>
              <w:rPr>
                <w:sz w:val="20"/>
                <w:szCs w:val="20"/>
                <w:color w:val="auto"/>
              </w:rPr>
            </w:pPr>
            <w:r>
              <w:rPr>
                <w:rFonts w:ascii="Calibri" w:cs="Calibri" w:eastAsia="Calibri" w:hAnsi="Calibri"/>
                <w:sz w:val="13"/>
                <w:szCs w:val="13"/>
                <w:color w:val="auto"/>
              </w:rPr>
              <w:t>34,140,507</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14,700</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14,700</w:t>
            </w:r>
          </w:p>
        </w:tc>
        <w:tc>
          <w:tcPr>
            <w:tcW w:w="0" w:type="dxa"/>
            <w:vAlign w:val="bottom"/>
          </w:tcPr>
          <w:p>
            <w:pPr>
              <w:spacing w:after="0"/>
              <w:rPr>
                <w:sz w:val="1"/>
                <w:szCs w:val="1"/>
                <w:color w:val="auto"/>
              </w:rPr>
            </w:pPr>
          </w:p>
        </w:tc>
      </w:tr>
      <w:tr>
        <w:trPr>
          <w:trHeight w:val="160"/>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Shares issued through LPC purchase agreement - net of</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w w:val="90"/>
              </w:rPr>
              <w:t>9</w:t>
            </w:r>
          </w:p>
        </w:tc>
        <w:tc>
          <w:tcPr>
            <w:tcW w:w="1000" w:type="dxa"/>
            <w:vAlign w:val="bottom"/>
            <w:gridSpan w:val="2"/>
            <w:vMerge w:val="restart"/>
          </w:tcPr>
          <w:p>
            <w:pPr>
              <w:jc w:val="right"/>
              <w:ind w:right="54"/>
              <w:spacing w:after="0"/>
              <w:rPr>
                <w:sz w:val="20"/>
                <w:szCs w:val="20"/>
                <w:color w:val="auto"/>
              </w:rPr>
            </w:pPr>
            <w:r>
              <w:rPr>
                <w:rFonts w:ascii="Calibri" w:cs="Calibri" w:eastAsia="Calibri" w:hAnsi="Calibri"/>
                <w:sz w:val="13"/>
                <w:szCs w:val="13"/>
                <w:color w:val="auto"/>
              </w:rPr>
              <w:t>1,925,000</w:t>
            </w:r>
          </w:p>
        </w:tc>
        <w:tc>
          <w:tcPr>
            <w:tcW w:w="840" w:type="dxa"/>
            <w:vAlign w:val="bottom"/>
            <w:vMerge w:val="restart"/>
          </w:tcPr>
          <w:p>
            <w:pPr>
              <w:jc w:val="right"/>
              <w:ind w:right="54"/>
              <w:spacing w:after="0"/>
              <w:rPr>
                <w:sz w:val="20"/>
                <w:szCs w:val="20"/>
                <w:color w:val="auto"/>
              </w:rPr>
            </w:pPr>
            <w:r>
              <w:rPr>
                <w:rFonts w:ascii="Calibri" w:cs="Calibri" w:eastAsia="Calibri" w:hAnsi="Calibri"/>
                <w:sz w:val="13"/>
                <w:szCs w:val="13"/>
                <w:color w:val="auto"/>
              </w:rPr>
              <w:t>147</w:t>
            </w:r>
          </w:p>
        </w:tc>
        <w:tc>
          <w:tcPr>
            <w:tcW w:w="920" w:type="dxa"/>
            <w:vAlign w:val="bottom"/>
            <w:vMerge w:val="restart"/>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vMerge w:val="restart"/>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vMerge w:val="restart"/>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vMerge w:val="restart"/>
          </w:tcPr>
          <w:p>
            <w:pPr>
              <w:jc w:val="right"/>
              <w:spacing w:after="0"/>
              <w:rPr>
                <w:sz w:val="20"/>
                <w:szCs w:val="20"/>
                <w:color w:val="auto"/>
              </w:rPr>
            </w:pPr>
            <w:r>
              <w:rPr>
                <w:rFonts w:ascii="Calibri" w:cs="Calibri" w:eastAsia="Calibri" w:hAnsi="Calibri"/>
                <w:sz w:val="13"/>
                <w:szCs w:val="13"/>
                <w:color w:val="auto"/>
              </w:rPr>
              <w:t>147</w:t>
            </w:r>
          </w:p>
        </w:tc>
        <w:tc>
          <w:tcPr>
            <w:tcW w:w="0" w:type="dxa"/>
            <w:vAlign w:val="bottom"/>
          </w:tcPr>
          <w:p>
            <w:pPr>
              <w:spacing w:after="0"/>
              <w:rPr>
                <w:sz w:val="1"/>
                <w:szCs w:val="1"/>
                <w:color w:val="auto"/>
              </w:rPr>
            </w:pPr>
          </w:p>
        </w:tc>
      </w:tr>
      <w:tr>
        <w:trPr>
          <w:trHeight w:val="82"/>
        </w:trPr>
        <w:tc>
          <w:tcPr>
            <w:tcW w:w="32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share issuance costs</w:t>
            </w:r>
          </w:p>
        </w:tc>
        <w:tc>
          <w:tcPr>
            <w:tcW w:w="6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60"/>
              <w:spacing w:after="0" w:line="149" w:lineRule="exact"/>
              <w:rPr>
                <w:sz w:val="20"/>
                <w:szCs w:val="20"/>
                <w:color w:val="auto"/>
              </w:rPr>
            </w:pPr>
            <w:r>
              <w:rPr>
                <w:rFonts w:ascii="Calibri" w:cs="Calibri" w:eastAsia="Calibri" w:hAnsi="Calibri"/>
                <w:sz w:val="13"/>
                <w:szCs w:val="13"/>
                <w:color w:val="auto"/>
              </w:rPr>
              <w:t>Issuance of common shares as commitment fee for equity</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w w:val="90"/>
              </w:rPr>
              <w:t>9</w:t>
            </w:r>
          </w:p>
        </w:tc>
        <w:tc>
          <w:tcPr>
            <w:tcW w:w="1000" w:type="dxa"/>
            <w:vAlign w:val="bottom"/>
            <w:gridSpan w:val="2"/>
            <w:vMerge w:val="restart"/>
          </w:tcPr>
          <w:p>
            <w:pPr>
              <w:jc w:val="right"/>
              <w:ind w:right="54"/>
              <w:spacing w:after="0"/>
              <w:rPr>
                <w:sz w:val="20"/>
                <w:szCs w:val="20"/>
                <w:color w:val="auto"/>
              </w:rPr>
            </w:pPr>
            <w:r>
              <w:rPr>
                <w:rFonts w:ascii="Calibri" w:cs="Calibri" w:eastAsia="Calibri" w:hAnsi="Calibri"/>
                <w:sz w:val="13"/>
                <w:szCs w:val="13"/>
                <w:color w:val="auto"/>
              </w:rPr>
              <w:t>2,538,844</w:t>
            </w:r>
          </w:p>
        </w:tc>
        <w:tc>
          <w:tcPr>
            <w:tcW w:w="840" w:type="dxa"/>
            <w:vAlign w:val="bottom"/>
            <w:vMerge w:val="restart"/>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vMerge w:val="restart"/>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vMerge w:val="restart"/>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vMerge w:val="restart"/>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82"/>
        </w:trPr>
        <w:tc>
          <w:tcPr>
            <w:tcW w:w="3240" w:type="dxa"/>
            <w:vAlign w:val="bottom"/>
            <w:vMerge w:val="restart"/>
          </w:tcPr>
          <w:p>
            <w:pPr>
              <w:ind w:left="60"/>
              <w:spacing w:after="0" w:line="155" w:lineRule="exact"/>
              <w:rPr>
                <w:sz w:val="20"/>
                <w:szCs w:val="20"/>
                <w:color w:val="auto"/>
              </w:rPr>
            </w:pPr>
            <w:r>
              <w:rPr>
                <w:rFonts w:ascii="Calibri" w:cs="Calibri" w:eastAsia="Calibri" w:hAnsi="Calibri"/>
                <w:sz w:val="13"/>
                <w:szCs w:val="13"/>
                <w:color w:val="auto"/>
              </w:rPr>
              <w:t>fnancing</w:t>
            </w:r>
          </w:p>
        </w:tc>
        <w:tc>
          <w:tcPr>
            <w:tcW w:w="6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240" w:type="dxa"/>
            <w:vAlign w:val="bottom"/>
          </w:tcPr>
          <w:p>
            <w:pPr>
              <w:ind w:left="60"/>
              <w:spacing w:after="0"/>
              <w:rPr>
                <w:sz w:val="20"/>
                <w:szCs w:val="20"/>
                <w:color w:val="auto"/>
              </w:rPr>
            </w:pPr>
            <w:r>
              <w:rPr>
                <w:rFonts w:ascii="Calibri" w:cs="Calibri" w:eastAsia="Calibri" w:hAnsi="Calibri"/>
                <w:sz w:val="13"/>
                <w:szCs w:val="13"/>
                <w:color w:val="auto"/>
              </w:rPr>
              <w:t>Optons expired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8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spacing w:after="0"/>
              <w:rPr>
                <w:sz w:val="20"/>
                <w:szCs w:val="20"/>
                <w:color w:val="auto"/>
              </w:rPr>
            </w:pPr>
            <w:r>
              <w:rPr>
                <w:rFonts w:ascii="Calibri" w:cs="Calibri" w:eastAsia="Calibri" w:hAnsi="Calibri"/>
                <w:sz w:val="13"/>
                <w:szCs w:val="13"/>
                <w:color w:val="auto"/>
              </w:rPr>
              <w:t>(1,992)</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1,992</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1000" w:type="dxa"/>
            <w:vAlign w:val="bottom"/>
            <w:gridSpan w:val="2"/>
          </w:tcPr>
          <w:p>
            <w:pPr>
              <w:jc w:val="right"/>
              <w:ind w:right="54"/>
              <w:spacing w:after="0"/>
              <w:rPr>
                <w:sz w:val="20"/>
                <w:szCs w:val="20"/>
                <w:color w:val="auto"/>
              </w:rPr>
            </w:pPr>
            <w:r>
              <w:rPr>
                <w:rFonts w:ascii="Calibri" w:cs="Calibri" w:eastAsia="Calibri" w:hAnsi="Calibri"/>
                <w:sz w:val="13"/>
                <w:szCs w:val="13"/>
                <w:color w:val="auto"/>
              </w:rPr>
              <w:t>101,000</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76</w:t>
            </w:r>
          </w:p>
        </w:tc>
        <w:tc>
          <w:tcPr>
            <w:tcW w:w="920" w:type="dxa"/>
            <w:vAlign w:val="bottom"/>
          </w:tcPr>
          <w:p>
            <w:pPr>
              <w:jc w:val="right"/>
              <w:ind w:right="15"/>
              <w:spacing w:after="0"/>
              <w:rPr>
                <w:sz w:val="20"/>
                <w:szCs w:val="20"/>
                <w:color w:val="auto"/>
              </w:rPr>
            </w:pPr>
            <w:r>
              <w:rPr>
                <w:rFonts w:ascii="Calibri" w:cs="Calibri" w:eastAsia="Calibri" w:hAnsi="Calibri"/>
                <w:sz w:val="13"/>
                <w:szCs w:val="13"/>
                <w:color w:val="auto"/>
              </w:rPr>
              <w:t>(20)</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56</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Warrants expired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15"/>
              <w:spacing w:after="0"/>
              <w:rPr>
                <w:sz w:val="20"/>
                <w:szCs w:val="20"/>
                <w:color w:val="auto"/>
              </w:rPr>
            </w:pPr>
            <w:r>
              <w:rPr>
                <w:rFonts w:ascii="Calibri" w:cs="Calibri" w:eastAsia="Calibri" w:hAnsi="Calibri"/>
                <w:sz w:val="13"/>
                <w:szCs w:val="13"/>
                <w:color w:val="auto"/>
              </w:rPr>
              <w:t>(7,656)</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7,656</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9</w:t>
            </w:r>
          </w:p>
        </w:tc>
        <w:tc>
          <w:tcPr>
            <w:tcW w:w="80" w:type="dxa"/>
            <w:vAlign w:val="bottom"/>
          </w:tcPr>
          <w:p>
            <w:pPr>
              <w:spacing w:after="0"/>
              <w:rPr>
                <w:sz w:val="15"/>
                <w:szCs w:val="15"/>
                <w:color w:val="auto"/>
              </w:rPr>
            </w:pPr>
          </w:p>
        </w:tc>
        <w:tc>
          <w:tcPr>
            <w:tcW w:w="920" w:type="dxa"/>
            <w:vAlign w:val="bottom"/>
          </w:tcPr>
          <w:p>
            <w:pPr>
              <w:jc w:val="right"/>
              <w:ind w:right="74"/>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13,886</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13,886</w:t>
            </w:r>
          </w:p>
        </w:tc>
        <w:tc>
          <w:tcPr>
            <w:tcW w:w="0" w:type="dxa"/>
            <w:vAlign w:val="bottom"/>
          </w:tcPr>
          <w:p>
            <w:pPr>
              <w:spacing w:after="0"/>
              <w:rPr>
                <w:sz w:val="1"/>
                <w:szCs w:val="1"/>
                <w:color w:val="auto"/>
              </w:rPr>
            </w:pPr>
          </w:p>
        </w:tc>
      </w:tr>
      <w:tr>
        <w:trPr>
          <w:trHeight w:val="226"/>
        </w:trPr>
        <w:tc>
          <w:tcPr>
            <w:tcW w:w="3240" w:type="dxa"/>
            <w:vAlign w:val="bottom"/>
          </w:tcPr>
          <w:p>
            <w:pPr>
              <w:ind w:left="60"/>
              <w:spacing w:after="0"/>
              <w:rPr>
                <w:sz w:val="20"/>
                <w:szCs w:val="20"/>
                <w:color w:val="auto"/>
              </w:rPr>
            </w:pPr>
            <w:r>
              <w:rPr>
                <w:rFonts w:ascii="Calibri" w:cs="Calibri" w:eastAsia="Calibri" w:hAnsi="Calibri"/>
                <w:sz w:val="13"/>
                <w:szCs w:val="13"/>
                <w:color w:val="auto"/>
              </w:rPr>
              <w:t>Unrealized loss on translaton of foreign operatons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(250)</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(250)</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Calibri" w:cs="Calibri" w:eastAsia="Calibri" w:hAnsi="Calibri"/>
                <w:sz w:val="13"/>
                <w:szCs w:val="13"/>
                <w:color w:val="auto"/>
              </w:rPr>
              <w:t>Net loss for the year</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ind w:right="54"/>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860" w:type="dxa"/>
            <w:vAlign w:val="bottom"/>
          </w:tcPr>
          <w:p>
            <w:pPr>
              <w:jc w:val="right"/>
              <w:spacing w:after="0"/>
              <w:rPr>
                <w:sz w:val="20"/>
                <w:szCs w:val="20"/>
                <w:color w:val="auto"/>
              </w:rPr>
            </w:pPr>
            <w:r>
              <w:rPr>
                <w:rFonts w:ascii="Calibri" w:cs="Calibri" w:eastAsia="Calibri" w:hAnsi="Calibri"/>
                <w:sz w:val="13"/>
                <w:szCs w:val="13"/>
                <w:color w:val="auto"/>
              </w:rPr>
              <w:t>(78,080)</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spacing w:after="0"/>
              <w:rPr>
                <w:sz w:val="20"/>
                <w:szCs w:val="20"/>
                <w:color w:val="auto"/>
              </w:rPr>
            </w:pPr>
            <w:r>
              <w:rPr>
                <w:rFonts w:ascii="Calibri" w:cs="Calibri" w:eastAsia="Calibri" w:hAnsi="Calibri"/>
                <w:sz w:val="13"/>
                <w:szCs w:val="13"/>
                <w:color w:val="auto"/>
              </w:rPr>
              <w:t>(78,080)</w:t>
            </w:r>
          </w:p>
        </w:tc>
        <w:tc>
          <w:tcPr>
            <w:tcW w:w="0" w:type="dxa"/>
            <w:vAlign w:val="bottom"/>
          </w:tcPr>
          <w:p>
            <w:pPr>
              <w:spacing w:after="0"/>
              <w:rPr>
                <w:sz w:val="1"/>
                <w:szCs w:val="1"/>
                <w:color w:val="auto"/>
              </w:rPr>
            </w:pP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32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as at March 31, 2024</w:t>
            </w:r>
          </w:p>
        </w:tc>
        <w:tc>
          <w:tcPr>
            <w:tcW w:w="6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9D9D9"/>
            </w:tcBorders>
            <w:shd w:val="clear" w:color="auto" w:fill="D9D9D9"/>
          </w:tcPr>
          <w:p>
            <w:pPr>
              <w:jc w:val="right"/>
              <w:ind w:right="74"/>
              <w:spacing w:after="0" w:line="147" w:lineRule="exact"/>
              <w:rPr>
                <w:sz w:val="20"/>
                <w:szCs w:val="20"/>
                <w:color w:val="auto"/>
              </w:rPr>
            </w:pPr>
            <w:r>
              <w:rPr>
                <w:rFonts w:ascii="Calibri" w:cs="Calibri" w:eastAsia="Calibri" w:hAnsi="Calibri"/>
                <w:sz w:val="13"/>
                <w:szCs w:val="13"/>
                <w:b w:val="1"/>
                <w:bCs w:val="1"/>
                <w:color w:val="auto"/>
              </w:rPr>
              <w:t>760,053,342</w:t>
            </w:r>
          </w:p>
        </w:tc>
        <w:tc>
          <w:tcPr>
            <w:tcW w:w="840" w:type="dxa"/>
            <w:vAlign w:val="bottom"/>
            <w:tcBorders>
              <w:bottom w:val="single" w:sz="8" w:color="D9D9D9"/>
              <w:right w:val="single" w:sz="8" w:color="DBDBDB"/>
            </w:tcBorders>
            <w:shd w:val="clear" w:color="auto" w:fill="D9D9D9"/>
          </w:tcPr>
          <w:p>
            <w:pPr>
              <w:jc w:val="right"/>
              <w:ind w:right="54"/>
              <w:spacing w:after="0" w:line="147" w:lineRule="exact"/>
              <w:rPr>
                <w:sz w:val="20"/>
                <w:szCs w:val="20"/>
                <w:color w:val="auto"/>
              </w:rPr>
            </w:pPr>
            <w:r>
              <w:rPr>
                <w:rFonts w:ascii="Calibri" w:cs="Calibri" w:eastAsia="Calibri" w:hAnsi="Calibri"/>
                <w:sz w:val="13"/>
                <w:szCs w:val="13"/>
                <w:b w:val="1"/>
                <w:bCs w:val="1"/>
                <w:color w:val="auto"/>
              </w:rPr>
              <w:t>443,877</w:t>
            </w:r>
          </w:p>
        </w:tc>
        <w:tc>
          <w:tcPr>
            <w:tcW w:w="920" w:type="dxa"/>
            <w:vAlign w:val="bottom"/>
            <w:tcBorders>
              <w:bottom w:val="single" w:sz="8" w:color="D9D9D9"/>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25,639</w:t>
            </w:r>
          </w:p>
        </w:tc>
        <w:tc>
          <w:tcPr>
            <w:tcW w:w="82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39,177</w:t>
            </w:r>
          </w:p>
        </w:tc>
        <w:tc>
          <w:tcPr>
            <w:tcW w:w="880" w:type="dxa"/>
            <w:vAlign w:val="bottom"/>
            <w:tcBorders>
              <w:bottom w:val="single" w:sz="8" w:color="D9D9D9"/>
              <w:right w:val="single" w:sz="8" w:color="DBDBDB"/>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11,750</w:t>
            </w: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(226,231)</w:t>
            </w:r>
          </w:p>
        </w:tc>
        <w:tc>
          <w:tcPr>
            <w:tcW w:w="8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(2,285)</w:t>
            </w:r>
          </w:p>
        </w:tc>
        <w:tc>
          <w:tcPr>
            <w:tcW w:w="6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291,927</w:t>
            </w:r>
          </w:p>
        </w:tc>
        <w:tc>
          <w:tcPr>
            <w:tcW w:w="0" w:type="dxa"/>
            <w:vAlign w:val="bottom"/>
          </w:tcPr>
          <w:p>
            <w:pPr>
              <w:spacing w:after="0"/>
              <w:rPr>
                <w:sz w:val="1"/>
                <w:szCs w:val="1"/>
                <w:color w:val="auto"/>
              </w:rPr>
            </w:pPr>
          </w:p>
        </w:tc>
      </w:tr>
      <w:tr>
        <w:trPr>
          <w:trHeight w:val="20"/>
        </w:trPr>
        <w:tc>
          <w:tcPr>
            <w:tcW w:w="3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862965</wp:posOffset>
            </wp:positionV>
            <wp:extent cx="717169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26" w:name="page27"/>
    <w:bookmarkEnd w:id="2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CONSOLIDATED STATEMENT OF CASH FLOWS</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80" w:type="dxa"/>
            <w:vAlign w:val="bottom"/>
          </w:tcPr>
          <w:p>
            <w:pPr>
              <w:jc w:val="right"/>
              <w:ind w:right="27"/>
              <w:spacing w:after="0"/>
              <w:rPr>
                <w:sz w:val="20"/>
                <w:szCs w:val="20"/>
                <w:color w:val="auto"/>
              </w:rPr>
            </w:pPr>
            <w:r>
              <w:rPr>
                <w:rFonts w:ascii="Calibri" w:cs="Calibri" w:eastAsia="Calibri" w:hAnsi="Calibri"/>
                <w:sz w:val="15"/>
                <w:szCs w:val="15"/>
                <w:b w:val="1"/>
                <w:bCs w:val="1"/>
                <w:color w:val="auto"/>
              </w:rPr>
              <w:t>For the year ended</w:t>
            </w:r>
          </w:p>
        </w:tc>
        <w:tc>
          <w:tcPr>
            <w:tcW w:w="680" w:type="dxa"/>
            <w:vAlign w:val="bottom"/>
          </w:tcPr>
          <w:p>
            <w:pPr>
              <w:spacing w:after="0"/>
              <w:rPr>
                <w:sz w:val="15"/>
                <w:szCs w:val="15"/>
                <w:color w:val="auto"/>
              </w:rPr>
            </w:pPr>
          </w:p>
        </w:tc>
      </w:tr>
      <w:tr>
        <w:trPr>
          <w:trHeight w:val="173"/>
        </w:trPr>
        <w:tc>
          <w:tcPr>
            <w:tcW w:w="6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80" w:type="dxa"/>
            <w:vAlign w:val="bottom"/>
          </w:tcPr>
          <w:p>
            <w:pPr>
              <w:jc w:val="right"/>
              <w:ind w:right="267"/>
              <w:spacing w:after="0" w:line="173" w:lineRule="exact"/>
              <w:rPr>
                <w:sz w:val="20"/>
                <w:szCs w:val="20"/>
                <w:color w:val="auto"/>
              </w:rPr>
            </w:pPr>
            <w:r>
              <w:rPr>
                <w:rFonts w:ascii="Calibri" w:cs="Calibri" w:eastAsia="Calibri" w:hAnsi="Calibri"/>
                <w:sz w:val="15"/>
                <w:szCs w:val="15"/>
                <w:b w:val="1"/>
                <w:bCs w:val="1"/>
                <w:color w:val="auto"/>
              </w:rPr>
              <w:t>March 31,</w:t>
            </w:r>
          </w:p>
        </w:tc>
        <w:tc>
          <w:tcPr>
            <w:tcW w:w="680" w:type="dxa"/>
            <w:vAlign w:val="bottom"/>
          </w:tcPr>
          <w:p>
            <w:pPr>
              <w:spacing w:after="0"/>
              <w:rPr>
                <w:sz w:val="15"/>
                <w:szCs w:val="15"/>
                <w:color w:val="auto"/>
              </w:rPr>
            </w:pPr>
          </w:p>
        </w:tc>
      </w:tr>
      <w:tr>
        <w:trPr>
          <w:trHeight w:val="25"/>
        </w:trPr>
        <w:tc>
          <w:tcPr>
            <w:tcW w:w="6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5"/>
        </w:trPr>
        <w:tc>
          <w:tcPr>
            <w:tcW w:w="6480" w:type="dxa"/>
            <w:vAlign w:val="bottom"/>
          </w:tcPr>
          <w:p>
            <w:pPr>
              <w:spacing w:after="0"/>
              <w:rPr>
                <w:sz w:val="14"/>
                <w:szCs w:val="14"/>
                <w:color w:val="auto"/>
              </w:rPr>
            </w:pPr>
          </w:p>
        </w:tc>
        <w:tc>
          <w:tcPr>
            <w:tcW w:w="2120" w:type="dxa"/>
            <w:vAlign w:val="bottom"/>
          </w:tcPr>
          <w:p>
            <w:pPr>
              <w:ind w:left="1480"/>
              <w:spacing w:after="0" w:line="165" w:lineRule="exact"/>
              <w:rPr>
                <w:sz w:val="20"/>
                <w:szCs w:val="20"/>
                <w:color w:val="auto"/>
              </w:rPr>
            </w:pPr>
            <w:r>
              <w:rPr>
                <w:rFonts w:ascii="Calibri" w:cs="Calibri" w:eastAsia="Calibri" w:hAnsi="Calibri"/>
                <w:sz w:val="15"/>
                <w:szCs w:val="15"/>
                <w:b w:val="1"/>
                <w:bCs w:val="1"/>
                <w:color w:val="auto"/>
              </w:rPr>
              <w:t>Notes</w:t>
            </w:r>
          </w:p>
        </w:tc>
        <w:tc>
          <w:tcPr>
            <w:tcW w:w="1980" w:type="dxa"/>
            <w:vAlign w:val="bottom"/>
          </w:tcPr>
          <w:p>
            <w:pPr>
              <w:jc w:val="right"/>
              <w:ind w:right="647"/>
              <w:spacing w:after="0" w:line="165" w:lineRule="exact"/>
              <w:rPr>
                <w:sz w:val="20"/>
                <w:szCs w:val="20"/>
                <w:color w:val="auto"/>
              </w:rPr>
            </w:pPr>
            <w:r>
              <w:rPr>
                <w:rFonts w:ascii="Calibri" w:cs="Calibri" w:eastAsia="Calibri" w:hAnsi="Calibri"/>
                <w:sz w:val="15"/>
                <w:szCs w:val="15"/>
                <w:b w:val="1"/>
                <w:bCs w:val="1"/>
                <w:color w:val="auto"/>
              </w:rPr>
              <w:t>2024</w:t>
            </w:r>
          </w:p>
        </w:tc>
        <w:tc>
          <w:tcPr>
            <w:tcW w:w="68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2023</w:t>
            </w:r>
          </w:p>
        </w:tc>
      </w:tr>
      <w:tr>
        <w:trPr>
          <w:trHeight w:val="21"/>
        </w:trPr>
        <w:tc>
          <w:tcPr>
            <w:tcW w:w="6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4"/>
        </w:trPr>
        <w:tc>
          <w:tcPr>
            <w:tcW w:w="6480" w:type="dxa"/>
            <w:vAlign w:val="bottom"/>
          </w:tcPr>
          <w:p>
            <w:pPr>
              <w:ind w:left="60"/>
              <w:spacing w:after="0"/>
              <w:rPr>
                <w:sz w:val="20"/>
                <w:szCs w:val="20"/>
                <w:color w:val="auto"/>
              </w:rPr>
            </w:pPr>
            <w:r>
              <w:rPr>
                <w:rFonts w:ascii="Calibri" w:cs="Calibri" w:eastAsia="Calibri" w:hAnsi="Calibri"/>
                <w:sz w:val="15"/>
                <w:szCs w:val="15"/>
                <w:b w:val="1"/>
                <w:bCs w:val="1"/>
                <w:color w:val="auto"/>
              </w:rPr>
              <w:t>OPERATING ACTIVITIES</w:t>
            </w: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94"/>
        </w:trPr>
        <w:tc>
          <w:tcPr>
            <w:tcW w:w="6480" w:type="dxa"/>
            <w:vAlign w:val="bottom"/>
          </w:tcPr>
          <w:p>
            <w:pPr>
              <w:ind w:left="60"/>
              <w:spacing w:after="0"/>
              <w:rPr>
                <w:sz w:val="20"/>
                <w:szCs w:val="20"/>
                <w:color w:val="auto"/>
              </w:rPr>
            </w:pPr>
            <w:r>
              <w:rPr>
                <w:rFonts w:ascii="Calibri" w:cs="Calibri" w:eastAsia="Calibri" w:hAnsi="Calibri"/>
                <w:sz w:val="15"/>
                <w:szCs w:val="15"/>
                <w:b w:val="1"/>
                <w:bCs w:val="1"/>
                <w:color w:val="auto"/>
              </w:rPr>
              <w:t>Net loss for the year</w:t>
            </w:r>
          </w:p>
        </w:tc>
        <w:tc>
          <w:tcPr>
            <w:tcW w:w="2120" w:type="dxa"/>
            <w:vAlign w:val="bottom"/>
          </w:tcPr>
          <w:p>
            <w:pPr>
              <w:spacing w:after="0"/>
              <w:rPr>
                <w:sz w:val="16"/>
                <w:szCs w:val="16"/>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(78,080)</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(47,490)</w:t>
            </w:r>
          </w:p>
        </w:tc>
      </w:tr>
      <w:tr>
        <w:trPr>
          <w:trHeight w:val="194"/>
        </w:trPr>
        <w:tc>
          <w:tcPr>
            <w:tcW w:w="6480" w:type="dxa"/>
            <w:vAlign w:val="bottom"/>
          </w:tcPr>
          <w:p>
            <w:pPr>
              <w:ind w:left="16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2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4"/>
        </w:trPr>
        <w:tc>
          <w:tcPr>
            <w:tcW w:w="6480" w:type="dxa"/>
            <w:vAlign w:val="bottom"/>
          </w:tcPr>
          <w:p>
            <w:pPr>
              <w:ind w:left="340"/>
              <w:spacing w:after="0"/>
              <w:rPr>
                <w:sz w:val="20"/>
                <w:szCs w:val="20"/>
                <w:color w:val="auto"/>
              </w:rPr>
            </w:pPr>
            <w:r>
              <w:rPr>
                <w:rFonts w:ascii="Calibri" w:cs="Calibri" w:eastAsia="Calibri" w:hAnsi="Calibri"/>
                <w:sz w:val="15"/>
                <w:szCs w:val="15"/>
                <w:color w:val="auto"/>
              </w:rPr>
              <w:t>Interest income</w:t>
            </w:r>
          </w:p>
        </w:tc>
        <w:tc>
          <w:tcPr>
            <w:tcW w:w="2120" w:type="dxa"/>
            <w:vAlign w:val="bottom"/>
          </w:tcPr>
          <w:p>
            <w:pPr>
              <w:spacing w:after="0"/>
              <w:rPr>
                <w:sz w:val="16"/>
                <w:szCs w:val="16"/>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(18)</w:t>
            </w: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Depreciaton and amortzaton</w:t>
            </w:r>
          </w:p>
        </w:tc>
        <w:tc>
          <w:tcPr>
            <w:tcW w:w="2120" w:type="dxa"/>
            <w:vAlign w:val="bottom"/>
          </w:tcPr>
          <w:p>
            <w:pPr>
              <w:jc w:val="center"/>
              <w:ind w:left="1147"/>
              <w:spacing w:after="0"/>
              <w:rPr>
                <w:sz w:val="20"/>
                <w:szCs w:val="20"/>
                <w:color w:val="auto"/>
              </w:rPr>
            </w:pPr>
            <w:r>
              <w:rPr>
                <w:rFonts w:ascii="Calibri" w:cs="Calibri" w:eastAsia="Calibri" w:hAnsi="Calibri"/>
                <w:sz w:val="15"/>
                <w:szCs w:val="15"/>
                <w:i w:val="1"/>
                <w:iCs w:val="1"/>
                <w:color w:val="auto"/>
                <w:w w:val="97"/>
              </w:rPr>
              <w:t>5, 6 &amp; 7</w:t>
            </w: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424</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251</w:t>
            </w: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Share-based compensaton</w:t>
            </w:r>
          </w:p>
        </w:tc>
        <w:tc>
          <w:tcPr>
            <w:tcW w:w="2120" w:type="dxa"/>
            <w:vAlign w:val="bottom"/>
          </w:tcPr>
          <w:p>
            <w:pPr>
              <w:spacing w:after="0"/>
              <w:rPr>
                <w:sz w:val="18"/>
                <w:szCs w:val="18"/>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13,886</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4,686</w:t>
            </w:r>
          </w:p>
        </w:tc>
      </w:tr>
      <w:tr>
        <w:trPr>
          <w:trHeight w:val="194"/>
        </w:trPr>
        <w:tc>
          <w:tcPr>
            <w:tcW w:w="6480" w:type="dxa"/>
            <w:vAlign w:val="bottom"/>
          </w:tcPr>
          <w:p>
            <w:pPr>
              <w:ind w:left="380"/>
              <w:spacing w:after="0"/>
              <w:rPr>
                <w:sz w:val="20"/>
                <w:szCs w:val="20"/>
                <w:color w:val="auto"/>
              </w:rPr>
            </w:pPr>
            <w:r>
              <w:rPr>
                <w:rFonts w:ascii="Calibri" w:cs="Calibri" w:eastAsia="Calibri" w:hAnsi="Calibri"/>
                <w:sz w:val="15"/>
                <w:szCs w:val="15"/>
                <w:color w:val="auto"/>
              </w:rPr>
              <w:t>Lease interest</w:t>
            </w:r>
          </w:p>
        </w:tc>
        <w:tc>
          <w:tcPr>
            <w:tcW w:w="2120" w:type="dxa"/>
            <w:vAlign w:val="bottom"/>
          </w:tcPr>
          <w:p>
            <w:pPr>
              <w:spacing w:after="0"/>
              <w:rPr>
                <w:sz w:val="16"/>
                <w:szCs w:val="16"/>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8</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194"/>
        </w:trPr>
        <w:tc>
          <w:tcPr>
            <w:tcW w:w="6480" w:type="dxa"/>
            <w:vAlign w:val="bottom"/>
          </w:tcPr>
          <w:p>
            <w:pPr>
              <w:ind w:left="380"/>
              <w:spacing w:after="0"/>
              <w:rPr>
                <w:sz w:val="20"/>
                <w:szCs w:val="20"/>
                <w:color w:val="auto"/>
              </w:rPr>
            </w:pPr>
            <w:r>
              <w:rPr>
                <w:rFonts w:ascii="Calibri" w:cs="Calibri" w:eastAsia="Calibri" w:hAnsi="Calibri"/>
                <w:sz w:val="15"/>
                <w:szCs w:val="15"/>
                <w:color w:val="auto"/>
              </w:rPr>
              <w:t>Computer equipment write-down</w:t>
            </w:r>
          </w:p>
        </w:tc>
        <w:tc>
          <w:tcPr>
            <w:tcW w:w="2120" w:type="dxa"/>
            <w:vAlign w:val="bottom"/>
          </w:tcPr>
          <w:p>
            <w:pPr>
              <w:spacing w:after="0"/>
              <w:rPr>
                <w:sz w:val="16"/>
                <w:szCs w:val="16"/>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18</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194"/>
        </w:trPr>
        <w:tc>
          <w:tcPr>
            <w:tcW w:w="6480" w:type="dxa"/>
            <w:vAlign w:val="bottom"/>
          </w:tcPr>
          <w:p>
            <w:pPr>
              <w:ind w:left="34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2120" w:type="dxa"/>
            <w:vAlign w:val="bottom"/>
          </w:tcPr>
          <w:p>
            <w:pPr>
              <w:spacing w:after="0"/>
              <w:rPr>
                <w:sz w:val="16"/>
                <w:szCs w:val="16"/>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260</w:t>
            </w: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Contngent consideraton accreton</w:t>
            </w:r>
          </w:p>
        </w:tc>
        <w:tc>
          <w:tcPr>
            <w:tcW w:w="2120" w:type="dxa"/>
            <w:vAlign w:val="bottom"/>
          </w:tcPr>
          <w:p>
            <w:pPr>
              <w:spacing w:after="0"/>
              <w:rPr>
                <w:sz w:val="18"/>
                <w:szCs w:val="18"/>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13</w:t>
            </w: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Change in fair value of contngent consideraton</w:t>
            </w:r>
          </w:p>
        </w:tc>
        <w:tc>
          <w:tcPr>
            <w:tcW w:w="2120" w:type="dxa"/>
            <w:vAlign w:val="bottom"/>
          </w:tcPr>
          <w:p>
            <w:pPr>
              <w:spacing w:after="0"/>
              <w:rPr>
                <w:sz w:val="18"/>
                <w:szCs w:val="18"/>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329</w:t>
            </w:r>
          </w:p>
        </w:tc>
      </w:tr>
      <w:tr>
        <w:trPr>
          <w:trHeight w:val="218"/>
        </w:trPr>
        <w:tc>
          <w:tcPr>
            <w:tcW w:w="6480" w:type="dxa"/>
            <w:vAlign w:val="bottom"/>
          </w:tcPr>
          <w:p>
            <w:pPr>
              <w:ind w:left="380"/>
              <w:spacing w:after="0"/>
              <w:rPr>
                <w:sz w:val="20"/>
                <w:szCs w:val="20"/>
                <w:color w:val="auto"/>
              </w:rPr>
            </w:pPr>
            <w:r>
              <w:rPr>
                <w:rFonts w:ascii="Calibri" w:cs="Calibri" w:eastAsia="Calibri" w:hAnsi="Calibri"/>
                <w:sz w:val="15"/>
                <w:szCs w:val="15"/>
                <w:color w:val="auto"/>
              </w:rPr>
              <w:t>Unrealized foreign currency translaton (gain)</w:t>
            </w:r>
          </w:p>
        </w:tc>
        <w:tc>
          <w:tcPr>
            <w:tcW w:w="2120" w:type="dxa"/>
            <w:vAlign w:val="bottom"/>
          </w:tcPr>
          <w:p>
            <w:pPr>
              <w:spacing w:after="0"/>
              <w:rPr>
                <w:sz w:val="18"/>
                <w:szCs w:val="18"/>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(137)</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(4,025)</w:t>
            </w:r>
          </w:p>
        </w:tc>
      </w:tr>
      <w:tr>
        <w:trPr>
          <w:trHeight w:val="25"/>
        </w:trPr>
        <w:tc>
          <w:tcPr>
            <w:tcW w:w="6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5"/>
        </w:trPr>
        <w:tc>
          <w:tcPr>
            <w:tcW w:w="6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80" w:type="dxa"/>
            <w:vAlign w:val="bottom"/>
          </w:tcPr>
          <w:p>
            <w:pPr>
              <w:jc w:val="right"/>
              <w:ind w:right="647"/>
              <w:spacing w:after="0" w:line="165" w:lineRule="exact"/>
              <w:rPr>
                <w:sz w:val="20"/>
                <w:szCs w:val="20"/>
                <w:color w:val="auto"/>
              </w:rPr>
            </w:pPr>
            <w:r>
              <w:rPr>
                <w:rFonts w:ascii="Calibri" w:cs="Calibri" w:eastAsia="Calibri" w:hAnsi="Calibri"/>
                <w:sz w:val="15"/>
                <w:szCs w:val="15"/>
                <w:b w:val="1"/>
                <w:bCs w:val="1"/>
                <w:color w:val="auto"/>
              </w:rPr>
              <w:t>(63,881)</w:t>
            </w:r>
          </w:p>
        </w:tc>
        <w:tc>
          <w:tcPr>
            <w:tcW w:w="680" w:type="dxa"/>
            <w:vAlign w:val="bottom"/>
          </w:tcPr>
          <w:p>
            <w:pPr>
              <w:jc w:val="right"/>
              <w:spacing w:after="0" w:line="165" w:lineRule="exact"/>
              <w:rPr>
                <w:sz w:val="20"/>
                <w:szCs w:val="20"/>
                <w:color w:val="auto"/>
              </w:rPr>
            </w:pPr>
            <w:r>
              <w:rPr>
                <w:rFonts w:ascii="Calibri" w:cs="Calibri" w:eastAsia="Calibri" w:hAnsi="Calibri"/>
                <w:sz w:val="15"/>
                <w:szCs w:val="15"/>
                <w:color w:val="auto"/>
              </w:rPr>
              <w:t>(45,994)</w:t>
            </w:r>
          </w:p>
        </w:tc>
      </w:tr>
      <w:tr>
        <w:trPr>
          <w:trHeight w:val="190"/>
        </w:trPr>
        <w:tc>
          <w:tcPr>
            <w:tcW w:w="6480" w:type="dxa"/>
            <w:vAlign w:val="bottom"/>
          </w:tcPr>
          <w:p>
            <w:pPr>
              <w:ind w:left="16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2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Accounts receivable</w:t>
            </w:r>
          </w:p>
        </w:tc>
        <w:tc>
          <w:tcPr>
            <w:tcW w:w="2120" w:type="dxa"/>
            <w:vAlign w:val="bottom"/>
          </w:tcPr>
          <w:p>
            <w:pPr>
              <w:spacing w:after="0"/>
              <w:rPr>
                <w:sz w:val="18"/>
                <w:szCs w:val="18"/>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(1,089)</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(948)</w:t>
            </w: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Prepaid expenses</w:t>
            </w:r>
          </w:p>
        </w:tc>
        <w:tc>
          <w:tcPr>
            <w:tcW w:w="2120" w:type="dxa"/>
            <w:vAlign w:val="bottom"/>
          </w:tcPr>
          <w:p>
            <w:pPr>
              <w:spacing w:after="0"/>
              <w:rPr>
                <w:sz w:val="18"/>
                <w:szCs w:val="18"/>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(986)</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(462)</w:t>
            </w:r>
          </w:p>
        </w:tc>
      </w:tr>
      <w:tr>
        <w:trPr>
          <w:trHeight w:val="194"/>
        </w:trPr>
        <w:tc>
          <w:tcPr>
            <w:tcW w:w="6480" w:type="dxa"/>
            <w:vAlign w:val="bottom"/>
          </w:tcPr>
          <w:p>
            <w:pPr>
              <w:ind w:left="340"/>
              <w:spacing w:after="0"/>
              <w:rPr>
                <w:sz w:val="20"/>
                <w:szCs w:val="20"/>
                <w:color w:val="auto"/>
              </w:rPr>
            </w:pPr>
            <w:r>
              <w:rPr>
                <w:rFonts w:ascii="Calibri" w:cs="Calibri" w:eastAsia="Calibri" w:hAnsi="Calibri"/>
                <w:sz w:val="15"/>
                <w:szCs w:val="15"/>
                <w:color w:val="auto"/>
              </w:rPr>
              <w:t>Other current assets</w:t>
            </w:r>
          </w:p>
        </w:tc>
        <w:tc>
          <w:tcPr>
            <w:tcW w:w="2120" w:type="dxa"/>
            <w:vAlign w:val="bottom"/>
          </w:tcPr>
          <w:p>
            <w:pPr>
              <w:spacing w:after="0"/>
              <w:rPr>
                <w:sz w:val="16"/>
                <w:szCs w:val="16"/>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(408)</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(428)</w:t>
            </w: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Accounts payable and accrued liabilites</w:t>
            </w:r>
          </w:p>
        </w:tc>
        <w:tc>
          <w:tcPr>
            <w:tcW w:w="2120" w:type="dxa"/>
            <w:vAlign w:val="bottom"/>
          </w:tcPr>
          <w:p>
            <w:pPr>
              <w:spacing w:after="0"/>
              <w:rPr>
                <w:sz w:val="18"/>
                <w:szCs w:val="18"/>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(2,544)</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401</w:t>
            </w:r>
          </w:p>
        </w:tc>
      </w:tr>
      <w:tr>
        <w:trPr>
          <w:trHeight w:val="25"/>
        </w:trPr>
        <w:tc>
          <w:tcPr>
            <w:tcW w:w="6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5"/>
        </w:trPr>
        <w:tc>
          <w:tcPr>
            <w:tcW w:w="6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operatng actvites</w:t>
            </w:r>
          </w:p>
        </w:tc>
        <w:tc>
          <w:tcPr>
            <w:tcW w:w="2120" w:type="dxa"/>
            <w:vAlign w:val="bottom"/>
          </w:tcPr>
          <w:p>
            <w:pPr>
              <w:spacing w:after="0"/>
              <w:rPr>
                <w:sz w:val="14"/>
                <w:szCs w:val="14"/>
                <w:color w:val="auto"/>
              </w:rPr>
            </w:pPr>
          </w:p>
        </w:tc>
        <w:tc>
          <w:tcPr>
            <w:tcW w:w="1980" w:type="dxa"/>
            <w:vAlign w:val="bottom"/>
          </w:tcPr>
          <w:p>
            <w:pPr>
              <w:jc w:val="right"/>
              <w:ind w:right="647"/>
              <w:spacing w:after="0" w:line="165" w:lineRule="exact"/>
              <w:rPr>
                <w:sz w:val="20"/>
                <w:szCs w:val="20"/>
                <w:color w:val="auto"/>
              </w:rPr>
            </w:pPr>
            <w:r>
              <w:rPr>
                <w:rFonts w:ascii="Calibri" w:cs="Calibri" w:eastAsia="Calibri" w:hAnsi="Calibri"/>
                <w:sz w:val="15"/>
                <w:szCs w:val="15"/>
                <w:b w:val="1"/>
                <w:bCs w:val="1"/>
                <w:color w:val="auto"/>
              </w:rPr>
              <w:t>(68,908)</w:t>
            </w:r>
          </w:p>
        </w:tc>
        <w:tc>
          <w:tcPr>
            <w:tcW w:w="680" w:type="dxa"/>
            <w:vAlign w:val="bottom"/>
          </w:tcPr>
          <w:p>
            <w:pPr>
              <w:jc w:val="right"/>
              <w:spacing w:after="0" w:line="165" w:lineRule="exact"/>
              <w:rPr>
                <w:sz w:val="20"/>
                <w:szCs w:val="20"/>
                <w:color w:val="auto"/>
              </w:rPr>
            </w:pPr>
            <w:r>
              <w:rPr>
                <w:rFonts w:ascii="Calibri" w:cs="Calibri" w:eastAsia="Calibri" w:hAnsi="Calibri"/>
                <w:sz w:val="15"/>
                <w:szCs w:val="15"/>
                <w:color w:val="auto"/>
              </w:rPr>
              <w:t>(47,431)</w:t>
            </w:r>
          </w:p>
        </w:tc>
      </w:tr>
      <w:tr>
        <w:trPr>
          <w:trHeight w:val="21"/>
        </w:trPr>
        <w:tc>
          <w:tcPr>
            <w:tcW w:w="6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4"/>
        </w:trPr>
        <w:tc>
          <w:tcPr>
            <w:tcW w:w="6480" w:type="dxa"/>
            <w:vAlign w:val="bottom"/>
          </w:tcPr>
          <w:p>
            <w:pPr>
              <w:ind w:left="60"/>
              <w:spacing w:after="0"/>
              <w:rPr>
                <w:sz w:val="20"/>
                <w:szCs w:val="20"/>
                <w:color w:val="auto"/>
              </w:rPr>
            </w:pPr>
            <w:r>
              <w:rPr>
                <w:rFonts w:ascii="Calibri" w:cs="Calibri" w:eastAsia="Calibri" w:hAnsi="Calibri"/>
                <w:sz w:val="15"/>
                <w:szCs w:val="15"/>
                <w:b w:val="1"/>
                <w:bCs w:val="1"/>
                <w:color w:val="auto"/>
              </w:rPr>
              <w:t>INVESTING ACTIVITIES</w:t>
            </w: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94"/>
        </w:trPr>
        <w:tc>
          <w:tcPr>
            <w:tcW w:w="6480" w:type="dxa"/>
            <w:vAlign w:val="bottom"/>
          </w:tcPr>
          <w:p>
            <w:pPr>
              <w:ind w:left="340"/>
              <w:spacing w:after="0"/>
              <w:rPr>
                <w:sz w:val="20"/>
                <w:szCs w:val="20"/>
                <w:color w:val="auto"/>
              </w:rPr>
            </w:pPr>
            <w:r>
              <w:rPr>
                <w:rFonts w:ascii="Calibri" w:cs="Calibri" w:eastAsia="Calibri" w:hAnsi="Calibri"/>
                <w:sz w:val="15"/>
                <w:szCs w:val="15"/>
                <w:color w:val="auto"/>
              </w:rPr>
              <w:t>Cash acquired on acquisiton</w:t>
            </w:r>
          </w:p>
        </w:tc>
        <w:tc>
          <w:tcPr>
            <w:tcW w:w="2120" w:type="dxa"/>
            <w:vAlign w:val="bottom"/>
          </w:tcPr>
          <w:p>
            <w:pPr>
              <w:jc w:val="center"/>
              <w:ind w:left="1127"/>
              <w:spacing w:after="0"/>
              <w:rPr>
                <w:sz w:val="20"/>
                <w:szCs w:val="20"/>
                <w:color w:val="auto"/>
              </w:rPr>
            </w:pPr>
            <w:r>
              <w:rPr>
                <w:rFonts w:ascii="Calibri" w:cs="Calibri" w:eastAsia="Calibri" w:hAnsi="Calibri"/>
                <w:sz w:val="15"/>
                <w:szCs w:val="15"/>
                <w:i w:val="1"/>
                <w:iCs w:val="1"/>
                <w:color w:val="auto"/>
              </w:rPr>
              <w:t>4</w:t>
            </w: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7,632</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194"/>
        </w:trPr>
        <w:tc>
          <w:tcPr>
            <w:tcW w:w="6480" w:type="dxa"/>
            <w:vAlign w:val="bottom"/>
          </w:tcPr>
          <w:p>
            <w:pPr>
              <w:ind w:left="340"/>
              <w:spacing w:after="0"/>
              <w:rPr>
                <w:sz w:val="20"/>
                <w:szCs w:val="20"/>
                <w:color w:val="auto"/>
              </w:rPr>
            </w:pPr>
            <w:r>
              <w:rPr>
                <w:rFonts w:ascii="Calibri" w:cs="Calibri" w:eastAsia="Calibri" w:hAnsi="Calibri"/>
                <w:sz w:val="15"/>
                <w:szCs w:val="15"/>
                <w:color w:val="auto"/>
              </w:rPr>
              <w:t>Purchase of intangible assets</w:t>
            </w:r>
          </w:p>
        </w:tc>
        <w:tc>
          <w:tcPr>
            <w:tcW w:w="2120" w:type="dxa"/>
            <w:vAlign w:val="bottom"/>
          </w:tcPr>
          <w:p>
            <w:pPr>
              <w:jc w:val="center"/>
              <w:ind w:left="1127"/>
              <w:spacing w:after="0"/>
              <w:rPr>
                <w:sz w:val="20"/>
                <w:szCs w:val="20"/>
                <w:color w:val="auto"/>
              </w:rPr>
            </w:pPr>
            <w:r>
              <w:rPr>
                <w:rFonts w:ascii="Calibri" w:cs="Calibri" w:eastAsia="Calibri" w:hAnsi="Calibri"/>
                <w:sz w:val="15"/>
                <w:szCs w:val="15"/>
                <w:i w:val="1"/>
                <w:iCs w:val="1"/>
                <w:color w:val="auto"/>
              </w:rPr>
              <w:t>6</w:t>
            </w: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(689)</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(3,167)</w:t>
            </w:r>
          </w:p>
        </w:tc>
      </w:tr>
      <w:tr>
        <w:trPr>
          <w:trHeight w:val="218"/>
        </w:trPr>
        <w:tc>
          <w:tcPr>
            <w:tcW w:w="6480" w:type="dxa"/>
            <w:vAlign w:val="bottom"/>
          </w:tcPr>
          <w:p>
            <w:pPr>
              <w:ind w:left="340"/>
              <w:spacing w:after="0"/>
              <w:rPr>
                <w:sz w:val="20"/>
                <w:szCs w:val="20"/>
                <w:color w:val="auto"/>
              </w:rPr>
            </w:pPr>
            <w:r>
              <w:rPr>
                <w:rFonts w:ascii="Calibri" w:cs="Calibri" w:eastAsia="Calibri" w:hAnsi="Calibri"/>
                <w:sz w:val="15"/>
                <w:szCs w:val="15"/>
                <w:color w:val="auto"/>
              </w:rPr>
              <w:t>Purchase of equipment</w:t>
            </w:r>
          </w:p>
        </w:tc>
        <w:tc>
          <w:tcPr>
            <w:tcW w:w="2120" w:type="dxa"/>
            <w:vAlign w:val="bottom"/>
          </w:tcPr>
          <w:p>
            <w:pPr>
              <w:jc w:val="center"/>
              <w:ind w:left="1127"/>
              <w:spacing w:after="0"/>
              <w:rPr>
                <w:sz w:val="20"/>
                <w:szCs w:val="20"/>
                <w:color w:val="auto"/>
              </w:rPr>
            </w:pPr>
            <w:r>
              <w:rPr>
                <w:rFonts w:ascii="Calibri" w:cs="Calibri" w:eastAsia="Calibri" w:hAnsi="Calibri"/>
                <w:sz w:val="15"/>
                <w:szCs w:val="15"/>
                <w:i w:val="1"/>
                <w:iCs w:val="1"/>
                <w:color w:val="auto"/>
              </w:rPr>
              <w:t>5</w:t>
            </w: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(21)</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(142)</w:t>
            </w:r>
          </w:p>
        </w:tc>
      </w:tr>
      <w:tr>
        <w:trPr>
          <w:trHeight w:val="25"/>
        </w:trPr>
        <w:tc>
          <w:tcPr>
            <w:tcW w:w="6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5"/>
        </w:trPr>
        <w:tc>
          <w:tcPr>
            <w:tcW w:w="6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investng actvites</w:t>
            </w:r>
          </w:p>
        </w:tc>
        <w:tc>
          <w:tcPr>
            <w:tcW w:w="2120" w:type="dxa"/>
            <w:vAlign w:val="bottom"/>
          </w:tcPr>
          <w:p>
            <w:pPr>
              <w:spacing w:after="0"/>
              <w:rPr>
                <w:sz w:val="14"/>
                <w:szCs w:val="14"/>
                <w:color w:val="auto"/>
              </w:rPr>
            </w:pPr>
          </w:p>
        </w:tc>
        <w:tc>
          <w:tcPr>
            <w:tcW w:w="1980" w:type="dxa"/>
            <w:vAlign w:val="bottom"/>
          </w:tcPr>
          <w:p>
            <w:pPr>
              <w:jc w:val="right"/>
              <w:ind w:right="647"/>
              <w:spacing w:after="0" w:line="165" w:lineRule="exact"/>
              <w:rPr>
                <w:sz w:val="20"/>
                <w:szCs w:val="20"/>
                <w:color w:val="auto"/>
              </w:rPr>
            </w:pPr>
            <w:r>
              <w:rPr>
                <w:rFonts w:ascii="Calibri" w:cs="Calibri" w:eastAsia="Calibri" w:hAnsi="Calibri"/>
                <w:sz w:val="15"/>
                <w:szCs w:val="15"/>
                <w:b w:val="1"/>
                <w:bCs w:val="1"/>
                <w:color w:val="auto"/>
              </w:rPr>
              <w:t>6,922</w:t>
            </w:r>
          </w:p>
        </w:tc>
        <w:tc>
          <w:tcPr>
            <w:tcW w:w="680" w:type="dxa"/>
            <w:vAlign w:val="bottom"/>
          </w:tcPr>
          <w:p>
            <w:pPr>
              <w:jc w:val="right"/>
              <w:spacing w:after="0" w:line="165" w:lineRule="exact"/>
              <w:rPr>
                <w:sz w:val="20"/>
                <w:szCs w:val="20"/>
                <w:color w:val="auto"/>
              </w:rPr>
            </w:pPr>
            <w:r>
              <w:rPr>
                <w:rFonts w:ascii="Calibri" w:cs="Calibri" w:eastAsia="Calibri" w:hAnsi="Calibri"/>
                <w:sz w:val="15"/>
                <w:szCs w:val="15"/>
                <w:color w:val="auto"/>
              </w:rPr>
              <w:t>(3,309)</w:t>
            </w:r>
          </w:p>
        </w:tc>
      </w:tr>
      <w:tr>
        <w:trPr>
          <w:trHeight w:val="21"/>
        </w:trPr>
        <w:tc>
          <w:tcPr>
            <w:tcW w:w="6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4"/>
        </w:trPr>
        <w:tc>
          <w:tcPr>
            <w:tcW w:w="6480" w:type="dxa"/>
            <w:vAlign w:val="bottom"/>
          </w:tcPr>
          <w:p>
            <w:pPr>
              <w:ind w:left="60"/>
              <w:spacing w:after="0"/>
              <w:rPr>
                <w:sz w:val="20"/>
                <w:szCs w:val="20"/>
                <w:color w:val="auto"/>
              </w:rPr>
            </w:pPr>
            <w:r>
              <w:rPr>
                <w:rFonts w:ascii="Calibri" w:cs="Calibri" w:eastAsia="Calibri" w:hAnsi="Calibri"/>
                <w:sz w:val="15"/>
                <w:szCs w:val="15"/>
                <w:b w:val="1"/>
                <w:bCs w:val="1"/>
                <w:color w:val="auto"/>
              </w:rPr>
              <w:t>FINANCING ACTIVITIES</w:t>
            </w:r>
          </w:p>
        </w:tc>
        <w:tc>
          <w:tcPr>
            <w:tcW w:w="2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94"/>
        </w:trPr>
        <w:tc>
          <w:tcPr>
            <w:tcW w:w="6480" w:type="dxa"/>
            <w:vAlign w:val="bottom"/>
          </w:tcPr>
          <w:p>
            <w:pPr>
              <w:ind w:left="340"/>
              <w:spacing w:after="0"/>
              <w:rPr>
                <w:sz w:val="20"/>
                <w:szCs w:val="20"/>
                <w:color w:val="auto"/>
              </w:rPr>
            </w:pPr>
            <w:r>
              <w:rPr>
                <w:rFonts w:ascii="Calibri" w:cs="Calibri" w:eastAsia="Calibri" w:hAnsi="Calibri"/>
                <w:sz w:val="15"/>
                <w:szCs w:val="15"/>
                <w:color w:val="auto"/>
              </w:rPr>
              <w:t>Proceeds on issuance of common shares, net</w:t>
            </w:r>
          </w:p>
        </w:tc>
        <w:tc>
          <w:tcPr>
            <w:tcW w:w="2120" w:type="dxa"/>
            <w:vAlign w:val="bottom"/>
          </w:tcPr>
          <w:p>
            <w:pPr>
              <w:jc w:val="center"/>
              <w:ind w:left="1127"/>
              <w:spacing w:after="0"/>
              <w:rPr>
                <w:sz w:val="20"/>
                <w:szCs w:val="20"/>
                <w:color w:val="auto"/>
              </w:rPr>
            </w:pPr>
            <w:r>
              <w:rPr>
                <w:rFonts w:ascii="Calibri" w:cs="Calibri" w:eastAsia="Calibri" w:hAnsi="Calibri"/>
                <w:sz w:val="15"/>
                <w:szCs w:val="15"/>
                <w:i w:val="1"/>
                <w:iCs w:val="1"/>
                <w:color w:val="auto"/>
              </w:rPr>
              <w:t>9</w:t>
            </w: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254,600</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13,202</w:t>
            </w:r>
          </w:p>
        </w:tc>
      </w:tr>
      <w:tr>
        <w:trPr>
          <w:trHeight w:val="194"/>
        </w:trPr>
        <w:tc>
          <w:tcPr>
            <w:tcW w:w="6480" w:type="dxa"/>
            <w:vAlign w:val="bottom"/>
          </w:tcPr>
          <w:p>
            <w:pPr>
              <w:ind w:left="360"/>
              <w:spacing w:after="0"/>
              <w:rPr>
                <w:sz w:val="20"/>
                <w:szCs w:val="20"/>
                <w:color w:val="auto"/>
              </w:rPr>
            </w:pPr>
            <w:r>
              <w:rPr>
                <w:rFonts w:ascii="Calibri" w:cs="Calibri" w:eastAsia="Calibri" w:hAnsi="Calibri"/>
                <w:sz w:val="15"/>
                <w:szCs w:val="15"/>
                <w:color w:val="auto"/>
              </w:rPr>
              <w:t>Lease payments</w:t>
            </w:r>
          </w:p>
        </w:tc>
        <w:tc>
          <w:tcPr>
            <w:tcW w:w="2120" w:type="dxa"/>
            <w:vAlign w:val="bottom"/>
          </w:tcPr>
          <w:p>
            <w:pPr>
              <w:jc w:val="center"/>
              <w:ind w:left="1127"/>
              <w:spacing w:after="0"/>
              <w:rPr>
                <w:sz w:val="20"/>
                <w:szCs w:val="20"/>
                <w:color w:val="auto"/>
              </w:rPr>
            </w:pPr>
            <w:r>
              <w:rPr>
                <w:rFonts w:ascii="Calibri" w:cs="Calibri" w:eastAsia="Calibri" w:hAnsi="Calibri"/>
                <w:sz w:val="15"/>
                <w:szCs w:val="15"/>
                <w:i w:val="1"/>
                <w:iCs w:val="1"/>
                <w:color w:val="auto"/>
              </w:rPr>
              <w:t>7</w:t>
            </w: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(149)</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10"/>
        </w:trPr>
        <w:tc>
          <w:tcPr>
            <w:tcW w:w="6480" w:type="dxa"/>
            <w:vAlign w:val="bottom"/>
          </w:tcPr>
          <w:p>
            <w:pPr>
              <w:ind w:left="300"/>
              <w:spacing w:after="0"/>
              <w:rPr>
                <w:sz w:val="20"/>
                <w:szCs w:val="20"/>
                <w:color w:val="auto"/>
              </w:rPr>
            </w:pPr>
            <w:r>
              <w:rPr>
                <w:rFonts w:ascii="Arial" w:cs="Arial" w:eastAsia="Arial" w:hAnsi="Arial"/>
                <w:sz w:val="13"/>
                <w:szCs w:val="13"/>
                <w:color w:val="auto"/>
              </w:rPr>
              <w:t>Warrant exercise</w:t>
            </w:r>
          </w:p>
        </w:tc>
        <w:tc>
          <w:tcPr>
            <w:tcW w:w="2120" w:type="dxa"/>
            <w:vAlign w:val="bottom"/>
          </w:tcPr>
          <w:p>
            <w:pPr>
              <w:jc w:val="center"/>
              <w:ind w:left="1127"/>
              <w:spacing w:after="0"/>
              <w:rPr>
                <w:sz w:val="20"/>
                <w:szCs w:val="20"/>
                <w:color w:val="auto"/>
              </w:rPr>
            </w:pPr>
            <w:r>
              <w:rPr>
                <w:rFonts w:ascii="Calibri" w:cs="Calibri" w:eastAsia="Calibri" w:hAnsi="Calibri"/>
                <w:sz w:val="15"/>
                <w:szCs w:val="15"/>
                <w:i w:val="1"/>
                <w:iCs w:val="1"/>
                <w:color w:val="auto"/>
              </w:rPr>
              <w:t>9</w:t>
            </w: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56</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362</w:t>
            </w:r>
          </w:p>
        </w:tc>
      </w:tr>
      <w:tr>
        <w:trPr>
          <w:trHeight w:val="21"/>
        </w:trPr>
        <w:tc>
          <w:tcPr>
            <w:tcW w:w="6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5"/>
        </w:trPr>
        <w:tc>
          <w:tcPr>
            <w:tcW w:w="6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from fnancing actvites</w:t>
            </w:r>
          </w:p>
        </w:tc>
        <w:tc>
          <w:tcPr>
            <w:tcW w:w="2120" w:type="dxa"/>
            <w:vAlign w:val="bottom"/>
          </w:tcPr>
          <w:p>
            <w:pPr>
              <w:spacing w:after="0"/>
              <w:rPr>
                <w:sz w:val="14"/>
                <w:szCs w:val="14"/>
                <w:color w:val="auto"/>
              </w:rPr>
            </w:pPr>
          </w:p>
        </w:tc>
        <w:tc>
          <w:tcPr>
            <w:tcW w:w="1980" w:type="dxa"/>
            <w:vAlign w:val="bottom"/>
          </w:tcPr>
          <w:p>
            <w:pPr>
              <w:jc w:val="right"/>
              <w:ind w:right="647"/>
              <w:spacing w:after="0" w:line="165" w:lineRule="exact"/>
              <w:rPr>
                <w:sz w:val="20"/>
                <w:szCs w:val="20"/>
                <w:color w:val="auto"/>
              </w:rPr>
            </w:pPr>
            <w:r>
              <w:rPr>
                <w:rFonts w:ascii="Calibri" w:cs="Calibri" w:eastAsia="Calibri" w:hAnsi="Calibri"/>
                <w:sz w:val="15"/>
                <w:szCs w:val="15"/>
                <w:b w:val="1"/>
                <w:bCs w:val="1"/>
                <w:color w:val="auto"/>
              </w:rPr>
              <w:t>254,507</w:t>
            </w:r>
          </w:p>
        </w:tc>
        <w:tc>
          <w:tcPr>
            <w:tcW w:w="680" w:type="dxa"/>
            <w:vAlign w:val="bottom"/>
          </w:tcPr>
          <w:p>
            <w:pPr>
              <w:jc w:val="right"/>
              <w:spacing w:after="0" w:line="165" w:lineRule="exact"/>
              <w:rPr>
                <w:sz w:val="20"/>
                <w:szCs w:val="20"/>
                <w:color w:val="auto"/>
              </w:rPr>
            </w:pPr>
            <w:r>
              <w:rPr>
                <w:rFonts w:ascii="Calibri" w:cs="Calibri" w:eastAsia="Calibri" w:hAnsi="Calibri"/>
                <w:sz w:val="15"/>
                <w:szCs w:val="15"/>
                <w:color w:val="auto"/>
              </w:rPr>
              <w:t>13,564</w:t>
            </w:r>
          </w:p>
        </w:tc>
      </w:tr>
      <w:tr>
        <w:trPr>
          <w:trHeight w:val="21"/>
        </w:trPr>
        <w:tc>
          <w:tcPr>
            <w:tcW w:w="6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0"/>
        </w:trPr>
        <w:tc>
          <w:tcPr>
            <w:tcW w:w="6480" w:type="dxa"/>
            <w:vAlign w:val="bottom"/>
          </w:tcPr>
          <w:p>
            <w:pPr>
              <w:ind w:left="60"/>
              <w:spacing w:after="0"/>
              <w:rPr>
                <w:sz w:val="20"/>
                <w:szCs w:val="20"/>
                <w:color w:val="auto"/>
              </w:rPr>
            </w:pPr>
            <w:r>
              <w:rPr>
                <w:rFonts w:ascii="Calibri" w:cs="Calibri" w:eastAsia="Calibri" w:hAnsi="Calibri"/>
                <w:sz w:val="15"/>
                <w:szCs w:val="15"/>
                <w:b w:val="1"/>
                <w:bCs w:val="1"/>
                <w:color w:val="auto"/>
              </w:rPr>
              <w:t>Efects of exchange rate changes on cash</w:t>
            </w:r>
          </w:p>
        </w:tc>
        <w:tc>
          <w:tcPr>
            <w:tcW w:w="2120" w:type="dxa"/>
            <w:vAlign w:val="bottom"/>
          </w:tcPr>
          <w:p>
            <w:pPr>
              <w:spacing w:after="0"/>
              <w:rPr>
                <w:sz w:val="24"/>
                <w:szCs w:val="24"/>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(162)</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168</w:t>
            </w:r>
          </w:p>
        </w:tc>
      </w:tr>
      <w:tr>
        <w:trPr>
          <w:trHeight w:val="25"/>
        </w:trPr>
        <w:tc>
          <w:tcPr>
            <w:tcW w:w="6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80"/>
        </w:trPr>
        <w:tc>
          <w:tcPr>
            <w:tcW w:w="6480" w:type="dxa"/>
            <w:vAlign w:val="bottom"/>
          </w:tcPr>
          <w:p>
            <w:pPr>
              <w:ind w:left="60"/>
              <w:spacing w:after="0"/>
              <w:rPr>
                <w:sz w:val="20"/>
                <w:szCs w:val="20"/>
                <w:color w:val="auto"/>
              </w:rPr>
            </w:pPr>
            <w:r>
              <w:rPr>
                <w:rFonts w:ascii="Calibri" w:cs="Calibri" w:eastAsia="Calibri" w:hAnsi="Calibri"/>
                <w:sz w:val="15"/>
                <w:szCs w:val="15"/>
                <w:b w:val="1"/>
                <w:bCs w:val="1"/>
                <w:color w:val="auto"/>
              </w:rPr>
              <w:t>Net change in cash</w:t>
            </w:r>
          </w:p>
        </w:tc>
        <w:tc>
          <w:tcPr>
            <w:tcW w:w="2120" w:type="dxa"/>
            <w:vAlign w:val="bottom"/>
          </w:tcPr>
          <w:p>
            <w:pPr>
              <w:spacing w:after="0"/>
              <w:rPr>
                <w:sz w:val="24"/>
                <w:szCs w:val="24"/>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192,359</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(37,008)</w:t>
            </w:r>
          </w:p>
        </w:tc>
      </w:tr>
      <w:tr>
        <w:trPr>
          <w:trHeight w:val="194"/>
        </w:trPr>
        <w:tc>
          <w:tcPr>
            <w:tcW w:w="6480" w:type="dxa"/>
            <w:vAlign w:val="bottom"/>
          </w:tcPr>
          <w:p>
            <w:pPr>
              <w:ind w:left="60"/>
              <w:spacing w:after="0"/>
              <w:rPr>
                <w:sz w:val="20"/>
                <w:szCs w:val="20"/>
                <w:color w:val="auto"/>
              </w:rPr>
            </w:pPr>
            <w:r>
              <w:rPr>
                <w:rFonts w:ascii="Calibri" w:cs="Calibri" w:eastAsia="Calibri" w:hAnsi="Calibri"/>
                <w:sz w:val="15"/>
                <w:szCs w:val="15"/>
                <w:b w:val="1"/>
                <w:bCs w:val="1"/>
                <w:color w:val="auto"/>
              </w:rPr>
              <w:t>Cash, beginning of year</w:t>
            </w:r>
          </w:p>
        </w:tc>
        <w:tc>
          <w:tcPr>
            <w:tcW w:w="2120" w:type="dxa"/>
            <w:vAlign w:val="bottom"/>
          </w:tcPr>
          <w:p>
            <w:pPr>
              <w:spacing w:after="0"/>
              <w:rPr>
                <w:sz w:val="16"/>
                <w:szCs w:val="16"/>
                <w:color w:val="auto"/>
              </w:rPr>
            </w:pPr>
          </w:p>
        </w:tc>
        <w:tc>
          <w:tcPr>
            <w:tcW w:w="1980" w:type="dxa"/>
            <w:vAlign w:val="bottom"/>
          </w:tcPr>
          <w:p>
            <w:pPr>
              <w:jc w:val="right"/>
              <w:ind w:right="647"/>
              <w:spacing w:after="0"/>
              <w:rPr>
                <w:sz w:val="20"/>
                <w:szCs w:val="20"/>
                <w:color w:val="auto"/>
              </w:rPr>
            </w:pPr>
            <w:r>
              <w:rPr>
                <w:rFonts w:ascii="Calibri" w:cs="Calibri" w:eastAsia="Calibri" w:hAnsi="Calibri"/>
                <w:sz w:val="15"/>
                <w:szCs w:val="15"/>
                <w:b w:val="1"/>
                <w:bCs w:val="1"/>
                <w:color w:val="auto"/>
              </w:rPr>
              <w:t>16,633</w:t>
            </w:r>
          </w:p>
        </w:tc>
        <w:tc>
          <w:tcPr>
            <w:tcW w:w="680" w:type="dxa"/>
            <w:vAlign w:val="bottom"/>
          </w:tcPr>
          <w:p>
            <w:pPr>
              <w:jc w:val="right"/>
              <w:spacing w:after="0"/>
              <w:rPr>
                <w:sz w:val="20"/>
                <w:szCs w:val="20"/>
                <w:color w:val="auto"/>
              </w:rPr>
            </w:pPr>
            <w:r>
              <w:rPr>
                <w:rFonts w:ascii="Calibri" w:cs="Calibri" w:eastAsia="Calibri" w:hAnsi="Calibri"/>
                <w:sz w:val="15"/>
                <w:szCs w:val="15"/>
                <w:color w:val="auto"/>
              </w:rPr>
              <w:t>53,641</w:t>
            </w:r>
          </w:p>
        </w:tc>
      </w:tr>
      <w:tr>
        <w:trPr>
          <w:trHeight w:val="25"/>
        </w:trPr>
        <w:tc>
          <w:tcPr>
            <w:tcW w:w="6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80" w:type="dxa"/>
            <w:vAlign w:val="bottom"/>
            <w:tcBorders>
              <w:bottom w:val="single" w:sz="8" w:color="6D6D6D"/>
            </w:tcBorders>
          </w:tcPr>
          <w:p>
            <w:pPr>
              <w:spacing w:after="0"/>
              <w:rPr>
                <w:sz w:val="2"/>
                <w:szCs w:val="2"/>
                <w:color w:val="auto"/>
              </w:rPr>
            </w:pPr>
          </w:p>
        </w:tc>
        <w:tc>
          <w:tcPr>
            <w:tcW w:w="680" w:type="dxa"/>
            <w:vAlign w:val="bottom"/>
            <w:tcBorders>
              <w:bottom w:val="single" w:sz="8" w:color="6D6D6D"/>
            </w:tcBorders>
          </w:tcPr>
          <w:p>
            <w:pPr>
              <w:spacing w:after="0"/>
              <w:rPr>
                <w:sz w:val="2"/>
                <w:szCs w:val="2"/>
                <w:color w:val="auto"/>
              </w:rPr>
            </w:pPr>
          </w:p>
        </w:tc>
      </w:tr>
      <w:tr>
        <w:trPr>
          <w:trHeight w:val="165"/>
        </w:trPr>
        <w:tc>
          <w:tcPr>
            <w:tcW w:w="6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Cash, end of year</w:t>
            </w:r>
          </w:p>
        </w:tc>
        <w:tc>
          <w:tcPr>
            <w:tcW w:w="2120" w:type="dxa"/>
            <w:vAlign w:val="bottom"/>
          </w:tcPr>
          <w:p>
            <w:pPr>
              <w:spacing w:after="0"/>
              <w:rPr>
                <w:sz w:val="14"/>
                <w:szCs w:val="14"/>
                <w:color w:val="auto"/>
              </w:rPr>
            </w:pPr>
          </w:p>
        </w:tc>
        <w:tc>
          <w:tcPr>
            <w:tcW w:w="1980" w:type="dxa"/>
            <w:vAlign w:val="bottom"/>
          </w:tcPr>
          <w:p>
            <w:pPr>
              <w:jc w:val="right"/>
              <w:ind w:right="647"/>
              <w:spacing w:after="0" w:line="165" w:lineRule="exact"/>
              <w:rPr>
                <w:sz w:val="20"/>
                <w:szCs w:val="20"/>
                <w:color w:val="auto"/>
              </w:rPr>
            </w:pPr>
            <w:r>
              <w:rPr>
                <w:rFonts w:ascii="Calibri" w:cs="Calibri" w:eastAsia="Calibri" w:hAnsi="Calibri"/>
                <w:sz w:val="15"/>
                <w:szCs w:val="15"/>
                <w:b w:val="1"/>
                <w:bCs w:val="1"/>
                <w:color w:val="auto"/>
              </w:rPr>
              <w:t>208,992</w:t>
            </w:r>
          </w:p>
        </w:tc>
        <w:tc>
          <w:tcPr>
            <w:tcW w:w="680" w:type="dxa"/>
            <w:vAlign w:val="bottom"/>
          </w:tcPr>
          <w:p>
            <w:pPr>
              <w:jc w:val="right"/>
              <w:spacing w:after="0" w:line="165" w:lineRule="exact"/>
              <w:rPr>
                <w:sz w:val="20"/>
                <w:szCs w:val="20"/>
                <w:color w:val="auto"/>
              </w:rPr>
            </w:pPr>
            <w:r>
              <w:rPr>
                <w:rFonts w:ascii="Calibri" w:cs="Calibri" w:eastAsia="Calibri" w:hAnsi="Calibri"/>
                <w:sz w:val="15"/>
                <w:szCs w:val="15"/>
                <w:color w:val="auto"/>
              </w:rPr>
              <w:t>16,633</w:t>
            </w:r>
          </w:p>
        </w:tc>
      </w:tr>
      <w:tr>
        <w:trPr>
          <w:trHeight w:val="21"/>
        </w:trPr>
        <w:tc>
          <w:tcPr>
            <w:tcW w:w="6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801370</wp:posOffset>
            </wp:positionV>
            <wp:extent cx="717169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27" w:name="page28"/>
    <w:bookmarkEnd w:id="27"/>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3"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62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
        <w:spacing w:after="0"/>
        <w:tabs>
          <w:tab w:leader="none" w:pos="243"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25" w:lineRule="exact"/>
        <w:rPr>
          <w:sz w:val="20"/>
          <w:szCs w:val="20"/>
          <w:color w:val="auto"/>
        </w:rPr>
      </w:pPr>
    </w:p>
    <w:p>
      <w:pPr>
        <w:jc w:val="both"/>
        <w:ind w:left="283"/>
        <w:spacing w:after="0" w:line="238"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consolidated fnancial statements include the accounts of Cybin’s eight subsidiaries (together with Cybin, the “Company”): Cybin Corp., Natures Journey Inc. (“Journey”), Serenity Life Sciences Inc. (“Serenity”), Cybin US Holdings Inc. (“Cybin US”), Adelia Therapeutcs Inc. (“Adelia”) Cybin IRL Limited (“Cybin IRL”), Cybin UK Ltd., and Small Pharma Inc. (“Small Pharma”). Cybin’s head ofce, principal address and registered address and records ofce is 100 King Street West, Suite 5600, Toronto, Ontario M5X 1C9.</w:t>
      </w:r>
    </w:p>
    <w:p>
      <w:pPr>
        <w:spacing w:after="0" w:line="159" w:lineRule="exact"/>
        <w:rPr>
          <w:sz w:val="20"/>
          <w:szCs w:val="20"/>
          <w:color w:val="auto"/>
        </w:rPr>
      </w:pPr>
    </w:p>
    <w:p>
      <w:pPr>
        <w:jc w:val="both"/>
        <w:ind w:left="283"/>
        <w:spacing w:after="0" w:line="238" w:lineRule="auto"/>
        <w:rPr>
          <w:sz w:val="20"/>
          <w:szCs w:val="20"/>
          <w:color w:val="auto"/>
        </w:rPr>
      </w:pPr>
      <w:r>
        <w:rPr>
          <w:rFonts w:ascii="Calibri" w:cs="Calibri" w:eastAsia="Calibri" w:hAnsi="Calibri"/>
          <w:sz w:val="16"/>
          <w:szCs w:val="16"/>
          <w:color w:val="auto"/>
        </w:rPr>
        <w:t>The Company is a biopharmaceutcal company focused on advancing psychedelic-based therapies, delivery mechanisms, novel compounds and protocols as potental treatments for various psychiatric and neurological conditons. The Company is developing technologies and delivery systems aimed at improving the pharmacokinetcs of its psychedelic-based molecules while retaining the therapeutc beneft. These new molecules and delivery systems are expected to be studied through clinical trials to confrm safety and efcacy.</w:t>
      </w:r>
    </w:p>
    <w:p>
      <w:pPr>
        <w:spacing w:after="0" w:line="159" w:lineRule="exact"/>
        <w:rPr>
          <w:sz w:val="20"/>
          <w:szCs w:val="20"/>
          <w:color w:val="auto"/>
        </w:rPr>
      </w:pPr>
    </w:p>
    <w:p>
      <w:pPr>
        <w:ind w:left="283"/>
        <w:spacing w:after="0"/>
        <w:rPr>
          <w:sz w:val="20"/>
          <w:szCs w:val="20"/>
          <w:color w:val="auto"/>
        </w:rPr>
      </w:pPr>
      <w:r>
        <w:rPr>
          <w:rFonts w:ascii="Calibri" w:cs="Calibri" w:eastAsia="Calibri" w:hAnsi="Calibri"/>
          <w:sz w:val="15"/>
          <w:szCs w:val="15"/>
          <w:color w:val="auto"/>
        </w:rPr>
        <w:t>These consolidated fnancial statements as at, and for the year ended, March 31, 2024 were approved and authorized for issue by the board of directors on June 25, 2024.</w:t>
      </w:r>
    </w:p>
    <w:p>
      <w:pPr>
        <w:spacing w:after="0" w:line="179"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u w:val="single" w:color="auto"/>
          <w:color w:val="auto"/>
        </w:rPr>
        <w:t>Stock exchange listngs</w:t>
      </w:r>
    </w:p>
    <w:p>
      <w:pPr>
        <w:spacing w:after="0" w:line="158" w:lineRule="exact"/>
        <w:rPr>
          <w:sz w:val="20"/>
          <w:szCs w:val="20"/>
          <w:color w:val="auto"/>
        </w:rPr>
      </w:pPr>
    </w:p>
    <w:p>
      <w:pPr>
        <w:jc w:val="both"/>
        <w:ind w:left="283" w:right="20"/>
        <w:spacing w:after="0" w:line="237" w:lineRule="auto"/>
        <w:rPr>
          <w:sz w:val="20"/>
          <w:szCs w:val="20"/>
          <w:color w:val="auto"/>
        </w:rPr>
      </w:pPr>
      <w:r>
        <w:rPr>
          <w:rFonts w:ascii="Calibri" w:cs="Calibri" w:eastAsia="Calibri" w:hAnsi="Calibri"/>
          <w:sz w:val="16"/>
          <w:szCs w:val="16"/>
          <w:color w:val="auto"/>
        </w:rPr>
        <w:t>Cybin’s common shares (“Common Shares”) are listed for trading on the Cboe Canada Exchange Inc. (“Cboe’) and NYSE American LLC under the symbol “CYBN” and on the Frankfurt Stock Exchange under the symbol “R7E1”.</w:t>
      </w:r>
    </w:p>
    <w:p>
      <w:pPr>
        <w:spacing w:after="0" w:line="200" w:lineRule="exact"/>
        <w:rPr>
          <w:sz w:val="20"/>
          <w:szCs w:val="20"/>
          <w:color w:val="auto"/>
        </w:rPr>
      </w:pPr>
    </w:p>
    <w:p>
      <w:pPr>
        <w:spacing w:after="0" w:line="348" w:lineRule="exact"/>
        <w:rPr>
          <w:sz w:val="20"/>
          <w:szCs w:val="20"/>
          <w:color w:val="auto"/>
        </w:rPr>
      </w:pPr>
    </w:p>
    <w:p>
      <w:pPr>
        <w:ind w:left="283" w:right="5980" w:hanging="283"/>
        <w:spacing w:after="0" w:line="489" w:lineRule="auto"/>
        <w:tabs>
          <w:tab w:leader="none" w:pos="257" w:val="left"/>
        </w:tabs>
        <w:numPr>
          <w:ilvl w:val="0"/>
          <w:numId w:val="20"/>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 xml:space="preserve">MATERIAL ACCOUNTING POLICY INFORMATION AND BASIS OF PREPARATION </w:t>
      </w:r>
      <w:r>
        <w:rPr>
          <w:rFonts w:ascii="Calibri" w:cs="Calibri" w:eastAsia="Calibri" w:hAnsi="Calibri"/>
          <w:sz w:val="16"/>
          <w:szCs w:val="16"/>
          <w:b w:val="1"/>
          <w:bCs w:val="1"/>
          <w:i w:val="1"/>
          <w:iCs w:val="1"/>
          <w:u w:val="single" w:color="auto"/>
          <w:color w:val="000000"/>
        </w:rPr>
        <w:t>Statement of compliance</w:t>
      </w:r>
    </w:p>
    <w:p>
      <w:pPr>
        <w:spacing w:after="0" w:line="4" w:lineRule="exact"/>
        <w:rPr>
          <w:sz w:val="20"/>
          <w:szCs w:val="20"/>
          <w:color w:val="auto"/>
        </w:rPr>
      </w:pPr>
    </w:p>
    <w:p>
      <w:pPr>
        <w:ind w:left="283" w:right="20"/>
        <w:spacing w:after="0" w:line="222" w:lineRule="auto"/>
        <w:rPr>
          <w:sz w:val="20"/>
          <w:szCs w:val="20"/>
          <w:color w:val="auto"/>
        </w:rPr>
      </w:pPr>
      <w:r>
        <w:rPr>
          <w:rFonts w:ascii="Calibri" w:cs="Calibri" w:eastAsia="Calibri" w:hAnsi="Calibri"/>
          <w:sz w:val="16"/>
          <w:szCs w:val="16"/>
          <w:color w:val="auto"/>
        </w:rPr>
        <w:t>The Company’s consolidated fnancial statements have been prepared in accordance with Internatonal Financial Reportng Standards (“IFRS”), as issued by the Internatonal Accountng Standards Board (“IASB”)</w:t>
      </w:r>
      <w:r>
        <w:rPr>
          <w:rFonts w:ascii="Calibri" w:cs="Calibri" w:eastAsia="Calibri" w:hAnsi="Calibri"/>
          <w:sz w:val="19"/>
          <w:szCs w:val="19"/>
          <w:i w:val="1"/>
          <w:iCs w:val="1"/>
          <w:color w:val="auto"/>
        </w:rPr>
        <w:t>.</w:t>
      </w:r>
    </w:p>
    <w:p>
      <w:pPr>
        <w:spacing w:after="0" w:line="138" w:lineRule="exact"/>
        <w:rPr>
          <w:sz w:val="20"/>
          <w:szCs w:val="20"/>
          <w:color w:val="auto"/>
        </w:rPr>
      </w:pPr>
    </w:p>
    <w:p>
      <w:pPr>
        <w:ind w:left="283"/>
        <w:spacing w:after="0" w:line="230" w:lineRule="auto"/>
        <w:rPr>
          <w:sz w:val="20"/>
          <w:szCs w:val="20"/>
          <w:color w:val="auto"/>
        </w:rPr>
      </w:pPr>
      <w:r>
        <w:rPr>
          <w:rFonts w:ascii="Calibri" w:cs="Calibri" w:eastAsia="Calibri" w:hAnsi="Calibri"/>
          <w:sz w:val="16"/>
          <w:szCs w:val="16"/>
          <w:color w:val="auto"/>
        </w:rPr>
        <w:t>The policies applied to these consolidated fnancial statements are based on IFRS, which have been applied consistently to all periods presented. These consolidated fnancial statements were issued and efectve as at June 25, 2024, the date the Board of Directors approved these consolidated fnancial statements.</w:t>
      </w:r>
    </w:p>
    <w:p>
      <w:pPr>
        <w:spacing w:after="0" w:line="194"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The Company’s board of directors has the power to amend the consolidated fnancial statement afer issuance.</w:t>
      </w:r>
    </w:p>
    <w:p>
      <w:pPr>
        <w:spacing w:after="0" w:line="205"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207" w:lineRule="exact"/>
        <w:rPr>
          <w:sz w:val="20"/>
          <w:szCs w:val="20"/>
          <w:color w:val="auto"/>
        </w:rPr>
      </w:pPr>
    </w:p>
    <w:p>
      <w:pPr>
        <w:ind w:left="283" w:right="20"/>
        <w:spacing w:after="0" w:line="230" w:lineRule="auto"/>
        <w:rPr>
          <w:sz w:val="20"/>
          <w:szCs w:val="20"/>
          <w:color w:val="auto"/>
        </w:rPr>
      </w:pPr>
      <w:r>
        <w:rPr>
          <w:rFonts w:ascii="Calibri" w:cs="Calibri" w:eastAsia="Calibri" w:hAnsi="Calibri"/>
          <w:sz w:val="16"/>
          <w:szCs w:val="16"/>
          <w:color w:val="auto"/>
        </w:rPr>
        <w:t>These consolidated fnancial statements have been prepared on a going concern basis, under the historical cost conventon, except for certain fnancial instruments classifed at fair value upon inital recogniton.</w:t>
      </w:r>
    </w:p>
    <w:p>
      <w:pPr>
        <w:spacing w:after="0" w:line="206"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u w:val="single" w:color="auto"/>
          <w:color w:val="auto"/>
        </w:rPr>
        <w:t>Functonal and presentaton currency</w:t>
      </w:r>
    </w:p>
    <w:p>
      <w:pPr>
        <w:spacing w:after="0" w:line="158" w:lineRule="exact"/>
        <w:rPr>
          <w:sz w:val="20"/>
          <w:szCs w:val="20"/>
          <w:color w:val="auto"/>
        </w:rPr>
      </w:pPr>
    </w:p>
    <w:p>
      <w:pPr>
        <w:ind w:left="283"/>
        <w:spacing w:after="0" w:line="223"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123825</wp:posOffset>
            </wp:positionV>
            <wp:extent cx="717169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62" w:right="319" w:bottom="1440" w:gutter="0" w:footer="0" w:header="0"/>
        </w:sectPr>
      </w:pPr>
    </w:p>
    <w:bookmarkStart w:id="28" w:name="page29"/>
    <w:bookmarkEnd w:id="28"/>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3"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62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
        <w:spacing w:after="0"/>
        <w:rPr>
          <w:sz w:val="20"/>
          <w:szCs w:val="20"/>
          <w:color w:val="auto"/>
        </w:rPr>
      </w:pPr>
      <w:r>
        <w:rPr>
          <w:rFonts w:ascii="Calibri" w:cs="Calibri" w:eastAsia="Calibri" w:hAnsi="Calibri"/>
          <w:sz w:val="16"/>
          <w:szCs w:val="16"/>
          <w:color w:val="auto"/>
        </w:rPr>
        <w:t>These consolidated fnancial statements are presented in Canadian dollars, the Company’s presentaton currency. The subsidiaries’ functonal currencies are as follows:</w:t>
      </w:r>
    </w:p>
    <w:p>
      <w:pPr>
        <w:spacing w:after="0" w:line="193"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3220" w:type="dxa"/>
            <w:vAlign w:val="bottom"/>
          </w:tcPr>
          <w:p>
            <w:pPr>
              <w:ind w:left="20"/>
              <w:spacing w:after="0"/>
              <w:rPr>
                <w:sz w:val="20"/>
                <w:szCs w:val="20"/>
                <w:color w:val="auto"/>
              </w:rPr>
            </w:pPr>
            <w:r>
              <w:rPr>
                <w:rFonts w:ascii="Calibri" w:cs="Calibri" w:eastAsia="Calibri" w:hAnsi="Calibri"/>
                <w:sz w:val="16"/>
                <w:szCs w:val="16"/>
                <w:b w:val="1"/>
                <w:bCs w:val="1"/>
                <w:color w:val="auto"/>
              </w:rPr>
              <w:t>Entty</w:t>
            </w:r>
          </w:p>
        </w:tc>
        <w:tc>
          <w:tcPr>
            <w:tcW w:w="3060" w:type="dxa"/>
            <w:vAlign w:val="bottom"/>
          </w:tcPr>
          <w:p>
            <w:pPr>
              <w:ind w:left="860"/>
              <w:spacing w:after="0"/>
              <w:rPr>
                <w:sz w:val="20"/>
                <w:szCs w:val="20"/>
                <w:color w:val="auto"/>
              </w:rPr>
            </w:pPr>
            <w:r>
              <w:rPr>
                <w:rFonts w:ascii="Calibri" w:cs="Calibri" w:eastAsia="Calibri" w:hAnsi="Calibri"/>
                <w:sz w:val="16"/>
                <w:szCs w:val="16"/>
                <w:b w:val="1"/>
                <w:bCs w:val="1"/>
                <w:color w:val="auto"/>
              </w:rPr>
              <w:t>Currency</w:t>
            </w:r>
          </w:p>
        </w:tc>
        <w:tc>
          <w:tcPr>
            <w:tcW w:w="4260" w:type="dxa"/>
            <w:vAlign w:val="bottom"/>
          </w:tcPr>
          <w:p>
            <w:pPr>
              <w:ind w:left="860"/>
              <w:spacing w:after="0"/>
              <w:rPr>
                <w:sz w:val="20"/>
                <w:szCs w:val="20"/>
                <w:color w:val="auto"/>
              </w:rPr>
            </w:pPr>
            <w:r>
              <w:rPr>
                <w:rFonts w:ascii="Calibri" w:cs="Calibri" w:eastAsia="Calibri" w:hAnsi="Calibri"/>
                <w:sz w:val="16"/>
                <w:szCs w:val="16"/>
                <w:b w:val="1"/>
                <w:bCs w:val="1"/>
                <w:color w:val="auto"/>
              </w:rPr>
              <w:t>Ownership</w:t>
            </w:r>
          </w:p>
        </w:tc>
      </w:tr>
      <w:tr>
        <w:trPr>
          <w:trHeight w:val="21"/>
        </w:trPr>
        <w:tc>
          <w:tcPr>
            <w:tcW w:w="3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85"/>
        </w:trPr>
        <w:tc>
          <w:tcPr>
            <w:tcW w:w="3220" w:type="dxa"/>
            <w:vAlign w:val="bottom"/>
          </w:tcPr>
          <w:p>
            <w:pPr>
              <w:ind w:left="20"/>
              <w:spacing w:after="0" w:line="185" w:lineRule="exact"/>
              <w:rPr>
                <w:sz w:val="20"/>
                <w:szCs w:val="20"/>
                <w:color w:val="auto"/>
              </w:rPr>
            </w:pPr>
            <w:r>
              <w:rPr>
                <w:rFonts w:ascii="Calibri" w:cs="Calibri" w:eastAsia="Calibri" w:hAnsi="Calibri"/>
                <w:sz w:val="16"/>
                <w:szCs w:val="16"/>
                <w:color w:val="auto"/>
              </w:rPr>
              <w:t>Cybin Corp.</w:t>
            </w:r>
          </w:p>
        </w:tc>
        <w:tc>
          <w:tcPr>
            <w:tcW w:w="3060" w:type="dxa"/>
            <w:vAlign w:val="bottom"/>
          </w:tcPr>
          <w:p>
            <w:pPr>
              <w:ind w:left="860"/>
              <w:spacing w:after="0" w:line="185" w:lineRule="exact"/>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line="185" w:lineRule="exact"/>
              <w:rPr>
                <w:sz w:val="20"/>
                <w:szCs w:val="20"/>
                <w:color w:val="auto"/>
              </w:rPr>
            </w:pPr>
            <w:r>
              <w:rPr>
                <w:rFonts w:ascii="Calibri" w:cs="Calibri" w:eastAsia="Calibri" w:hAnsi="Calibri"/>
                <w:sz w:val="16"/>
                <w:szCs w:val="16"/>
                <w:color w:val="auto"/>
              </w:rPr>
              <w:t>100%</w:t>
            </w:r>
          </w:p>
        </w:tc>
      </w:tr>
      <w:tr>
        <w:trPr>
          <w:trHeight w:val="198"/>
        </w:trPr>
        <w:tc>
          <w:tcPr>
            <w:tcW w:w="3220" w:type="dxa"/>
            <w:vAlign w:val="bottom"/>
          </w:tcPr>
          <w:p>
            <w:pPr>
              <w:ind w:left="20"/>
              <w:spacing w:after="0"/>
              <w:rPr>
                <w:sz w:val="20"/>
                <w:szCs w:val="20"/>
                <w:color w:val="auto"/>
              </w:rPr>
            </w:pPr>
            <w:r>
              <w:rPr>
                <w:rFonts w:ascii="Calibri" w:cs="Calibri" w:eastAsia="Calibri" w:hAnsi="Calibri"/>
                <w:sz w:val="16"/>
                <w:szCs w:val="16"/>
                <w:color w:val="auto"/>
              </w:rPr>
              <w:t>Journey</w:t>
            </w:r>
          </w:p>
        </w:tc>
        <w:tc>
          <w:tcPr>
            <w:tcW w:w="3060" w:type="dxa"/>
            <w:vAlign w:val="bottom"/>
          </w:tcPr>
          <w:p>
            <w:pPr>
              <w:ind w:left="86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06"/>
        </w:trPr>
        <w:tc>
          <w:tcPr>
            <w:tcW w:w="3220" w:type="dxa"/>
            <w:vAlign w:val="bottom"/>
          </w:tcPr>
          <w:p>
            <w:pPr>
              <w:ind w:left="20"/>
              <w:spacing w:after="0"/>
              <w:rPr>
                <w:sz w:val="20"/>
                <w:szCs w:val="20"/>
                <w:color w:val="auto"/>
              </w:rPr>
            </w:pPr>
            <w:r>
              <w:rPr>
                <w:rFonts w:ascii="Calibri" w:cs="Calibri" w:eastAsia="Calibri" w:hAnsi="Calibri"/>
                <w:sz w:val="16"/>
                <w:szCs w:val="16"/>
                <w:color w:val="auto"/>
              </w:rPr>
              <w:t>Serenity</w:t>
            </w:r>
          </w:p>
        </w:tc>
        <w:tc>
          <w:tcPr>
            <w:tcW w:w="3060" w:type="dxa"/>
            <w:vAlign w:val="bottom"/>
          </w:tcPr>
          <w:p>
            <w:pPr>
              <w:ind w:left="86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19"/>
        </w:trPr>
        <w:tc>
          <w:tcPr>
            <w:tcW w:w="3220" w:type="dxa"/>
            <w:vAlign w:val="bottom"/>
          </w:tcPr>
          <w:p>
            <w:pPr>
              <w:ind w:left="20"/>
              <w:spacing w:after="0" w:line="219" w:lineRule="exact"/>
              <w:rPr>
                <w:sz w:val="20"/>
                <w:szCs w:val="20"/>
                <w:color w:val="auto"/>
              </w:rPr>
            </w:pPr>
            <w:r>
              <w:rPr>
                <w:rFonts w:ascii="Calibri" w:cs="Calibri" w:eastAsia="Calibri" w:hAnsi="Calibri"/>
                <w:sz w:val="16"/>
                <w:szCs w:val="16"/>
                <w:color w:val="auto"/>
              </w:rPr>
              <w:t>Cybin US</w:t>
            </w:r>
            <w:r>
              <w:rPr>
                <w:rFonts w:ascii="Calibri" w:cs="Calibri" w:eastAsia="Calibri" w:hAnsi="Calibri"/>
                <w:sz w:val="21"/>
                <w:szCs w:val="21"/>
                <w:color w:val="auto"/>
                <w:vertAlign w:val="superscript"/>
              </w:rPr>
              <w:t>1</w:t>
            </w:r>
          </w:p>
        </w:tc>
        <w:tc>
          <w:tcPr>
            <w:tcW w:w="3060" w:type="dxa"/>
            <w:vAlign w:val="bottom"/>
          </w:tcPr>
          <w:p>
            <w:pPr>
              <w:ind w:left="86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193"/>
        </w:trPr>
        <w:tc>
          <w:tcPr>
            <w:tcW w:w="3220" w:type="dxa"/>
            <w:vAlign w:val="bottom"/>
          </w:tcPr>
          <w:p>
            <w:pPr>
              <w:ind w:left="20"/>
              <w:spacing w:after="0" w:line="193" w:lineRule="exact"/>
              <w:rPr>
                <w:sz w:val="20"/>
                <w:szCs w:val="20"/>
                <w:color w:val="auto"/>
              </w:rPr>
            </w:pPr>
            <w:r>
              <w:rPr>
                <w:rFonts w:ascii="Calibri" w:cs="Calibri" w:eastAsia="Calibri" w:hAnsi="Calibri"/>
                <w:sz w:val="16"/>
                <w:szCs w:val="16"/>
                <w:color w:val="auto"/>
              </w:rPr>
              <w:t>Adelia</w:t>
            </w:r>
          </w:p>
        </w:tc>
        <w:tc>
          <w:tcPr>
            <w:tcW w:w="3060" w:type="dxa"/>
            <w:vAlign w:val="bottom"/>
          </w:tcPr>
          <w:p>
            <w:pPr>
              <w:ind w:left="860"/>
              <w:spacing w:after="0" w:line="193" w:lineRule="exact"/>
              <w:rPr>
                <w:sz w:val="20"/>
                <w:szCs w:val="20"/>
                <w:color w:val="auto"/>
              </w:rPr>
            </w:pPr>
            <w:r>
              <w:rPr>
                <w:rFonts w:ascii="Calibri" w:cs="Calibri" w:eastAsia="Calibri" w:hAnsi="Calibri"/>
                <w:sz w:val="16"/>
                <w:szCs w:val="16"/>
                <w:color w:val="auto"/>
              </w:rPr>
              <w:t>U.S. dollars</w:t>
            </w:r>
          </w:p>
        </w:tc>
        <w:tc>
          <w:tcPr>
            <w:tcW w:w="4260" w:type="dxa"/>
            <w:vAlign w:val="bottom"/>
          </w:tcPr>
          <w:p>
            <w:pPr>
              <w:ind w:left="860"/>
              <w:spacing w:after="0" w:line="193" w:lineRule="exact"/>
              <w:rPr>
                <w:sz w:val="20"/>
                <w:szCs w:val="20"/>
                <w:color w:val="auto"/>
              </w:rPr>
            </w:pPr>
            <w:r>
              <w:rPr>
                <w:rFonts w:ascii="Calibri" w:cs="Calibri" w:eastAsia="Calibri" w:hAnsi="Calibri"/>
                <w:sz w:val="16"/>
                <w:szCs w:val="16"/>
                <w:color w:val="auto"/>
              </w:rPr>
              <w:t>100%</w:t>
            </w:r>
          </w:p>
        </w:tc>
      </w:tr>
      <w:tr>
        <w:trPr>
          <w:trHeight w:val="218"/>
        </w:trPr>
        <w:tc>
          <w:tcPr>
            <w:tcW w:w="3220" w:type="dxa"/>
            <w:vAlign w:val="bottom"/>
          </w:tcPr>
          <w:p>
            <w:pPr>
              <w:ind w:left="20"/>
              <w:spacing w:after="0"/>
              <w:rPr>
                <w:sz w:val="20"/>
                <w:szCs w:val="20"/>
                <w:color w:val="auto"/>
              </w:rPr>
            </w:pPr>
            <w:r>
              <w:rPr>
                <w:rFonts w:ascii="Calibri" w:cs="Calibri" w:eastAsia="Calibri" w:hAnsi="Calibri"/>
                <w:sz w:val="16"/>
                <w:szCs w:val="16"/>
                <w:color w:val="auto"/>
              </w:rPr>
              <w:t>Cybin IRL</w:t>
            </w:r>
          </w:p>
        </w:tc>
        <w:tc>
          <w:tcPr>
            <w:tcW w:w="3060" w:type="dxa"/>
            <w:vAlign w:val="bottom"/>
          </w:tcPr>
          <w:p>
            <w:pPr>
              <w:ind w:left="860"/>
              <w:spacing w:after="0"/>
              <w:rPr>
                <w:sz w:val="20"/>
                <w:szCs w:val="20"/>
                <w:color w:val="auto"/>
              </w:rPr>
            </w:pPr>
            <w:r>
              <w:rPr>
                <w:rFonts w:ascii="Calibri" w:cs="Calibri" w:eastAsia="Calibri" w:hAnsi="Calibri"/>
                <w:sz w:val="16"/>
                <w:szCs w:val="16"/>
                <w:color w:val="auto"/>
              </w:rPr>
              <w:t>U.S.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80"/>
        </w:trPr>
        <w:tc>
          <w:tcPr>
            <w:tcW w:w="3220" w:type="dxa"/>
            <w:vAlign w:val="bottom"/>
          </w:tcPr>
          <w:p>
            <w:pPr>
              <w:ind w:left="20"/>
              <w:spacing w:after="0"/>
              <w:rPr>
                <w:sz w:val="20"/>
                <w:szCs w:val="20"/>
                <w:color w:val="auto"/>
              </w:rPr>
            </w:pPr>
            <w:r>
              <w:rPr>
                <w:rFonts w:ascii="Calibri" w:cs="Calibri" w:eastAsia="Calibri" w:hAnsi="Calibri"/>
                <w:sz w:val="16"/>
                <w:szCs w:val="16"/>
                <w:color w:val="auto"/>
              </w:rPr>
              <w:t>Cybin UK Ltd</w:t>
            </w:r>
            <w:r>
              <w:rPr>
                <w:rFonts w:ascii="Calibri" w:cs="Calibri" w:eastAsia="Calibri" w:hAnsi="Calibri"/>
                <w:sz w:val="21"/>
                <w:szCs w:val="21"/>
                <w:color w:val="auto"/>
                <w:vertAlign w:val="superscript"/>
              </w:rPr>
              <w:t>.2</w:t>
            </w:r>
          </w:p>
        </w:tc>
        <w:tc>
          <w:tcPr>
            <w:tcW w:w="3060" w:type="dxa"/>
            <w:vAlign w:val="bottom"/>
          </w:tcPr>
          <w:p>
            <w:pPr>
              <w:ind w:left="860"/>
              <w:spacing w:after="0"/>
              <w:rPr>
                <w:sz w:val="20"/>
                <w:szCs w:val="20"/>
                <w:color w:val="auto"/>
              </w:rPr>
            </w:pPr>
            <w:r>
              <w:rPr>
                <w:rFonts w:ascii="Calibri" w:cs="Calibri" w:eastAsia="Calibri" w:hAnsi="Calibri"/>
                <w:sz w:val="16"/>
                <w:szCs w:val="16"/>
                <w:color w:val="auto"/>
              </w:rPr>
              <w:t>Great Britain pounds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187"/>
        </w:trPr>
        <w:tc>
          <w:tcPr>
            <w:tcW w:w="3220" w:type="dxa"/>
            <w:vAlign w:val="bottom"/>
          </w:tcPr>
          <w:p>
            <w:pPr>
              <w:ind w:left="20"/>
              <w:spacing w:after="0" w:line="188" w:lineRule="exact"/>
              <w:rPr>
                <w:sz w:val="20"/>
                <w:szCs w:val="20"/>
                <w:color w:val="auto"/>
              </w:rPr>
            </w:pPr>
            <w:r>
              <w:rPr>
                <w:rFonts w:ascii="Calibri" w:cs="Calibri" w:eastAsia="Calibri" w:hAnsi="Calibri"/>
                <w:sz w:val="15"/>
                <w:szCs w:val="15"/>
                <w:color w:val="auto"/>
              </w:rPr>
              <w:t>Small Pharma Inc. (“Small Pharma”)</w:t>
            </w:r>
            <w:r>
              <w:rPr>
                <w:rFonts w:ascii="Calibri" w:cs="Calibri" w:eastAsia="Calibri" w:hAnsi="Calibri"/>
                <w:sz w:val="20"/>
                <w:szCs w:val="20"/>
                <w:color w:val="auto"/>
                <w:vertAlign w:val="superscript"/>
              </w:rPr>
              <w:t>2</w:t>
            </w:r>
          </w:p>
        </w:tc>
        <w:tc>
          <w:tcPr>
            <w:tcW w:w="3060" w:type="dxa"/>
            <w:vAlign w:val="bottom"/>
          </w:tcPr>
          <w:p>
            <w:pPr>
              <w:ind w:left="860"/>
              <w:spacing w:after="0" w:line="188" w:lineRule="exact"/>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line="188" w:lineRule="exact"/>
              <w:rPr>
                <w:sz w:val="20"/>
                <w:szCs w:val="20"/>
                <w:color w:val="auto"/>
              </w:rPr>
            </w:pPr>
            <w:r>
              <w:rPr>
                <w:rFonts w:ascii="Calibri" w:cs="Calibri" w:eastAsia="Calibri" w:hAnsi="Calibri"/>
                <w:sz w:val="16"/>
                <w:szCs w:val="16"/>
                <w:color w:val="auto"/>
              </w:rPr>
              <w:t>100%</w:t>
            </w:r>
          </w:p>
        </w:tc>
      </w:tr>
    </w:tbl>
    <w:p>
      <w:pPr>
        <w:ind w:left="10823"/>
        <w:spacing w:after="0" w:line="211" w:lineRule="auto"/>
        <w:rPr>
          <w:sz w:val="20"/>
          <w:szCs w:val="20"/>
          <w:color w:val="auto"/>
        </w:rPr>
      </w:pPr>
      <w:r>
        <w:rPr>
          <w:rFonts w:ascii="Calibri" w:cs="Calibri" w:eastAsia="Calibri" w:hAnsi="Calibri"/>
          <w:sz w:val="16"/>
          <w:szCs w:val="16"/>
          <w:color w:val="auto"/>
          <w:vertAlign w:val="superscript"/>
        </w:rPr>
        <w:t>1</w:t>
      </w:r>
      <w:r>
        <w:rPr>
          <w:rFonts w:ascii="Calibri" w:cs="Calibri" w:eastAsia="Calibri" w:hAnsi="Calibri"/>
          <w:sz w:val="13"/>
          <w:szCs w:val="13"/>
          <w:color w:val="auto"/>
        </w:rPr>
        <w:t xml:space="preserve"> For</w:t>
      </w:r>
    </w:p>
    <w:p>
      <w:pPr>
        <w:ind w:left="283"/>
        <w:spacing w:after="0" w:line="195" w:lineRule="auto"/>
        <w:rPr>
          <w:sz w:val="20"/>
          <w:szCs w:val="20"/>
          <w:color w:val="auto"/>
        </w:rPr>
      </w:pPr>
      <w:r>
        <w:rPr>
          <w:rFonts w:ascii="Calibri" w:cs="Calibri" w:eastAsia="Calibri" w:hAnsi="Calibri"/>
          <w:sz w:val="13"/>
          <w:szCs w:val="13"/>
          <w:color w:val="auto"/>
        </w:rPr>
        <w:t>accountng purposes, Cybin US is a wholly-owned subsidiary of Cybin. Certain Former Adelia Shareholders (as defned below) hold Class B Shares (defned below) in Cybin US.</w:t>
      </w:r>
    </w:p>
    <w:p>
      <w:pPr>
        <w:spacing w:after="0" w:line="222" w:lineRule="exact"/>
        <w:rPr>
          <w:sz w:val="20"/>
          <w:szCs w:val="20"/>
          <w:color w:val="auto"/>
        </w:rPr>
      </w:pPr>
    </w:p>
    <w:p>
      <w:pPr>
        <w:ind w:left="3" w:right="4120" w:hanging="3"/>
        <w:spacing w:after="0" w:line="196" w:lineRule="auto"/>
        <w:tabs>
          <w:tab w:leader="none" w:pos="64" w:val="left"/>
        </w:tabs>
        <w:numPr>
          <w:ilvl w:val="0"/>
          <w:numId w:val="21"/>
        </w:numPr>
        <w:rPr>
          <w:rFonts w:ascii="Calibri" w:cs="Calibri" w:eastAsia="Calibri" w:hAnsi="Calibri"/>
          <w:sz w:val="17"/>
          <w:szCs w:val="17"/>
          <w:color w:val="auto"/>
          <w:vertAlign w:val="superscript"/>
        </w:rPr>
      </w:pPr>
      <w:r>
        <w:rPr>
          <w:rFonts w:ascii="Calibri" w:cs="Calibri" w:eastAsia="Calibri" w:hAnsi="Calibri"/>
          <w:sz w:val="13"/>
          <w:szCs w:val="13"/>
          <w:color w:val="auto"/>
        </w:rPr>
        <w:t>Cybin UK Ltd and Small Pharma Inc. which were acquired on October 23, 2023. Cybin UK Ltd. was formerly Small Pharma Ltd. and was a wholly-owned subsidiary of Small Pharma Inc.</w:t>
      </w:r>
    </w:p>
    <w:p>
      <w:pPr>
        <w:spacing w:after="0" w:line="214" w:lineRule="exact"/>
        <w:rPr>
          <w:sz w:val="20"/>
          <w:szCs w:val="20"/>
          <w:color w:val="auto"/>
        </w:rPr>
      </w:pPr>
    </w:p>
    <w:p>
      <w:pPr>
        <w:ind w:left="3"/>
        <w:spacing w:after="0"/>
        <w:rPr>
          <w:sz w:val="20"/>
          <w:szCs w:val="20"/>
          <w:color w:val="auto"/>
        </w:rPr>
      </w:pPr>
      <w:r>
        <w:rPr>
          <w:rFonts w:ascii="Calibri" w:cs="Calibri" w:eastAsia="Calibri" w:hAnsi="Calibri"/>
          <w:sz w:val="16"/>
          <w:szCs w:val="16"/>
          <w:color w:val="auto"/>
        </w:rPr>
        <w:t>On April 1, 2024 Small Pharma Inc was amalgamated with Cybin Corp.</w:t>
      </w:r>
    </w:p>
    <w:p>
      <w:pPr>
        <w:spacing w:after="0" w:line="168"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u w:val="single" w:color="auto"/>
          <w:color w:val="auto"/>
        </w:rPr>
        <w:t>Basis of consolidaton</w:t>
      </w:r>
    </w:p>
    <w:p>
      <w:pPr>
        <w:spacing w:after="0" w:line="195" w:lineRule="exact"/>
        <w:rPr>
          <w:sz w:val="20"/>
          <w:szCs w:val="20"/>
          <w:color w:val="auto"/>
        </w:rPr>
      </w:pPr>
    </w:p>
    <w:p>
      <w:pPr>
        <w:jc w:val="both"/>
        <w:ind w:left="283"/>
        <w:spacing w:after="0" w:line="228" w:lineRule="auto"/>
        <w:rPr>
          <w:sz w:val="20"/>
          <w:szCs w:val="20"/>
          <w:color w:val="auto"/>
        </w:rPr>
      </w:pPr>
      <w:r>
        <w:rPr>
          <w:rFonts w:ascii="Calibri" w:cs="Calibri" w:eastAsia="Calibri" w:hAnsi="Calibri"/>
          <w:sz w:val="16"/>
          <w:szCs w:val="16"/>
          <w:color w:val="auto"/>
        </w:rPr>
        <w:t>The Company consolidates enttes which it controls. Control exists when the Company has the power, directly and indirectly to govern the fnancial and operatng policies of an entty and be exposed to the variable returns from its actvites. The fnancial statements of subsidiaries are included in the consolidated fnancial statements from the date that control commences untl the date that control ceases.</w:t>
      </w:r>
    </w:p>
    <w:p>
      <w:pPr>
        <w:spacing w:after="0" w:line="207" w:lineRule="exact"/>
        <w:rPr>
          <w:sz w:val="20"/>
          <w:szCs w:val="20"/>
          <w:color w:val="auto"/>
        </w:rPr>
      </w:pPr>
    </w:p>
    <w:p>
      <w:pPr>
        <w:jc w:val="both"/>
        <w:ind w:left="283" w:right="20"/>
        <w:spacing w:after="0" w:line="230" w:lineRule="auto"/>
        <w:rPr>
          <w:sz w:val="20"/>
          <w:szCs w:val="20"/>
          <w:color w:val="auto"/>
        </w:rPr>
      </w:pPr>
      <w:r>
        <w:rPr>
          <w:rFonts w:ascii="Calibri" w:cs="Calibri" w:eastAsia="Calibri" w:hAnsi="Calibri"/>
          <w:sz w:val="16"/>
          <w:szCs w:val="16"/>
          <w:color w:val="auto"/>
        </w:rPr>
        <w:t>Intercompany balances, and any unrealized gains and losses or income and expenses arising from transactons with controlled enttes are eliminated to the extent of the Company’s interest in the entty.</w:t>
      </w:r>
    </w:p>
    <w:p>
      <w:pPr>
        <w:spacing w:after="0" w:line="206"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u w:val="single" w:color="auto"/>
          <w:color w:val="auto"/>
        </w:rPr>
        <w:t>Cash and cash equivalents</w:t>
      </w:r>
    </w:p>
    <w:p>
      <w:pPr>
        <w:spacing w:after="0" w:line="195" w:lineRule="exact"/>
        <w:rPr>
          <w:sz w:val="20"/>
          <w:szCs w:val="20"/>
          <w:color w:val="auto"/>
        </w:rPr>
      </w:pPr>
    </w:p>
    <w:p>
      <w:pPr>
        <w:jc w:val="both"/>
        <w:ind w:left="283" w:right="20"/>
        <w:spacing w:after="0" w:line="228" w:lineRule="auto"/>
        <w:rPr>
          <w:sz w:val="20"/>
          <w:szCs w:val="20"/>
          <w:color w:val="auto"/>
        </w:rPr>
      </w:pPr>
      <w:r>
        <w:rPr>
          <w:rFonts w:ascii="Calibri" w:cs="Calibri" w:eastAsia="Calibri" w:hAnsi="Calibri"/>
          <w:sz w:val="16"/>
          <w:szCs w:val="16"/>
          <w:color w:val="auto"/>
        </w:rPr>
        <w:t>Cash and cash equivalents are comprised of cash on deposit and highly liquid short-term interest-bearing variable rate investments with an original maturity of three months or less, or which are readily convertble into a known amount of cash with no signifcant changes. As at March 31, 2024 and March 31, 2023 there were no cash equivalents.</w:t>
      </w:r>
    </w:p>
    <w:p>
      <w:pPr>
        <w:spacing w:after="0" w:line="205"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u w:val="single" w:color="auto"/>
          <w:color w:val="auto"/>
        </w:rPr>
        <w:t>Inventories</w:t>
      </w:r>
    </w:p>
    <w:p>
      <w:pPr>
        <w:spacing w:after="0" w:line="205"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Inventories include raw materials and fnished goods. Raw materials are stated at the lower of cost and replacement cost with cost determined on a frst-in, frst-out basis.</w:t>
      </w:r>
    </w:p>
    <w:p>
      <w:pPr>
        <w:ind w:left="283"/>
        <w:spacing w:after="0" w:line="223" w:lineRule="auto"/>
        <w:rPr>
          <w:sz w:val="20"/>
          <w:szCs w:val="20"/>
          <w:color w:val="auto"/>
        </w:rPr>
      </w:pPr>
      <w:r>
        <w:rPr>
          <w:rFonts w:ascii="Calibri" w:cs="Calibri" w:eastAsia="Calibri" w:hAnsi="Calibri"/>
          <w:sz w:val="16"/>
          <w:szCs w:val="16"/>
          <w:color w:val="auto"/>
        </w:rPr>
        <w:t>The Company monitors the shelf life and expiry of fnished goods to determine when inventory values are not recoverable and a write-down is necessary.</w:t>
      </w:r>
    </w:p>
    <w:p>
      <w:pPr>
        <w:spacing w:after="0" w:line="205"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u w:val="single" w:color="auto"/>
          <w:color w:val="auto"/>
        </w:rPr>
        <w:t>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169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62" w:right="319" w:bottom="1440" w:gutter="0" w:footer="0" w:header="0"/>
        </w:sectPr>
      </w:pPr>
    </w:p>
    <w:bookmarkStart w:id="29" w:name="page30"/>
    <w:bookmarkEnd w:id="29"/>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right="20"/>
        <w:spacing w:after="0" w:line="230" w:lineRule="auto"/>
        <w:rPr>
          <w:sz w:val="20"/>
          <w:szCs w:val="20"/>
          <w:color w:val="auto"/>
        </w:rPr>
      </w:pPr>
      <w:r>
        <w:rPr>
          <w:rFonts w:ascii="Calibri" w:cs="Calibri" w:eastAsia="Calibri" w:hAnsi="Calibri"/>
          <w:sz w:val="16"/>
          <w:szCs w:val="16"/>
          <w:color w:val="auto"/>
        </w:rPr>
        <w:t>Equipment consists of lab and computer equipment and are recorded at cost less accumulated depreciaton and accumulated impairment losses. Cost includes all expenditures incurred to bring the asset to the locaton and conditon necessary for them to be operatng in the manner intended by management.</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Depreciaton is recognized based on the cost of the item less its estmated residual value, over its estmated useful life on a straight-line basis at the following rates:</w:t>
      </w:r>
    </w:p>
    <w:p>
      <w:pPr>
        <w:spacing w:after="0" w:line="225" w:lineRule="exact"/>
        <w:rPr>
          <w:sz w:val="20"/>
          <w:szCs w:val="20"/>
          <w:color w:val="auto"/>
        </w:rPr>
      </w:pPr>
    </w:p>
    <w:p>
      <w:pPr>
        <w:ind w:left="1100" w:hanging="290"/>
        <w:spacing w:after="0"/>
        <w:tabs>
          <w:tab w:leader="none" w:pos="1100" w:val="left"/>
        </w:tabs>
        <w:numPr>
          <w:ilvl w:val="0"/>
          <w:numId w:val="22"/>
        </w:numPr>
        <w:rPr>
          <w:rFonts w:ascii="Arial" w:cs="Arial" w:eastAsia="Arial" w:hAnsi="Arial"/>
          <w:sz w:val="18"/>
          <w:szCs w:val="18"/>
          <w:color w:val="auto"/>
        </w:rPr>
      </w:pPr>
      <w:r>
        <w:rPr>
          <w:rFonts w:ascii="Calibri" w:cs="Calibri" w:eastAsia="Calibri" w:hAnsi="Calibri"/>
          <w:sz w:val="16"/>
          <w:szCs w:val="16"/>
          <w:color w:val="auto"/>
        </w:rPr>
        <w:t>Lab equipment– 5 years</w:t>
      </w:r>
    </w:p>
    <w:p>
      <w:pPr>
        <w:spacing w:after="0" w:line="15" w:lineRule="exact"/>
        <w:rPr>
          <w:rFonts w:ascii="Arial" w:cs="Arial" w:eastAsia="Arial" w:hAnsi="Arial"/>
          <w:sz w:val="18"/>
          <w:szCs w:val="18"/>
          <w:color w:val="auto"/>
        </w:rPr>
      </w:pPr>
    </w:p>
    <w:p>
      <w:pPr>
        <w:ind w:left="1100" w:hanging="290"/>
        <w:spacing w:after="0" w:line="229" w:lineRule="auto"/>
        <w:tabs>
          <w:tab w:leader="none" w:pos="1100" w:val="left"/>
        </w:tabs>
        <w:numPr>
          <w:ilvl w:val="0"/>
          <w:numId w:val="22"/>
        </w:numPr>
        <w:rPr>
          <w:rFonts w:ascii="Arial" w:cs="Arial" w:eastAsia="Arial" w:hAnsi="Arial"/>
          <w:sz w:val="18"/>
          <w:szCs w:val="18"/>
          <w:color w:val="auto"/>
        </w:rPr>
      </w:pPr>
      <w:r>
        <w:rPr>
          <w:rFonts w:ascii="Calibri" w:cs="Calibri" w:eastAsia="Calibri" w:hAnsi="Calibri"/>
          <w:sz w:val="16"/>
          <w:szCs w:val="16"/>
          <w:color w:val="auto"/>
        </w:rPr>
        <w:t>Computer equipment– 3 years</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An item of equipment and any signifcant part initally recognized is derecognized upon disposal or when no future economic benefts are expected from its use. Any gain or loss arising on derecogniton of the asset (calculated as the diference between the net disposal proceeds and the carrying amount of the asset) is included in the consolidated statement of loss and comprehensive loss when the asset is derecognized. The assets’ residual values, useful lives and methods of depreciaton are reviewed at each reportng date and adjusted prospectvely if appropriate.</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Intangible Assets</w:t>
      </w:r>
    </w:p>
    <w:p>
      <w:pPr>
        <w:spacing w:after="0" w:line="207" w:lineRule="exact"/>
        <w:rPr>
          <w:sz w:val="20"/>
          <w:szCs w:val="20"/>
          <w:color w:val="auto"/>
        </w:rPr>
      </w:pPr>
    </w:p>
    <w:p>
      <w:pPr>
        <w:jc w:val="both"/>
        <w:ind w:left="220" w:right="20"/>
        <w:spacing w:after="0" w:line="215" w:lineRule="auto"/>
        <w:rPr>
          <w:sz w:val="20"/>
          <w:szCs w:val="20"/>
          <w:color w:val="auto"/>
        </w:rPr>
      </w:pPr>
      <w:r>
        <w:rPr>
          <w:rFonts w:ascii="Calibri" w:cs="Calibri" w:eastAsia="Calibri" w:hAnsi="Calibri"/>
          <w:sz w:val="16"/>
          <w:szCs w:val="16"/>
          <w:color w:val="auto"/>
        </w:rPr>
        <w:t>Intangible assets include expenditures related to obtaining patents, sofware related items and in-process research and development (“IPR&amp;D”). The amortzaton of sofware related items begins when the sofware is in use and will be amortzed on a straight-line basis over a period of 3 years. The amortzaton of patent costs commences when the associated products are available for commercial sale and is amortzed on a straight-line basis over its respectve legal lives or economic life, if shorter. Patents have an estmated useful life of 17 years. Amortzaton methods, useful lives, and residual values are reviewed at each reportng date and adjusted if appropriate. Acquired IPR&amp;D is capitalized based on technical feasibility and remains on the balance sheet, subject to impairment. Acquired IPR&amp;D is initally measured at fair value and recognized as an indefnite-lived intangible asset untl completon or abandonment of the related project. Amortzaton commences when the assets become available for use. Expenditures on research actvites, undertaken with the prospect of gaining new scientfc or technical knowledge and understanding, are recognized in operatons as incurred.</w:t>
      </w:r>
    </w:p>
    <w:p>
      <w:pPr>
        <w:spacing w:after="0" w:line="201" w:lineRule="exact"/>
        <w:rPr>
          <w:sz w:val="20"/>
          <w:szCs w:val="20"/>
          <w:color w:val="auto"/>
        </w:rPr>
      </w:pPr>
    </w:p>
    <w:p>
      <w:pPr>
        <w:jc w:val="both"/>
        <w:ind w:left="220"/>
        <w:spacing w:after="0" w:line="227" w:lineRule="auto"/>
        <w:rPr>
          <w:sz w:val="20"/>
          <w:szCs w:val="20"/>
          <w:color w:val="auto"/>
        </w:rPr>
      </w:pPr>
      <w:r>
        <w:rPr>
          <w:rFonts w:ascii="Calibri" w:cs="Calibri" w:eastAsia="Calibri" w:hAnsi="Calibri"/>
          <w:sz w:val="16"/>
          <w:szCs w:val="16"/>
          <w:color w:val="auto"/>
        </w:rPr>
        <w:t>Development actvites involve a plan or design for the producton of new, or substantally improved, products or processes related to the Company’s development of psychedelic-based therapeutcs. Development expenditures are capitalized only if the relevant IFRS criteria are met. Capitalized development expenditures are amortzed from the beginning of commercial producton and sales and are amortzed on a straight-line basis over the remaining useful life of the related patents. Development expenditures, in relaton to the Company’s psychedelic-based therapeutcs, have not satsfed the above criteria and are recognized in operatons as incurred.</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Goodwill</w:t>
      </w:r>
    </w:p>
    <w:p>
      <w:pPr>
        <w:spacing w:after="0" w:line="207" w:lineRule="exact"/>
        <w:rPr>
          <w:sz w:val="20"/>
          <w:szCs w:val="20"/>
          <w:color w:val="auto"/>
        </w:rPr>
      </w:pPr>
    </w:p>
    <w:p>
      <w:pPr>
        <w:jc w:val="both"/>
        <w:ind w:left="220"/>
        <w:spacing w:after="0" w:line="225" w:lineRule="auto"/>
        <w:rPr>
          <w:sz w:val="20"/>
          <w:szCs w:val="20"/>
          <w:color w:val="auto"/>
        </w:rPr>
      </w:pPr>
      <w:r>
        <w:rPr>
          <w:rFonts w:ascii="Calibri" w:cs="Calibri" w:eastAsia="Calibri" w:hAnsi="Calibri"/>
          <w:sz w:val="16"/>
          <w:szCs w:val="16"/>
          <w:color w:val="auto"/>
        </w:rPr>
        <w:t>Goodwill represents the excess of the consideraton transferred for the acquisiton of an entty over the fair value of the net identfable assets. Goodwill is initally measured at cost, and subsequently recorded at cost less any accumulated impairment losses. For the purpose of impairment testng, goodwill acquired in a business combinaton is, from the acquisiton date, allocated to each of the Company’s cash-generatng units (“CGUs”) that are expected to beneft from the combinaton, irrespectve of whether other assets or liabilites of the acquiree are assigned to those CGUs. The Company tests for impairment annually, or when indicatons of impairment exist. Impairment is determined for goodwill by assessing if the carrying value of CGUs, including goodwill, exceeds its recoverable amount determined as the greater of the estmated fair value less costs of disposal and the value in use. Impairment losses recognized in respect of the CGUs are frst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0" w:name="page31"/>
    <w:bookmarkEnd w:id="30"/>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20"/>
        <w:spacing w:after="0" w:line="230" w:lineRule="auto"/>
        <w:rPr>
          <w:sz w:val="20"/>
          <w:szCs w:val="20"/>
          <w:color w:val="auto"/>
        </w:rPr>
      </w:pPr>
      <w:r>
        <w:rPr>
          <w:rFonts w:ascii="Calibri" w:cs="Calibri" w:eastAsia="Calibri" w:hAnsi="Calibri"/>
          <w:sz w:val="16"/>
          <w:szCs w:val="16"/>
          <w:color w:val="auto"/>
        </w:rPr>
        <w:t>to the carrying value of goodwill and any excess is allocated to the carrying amount of assets in the CGUs. Any goodwill impairment is recorded in the consolidated statement of loss and comprehensive loss.</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Impairment of long-lived assets</w:t>
      </w:r>
    </w:p>
    <w:p>
      <w:pPr>
        <w:spacing w:after="0" w:line="207" w:lineRule="exact"/>
        <w:rPr>
          <w:sz w:val="20"/>
          <w:szCs w:val="20"/>
          <w:color w:val="auto"/>
        </w:rPr>
      </w:pPr>
    </w:p>
    <w:p>
      <w:pPr>
        <w:jc w:val="both"/>
        <w:ind w:left="220" w:right="20"/>
        <w:spacing w:after="0" w:line="223" w:lineRule="auto"/>
        <w:rPr>
          <w:sz w:val="20"/>
          <w:szCs w:val="20"/>
          <w:color w:val="auto"/>
        </w:rPr>
      </w:pPr>
      <w:r>
        <w:rPr>
          <w:rFonts w:ascii="Calibri" w:cs="Calibri" w:eastAsia="Calibri" w:hAnsi="Calibri"/>
          <w:sz w:val="16"/>
          <w:szCs w:val="16"/>
          <w:color w:val="auto"/>
        </w:rPr>
        <w:t>Long-lived assets, including equipment and intangible assets, are reviewed for impairment at each consolidated statement of fnancial positon date or whenever events or changes in circumstances indicate that the carrying amount of the asset exceeds its recoverable amount. Where the carrying value of an asset exceeds its recoverable amount, which is the higher of value in use and fair value less costs to sell, the asset is writen down accordingly. Where it is not possible to estmate the recoverable amount of an individual asset, the impairment test is carried out on the asset’s cash-generatng unit, which is the lowest group of assets in which the asset belongs for which there are separate cash infows that are largely independent of the cash infows from other assets. An impairment loss is charged to operatons.</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Financial instruments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Recogniton and inital measurement</w:t>
      </w:r>
    </w:p>
    <w:p>
      <w:pPr>
        <w:spacing w:after="0" w:line="207" w:lineRule="exact"/>
        <w:rPr>
          <w:sz w:val="20"/>
          <w:szCs w:val="20"/>
          <w:color w:val="auto"/>
        </w:rPr>
      </w:pPr>
    </w:p>
    <w:p>
      <w:pPr>
        <w:jc w:val="both"/>
        <w:ind w:left="220"/>
        <w:spacing w:after="0" w:line="228" w:lineRule="auto"/>
        <w:rPr>
          <w:sz w:val="20"/>
          <w:szCs w:val="20"/>
          <w:color w:val="auto"/>
        </w:rPr>
      </w:pPr>
      <w:r>
        <w:rPr>
          <w:rFonts w:ascii="Calibri" w:cs="Calibri" w:eastAsia="Calibri" w:hAnsi="Calibri"/>
          <w:sz w:val="16"/>
          <w:szCs w:val="16"/>
          <w:color w:val="auto"/>
        </w:rPr>
        <w:t>The Company initally recognizes fnancial instruments on the trade date, which is the date on which the Company becomes a party to the contractual provisions of the instrument. A fnancial asset or fnancial liability is measured initally at fair value plus/minus, for an item not at fair value through proft or loss (“FVTPL”), transacton costs that are directly atributable to its acquisiton or use.</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Classifcaton</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Financial asset</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On inital recogniton, a fnancial asset is classifed as measured at: amortzed cost, fair value through other comprehensive income (“FVOCI”), or FVTPL.</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 fnancial asset is measured at amortzed cost if it meets both of the following conditons and is not designated as at FVTPL:</w:t>
      </w:r>
    </w:p>
    <w:p>
      <w:pPr>
        <w:spacing w:after="0" w:line="225" w:lineRule="exact"/>
        <w:rPr>
          <w:sz w:val="20"/>
          <w:szCs w:val="20"/>
          <w:color w:val="auto"/>
        </w:rPr>
      </w:pPr>
    </w:p>
    <w:p>
      <w:pPr>
        <w:ind w:left="800" w:hanging="281"/>
        <w:spacing w:after="0"/>
        <w:tabs>
          <w:tab w:leader="none" w:pos="800" w:val="left"/>
        </w:tabs>
        <w:numPr>
          <w:ilvl w:val="0"/>
          <w:numId w:val="23"/>
        </w:numPr>
        <w:rPr>
          <w:rFonts w:ascii="Arial" w:cs="Arial" w:eastAsia="Arial" w:hAnsi="Arial"/>
          <w:sz w:val="18"/>
          <w:szCs w:val="18"/>
          <w:color w:val="auto"/>
        </w:rPr>
      </w:pPr>
      <w:r>
        <w:rPr>
          <w:rFonts w:ascii="Calibri" w:cs="Calibri" w:eastAsia="Calibri" w:hAnsi="Calibri"/>
          <w:sz w:val="16"/>
          <w:szCs w:val="16"/>
          <w:color w:val="auto"/>
        </w:rPr>
        <w:t>The asset is held within a business model whose objectve is to hold assets to collect contractual cash fows; and</w:t>
      </w:r>
    </w:p>
    <w:p>
      <w:pPr>
        <w:spacing w:after="0" w:line="25" w:lineRule="exact"/>
        <w:rPr>
          <w:rFonts w:ascii="Arial" w:cs="Arial" w:eastAsia="Arial" w:hAnsi="Arial"/>
          <w:sz w:val="18"/>
          <w:szCs w:val="18"/>
          <w:color w:val="auto"/>
        </w:rPr>
      </w:pPr>
    </w:p>
    <w:p>
      <w:pPr>
        <w:ind w:left="820" w:hanging="301"/>
        <w:spacing w:after="0" w:line="221" w:lineRule="auto"/>
        <w:tabs>
          <w:tab w:leader="none" w:pos="809" w:val="left"/>
        </w:tabs>
        <w:numPr>
          <w:ilvl w:val="0"/>
          <w:numId w:val="23"/>
        </w:numPr>
        <w:rPr>
          <w:rFonts w:ascii="Arial" w:cs="Arial" w:eastAsia="Arial" w:hAnsi="Arial"/>
          <w:sz w:val="18"/>
          <w:szCs w:val="18"/>
          <w:color w:val="auto"/>
        </w:rPr>
      </w:pPr>
      <w:r>
        <w:rPr>
          <w:rFonts w:ascii="Calibri" w:cs="Calibri" w:eastAsia="Calibri" w:hAnsi="Calibri"/>
          <w:sz w:val="16"/>
          <w:szCs w:val="16"/>
          <w:color w:val="auto"/>
        </w:rPr>
        <w:t>The contractual terms of the fnancial asset give rise on specifed dates to cash fows that are solely payments of principal and interest on the principal amount outstanding.</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Company currently measures accounts receivable at amortzed cost.</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 debt instrument is measured at FVOCI only if it meets both of the following conditons and is not designated as at FVTPL:</w:t>
      </w:r>
    </w:p>
    <w:p>
      <w:pPr>
        <w:spacing w:after="0" w:line="225" w:lineRule="exact"/>
        <w:rPr>
          <w:sz w:val="20"/>
          <w:szCs w:val="20"/>
          <w:color w:val="auto"/>
        </w:rPr>
      </w:pPr>
    </w:p>
    <w:p>
      <w:pPr>
        <w:ind w:left="800" w:hanging="281"/>
        <w:spacing w:after="0"/>
        <w:tabs>
          <w:tab w:leader="none" w:pos="800" w:val="left"/>
        </w:tabs>
        <w:numPr>
          <w:ilvl w:val="0"/>
          <w:numId w:val="24"/>
        </w:numPr>
        <w:rPr>
          <w:rFonts w:ascii="Arial" w:cs="Arial" w:eastAsia="Arial" w:hAnsi="Arial"/>
          <w:sz w:val="18"/>
          <w:szCs w:val="18"/>
          <w:color w:val="auto"/>
        </w:rPr>
      </w:pPr>
      <w:r>
        <w:rPr>
          <w:rFonts w:ascii="Calibri" w:cs="Calibri" w:eastAsia="Calibri" w:hAnsi="Calibri"/>
          <w:sz w:val="16"/>
          <w:szCs w:val="16"/>
          <w:color w:val="auto"/>
        </w:rPr>
        <w:t>The asset is held within a business model whose objectve is achieved by both collectng contractual cash fows and selling fnancial assets; and</w:t>
      </w:r>
    </w:p>
    <w:p>
      <w:pPr>
        <w:spacing w:after="0" w:line="25" w:lineRule="exact"/>
        <w:rPr>
          <w:rFonts w:ascii="Arial" w:cs="Arial" w:eastAsia="Arial" w:hAnsi="Arial"/>
          <w:sz w:val="18"/>
          <w:szCs w:val="18"/>
          <w:color w:val="auto"/>
        </w:rPr>
      </w:pPr>
    </w:p>
    <w:p>
      <w:pPr>
        <w:ind w:left="820" w:hanging="301"/>
        <w:spacing w:after="0" w:line="221" w:lineRule="auto"/>
        <w:tabs>
          <w:tab w:leader="none" w:pos="809" w:val="left"/>
        </w:tabs>
        <w:numPr>
          <w:ilvl w:val="0"/>
          <w:numId w:val="24"/>
        </w:numPr>
        <w:rPr>
          <w:rFonts w:ascii="Arial" w:cs="Arial" w:eastAsia="Arial" w:hAnsi="Arial"/>
          <w:sz w:val="18"/>
          <w:szCs w:val="18"/>
          <w:color w:val="auto"/>
        </w:rPr>
      </w:pPr>
      <w:r>
        <w:rPr>
          <w:rFonts w:ascii="Calibri" w:cs="Calibri" w:eastAsia="Calibri" w:hAnsi="Calibri"/>
          <w:sz w:val="16"/>
          <w:szCs w:val="16"/>
          <w:color w:val="auto"/>
        </w:rPr>
        <w:t>The contractual terms of the fnancial asset give rise on specifed dates to cash fows that are solely payments of principal and interest on the principal amount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1" w:name="page32"/>
    <w:bookmarkEnd w:id="31"/>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right="20"/>
        <w:spacing w:after="0" w:line="230" w:lineRule="auto"/>
        <w:rPr>
          <w:sz w:val="20"/>
          <w:szCs w:val="20"/>
          <w:color w:val="auto"/>
        </w:rPr>
      </w:pPr>
      <w:r>
        <w:rPr>
          <w:rFonts w:ascii="Calibri" w:cs="Calibri" w:eastAsia="Calibri" w:hAnsi="Calibri"/>
          <w:sz w:val="16"/>
          <w:szCs w:val="16"/>
          <w:color w:val="auto"/>
        </w:rPr>
        <w:t>On inital recogniton of an equity investment that is not held for trading, the Company may irrevocably elect to present subsequent changes in FVOCI. This electon is made on an investment-by-investment basis. The Company has not elected to present any assets as FVOCI.</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Cash is measured at FVTPL.</w:t>
      </w:r>
    </w:p>
    <w:p>
      <w:pPr>
        <w:spacing w:after="0" w:line="207" w:lineRule="exact"/>
        <w:rPr>
          <w:sz w:val="20"/>
          <w:szCs w:val="20"/>
          <w:color w:val="auto"/>
        </w:rPr>
      </w:pPr>
    </w:p>
    <w:p>
      <w:pPr>
        <w:ind w:left="220" w:right="20"/>
        <w:spacing w:after="0" w:line="230" w:lineRule="auto"/>
        <w:rPr>
          <w:sz w:val="20"/>
          <w:szCs w:val="20"/>
          <w:color w:val="auto"/>
        </w:rPr>
      </w:pPr>
      <w:r>
        <w:rPr>
          <w:rFonts w:ascii="Calibri" w:cs="Calibri" w:eastAsia="Calibri" w:hAnsi="Calibri"/>
          <w:sz w:val="16"/>
          <w:szCs w:val="16"/>
          <w:color w:val="auto"/>
        </w:rPr>
        <w:t>In additon, on inital recogniton, the Company may irrevocably designate a fnancial asset that otherwise meets the requirements to be measured at amortzed cost as FVOCI or FVTPL if doing so eliminates or signifcantly reduces an accountng mismatch that would otherwise arise.</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Business model assessment</w:t>
      </w:r>
    </w:p>
    <w:p>
      <w:pPr>
        <w:spacing w:after="0" w:line="207" w:lineRule="exact"/>
        <w:rPr>
          <w:sz w:val="20"/>
          <w:szCs w:val="20"/>
          <w:color w:val="auto"/>
        </w:rPr>
      </w:pPr>
    </w:p>
    <w:p>
      <w:pPr>
        <w:ind w:left="220" w:right="20"/>
        <w:spacing w:after="0" w:line="223" w:lineRule="auto"/>
        <w:rPr>
          <w:sz w:val="20"/>
          <w:szCs w:val="20"/>
          <w:color w:val="auto"/>
        </w:rPr>
      </w:pPr>
      <w:r>
        <w:rPr>
          <w:rFonts w:ascii="Calibri" w:cs="Calibri" w:eastAsia="Calibri" w:hAnsi="Calibri"/>
          <w:sz w:val="16"/>
          <w:szCs w:val="16"/>
          <w:color w:val="auto"/>
        </w:rPr>
        <w:t>The Company makes an assessment of the objectve of a business model in which an asset is held at a portolio level because this best refects the way the business is managed and informaton is provided to management. The informaton considered includes:</w:t>
      </w:r>
    </w:p>
    <w:p>
      <w:pPr>
        <w:spacing w:after="0" w:line="243" w:lineRule="exact"/>
        <w:rPr>
          <w:sz w:val="20"/>
          <w:szCs w:val="20"/>
          <w:color w:val="auto"/>
        </w:rPr>
      </w:pPr>
    </w:p>
    <w:p>
      <w:pPr>
        <w:jc w:val="both"/>
        <w:ind w:left="820" w:hanging="301"/>
        <w:spacing w:after="0" w:line="221" w:lineRule="auto"/>
        <w:tabs>
          <w:tab w:leader="none" w:pos="809" w:val="left"/>
        </w:tabs>
        <w:numPr>
          <w:ilvl w:val="0"/>
          <w:numId w:val="25"/>
        </w:numPr>
        <w:rPr>
          <w:rFonts w:ascii="Arial" w:cs="Arial" w:eastAsia="Arial" w:hAnsi="Arial"/>
          <w:sz w:val="18"/>
          <w:szCs w:val="18"/>
          <w:color w:val="auto"/>
        </w:rPr>
      </w:pPr>
      <w:r>
        <w:rPr>
          <w:rFonts w:ascii="Calibri" w:cs="Calibri" w:eastAsia="Calibri" w:hAnsi="Calibri"/>
          <w:sz w:val="16"/>
          <w:szCs w:val="16"/>
          <w:color w:val="auto"/>
        </w:rPr>
        <w:t>The stated policies and objectves for the portolio and the operaton of those policies in practce. In partcular, whether management’s strategy focuses on earning contractual interest revenue, maintaining a partcular interest rate profle, matching the duraton of the fnancial assets to the duraton of the liabilites that are funding those assets or realizing cash fows through the sale of the assets;</w:t>
      </w:r>
    </w:p>
    <w:p>
      <w:pPr>
        <w:spacing w:after="0" w:line="8" w:lineRule="exact"/>
        <w:rPr>
          <w:rFonts w:ascii="Arial" w:cs="Arial" w:eastAsia="Arial" w:hAnsi="Arial"/>
          <w:sz w:val="18"/>
          <w:szCs w:val="18"/>
          <w:color w:val="auto"/>
        </w:rPr>
      </w:pPr>
    </w:p>
    <w:p>
      <w:pPr>
        <w:ind w:left="800" w:hanging="281"/>
        <w:spacing w:after="0"/>
        <w:tabs>
          <w:tab w:leader="none" w:pos="800" w:val="left"/>
        </w:tabs>
        <w:numPr>
          <w:ilvl w:val="0"/>
          <w:numId w:val="25"/>
        </w:numPr>
        <w:rPr>
          <w:rFonts w:ascii="Arial" w:cs="Arial" w:eastAsia="Arial" w:hAnsi="Arial"/>
          <w:sz w:val="18"/>
          <w:szCs w:val="18"/>
          <w:color w:val="auto"/>
        </w:rPr>
      </w:pPr>
      <w:r>
        <w:rPr>
          <w:rFonts w:ascii="Calibri" w:cs="Calibri" w:eastAsia="Calibri" w:hAnsi="Calibri"/>
          <w:sz w:val="16"/>
          <w:szCs w:val="16"/>
          <w:color w:val="auto"/>
        </w:rPr>
        <w:t>How the performance of the portolio is evaluated and reported to the Company’s management;</w:t>
      </w:r>
    </w:p>
    <w:p>
      <w:pPr>
        <w:spacing w:after="0" w:line="15"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5"/>
        </w:numPr>
        <w:rPr>
          <w:rFonts w:ascii="Arial" w:cs="Arial" w:eastAsia="Arial" w:hAnsi="Arial"/>
          <w:sz w:val="18"/>
          <w:szCs w:val="18"/>
          <w:color w:val="auto"/>
        </w:rPr>
      </w:pPr>
      <w:r>
        <w:rPr>
          <w:rFonts w:ascii="Calibri" w:cs="Calibri" w:eastAsia="Calibri" w:hAnsi="Calibri"/>
          <w:sz w:val="16"/>
          <w:szCs w:val="16"/>
          <w:color w:val="auto"/>
        </w:rPr>
        <w:t>The risks that afect the performance of the business model (and the fnancial assets held within that business model) and how those risks are managed;</w:t>
      </w:r>
    </w:p>
    <w:p>
      <w:pPr>
        <w:spacing w:after="0" w:line="25" w:lineRule="exact"/>
        <w:rPr>
          <w:rFonts w:ascii="Arial" w:cs="Arial" w:eastAsia="Arial" w:hAnsi="Arial"/>
          <w:sz w:val="18"/>
          <w:szCs w:val="18"/>
          <w:color w:val="auto"/>
        </w:rPr>
      </w:pPr>
    </w:p>
    <w:p>
      <w:pPr>
        <w:ind w:left="820" w:right="20" w:hanging="301"/>
        <w:spacing w:after="0" w:line="221" w:lineRule="auto"/>
        <w:tabs>
          <w:tab w:leader="none" w:pos="809" w:val="left"/>
        </w:tabs>
        <w:numPr>
          <w:ilvl w:val="0"/>
          <w:numId w:val="25"/>
        </w:numPr>
        <w:rPr>
          <w:rFonts w:ascii="Arial" w:cs="Arial" w:eastAsia="Arial" w:hAnsi="Arial"/>
          <w:sz w:val="18"/>
          <w:szCs w:val="18"/>
          <w:color w:val="auto"/>
        </w:rPr>
      </w:pPr>
      <w:r>
        <w:rPr>
          <w:rFonts w:ascii="Calibri" w:cs="Calibri" w:eastAsia="Calibri" w:hAnsi="Calibri"/>
          <w:sz w:val="16"/>
          <w:szCs w:val="16"/>
          <w:color w:val="auto"/>
        </w:rPr>
        <w:t>How managers of the business are compensated (e.g. whether compensaton is based on the fair value of the assets managed or the contractual cash fows collected); and</w:t>
      </w:r>
    </w:p>
    <w:p>
      <w:pPr>
        <w:spacing w:after="0" w:line="25" w:lineRule="exact"/>
        <w:rPr>
          <w:rFonts w:ascii="Arial" w:cs="Arial" w:eastAsia="Arial" w:hAnsi="Arial"/>
          <w:sz w:val="18"/>
          <w:szCs w:val="18"/>
          <w:color w:val="auto"/>
        </w:rPr>
      </w:pPr>
    </w:p>
    <w:p>
      <w:pPr>
        <w:jc w:val="both"/>
        <w:ind w:left="820" w:right="20" w:hanging="301"/>
        <w:spacing w:after="0" w:line="221" w:lineRule="auto"/>
        <w:tabs>
          <w:tab w:leader="none" w:pos="809" w:val="left"/>
        </w:tabs>
        <w:numPr>
          <w:ilvl w:val="0"/>
          <w:numId w:val="25"/>
        </w:numPr>
        <w:rPr>
          <w:rFonts w:ascii="Arial" w:cs="Arial" w:eastAsia="Arial" w:hAnsi="Arial"/>
          <w:sz w:val="18"/>
          <w:szCs w:val="18"/>
          <w:color w:val="auto"/>
        </w:rPr>
      </w:pPr>
      <w:r>
        <w:rPr>
          <w:rFonts w:ascii="Calibri" w:cs="Calibri" w:eastAsia="Calibri" w:hAnsi="Calibri"/>
          <w:sz w:val="16"/>
          <w:szCs w:val="16"/>
          <w:color w:val="auto"/>
        </w:rPr>
        <w:t>The frequency, volume and tming of sales in prior periods, the reasons for such sales and its expectaton about future sales actvity. However, informaton about sales actvity is not considered in isolaton, but as part of an overall assessment of the Company’s stated objectve for managing the fnancial asset is achieved and how cash fows are realized.</w:t>
      </w:r>
    </w:p>
    <w:p>
      <w:pPr>
        <w:spacing w:after="0" w:line="207"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Assessment whether contractual cash fows are solely payments of principal and interest</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For the purpose of this assessment, ‘principal’ is defned as the fair value of the fnancial asset on inital recogniton. ‘Interest’ is defned as consideraton for the tme value of money and for the credit risk associated with the principal amount outstanding during a partcular period of tme and for other basic lending risks and costs (e.g. liquidity risk and administratve costs), as well as proft margin.</w:t>
      </w:r>
    </w:p>
    <w:p>
      <w:pPr>
        <w:spacing w:after="0" w:line="207" w:lineRule="exact"/>
        <w:rPr>
          <w:sz w:val="20"/>
          <w:szCs w:val="20"/>
          <w:color w:val="auto"/>
        </w:rPr>
      </w:pPr>
    </w:p>
    <w:p>
      <w:pPr>
        <w:jc w:val="both"/>
        <w:ind w:left="220"/>
        <w:spacing w:after="0" w:line="228" w:lineRule="auto"/>
        <w:rPr>
          <w:sz w:val="20"/>
          <w:szCs w:val="20"/>
          <w:color w:val="auto"/>
        </w:rPr>
      </w:pPr>
      <w:r>
        <w:rPr>
          <w:rFonts w:ascii="Calibri" w:cs="Calibri" w:eastAsia="Calibri" w:hAnsi="Calibri"/>
          <w:sz w:val="16"/>
          <w:szCs w:val="16"/>
          <w:color w:val="auto"/>
        </w:rPr>
        <w:t>In assessing whether the contractual cash fows are solely payments of principal and interest, the Company considers the contractual terms of the instrument. This includes assessing whether the fnancial asset contains a contractual term that could change the tming or amount of the contractual cash fows such that it would not meet this conditon. In making the assessment, the Company considers:</w:t>
      </w:r>
    </w:p>
    <w:p>
      <w:pPr>
        <w:spacing w:after="0" w:line="225" w:lineRule="exact"/>
        <w:rPr>
          <w:sz w:val="20"/>
          <w:szCs w:val="20"/>
          <w:color w:val="auto"/>
        </w:rPr>
      </w:pPr>
    </w:p>
    <w:p>
      <w:pPr>
        <w:ind w:left="800" w:hanging="281"/>
        <w:spacing w:after="0"/>
        <w:tabs>
          <w:tab w:leader="none" w:pos="800" w:val="left"/>
        </w:tabs>
        <w:numPr>
          <w:ilvl w:val="0"/>
          <w:numId w:val="26"/>
        </w:numPr>
        <w:rPr>
          <w:rFonts w:ascii="Arial" w:cs="Arial" w:eastAsia="Arial" w:hAnsi="Arial"/>
          <w:sz w:val="18"/>
          <w:szCs w:val="18"/>
          <w:color w:val="auto"/>
        </w:rPr>
      </w:pPr>
      <w:r>
        <w:rPr>
          <w:rFonts w:ascii="Calibri" w:cs="Calibri" w:eastAsia="Calibri" w:hAnsi="Calibri"/>
          <w:sz w:val="16"/>
          <w:szCs w:val="16"/>
          <w:color w:val="auto"/>
        </w:rPr>
        <w:t>contngent events that would change the amount and tming of cash fows;</w:t>
      </w:r>
    </w:p>
    <w:p>
      <w:pPr>
        <w:spacing w:after="0" w:line="15"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6"/>
        </w:numPr>
        <w:rPr>
          <w:rFonts w:ascii="Arial" w:cs="Arial" w:eastAsia="Arial" w:hAnsi="Arial"/>
          <w:sz w:val="18"/>
          <w:szCs w:val="18"/>
          <w:color w:val="auto"/>
        </w:rPr>
      </w:pPr>
      <w:r>
        <w:rPr>
          <w:rFonts w:ascii="Calibri" w:cs="Calibri" w:eastAsia="Calibri" w:hAnsi="Calibri"/>
          <w:sz w:val="16"/>
          <w:szCs w:val="16"/>
          <w:color w:val="auto"/>
        </w:rPr>
        <w:t>leverage features;</w:t>
      </w:r>
    </w:p>
    <w:p>
      <w:pPr>
        <w:spacing w:after="0" w:line="16"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6"/>
        </w:numPr>
        <w:rPr>
          <w:rFonts w:ascii="Arial" w:cs="Arial" w:eastAsia="Arial" w:hAnsi="Arial"/>
          <w:sz w:val="18"/>
          <w:szCs w:val="18"/>
          <w:color w:val="auto"/>
        </w:rPr>
      </w:pPr>
      <w:r>
        <w:rPr>
          <w:rFonts w:ascii="Calibri" w:cs="Calibri" w:eastAsia="Calibri" w:hAnsi="Calibri"/>
          <w:sz w:val="16"/>
          <w:szCs w:val="16"/>
          <w:color w:val="auto"/>
        </w:rPr>
        <w:t>prepayment and extension terms;</w:t>
      </w:r>
    </w:p>
    <w:p>
      <w:pPr>
        <w:spacing w:after="0" w:line="16"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6"/>
        </w:numPr>
        <w:rPr>
          <w:rFonts w:ascii="Arial" w:cs="Arial" w:eastAsia="Arial" w:hAnsi="Arial"/>
          <w:sz w:val="18"/>
          <w:szCs w:val="18"/>
          <w:color w:val="auto"/>
        </w:rPr>
      </w:pPr>
      <w:r>
        <w:rPr>
          <w:rFonts w:ascii="Calibri" w:cs="Calibri" w:eastAsia="Calibri" w:hAnsi="Calibri"/>
          <w:sz w:val="16"/>
          <w:szCs w:val="16"/>
          <w:color w:val="auto"/>
        </w:rPr>
        <w:t>terms that limit the Company’s claim to cash fows from specifed assets (e.g. non-recourse asset arrangements); and</w:t>
      </w:r>
    </w:p>
    <w:p>
      <w:pPr>
        <w:spacing w:after="0" w:line="16"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6"/>
        </w:numPr>
        <w:rPr>
          <w:rFonts w:ascii="Arial" w:cs="Arial" w:eastAsia="Arial" w:hAnsi="Arial"/>
          <w:sz w:val="18"/>
          <w:szCs w:val="18"/>
          <w:color w:val="auto"/>
        </w:rPr>
      </w:pPr>
      <w:r>
        <w:rPr>
          <w:rFonts w:ascii="Calibri" w:cs="Calibri" w:eastAsia="Calibri" w:hAnsi="Calibri"/>
          <w:sz w:val="16"/>
          <w:szCs w:val="16"/>
          <w:color w:val="auto"/>
        </w:rPr>
        <w:t>features that modify consideraton of the tme value of money– e.g. periodical rest of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2" w:name="page33"/>
    <w:bookmarkEnd w:id="32"/>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Reclassifcatons</w:t>
      </w:r>
    </w:p>
    <w:p>
      <w:pPr>
        <w:spacing w:after="0" w:line="207"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The Company would reclassify a fnancial asset when the Company changes its business model for managing the fnancial asset. All reclassifcatons are recorded at fair value at the date of the reclassifcaton, which becomes the new carrying value.</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Financial assets are not reclassifed subsequent to their inital recogniton, except in the period afer the Company changes its business model for managing fnancial assets.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Financial liabilites</w:t>
      </w:r>
    </w:p>
    <w:p>
      <w:pPr>
        <w:spacing w:after="0" w:line="207" w:lineRule="exact"/>
        <w:rPr>
          <w:sz w:val="20"/>
          <w:szCs w:val="20"/>
          <w:color w:val="auto"/>
        </w:rPr>
      </w:pPr>
    </w:p>
    <w:p>
      <w:pPr>
        <w:jc w:val="both"/>
        <w:ind w:left="220"/>
        <w:spacing w:after="0" w:line="230" w:lineRule="auto"/>
        <w:rPr>
          <w:sz w:val="20"/>
          <w:szCs w:val="20"/>
          <w:color w:val="auto"/>
        </w:rPr>
      </w:pPr>
      <w:r>
        <w:rPr>
          <w:rFonts w:ascii="Calibri" w:cs="Calibri" w:eastAsia="Calibri" w:hAnsi="Calibri"/>
          <w:sz w:val="16"/>
          <w:szCs w:val="16"/>
          <w:color w:val="auto"/>
        </w:rPr>
        <w:t>The Company classifes its fnancial liabilites at amortzed cost or FVTPL. The Company currently measures accounts payable, lease liabilites and accrued liabilites at amortzed cost and contngent consideraton payable at FVTPL.</w:t>
      </w:r>
    </w:p>
    <w:p>
      <w:pPr>
        <w:spacing w:after="0" w:line="194"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Derecogniton</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Financial assets</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The Company derecognizes a fnancial asset when the contractual rights to the cash fows from the fnancial asset expire, or it transfers the rights to receive the contractual cash fows in a transiton in which substantally all of the risks and rewards of ownership of the fnancial asset are transferred or in which the Company neither transfers nor retains substantally all of the risks and rewards of ownership and it does not retain control of the fnancial asset.</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On derecogniton of a fnancial asset, the diference between the carrying amount of the asset (or the carrying amount allocated to the porton of the asset derecognized) and the sum of (i) the consideraton received (including any new assets obtained less any new liability assumed) and (ii) cumulatve gain or loss that had been recognized in other comprehensive income is recognized in proft or loss.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Financial liabilites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Company derecognizes a fnancial liability when its contractual obligatons are discharged or cancelled, or expire.</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Modifcatons of fnancial assets and fnancial liabilites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Financial assets</w:t>
      </w:r>
    </w:p>
    <w:p>
      <w:pPr>
        <w:spacing w:after="0" w:line="207" w:lineRule="exact"/>
        <w:rPr>
          <w:sz w:val="20"/>
          <w:szCs w:val="20"/>
          <w:color w:val="auto"/>
        </w:rPr>
      </w:pPr>
    </w:p>
    <w:p>
      <w:pPr>
        <w:jc w:val="both"/>
        <w:ind w:left="220" w:right="20"/>
        <w:spacing w:after="0" w:line="223" w:lineRule="auto"/>
        <w:rPr>
          <w:sz w:val="20"/>
          <w:szCs w:val="20"/>
          <w:color w:val="auto"/>
        </w:rPr>
      </w:pPr>
      <w:r>
        <w:rPr>
          <w:rFonts w:ascii="Calibri" w:cs="Calibri" w:eastAsia="Calibri" w:hAnsi="Calibri"/>
          <w:sz w:val="16"/>
          <w:szCs w:val="16"/>
          <w:color w:val="auto"/>
        </w:rPr>
        <w:t>If the terms of a fnancial asset are modifed, the Company evaluates whether the cash fows of the modifed asset are substantally diferent. If the cash fows are substantally diferent, then the contractual rights to cash fows from the original fnancial asset are deemed to have expired. In this case, the original fnancial asset is derecognized and a new fnancial asset is recognized at fair value.</w:t>
      </w:r>
    </w:p>
    <w:p>
      <w:pPr>
        <w:spacing w:after="0" w:line="207" w:lineRule="exact"/>
        <w:rPr>
          <w:sz w:val="20"/>
          <w:szCs w:val="20"/>
          <w:color w:val="auto"/>
        </w:rPr>
      </w:pPr>
    </w:p>
    <w:p>
      <w:pPr>
        <w:jc w:val="both"/>
        <w:ind w:left="220"/>
        <w:spacing w:after="0" w:line="228" w:lineRule="auto"/>
        <w:rPr>
          <w:sz w:val="20"/>
          <w:szCs w:val="20"/>
          <w:color w:val="auto"/>
        </w:rPr>
      </w:pPr>
      <w:r>
        <w:rPr>
          <w:rFonts w:ascii="Calibri" w:cs="Calibri" w:eastAsia="Calibri" w:hAnsi="Calibri"/>
          <w:sz w:val="16"/>
          <w:szCs w:val="16"/>
          <w:color w:val="auto"/>
        </w:rPr>
        <w:t>If the cash fows of the modifed asset carried at amortzed cost are not substantally diferent, then the modifcaton does not result in derecogniton of the fnancial asset. In this case, the Company recalculates the gross carrying amount of the fnancial asset and recognizes the amount arising from adjustng the gross carrying amount as a modifcaton gain or loss in proft or loss. If such a modifcaton is carried out because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3" w:name="page34"/>
    <w:bookmarkEnd w:id="33"/>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fnancial difcultes of the borrower, then the gain or loss is presented together with impairment losses. In other cases, it is presented as interest income.</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Financial liabilites</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The Company derecognizes a fnancial liability when its terms are modifed and the cash fows of the modifed liability are substantally diferent. In this case, a new fnancial liability based on the modifed terms is recognized at fair value. The diference between the carrying amount of the fnancial liability extnguished and the new fnancial liability with modifed terms is recognized in proft or loss.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Ofsetng</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Financial assets and fnancial liabilites are ofset and the net amount presented in the consolidated statement of fnancial positon when, and only when, the Company currently has a legally enforceable right to set of the amounts and it intends either to setle them on a net basis or to realize the asset and setle the liability simultaneously.</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Income and expenses are presented on a net basis only when permited under IFRS, or for gains and losses arising from a group of similar transactons.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Fair value measurement</w:t>
      </w:r>
    </w:p>
    <w:p>
      <w:pPr>
        <w:spacing w:after="0" w:line="207" w:lineRule="exact"/>
        <w:rPr>
          <w:sz w:val="20"/>
          <w:szCs w:val="20"/>
          <w:color w:val="auto"/>
        </w:rPr>
      </w:pPr>
    </w:p>
    <w:p>
      <w:pPr>
        <w:jc w:val="both"/>
        <w:ind w:left="220"/>
        <w:spacing w:after="0" w:line="251" w:lineRule="auto"/>
        <w:rPr>
          <w:sz w:val="20"/>
          <w:szCs w:val="20"/>
          <w:color w:val="auto"/>
        </w:rPr>
      </w:pPr>
      <w:r>
        <w:rPr>
          <w:rFonts w:ascii="Calibri" w:cs="Calibri" w:eastAsia="Calibri" w:hAnsi="Calibri"/>
          <w:sz w:val="15"/>
          <w:szCs w:val="15"/>
          <w:color w:val="auto"/>
        </w:rPr>
        <w:t>Fair value is the price that would be received to sell an asset or paid to transfer a liability in an orderly transacton between market partcipants at the measurement date in the principal or, in its absence, the most advantageous market to which the Company has access at that date. The fair value of a liability refects its non-performance risk.</w:t>
      </w:r>
    </w:p>
    <w:p>
      <w:pPr>
        <w:spacing w:after="0" w:line="199"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When one is available, the Company measures the fair value of an instrument using the quoted price in an actve market for that instrument. A market is regarded as actve if transactons for the asset or liability take place with sufcient frequency and volume to provide pricing informaton on an ongoing basis.</w:t>
      </w:r>
    </w:p>
    <w:p>
      <w:pPr>
        <w:spacing w:after="0" w:line="208" w:lineRule="exact"/>
        <w:rPr>
          <w:sz w:val="20"/>
          <w:szCs w:val="20"/>
          <w:color w:val="auto"/>
        </w:rPr>
      </w:pPr>
    </w:p>
    <w:p>
      <w:pPr>
        <w:jc w:val="both"/>
        <w:ind w:left="220"/>
        <w:spacing w:after="0" w:line="230" w:lineRule="auto"/>
        <w:rPr>
          <w:sz w:val="20"/>
          <w:szCs w:val="20"/>
          <w:color w:val="auto"/>
        </w:rPr>
      </w:pPr>
      <w:r>
        <w:rPr>
          <w:rFonts w:ascii="Calibri" w:cs="Calibri" w:eastAsia="Calibri" w:hAnsi="Calibri"/>
          <w:sz w:val="16"/>
          <w:szCs w:val="16"/>
          <w:color w:val="auto"/>
        </w:rPr>
        <w:t>If there is no quoted price in an actve market, then the Company uses valuaton techniques that maximize the use of relevant observable inputs and minimize the use of unobservable inputs. The chosen valuaton technique incorporates all of the factors that market partcipants would take into account in pricing a transacton.</w:t>
      </w:r>
    </w:p>
    <w:p>
      <w:pPr>
        <w:spacing w:after="0" w:line="208"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The best evidence of the fair value of a fnancial instrument on inital recogniton is normally the transacton price (i.e. the fair value of the consideraton given or received). If the Company determines that the fair value on inital recogniton difers from the transacton price and the fair value is evidenced neither by a quoted price in an actve market for an identcal asset or liability nor based on a valuaton technique for which any observable inputs are judged to be insignifcant in relaton to the measurement, then the fnancial instrument is initally measured at fair value, adjusted to defer the diference between the fair value on inital recogniton and the transacton price. Subsequently, that diference is recognized in proft or loss on an appropriate basis over the life of the instrument but no later than when the valuaton is wholly supported by observable market data or the transacton is closed out.</w:t>
      </w:r>
    </w:p>
    <w:p>
      <w:pPr>
        <w:spacing w:after="0" w:line="2" w:lineRule="exact"/>
        <w:rPr>
          <w:sz w:val="20"/>
          <w:szCs w:val="20"/>
          <w:color w:val="auto"/>
        </w:rPr>
      </w:pPr>
    </w:p>
    <w:p>
      <w:pPr>
        <w:jc w:val="both"/>
        <w:ind w:left="220" w:right="20"/>
        <w:spacing w:after="0" w:line="223" w:lineRule="auto"/>
        <w:rPr>
          <w:sz w:val="20"/>
          <w:szCs w:val="20"/>
          <w:color w:val="auto"/>
        </w:rPr>
      </w:pPr>
      <w:r>
        <w:rPr>
          <w:rFonts w:ascii="Calibri" w:cs="Calibri" w:eastAsia="Calibri" w:hAnsi="Calibri"/>
          <w:sz w:val="16"/>
          <w:szCs w:val="16"/>
          <w:color w:val="auto"/>
        </w:rPr>
        <w:t>If an asset or a liability at fair value has a bid price and an ask price, then the Company measures assets and long positons at bid price and liabilites and short positons at an ask price.</w:t>
      </w:r>
    </w:p>
    <w:p>
      <w:pPr>
        <w:spacing w:after="0" w:line="208"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Portolio of fnancial assets and fnancial liabilites that are exposed to market risk and credit risk that are managed by the Company on the basis of the net exposure to either market or credit risk are measured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4" w:name="page35"/>
    <w:bookmarkEnd w:id="34"/>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basis of a price that would be received to sell a net long positon (or paid to transfer a net short positon) for the partcular risk exposure. Portolio-level adjustment e.g. bid-ask adjustment or credit risk adjustments that refect the measurement on the basis of the net exposure are allocated to the individual assets and liabilites on the basis of the relatve risk adjustment of each of the individual instruments in the portolio.</w:t>
      </w:r>
    </w:p>
    <w:p>
      <w:pPr>
        <w:spacing w:after="0" w:line="207" w:lineRule="exact"/>
        <w:rPr>
          <w:sz w:val="20"/>
          <w:szCs w:val="20"/>
          <w:color w:val="auto"/>
        </w:rPr>
      </w:pPr>
    </w:p>
    <w:p>
      <w:pPr>
        <w:jc w:val="both"/>
        <w:ind w:left="220"/>
        <w:spacing w:after="0" w:line="228" w:lineRule="auto"/>
        <w:rPr>
          <w:sz w:val="20"/>
          <w:szCs w:val="20"/>
          <w:color w:val="auto"/>
        </w:rPr>
      </w:pPr>
      <w:r>
        <w:rPr>
          <w:rFonts w:ascii="Calibri" w:cs="Calibri" w:eastAsia="Calibri" w:hAnsi="Calibri"/>
          <w:sz w:val="16"/>
          <w:szCs w:val="16"/>
          <w:color w:val="auto"/>
        </w:rPr>
        <w:t>The fair value of a fnancial liability with a demand feature is not less than the amount payable on demand, discounted from the frst date on which the amount could be required to be paid. The Company recognizes transfers between levels of the fair value hierarchy as of the end of the reportng period during which the change has occurred.</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Impairment</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Credit-impaired fnancial assets</w:t>
      </w:r>
    </w:p>
    <w:p>
      <w:pPr>
        <w:spacing w:after="0" w:line="207"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At each reportng date, the Company assesses whether fnancial assets carried at amortzed costs and debt fnancial assets carried at FVOCI are credit-impaired. A fnancial asset is ‘credit-impaired’ when one or more events that have a detrimental impact on the estmated future cash fows of the fnancial asset have occurred.</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Evidence that a fnancial asset is credit-impaired includes the following observable data:</w:t>
      </w:r>
    </w:p>
    <w:p>
      <w:pPr>
        <w:spacing w:after="0" w:line="225" w:lineRule="exact"/>
        <w:rPr>
          <w:sz w:val="20"/>
          <w:szCs w:val="20"/>
          <w:color w:val="auto"/>
        </w:rPr>
      </w:pPr>
    </w:p>
    <w:p>
      <w:pPr>
        <w:ind w:left="800" w:hanging="281"/>
        <w:spacing w:after="0"/>
        <w:tabs>
          <w:tab w:leader="none" w:pos="800" w:val="left"/>
        </w:tabs>
        <w:numPr>
          <w:ilvl w:val="0"/>
          <w:numId w:val="27"/>
        </w:numPr>
        <w:rPr>
          <w:rFonts w:ascii="Arial" w:cs="Arial" w:eastAsia="Arial" w:hAnsi="Arial"/>
          <w:sz w:val="18"/>
          <w:szCs w:val="18"/>
          <w:color w:val="auto"/>
        </w:rPr>
      </w:pPr>
      <w:r>
        <w:rPr>
          <w:rFonts w:ascii="Calibri" w:cs="Calibri" w:eastAsia="Calibri" w:hAnsi="Calibri"/>
          <w:sz w:val="16"/>
          <w:szCs w:val="16"/>
          <w:color w:val="auto"/>
        </w:rPr>
        <w:t>Signifcant fnancial difculty of the borrower or issuer;</w:t>
      </w:r>
    </w:p>
    <w:p>
      <w:pPr>
        <w:spacing w:after="0" w:line="15"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7"/>
        </w:numPr>
        <w:rPr>
          <w:rFonts w:ascii="Arial" w:cs="Arial" w:eastAsia="Arial" w:hAnsi="Arial"/>
          <w:sz w:val="18"/>
          <w:szCs w:val="18"/>
          <w:color w:val="auto"/>
        </w:rPr>
      </w:pPr>
      <w:r>
        <w:rPr>
          <w:rFonts w:ascii="Calibri" w:cs="Calibri" w:eastAsia="Calibri" w:hAnsi="Calibri"/>
          <w:sz w:val="16"/>
          <w:szCs w:val="16"/>
          <w:color w:val="auto"/>
        </w:rPr>
        <w:t>A breach of contract such as a default of past due event;</w:t>
      </w:r>
    </w:p>
    <w:p>
      <w:pPr>
        <w:spacing w:after="0" w:line="16"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7"/>
        </w:numPr>
        <w:rPr>
          <w:rFonts w:ascii="Arial" w:cs="Arial" w:eastAsia="Arial" w:hAnsi="Arial"/>
          <w:sz w:val="18"/>
          <w:szCs w:val="18"/>
          <w:color w:val="auto"/>
        </w:rPr>
      </w:pPr>
      <w:r>
        <w:rPr>
          <w:rFonts w:ascii="Calibri" w:cs="Calibri" w:eastAsia="Calibri" w:hAnsi="Calibri"/>
          <w:sz w:val="16"/>
          <w:szCs w:val="16"/>
          <w:color w:val="auto"/>
        </w:rPr>
        <w:t>The restructuring of a loan or advance by the Company on terms that the Company would not consider otherwise;</w:t>
      </w:r>
    </w:p>
    <w:p>
      <w:pPr>
        <w:spacing w:after="0" w:line="16"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7"/>
        </w:numPr>
        <w:rPr>
          <w:rFonts w:ascii="Arial" w:cs="Arial" w:eastAsia="Arial" w:hAnsi="Arial"/>
          <w:sz w:val="18"/>
          <w:szCs w:val="18"/>
          <w:color w:val="auto"/>
        </w:rPr>
      </w:pPr>
      <w:r>
        <w:rPr>
          <w:rFonts w:ascii="Calibri" w:cs="Calibri" w:eastAsia="Calibri" w:hAnsi="Calibri"/>
          <w:sz w:val="16"/>
          <w:szCs w:val="16"/>
          <w:color w:val="auto"/>
        </w:rPr>
        <w:t>It is becoming probable that the borrower will enter bankruptcy or other fnancial reorganizaton; or</w:t>
      </w:r>
    </w:p>
    <w:p>
      <w:pPr>
        <w:spacing w:after="0" w:line="16" w:lineRule="exact"/>
        <w:rPr>
          <w:rFonts w:ascii="Arial" w:cs="Arial" w:eastAsia="Arial" w:hAnsi="Arial"/>
          <w:sz w:val="18"/>
          <w:szCs w:val="18"/>
          <w:color w:val="auto"/>
        </w:rPr>
      </w:pPr>
    </w:p>
    <w:p>
      <w:pPr>
        <w:ind w:left="800" w:hanging="281"/>
        <w:spacing w:after="0" w:line="229" w:lineRule="auto"/>
        <w:tabs>
          <w:tab w:leader="none" w:pos="800" w:val="left"/>
        </w:tabs>
        <w:numPr>
          <w:ilvl w:val="0"/>
          <w:numId w:val="27"/>
        </w:numPr>
        <w:rPr>
          <w:rFonts w:ascii="Arial" w:cs="Arial" w:eastAsia="Arial" w:hAnsi="Arial"/>
          <w:sz w:val="18"/>
          <w:szCs w:val="18"/>
          <w:color w:val="auto"/>
        </w:rPr>
      </w:pPr>
      <w:r>
        <w:rPr>
          <w:rFonts w:ascii="Calibri" w:cs="Calibri" w:eastAsia="Calibri" w:hAnsi="Calibri"/>
          <w:sz w:val="16"/>
          <w:szCs w:val="16"/>
          <w:color w:val="auto"/>
        </w:rPr>
        <w:t>The disappearance of an actve market for a security because of fnancial difcultes.</w:t>
      </w:r>
    </w:p>
    <w:p>
      <w:pPr>
        <w:spacing w:after="0" w:line="207"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A loan that has been renegotated due to a deterioraton in the borrower’s conditon is usually considered to be credit-impaired unless there is evidence that the risk of not receiving contractual cash fows has reduced signifcantly and there are no other indicators of impairment.</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Recogniton of allowance of expected credit losses (“ECL”) in the consolidated statement of fnancial positon</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The Company recognizes a loss allowance for ECL on trade receivables that are measured at amortzed cost. The Company’s applied the simplifed approach for trade receivables and recognizes the lifetme ECL for these assets. The ECL on trade receivables is estmated using a provision matrix based on the Company’s historical credit loss experience, adjusted for factors that are specifc to the customers, general economic conditons and an assessment of both the current as well as the forecast directon of conditons at the reportng date, including tme value of money where appropriate.</w:t>
      </w:r>
    </w:p>
    <w:p>
      <w:pPr>
        <w:spacing w:after="0" w:line="208"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For all other fnancial assets measured at amortzed cost of FVOCI, the Company recognizes lifetme ECL only when there has been a signifcant increase in credit risk since inital recogniton. If the credit risk on such fnancial instruments has not increased signifcantly since inital recogniton, the Company measures the loss allowance on those fnancial instruments at an amount equal to 12-months ECL.</w:t>
      </w:r>
    </w:p>
    <w:p>
      <w:pPr>
        <w:spacing w:after="0" w:line="207" w:lineRule="exact"/>
        <w:rPr>
          <w:sz w:val="20"/>
          <w:szCs w:val="20"/>
          <w:color w:val="auto"/>
        </w:rPr>
      </w:pPr>
    </w:p>
    <w:p>
      <w:pPr>
        <w:jc w:val="both"/>
        <w:ind w:left="220"/>
        <w:spacing w:after="0" w:line="227" w:lineRule="auto"/>
        <w:rPr>
          <w:sz w:val="20"/>
          <w:szCs w:val="20"/>
          <w:color w:val="auto"/>
        </w:rPr>
      </w:pPr>
      <w:r>
        <w:rPr>
          <w:rFonts w:ascii="Calibri" w:cs="Calibri" w:eastAsia="Calibri" w:hAnsi="Calibri"/>
          <w:sz w:val="16"/>
          <w:szCs w:val="16"/>
          <w:color w:val="auto"/>
        </w:rPr>
        <w:t>Lifetme ECL represents the ECL that will result from all possible default events over the expected life of a fnancial asset. In contrast, 12-month ECL represents the porton of lifetme ECL that is expected to result from default events on a fnancial asset that are possible within 12 months afer the reportng date. In assessing whether the credit risk on a fnancial asset has increased signifcantly since inital recogniton, the Company compares the risk of default occurring on the fnancial asset at the reportng date with the risk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5" w:name="page36"/>
    <w:bookmarkEnd w:id="35"/>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20"/>
        <w:spacing w:after="0" w:line="230" w:lineRule="auto"/>
        <w:rPr>
          <w:sz w:val="20"/>
          <w:szCs w:val="20"/>
          <w:color w:val="auto"/>
        </w:rPr>
      </w:pPr>
      <w:r>
        <w:rPr>
          <w:rFonts w:ascii="Calibri" w:cs="Calibri" w:eastAsia="Calibri" w:hAnsi="Calibri"/>
          <w:sz w:val="16"/>
          <w:szCs w:val="16"/>
          <w:color w:val="auto"/>
        </w:rPr>
        <w:t>occurring at the inital recogniton. The Company considers both quanttatve and qualitatve factors that are supportable, including historical experience and forward-looking informaton that is available without undue cost or efort.</w:t>
      </w:r>
    </w:p>
    <w:p>
      <w:pPr>
        <w:spacing w:after="0" w:line="208" w:lineRule="exact"/>
        <w:rPr>
          <w:sz w:val="20"/>
          <w:szCs w:val="20"/>
          <w:color w:val="auto"/>
        </w:rPr>
      </w:pPr>
    </w:p>
    <w:p>
      <w:pPr>
        <w:jc w:val="both"/>
        <w:ind w:left="220" w:right="20"/>
        <w:spacing w:after="0" w:line="227" w:lineRule="auto"/>
        <w:rPr>
          <w:sz w:val="20"/>
          <w:szCs w:val="20"/>
          <w:color w:val="auto"/>
        </w:rPr>
      </w:pPr>
      <w:r>
        <w:rPr>
          <w:rFonts w:ascii="Calibri" w:cs="Calibri" w:eastAsia="Calibri" w:hAnsi="Calibri"/>
          <w:sz w:val="16"/>
          <w:szCs w:val="16"/>
          <w:color w:val="auto"/>
        </w:rPr>
        <w:t>Irrespectve of the above assessment, the Company presumes that the credit risk on a fnancial asset has increased signifcantly since inital recogniton when contractual payments are more than 30 days past due, unless the Company has reasonable and supportable informaton that demonstrates otherwise. Despite the foregoing, the Company presumes that the credit risk on a fnancial asset has not increased signifcantly since inital recogniton if the fnancial asset is determined to have low credit risk at the reportng date.</w:t>
      </w:r>
    </w:p>
    <w:p>
      <w:pPr>
        <w:spacing w:after="0" w:line="207" w:lineRule="exact"/>
        <w:rPr>
          <w:sz w:val="20"/>
          <w:szCs w:val="20"/>
          <w:color w:val="auto"/>
        </w:rPr>
      </w:pPr>
    </w:p>
    <w:p>
      <w:pPr>
        <w:jc w:val="both"/>
        <w:ind w:left="220" w:right="20"/>
        <w:spacing w:after="0" w:line="223" w:lineRule="auto"/>
        <w:rPr>
          <w:sz w:val="20"/>
          <w:szCs w:val="20"/>
          <w:color w:val="auto"/>
        </w:rPr>
      </w:pPr>
      <w:r>
        <w:rPr>
          <w:rFonts w:ascii="Calibri" w:cs="Calibri" w:eastAsia="Calibri" w:hAnsi="Calibri"/>
          <w:sz w:val="16"/>
          <w:szCs w:val="16"/>
          <w:color w:val="auto"/>
        </w:rPr>
        <w:t>The Company regularly monitors the efectveness of the criteria used to identfy whether there has been a signifcant increase in credit risk and revises them as appropriate to ensure that the criteria are capable of identfying signifcant increase in credit risk before the amount becomes pas due.</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Defniton of default:</w:t>
      </w:r>
    </w:p>
    <w:p>
      <w:pPr>
        <w:spacing w:after="0" w:line="207" w:lineRule="exact"/>
        <w:rPr>
          <w:sz w:val="20"/>
          <w:szCs w:val="20"/>
          <w:color w:val="auto"/>
        </w:rPr>
      </w:pPr>
    </w:p>
    <w:p>
      <w:pPr>
        <w:jc w:val="both"/>
        <w:ind w:left="220"/>
        <w:spacing w:after="0" w:line="230" w:lineRule="auto"/>
        <w:rPr>
          <w:sz w:val="20"/>
          <w:szCs w:val="20"/>
          <w:color w:val="auto"/>
        </w:rPr>
      </w:pPr>
      <w:r>
        <w:rPr>
          <w:rFonts w:ascii="Calibri" w:cs="Calibri" w:eastAsia="Calibri" w:hAnsi="Calibri"/>
          <w:sz w:val="16"/>
          <w:szCs w:val="16"/>
          <w:color w:val="auto"/>
        </w:rPr>
        <w:t>For internal credit risk management purposes, the Company considers a fnancial asset not recoverable if the customer balance owing is 180 days past due and informaton obtained from the customer and other external factors indicate that the customer is unlikely to pay its creditors in full.</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color w:val="auto"/>
        </w:rPr>
        <w:t>Write-of</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Financial assets are writen of (either partally or in full) when there is no realistc prospect of recovery. This is generally the case when the Company determines that the counterparty does not have assets or sources of income that could general sufcient cash fows to repay the amounts subject to the write-of. However, fnancial assets that are writen of could stll be subject to enforcement actvites in order to comply with the Company’s procedures for recovery of amounts due.</w:t>
      </w:r>
    </w:p>
    <w:p>
      <w:pPr>
        <w:spacing w:after="0" w:line="217"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Taxaton</w:t>
      </w:r>
    </w:p>
    <w:p>
      <w:pPr>
        <w:spacing w:after="0" w:line="207"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Income tax comprises current and deferred tax. Income tax is recognized in the consolidated statement of loss and comprehensive loss except to the extent that it relates to items recognized directly in equity, in which case the income tax is also recognized directly in equity.</w:t>
      </w:r>
    </w:p>
    <w:p>
      <w:pPr>
        <w:spacing w:after="0" w:line="208"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Current income tax is the expected tax payable on the taxable income for the year, using tax rates enacted or substantvely enacted, at the end of the reportng period, and any adjustment to tax payable in respect of previous years.</w:t>
      </w:r>
    </w:p>
    <w:p>
      <w:pPr>
        <w:spacing w:after="0" w:line="208"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Provisions for taxes are made using the best estmate of the amount expected to be paid based on a qualitatve assessment of all relevant factors. The Company reviews the adequacy of these provisions at the end of the reportng period. However, it is possible that at some future date an additonal liability could result from audits by taxing authorites. Where the outcome of these tax-related maters is diferent from the amounts that were initally recorded, such diferences will afect the tax provisions in the period in which such determinaton is made.</w:t>
      </w:r>
    </w:p>
    <w:p>
      <w:pPr>
        <w:spacing w:after="0" w:line="208" w:lineRule="exact"/>
        <w:rPr>
          <w:sz w:val="20"/>
          <w:szCs w:val="20"/>
          <w:color w:val="auto"/>
        </w:rPr>
      </w:pPr>
    </w:p>
    <w:p>
      <w:pPr>
        <w:jc w:val="both"/>
        <w:ind w:left="220"/>
        <w:spacing w:after="0" w:line="227" w:lineRule="auto"/>
        <w:rPr>
          <w:sz w:val="20"/>
          <w:szCs w:val="20"/>
          <w:color w:val="auto"/>
        </w:rPr>
      </w:pPr>
      <w:r>
        <w:rPr>
          <w:rFonts w:ascii="Calibri" w:cs="Calibri" w:eastAsia="Calibri" w:hAnsi="Calibri"/>
          <w:sz w:val="16"/>
          <w:szCs w:val="16"/>
          <w:color w:val="auto"/>
        </w:rPr>
        <w:t>Deferred income tax is recorded using the asset and liability method, providing for temporary diferences between the carrying amounts of assets and liabilites for fnancial reportng purposes and the amounts used for taxaton purposes. The following temporary diferences do not result in deferred tax assets or liabilites: the inital recognized of assets or liabilites that afect neither accountng or taxable loss; or diference relatng to investment in subsidiaries to the extent that they will probably not reverse in the foreseeable future.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6" w:name="page37"/>
    <w:bookmarkEnd w:id="36"/>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amount of deferred tax provided is based on the expected manner of realizaton or setlement of the carrying amount of assets and liabilites, using tax rates enacted or substantvely enacted at the consolidated statement of fnancial positon date.</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 deferred tax asset is recognized only to the extent that it is probable that future taxable profts will be available against which the asset can be utlized.</w:t>
      </w:r>
    </w:p>
    <w:p>
      <w:pPr>
        <w:spacing w:after="0" w:line="207"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Deferred tax assets and liabilites are ofset when there is a legally enforceable right to set of current tax assets against current tax liabilites and when they relate to income taxes levied by the same taxaton authority and the Company intends to setle its correct tax assets and liabilites on a net basis.</w:t>
      </w: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Share capital</w:t>
      </w:r>
    </w:p>
    <w:p>
      <w:pPr>
        <w:spacing w:after="0" w:line="195"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Equity instruments are contracts that give a residual interest in the net assets of the Company. Financial instruments issued by the Company are classifed as equity only to the extent that they do not meet the defniton of a fnancial liability or fnancial asset. The Common Shares and the Company’s Common Share purchase warrants, and optons are classifed as equity instruments.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Incremental costs directly atributable to the issue of new Common Shares, or warrants are shown in equity as a deducton, net of tax, from the proceeds.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Share-based compensaton</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Under the Company’s equity incentve plan, all stock optons granted may have graded vestng periods and are exercisable up to a maximum of 10 years form the date of grant. Each tranche of an award with graded vestng periods is considered a separate grant at each grant date for the calculaton of fair value, and the resultng fair value is amortzed over the vestng period of the respectve tranches. The fair value of the optons granted is measured using the Black-Scholes opton pricing model taking into account the terms and conditons upon which the optons were granted, the estmated volatlity, estmated risk free rate and estmated forfeitures.</w:t>
      </w:r>
    </w:p>
    <w:p>
      <w:pPr>
        <w:spacing w:after="0" w:line="208" w:lineRule="exact"/>
        <w:rPr>
          <w:sz w:val="20"/>
          <w:szCs w:val="20"/>
          <w:color w:val="auto"/>
        </w:rPr>
      </w:pPr>
    </w:p>
    <w:p>
      <w:pPr>
        <w:jc w:val="both"/>
        <w:ind w:left="220"/>
        <w:spacing w:after="0" w:line="228" w:lineRule="auto"/>
        <w:rPr>
          <w:sz w:val="20"/>
          <w:szCs w:val="20"/>
          <w:color w:val="auto"/>
        </w:rPr>
      </w:pPr>
      <w:r>
        <w:rPr>
          <w:rFonts w:ascii="Calibri" w:cs="Calibri" w:eastAsia="Calibri" w:hAnsi="Calibri"/>
          <w:sz w:val="16"/>
          <w:szCs w:val="16"/>
          <w:color w:val="auto"/>
        </w:rPr>
        <w:t>If a grant of the share-based payments is cancelled or setled during the vestng period (other than a grant cancelled by forfeiture when the vestng conditons are not satsfed or optons granted in error and cancelled retroactvely), the Company accounts for the cancellaton or setlement as an acceleraton of vestng, and recognizes immediately the amount that otherwise would have been recognized for services over the remainder of the vestng period.</w:t>
      </w:r>
    </w:p>
    <w:p>
      <w:pPr>
        <w:spacing w:after="0" w:line="207" w:lineRule="exact"/>
        <w:rPr>
          <w:sz w:val="20"/>
          <w:szCs w:val="20"/>
          <w:color w:val="auto"/>
        </w:rPr>
      </w:pPr>
    </w:p>
    <w:p>
      <w:pPr>
        <w:jc w:val="both"/>
        <w:ind w:left="220"/>
        <w:spacing w:after="0" w:line="227" w:lineRule="auto"/>
        <w:rPr>
          <w:sz w:val="20"/>
          <w:szCs w:val="20"/>
          <w:color w:val="auto"/>
        </w:rPr>
      </w:pPr>
      <w:r>
        <w:rPr>
          <w:rFonts w:ascii="Calibri" w:cs="Calibri" w:eastAsia="Calibri" w:hAnsi="Calibri"/>
          <w:sz w:val="16"/>
          <w:szCs w:val="16"/>
          <w:color w:val="auto"/>
        </w:rPr>
        <w:t>The amount recognized for goods or services received during the vestng period is based on the best available estmate of the number of equity instruments antcipated to vest. The Company revises that estmate, if necessary, if subsequent informaton indicates that the number of share optons antcipated to vest difers from previous estmates. On the vestng date, the Company revises the estmate to equal the number of equity instrument that ultmately vested. Afer the vestng date, the Company makes no subsequent adjustment to total equity for goods or services received if the share optons are later forfeited or they expire at the end of the share opton’s life.</w:t>
      </w:r>
    </w:p>
    <w:p>
      <w:pPr>
        <w:spacing w:after="0" w:line="231" w:lineRule="exact"/>
        <w:rPr>
          <w:sz w:val="20"/>
          <w:szCs w:val="20"/>
          <w:color w:val="auto"/>
        </w:rPr>
      </w:pPr>
    </w:p>
    <w:p>
      <w:pPr>
        <w:jc w:val="both"/>
        <w:ind w:left="220"/>
        <w:spacing w:after="0" w:line="227" w:lineRule="auto"/>
        <w:rPr>
          <w:sz w:val="20"/>
          <w:szCs w:val="20"/>
          <w:color w:val="auto"/>
        </w:rPr>
      </w:pPr>
      <w:r>
        <w:rPr>
          <w:rFonts w:ascii="Calibri" w:cs="Calibri" w:eastAsia="Calibri" w:hAnsi="Calibri"/>
          <w:sz w:val="16"/>
          <w:szCs w:val="16"/>
          <w:color w:val="auto"/>
        </w:rPr>
        <w:t>If a grant of the share based payment is modifed during the vestng period (other than a grant cancelled by forfeiture when the vestng conditons are not satsfed) and the fair value of the new instruments is higher than the fair value of the original instrument, the incremental fair value granted is included in the measurement of the amount recognized for services received over the period from modifcaton date untl the date when the modifed equity instruments vests, in additon to the amount based on the grant date fair value of the original equity instruments, which is recognized over the remainder of the original vestng period of the original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7" w:name="page38"/>
    <w:bookmarkEnd w:id="37"/>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Warrants</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The Company follows the relatve fair value method with respect to the measurement of Common Shares and warrants issued as units. The proceeds from the issuance of units are allocated between share capital and warrants. The warrant component is recorded in equity reserve. Unit proceeds are allocated to Common Shares and warrants using the Black-Scholes opton pricing model and the share price at the tme of fnancing. If and when the warrants are exercised, consideraton paid by the warrant holder, together with the amount previously recognized in warrant reserve, is recorded as an increase to share capital. A forfeiture rate is estmated on the grant date and is adjusted to refect the actual number of warrants that vest. When stock optons or warrants are cancelled, they are treated as if they have vested on the date of collaton and any cost not yet recognized in proft or loss is immediately expensed. Upon expiraton of warrants, the amount applicable to expired warrants is moved to contributed surplus.</w:t>
      </w:r>
    </w:p>
    <w:p>
      <w:pPr>
        <w:spacing w:after="0" w:line="219"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Loss per share</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Basic loss per share is calculated using the weighted-average number of shares outstanding during the period. The diluted earnings (loss) per share refects the potental diluton of Common Share equivalents, such as outstanding stock optons and warrants, in the weighted average number of Common Shares outstanding during the period, if they are dilutve.</w:t>
      </w:r>
    </w:p>
    <w:p>
      <w:pPr>
        <w:spacing w:after="0" w:line="19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Currency translaton</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All fgures presented in the consolidated fnancial statements are refected in Canadian dollars unless otherwise noted.</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Foreign currency transactons are translated into Canadian dollars at exchange rates in efect on the date of the transactons. Monetary assets and liabilites denominated in foreign currencies at the consolidated statement of fnancial positon date are translated to Canadian dollars at the foreign exchange rate applicable as that date. Realized and unrealized exchange gains and losses are recognized through proft or loss.</w:t>
      </w:r>
    </w:p>
    <w:p>
      <w:pPr>
        <w:spacing w:after="0" w:line="207" w:lineRule="exact"/>
        <w:rPr>
          <w:sz w:val="20"/>
          <w:szCs w:val="20"/>
          <w:color w:val="auto"/>
        </w:rPr>
      </w:pPr>
    </w:p>
    <w:p>
      <w:pPr>
        <w:jc w:val="both"/>
        <w:ind w:left="220"/>
        <w:spacing w:after="0" w:line="228" w:lineRule="auto"/>
        <w:rPr>
          <w:sz w:val="20"/>
          <w:szCs w:val="20"/>
          <w:color w:val="auto"/>
        </w:rPr>
      </w:pPr>
      <w:r>
        <w:rPr>
          <w:rFonts w:ascii="Calibri" w:cs="Calibri" w:eastAsia="Calibri" w:hAnsi="Calibri"/>
          <w:sz w:val="16"/>
          <w:szCs w:val="16"/>
          <w:color w:val="auto"/>
        </w:rPr>
        <w:t>The assets and liabilites of foreign operatons are translated into Canadian dollars at period-end exchange rates. Income and expenses, and cash fows of foreign operatons are translated into Canadian dollars using average exchange rates. Exchange diferences resultng from translatng foreign operatons are recognized in other comprehensive income (loss) and accumulated separately in shareholders’ equity.</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Foreign currency translaton gains or losses arising from a monetary item receivable or payable to a foreign operaton, the setlement of which is neither planned nor likely to occur in the foreseeable future and which in substance is considered to form part of the net investment in the foreign operaton, are recognized in other comprehensive income (loss) in the translaton reserve.</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Provisions</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Provisions are recorded when a present legal or constructve obligaton exists as a result of past events where it is probable that an outlow of resources embodying economic benefts will be required to setle the obligaton, and a reliable estmate of the amount of the obligaton can be made.</w:t>
      </w:r>
    </w:p>
    <w:p>
      <w:pPr>
        <w:spacing w:after="0" w:line="207"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The amount recognized as a provision is the best estmate of the consideraton required to setle the present obligaton at the consolidated statement of fnancial positon date, taking into account the risks and uncertaintes surrounding the obligaton. Where a provision is measured using the cash fows estmated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8" w:name="page39"/>
    <w:bookmarkEnd w:id="38"/>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20"/>
        <w:spacing w:after="0" w:line="228" w:lineRule="auto"/>
        <w:rPr>
          <w:sz w:val="20"/>
          <w:szCs w:val="20"/>
          <w:color w:val="auto"/>
        </w:rPr>
      </w:pPr>
      <w:r>
        <w:rPr>
          <w:rFonts w:ascii="Calibri" w:cs="Calibri" w:eastAsia="Calibri" w:hAnsi="Calibri"/>
          <w:sz w:val="16"/>
          <w:szCs w:val="16"/>
          <w:color w:val="auto"/>
        </w:rPr>
        <w:t>setle the present obligaton, its carrying amount is the present value of those cash fows. When some or all of the economic benefts required to setle, a provision is expected to be recovered from a third party, the receivable is recognized as an asset if it is virtually certain that reimbursement will be received and the amount receivable can be measured reliably.</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IAS 1, Presentaton of Financial Statements ("IAS 1") - Classifcaton of Liabilites as Current or Non-Current</w:t>
      </w:r>
    </w:p>
    <w:p>
      <w:pPr>
        <w:spacing w:after="0" w:line="207" w:lineRule="exact"/>
        <w:rPr>
          <w:sz w:val="20"/>
          <w:szCs w:val="20"/>
          <w:color w:val="auto"/>
        </w:rPr>
      </w:pPr>
    </w:p>
    <w:p>
      <w:pPr>
        <w:ind w:left="220" w:right="80"/>
        <w:spacing w:after="0" w:line="223" w:lineRule="auto"/>
        <w:rPr>
          <w:sz w:val="20"/>
          <w:szCs w:val="20"/>
          <w:color w:val="auto"/>
        </w:rPr>
      </w:pPr>
      <w:r>
        <w:rPr>
          <w:rFonts w:ascii="Calibri" w:cs="Calibri" w:eastAsia="Calibri" w:hAnsi="Calibri"/>
          <w:sz w:val="16"/>
          <w:szCs w:val="16"/>
          <w:color w:val="auto"/>
        </w:rPr>
        <w:t>In January 2020, the IASB issued amendments to IAS 1. The amendments aim to promote consistency in applying the requirements by helping companies determine whether, in the consolidated statements of fnancial positon, debt and other liabilites with an uncertain setlement date should be classifed as current (due or potentally due to be setled within one year) or non-current. The amendments include clarifying the classifcaton requirements for debt a company might setle by convertng it into equity. The amendments are efectve for annual reportng periods beginning on or afer January 1, 2024, with earlier applicaton permited. The Company has determined that adopton of these amendments has no signifcant efect on the Company's consolidated fnancial statements.</w:t>
      </w:r>
    </w:p>
    <w:p>
      <w:pPr>
        <w:spacing w:after="0" w:line="208" w:lineRule="exact"/>
        <w:rPr>
          <w:sz w:val="20"/>
          <w:szCs w:val="20"/>
          <w:color w:val="auto"/>
        </w:rPr>
      </w:pPr>
    </w:p>
    <w:p>
      <w:pPr>
        <w:ind w:left="220" w:right="20"/>
        <w:spacing w:after="0" w:line="230" w:lineRule="auto"/>
        <w:rPr>
          <w:sz w:val="20"/>
          <w:szCs w:val="20"/>
          <w:color w:val="auto"/>
        </w:rPr>
      </w:pPr>
      <w:r>
        <w:rPr>
          <w:rFonts w:ascii="Calibri" w:cs="Calibri" w:eastAsia="Calibri" w:hAnsi="Calibri"/>
          <w:sz w:val="16"/>
          <w:szCs w:val="16"/>
          <w:color w:val="auto"/>
        </w:rPr>
        <w:t>All other IFRS and amendments issued but not yet efectve have been assessed by the Company and are not expected to have a material impact on the Company's consolidated fnancial statements.</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Amendments to IAS 1 and IFRS Practce Statement 2</w:t>
      </w:r>
    </w:p>
    <w:p>
      <w:pPr>
        <w:spacing w:after="0" w:line="207" w:lineRule="exact"/>
        <w:rPr>
          <w:sz w:val="20"/>
          <w:szCs w:val="20"/>
          <w:color w:val="auto"/>
        </w:rPr>
      </w:pPr>
    </w:p>
    <w:p>
      <w:pPr>
        <w:ind w:left="220" w:right="20"/>
        <w:spacing w:after="0" w:line="223" w:lineRule="auto"/>
        <w:rPr>
          <w:sz w:val="20"/>
          <w:szCs w:val="20"/>
          <w:color w:val="auto"/>
        </w:rPr>
      </w:pPr>
      <w:r>
        <w:rPr>
          <w:rFonts w:ascii="Calibri" w:cs="Calibri" w:eastAsia="Calibri" w:hAnsi="Calibri"/>
          <w:sz w:val="16"/>
          <w:szCs w:val="16"/>
          <w:color w:val="auto"/>
        </w:rPr>
        <w:t>In February 2021, the IASB issued amendments to IAS 1 and IFRS Practce Statement 2, Making Materiality Judgements, in which it provides guidance and examples to help enttes apply materiality judgements to accountng policy disclosures. The amendments aim to help enttes provide accountng policies disclosures that are more useful by replacing the requirement for enttes to disclose "signifcant" accountng policies with a requirement to disclose their "material" accountng policies and adding guidance on how enttes apply the concept of materiality in making decisions about accountng disclosures. The amendments to IAS 1 are applicable for annual periods beginning on or afer January 1, 2023 with earlier applicaton permited. Since the amendments to IFRS Practce Statement 2 provide non-mandatory guidance on the applicaton of the defniton of material to accountng policy informaton, an efectve date for these amendments is not necessary. The Company has determined that adopton of these amendments has no signifcant efect on the Company's consolidated fnancial statements.</w:t>
      </w:r>
    </w:p>
    <w:p>
      <w:pPr>
        <w:spacing w:after="0" w:line="207"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IAS 8, Accountng Policies, Changes in Accountng Estmates and Errors ("IAS 8") - Defniton of Accountng Estmates</w:t>
      </w:r>
    </w:p>
    <w:p>
      <w:pPr>
        <w:spacing w:after="0" w:line="207" w:lineRule="exact"/>
        <w:rPr>
          <w:sz w:val="20"/>
          <w:szCs w:val="20"/>
          <w:color w:val="auto"/>
        </w:rPr>
      </w:pPr>
    </w:p>
    <w:p>
      <w:pPr>
        <w:jc w:val="both"/>
        <w:ind w:left="220"/>
        <w:spacing w:after="0" w:line="226" w:lineRule="auto"/>
        <w:rPr>
          <w:sz w:val="20"/>
          <w:szCs w:val="20"/>
          <w:color w:val="auto"/>
        </w:rPr>
      </w:pPr>
      <w:r>
        <w:rPr>
          <w:rFonts w:ascii="Calibri" w:cs="Calibri" w:eastAsia="Calibri" w:hAnsi="Calibri"/>
          <w:sz w:val="16"/>
          <w:szCs w:val="16"/>
          <w:color w:val="auto"/>
        </w:rPr>
        <w:t>In February 2021, the IASB amendments to IAS 8. The amendment will require the disclosure of material accountng policy informaton rather than disclosing signifcant accountng policies and clarifes how to distnguish changes in accountng policies from changes in accountng estmates. Under the new defniton, accountng estmates are "monetary amounts in fnancial statements that are subject to measurement uncertainty". The amendment provides clarifcaton to help enttes to distnguish between accountng policies and accountng estmates. The amendments are efectve for annual periods beginning on or afer January 1, 2023. The Company has determined that adopton of these amendments has no signifcant efect on the Company's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39" w:name="page40"/>
    <w:bookmarkEnd w:id="3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IAS 12, Income Taxes ("IAS 12") - Deferred Tax related to Assets and Liabilites Arising from a Single Transacton</w:t>
      </w:r>
    </w:p>
    <w:p>
      <w:pPr>
        <w:jc w:val="both"/>
        <w:ind w:left="280"/>
        <w:spacing w:after="0" w:line="223" w:lineRule="auto"/>
        <w:rPr>
          <w:sz w:val="20"/>
          <w:szCs w:val="20"/>
          <w:color w:val="auto"/>
        </w:rPr>
      </w:pPr>
      <w:r>
        <w:rPr>
          <w:rFonts w:ascii="Calibri" w:cs="Calibri" w:eastAsia="Calibri" w:hAnsi="Calibri"/>
          <w:sz w:val="16"/>
          <w:szCs w:val="16"/>
          <w:color w:val="auto"/>
        </w:rPr>
        <w:t>In May 2021, the IASB issued amendments to IAS 12. The amendment narrows the scope of the inital recogniton exempton so that it does not apply to transactons that give rise to equal taxable and deductble temporary diferences. As a result, companies will need to recognize a deferred tax asset and deferred tax liability for temporary diferences arising on inital recogniton of transactons such as leases and decommissioning obligatons. The amendments are efectve for annual reportng periods beginning on or afer January 1, 2023 and are to be applied retrospectvely. The Company has determined that adopton of these amendments has no signifcant efect on the Company's consolidated fnancial statements.</w:t>
      </w:r>
    </w:p>
    <w:p>
      <w:pPr>
        <w:spacing w:after="0" w:line="14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3. CRITICAL ACCOUNTING ESTIMATES AND JUDGEMENTS</w:t>
      </w:r>
    </w:p>
    <w:p>
      <w:pPr>
        <w:spacing w:after="0" w:line="207" w:lineRule="exact"/>
        <w:rPr>
          <w:sz w:val="20"/>
          <w:szCs w:val="20"/>
          <w:color w:val="auto"/>
        </w:rPr>
      </w:pPr>
    </w:p>
    <w:p>
      <w:pPr>
        <w:jc w:val="both"/>
        <w:ind w:left="280"/>
        <w:spacing w:after="0" w:line="223" w:lineRule="auto"/>
        <w:rPr>
          <w:sz w:val="20"/>
          <w:szCs w:val="20"/>
          <w:color w:val="auto"/>
        </w:rPr>
      </w:pPr>
      <w:r>
        <w:rPr>
          <w:rFonts w:ascii="Calibri" w:cs="Calibri" w:eastAsia="Calibri" w:hAnsi="Calibri"/>
          <w:sz w:val="16"/>
          <w:szCs w:val="16"/>
          <w:color w:val="auto"/>
        </w:rPr>
        <w:t>The preparaton of these consolidated fnancial statements requires management to make certain estmates, judgments and assumptons that afect the reported amounts of assets and liabilites at the date of the consolidated fnancial statements and reported amounts of expenses during the reportng year. Actual outcomes could difer from these estmates. These consolidated fnancial statements include estmates which, by their nature, are uncertain. The impacts of such estmates are pervasive throughout the consolidated fnancial statements and may require accountng adjustments based on future occurrences. Revisions to accountng estmates are recognized in the year in which the estmate is revised and future years if the revision afects both current and future years. These estmates are based on historical experience, current and future economic conditons and other factors, including expectatons of future events that are believed to be reasonable under the circumstances.</w:t>
      </w:r>
    </w:p>
    <w:p>
      <w:pPr>
        <w:spacing w:after="0" w:line="209" w:lineRule="exact"/>
        <w:rPr>
          <w:sz w:val="20"/>
          <w:szCs w:val="20"/>
          <w:color w:val="auto"/>
        </w:rPr>
      </w:pPr>
    </w:p>
    <w:p>
      <w:pPr>
        <w:jc w:val="both"/>
        <w:ind w:left="280"/>
        <w:spacing w:after="0" w:line="230" w:lineRule="auto"/>
        <w:rPr>
          <w:sz w:val="20"/>
          <w:szCs w:val="20"/>
          <w:color w:val="auto"/>
        </w:rPr>
      </w:pPr>
      <w:r>
        <w:rPr>
          <w:rFonts w:ascii="Calibri" w:cs="Calibri" w:eastAsia="Calibri" w:hAnsi="Calibri"/>
          <w:sz w:val="16"/>
          <w:szCs w:val="16"/>
          <w:color w:val="auto"/>
        </w:rPr>
        <w:t>Judgments, estmates and assumptons that have the most signifcant efect on the amounts recognized in the consolidated fnancial statements include warrants and fair value of share-based payments (note 9) and the fair value of fnancial instruments (note 15).</w:t>
      </w:r>
    </w:p>
    <w:p>
      <w:pPr>
        <w:spacing w:after="0" w:line="20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Ability to contnue as a going concern</w:t>
      </w:r>
    </w:p>
    <w:p>
      <w:pPr>
        <w:spacing w:after="0" w:line="207" w:lineRule="exact"/>
        <w:rPr>
          <w:sz w:val="20"/>
          <w:szCs w:val="20"/>
          <w:color w:val="auto"/>
        </w:rPr>
      </w:pPr>
    </w:p>
    <w:p>
      <w:pPr>
        <w:jc w:val="both"/>
        <w:ind w:left="280" w:right="20"/>
        <w:spacing w:after="0" w:line="230" w:lineRule="auto"/>
        <w:rPr>
          <w:sz w:val="20"/>
          <w:szCs w:val="20"/>
          <w:color w:val="auto"/>
        </w:rPr>
      </w:pPr>
      <w:r>
        <w:rPr>
          <w:rFonts w:ascii="Calibri" w:cs="Calibri" w:eastAsia="Calibri" w:hAnsi="Calibri"/>
          <w:sz w:val="16"/>
          <w:szCs w:val="16"/>
          <w:color w:val="auto"/>
        </w:rPr>
        <w:t>In order to assess whether it is appropriate for the Company to contnue as a going concern, management is required to apply judgment and make estmates with respect to future cash fow projectons.</w:t>
      </w:r>
    </w:p>
    <w:p>
      <w:pPr>
        <w:spacing w:after="0" w:line="208" w:lineRule="exact"/>
        <w:rPr>
          <w:sz w:val="20"/>
          <w:szCs w:val="20"/>
          <w:color w:val="auto"/>
        </w:rPr>
      </w:pPr>
    </w:p>
    <w:p>
      <w:pPr>
        <w:jc w:val="both"/>
        <w:ind w:left="280" w:right="20"/>
        <w:spacing w:after="0" w:line="230" w:lineRule="auto"/>
        <w:rPr>
          <w:sz w:val="20"/>
          <w:szCs w:val="20"/>
          <w:color w:val="auto"/>
        </w:rPr>
      </w:pPr>
      <w:r>
        <w:rPr>
          <w:rFonts w:ascii="Calibri" w:cs="Calibri" w:eastAsia="Calibri" w:hAnsi="Calibri"/>
          <w:sz w:val="16"/>
          <w:szCs w:val="16"/>
          <w:color w:val="auto"/>
        </w:rPr>
        <w:t>In arriving at this judgment, there were a number of assumptons and estmates involved in calculatng these future cash fow projectons. This includes making estmates regarding the tming and amounts of future expenditures and the ability and tming of raising additonal fnancing.</w:t>
      </w:r>
    </w:p>
    <w:p>
      <w:pPr>
        <w:spacing w:after="0" w:line="20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Business combinatons</w:t>
      </w:r>
    </w:p>
    <w:p>
      <w:pPr>
        <w:spacing w:after="0" w:line="207" w:lineRule="exact"/>
        <w:rPr>
          <w:sz w:val="20"/>
          <w:szCs w:val="20"/>
          <w:color w:val="auto"/>
        </w:rPr>
      </w:pPr>
    </w:p>
    <w:p>
      <w:pPr>
        <w:jc w:val="both"/>
        <w:ind w:left="280"/>
        <w:spacing w:after="0" w:line="223" w:lineRule="auto"/>
        <w:rPr>
          <w:sz w:val="20"/>
          <w:szCs w:val="20"/>
          <w:color w:val="auto"/>
        </w:rPr>
      </w:pPr>
      <w:r>
        <w:rPr>
          <w:rFonts w:ascii="Calibri" w:cs="Calibri" w:eastAsia="Calibri" w:hAnsi="Calibri"/>
          <w:sz w:val="16"/>
          <w:szCs w:val="16"/>
          <w:color w:val="auto"/>
        </w:rPr>
        <w:t>A business combinaton is a transacton or event in which an acquirer obtains control of one or more businesses and is accounted for using the acquisiton method. The total consideraton paid for the acquisiton is the aggregate of the fair values of assets given, liabilites incurred or assumed, and equity instruments issued in exchange for control of the acquiree at the acquisiton date. The acquisiton date is the date where the Company obtains control of the acquiree. The identfable assets acquired and liabilites assumed are recognized at their acquisiton date fair values, except for deferred taxes and share-based payment awards where IFRS provides exceptons to recording the amounts at fair value. Acquisiton costs are expensed to proft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40" w:name="page41"/>
    <w:bookmarkEnd w:id="40"/>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07707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20" w:right="20"/>
        <w:spacing w:after="0" w:line="227" w:lineRule="auto"/>
        <w:rPr>
          <w:sz w:val="20"/>
          <w:szCs w:val="20"/>
          <w:color w:val="auto"/>
        </w:rPr>
      </w:pPr>
      <w:r>
        <w:rPr>
          <w:rFonts w:ascii="Calibri" w:cs="Calibri" w:eastAsia="Calibri" w:hAnsi="Calibri"/>
          <w:sz w:val="16"/>
          <w:szCs w:val="16"/>
          <w:color w:val="auto"/>
        </w:rPr>
        <w:t>Contngent consideraton is measured at its acquisiton-date fair value and included as part of the consideraton transferred in a business combinaton. Contngent consideraton that is classifed as equity is not remeasured at subsequent reportng dates and its subsequent setlement is accounted for within equity. Contngent consideraton that is classifed as an asset or a liability is remeasured at subsequent reportng dates in accordance with IFRS 9, or IAS 37 Provisions, Contngent Liabilites and Contngent Assets, as appropriate, with the corresponding gain or loss being recognized in proft or loss.</w:t>
      </w:r>
    </w:p>
    <w:p>
      <w:pPr>
        <w:spacing w:after="0" w:line="207" w:lineRule="exact"/>
        <w:rPr>
          <w:sz w:val="20"/>
          <w:szCs w:val="20"/>
          <w:color w:val="auto"/>
        </w:rPr>
      </w:pPr>
    </w:p>
    <w:p>
      <w:pPr>
        <w:jc w:val="both"/>
        <w:ind w:left="220" w:right="20"/>
        <w:spacing w:after="0" w:line="228" w:lineRule="auto"/>
        <w:rPr>
          <w:sz w:val="20"/>
          <w:szCs w:val="20"/>
          <w:color w:val="auto"/>
        </w:rPr>
      </w:pPr>
      <w:r>
        <w:rPr>
          <w:rFonts w:ascii="Calibri" w:cs="Calibri" w:eastAsia="Calibri" w:hAnsi="Calibri"/>
          <w:sz w:val="16"/>
          <w:szCs w:val="16"/>
          <w:color w:val="auto"/>
        </w:rPr>
        <w:t>Non-controlling interest in the acquiree, if any, is recognized either at fair value or at the non-controlling interest’s proportonate share of the acquiree’s net assets, determined on an acquisiton-by-acquisiton basis. For each acquisiton, the excess of total consideraton, the fair value of previously held equity interest prior to obtaining control and the non-controlling interest in the acquiree, over the fair value of the identfable net asset acquired, is recorded as goodwill.</w:t>
      </w:r>
    </w:p>
    <w:p>
      <w:pPr>
        <w:spacing w:after="0" w:line="207" w:lineRule="exact"/>
        <w:rPr>
          <w:sz w:val="20"/>
          <w:szCs w:val="20"/>
          <w:color w:val="auto"/>
        </w:rPr>
      </w:pPr>
    </w:p>
    <w:p>
      <w:pPr>
        <w:jc w:val="both"/>
        <w:ind w:left="220"/>
        <w:spacing w:after="0" w:line="227" w:lineRule="auto"/>
        <w:rPr>
          <w:sz w:val="20"/>
          <w:szCs w:val="20"/>
          <w:color w:val="auto"/>
        </w:rPr>
      </w:pPr>
      <w:r>
        <w:rPr>
          <w:rFonts w:ascii="Calibri" w:cs="Calibri" w:eastAsia="Calibri" w:hAnsi="Calibri"/>
          <w:sz w:val="16"/>
          <w:szCs w:val="16"/>
          <w:color w:val="auto"/>
        </w:rPr>
        <w:t>Certain fair values may be estmated at the acquisiton date pending confrmaton or completon of the valuaton process. Where provisional values are used in accountng for a business combinaton, they may be adjusted retrospectvely in subsequent periods. The measurement period is the period from the acquisiton date to the date complete informaton about facts and circumstances that existed as of the acquisiton date is received. However, the measurement period does not exceed one year from the acquisiton date.</w:t>
      </w:r>
    </w:p>
    <w:p>
      <w:pPr>
        <w:spacing w:after="0" w:line="195"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Acquisitons that do not meet the defniton of a business combinaton are accounted for as an asset acquisiton. Consideraton paid for an asset acquisiton is allocated to the individual identfable assets acquired and liabilites assumed based on their relatve fair values.</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Share based payments</w:t>
      </w:r>
    </w:p>
    <w:p>
      <w:pPr>
        <w:spacing w:after="0" w:line="207" w:lineRule="exact"/>
        <w:rPr>
          <w:sz w:val="20"/>
          <w:szCs w:val="20"/>
          <w:color w:val="auto"/>
        </w:rPr>
      </w:pPr>
    </w:p>
    <w:p>
      <w:pPr>
        <w:jc w:val="both"/>
        <w:ind w:left="220" w:right="20"/>
        <w:spacing w:after="0" w:line="230" w:lineRule="auto"/>
        <w:rPr>
          <w:sz w:val="20"/>
          <w:szCs w:val="20"/>
          <w:color w:val="auto"/>
        </w:rPr>
      </w:pPr>
      <w:r>
        <w:rPr>
          <w:rFonts w:ascii="Calibri" w:cs="Calibri" w:eastAsia="Calibri" w:hAnsi="Calibri"/>
          <w:sz w:val="16"/>
          <w:szCs w:val="16"/>
          <w:color w:val="auto"/>
        </w:rPr>
        <w:t>The fair value of share-based compensaton expenses are estmated using the Black-Scholes opton pricing model and rely on a number of estmates, such as the expected life of the opton, the volatlity of the underlying share price, the risk-free rate of return, and the estmated rate of forfeiture of optons or warrants granted.</w:t>
      </w: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Impairment of non-fnancial assets</w:t>
      </w:r>
    </w:p>
    <w:p>
      <w:pPr>
        <w:spacing w:after="0" w:line="207"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Impairment exists when the carrying value of an asset or cash generatng unit exceeds its recoverable amount, which is the higher of its fair value less costs of disposal and its value in use. The fair value less costs of disposal calculaton is based on available data from binding sales transactons, conducted at arm’s length, for similar assets or observable market prices less incremental costs of disposing of the asset. The value in use calculaton is based on a discounted cash fow (“DCF”) model. The cash fows are derived from the forecast for the next ten years and do not include restructuring actvites that the Company is not yet commited to or signifcant future investments that will enhance the performance of the assets of the CGU being tested. The determinaton of the Company’s CGUs is based on management’s judgement. The recoverable amount is sensitve to the discount rate used for the DCF model as well as the expected future cash-infows and the growth rate used for extrapolaton purposes. These estmates are most relevant to goodwill and other intangibles with indefnite useful lives recognized by the Company. Future events could cause the assumptons used in the impairment review to change with a consequental adverse efect on the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41" w:name="page42"/>
    <w:bookmarkEnd w:id="4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07707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Income taxes</w:t>
      </w:r>
    </w:p>
    <w:p>
      <w:pPr>
        <w:spacing w:after="0" w:line="207" w:lineRule="exact"/>
        <w:rPr>
          <w:sz w:val="20"/>
          <w:szCs w:val="20"/>
          <w:color w:val="auto"/>
        </w:rPr>
      </w:pPr>
    </w:p>
    <w:p>
      <w:pPr>
        <w:jc w:val="both"/>
        <w:ind w:left="280" w:right="20"/>
        <w:spacing w:after="0" w:line="225" w:lineRule="auto"/>
        <w:rPr>
          <w:sz w:val="20"/>
          <w:szCs w:val="20"/>
          <w:color w:val="auto"/>
        </w:rPr>
      </w:pPr>
      <w:r>
        <w:rPr>
          <w:rFonts w:ascii="Calibri" w:cs="Calibri" w:eastAsia="Calibri" w:hAnsi="Calibri"/>
          <w:sz w:val="16"/>
          <w:szCs w:val="16"/>
          <w:color w:val="auto"/>
        </w:rPr>
        <w:t>The Company computed an income tax provision in accordance with the applicable income tax laws. However, actual amounts of income tax expense only become fnal upon fling and acceptance of the tax return by the relevant authorites, which occurs subsequent to the issuance of the consolidated fnancial statements. Additonally, estmaton of income taxes includes evaluaton the recoverability of deferred tax assets based on an assessment of the ability to use the underlying future tax deductons before they expire against future taxable income. The assessment is based upon existng tax laws and estmates of future taxable income. The income tax provision is based on estmates of full-year earnings by jurisdicton. The average annual efectve income tax rates are re-estmated at the end of each reportng period. To the extent that estmates and forecasts difer from actual results, adjustments are recorded in subsequent periods.</w:t>
      </w:r>
    </w:p>
    <w:p>
      <w:pPr>
        <w:spacing w:after="0" w:line="14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4. ACQUISITION</w:t>
      </w:r>
    </w:p>
    <w:p>
      <w:pPr>
        <w:spacing w:after="0" w:line="219" w:lineRule="exact"/>
        <w:rPr>
          <w:sz w:val="20"/>
          <w:szCs w:val="20"/>
          <w:color w:val="auto"/>
        </w:rPr>
      </w:pPr>
    </w:p>
    <w:p>
      <w:pPr>
        <w:jc w:val="both"/>
        <w:spacing w:after="0" w:line="238" w:lineRule="auto"/>
        <w:rPr>
          <w:sz w:val="20"/>
          <w:szCs w:val="20"/>
          <w:color w:val="auto"/>
        </w:rPr>
      </w:pPr>
      <w:r>
        <w:rPr>
          <w:rFonts w:ascii="Calibri" w:cs="Calibri" w:eastAsia="Calibri" w:hAnsi="Calibri"/>
          <w:sz w:val="16"/>
          <w:szCs w:val="16"/>
          <w:color w:val="auto"/>
        </w:rPr>
        <w:t>On October 23, 2023, Cybin completed the acquisiton of Small Pharma and its wholly-owned subsidiary Small Pharma Ltd. (the “Acquisiton”) and issued 0.2409 Common Shares for every one common share of Small Pharma outstanding, resultng in a total of 80,945,254 Common Shares being issued to Small Pharma shareholders. As a result of the Acquisiton, Small Pharma became a wholly-owned subsidiary of Cybin. On December 16, 2023 the Company changed the name of Small Pharma Ltd to Cybin UK Ltd.</w:t>
      </w:r>
    </w:p>
    <w:p>
      <w:pPr>
        <w:spacing w:after="0" w:line="219" w:lineRule="exact"/>
        <w:rPr>
          <w:sz w:val="20"/>
          <w:szCs w:val="20"/>
          <w:color w:val="auto"/>
        </w:rPr>
      </w:pPr>
    </w:p>
    <w:p>
      <w:pPr>
        <w:ind w:right="260"/>
        <w:spacing w:after="0" w:line="237" w:lineRule="auto"/>
        <w:rPr>
          <w:sz w:val="20"/>
          <w:szCs w:val="20"/>
          <w:color w:val="auto"/>
        </w:rPr>
      </w:pPr>
      <w:r>
        <w:rPr>
          <w:rFonts w:ascii="Calibri" w:cs="Calibri" w:eastAsia="Calibri" w:hAnsi="Calibri"/>
          <w:sz w:val="16"/>
          <w:szCs w:val="16"/>
          <w:color w:val="auto"/>
        </w:rPr>
        <w:t>In connecton with the Acquisiton, all unvested optons of Small Pharma were vested and holders were able to exercise their optons prior to the close of the Acquisiton. All stock optons of Small Pharma remaining unexercised at October 23, 2023 were cancelled and compensaton of $0.001 per stock opton was paid to the optonees.</w:t>
      </w:r>
    </w:p>
    <w:p>
      <w:pPr>
        <w:spacing w:after="0" w:line="221" w:lineRule="exact"/>
        <w:rPr>
          <w:sz w:val="20"/>
          <w:szCs w:val="20"/>
          <w:color w:val="auto"/>
        </w:rPr>
      </w:pPr>
    </w:p>
    <w:p>
      <w:pPr>
        <w:ind w:right="280"/>
        <w:spacing w:after="0" w:line="237" w:lineRule="auto"/>
        <w:rPr>
          <w:sz w:val="20"/>
          <w:szCs w:val="20"/>
          <w:color w:val="auto"/>
        </w:rPr>
      </w:pPr>
      <w:r>
        <w:rPr>
          <w:rFonts w:ascii="Calibri" w:cs="Calibri" w:eastAsia="Calibri" w:hAnsi="Calibri"/>
          <w:sz w:val="16"/>
          <w:szCs w:val="16"/>
          <w:color w:val="auto"/>
        </w:rPr>
        <w:t>As at October 23, 2023 Small Pharma’s patent portolio consisted of 17 actve patent families with 92 pending applicatons and 30 granted patents across its psychedelic and non-psychedelic portolio.</w:t>
      </w:r>
    </w:p>
    <w:p>
      <w:pPr>
        <w:spacing w:after="0" w:line="208" w:lineRule="exact"/>
        <w:rPr>
          <w:sz w:val="20"/>
          <w:szCs w:val="20"/>
          <w:color w:val="auto"/>
        </w:rPr>
      </w:pPr>
    </w:p>
    <w:p>
      <w:pPr>
        <w:ind w:right="200"/>
        <w:spacing w:after="0" w:line="223" w:lineRule="auto"/>
        <w:rPr>
          <w:sz w:val="20"/>
          <w:szCs w:val="20"/>
          <w:color w:val="auto"/>
        </w:rPr>
      </w:pPr>
      <w:r>
        <w:rPr>
          <w:rFonts w:ascii="Calibri" w:cs="Calibri" w:eastAsia="Calibri" w:hAnsi="Calibri"/>
          <w:sz w:val="16"/>
          <w:szCs w:val="16"/>
          <w:color w:val="auto"/>
        </w:rPr>
        <w:t>The Company has determined that the Acquisiton was a business combinaton under IFRS. In accordance with the measurement period permited under IFRS 3 - Business Combinatons, the fair value of the assets acquired and liabilites assumed have been estmated as follows for the purposes of these condensed interim consolidated fnancial statements. This fair valuaton is provisional, and its fnalizaton is to be completed within one year from the business combinaton date as allowed under IFRS 3 and adjusted retrospectvely.</w:t>
      </w:r>
    </w:p>
    <w:p>
      <w:pPr>
        <w:spacing w:after="0" w:line="254"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Acquisiton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629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ind w:left="20"/>
              <w:spacing w:after="0"/>
              <w:rPr>
                <w:sz w:val="20"/>
                <w:szCs w:val="20"/>
                <w:color w:val="auto"/>
              </w:rPr>
            </w:pPr>
            <w:r>
              <w:rPr>
                <w:rFonts w:ascii="Calibri" w:cs="Calibri" w:eastAsia="Calibri" w:hAnsi="Calibri"/>
                <w:sz w:val="16"/>
                <w:szCs w:val="16"/>
                <w:color w:val="auto"/>
              </w:rPr>
              <w:t>Share Consideraton</w:t>
            </w:r>
          </w:p>
        </w:tc>
        <w:tc>
          <w:tcPr>
            <w:tcW w:w="41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53,481</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638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Fair value of purchaser consideraton</w:t>
            </w:r>
          </w:p>
        </w:tc>
        <w:tc>
          <w:tcPr>
            <w:tcW w:w="4120" w:type="dxa"/>
            <w:vAlign w:val="bottom"/>
            <w:tcBorders>
              <w:bottom w:val="single" w:sz="8" w:color="auto"/>
            </w:tcBorders>
          </w:tcPr>
          <w:p>
            <w:pPr>
              <w:jc w:val="right"/>
              <w:ind w:right="179"/>
              <w:spacing w:after="0" w:line="192" w:lineRule="exact"/>
              <w:rPr>
                <w:sz w:val="20"/>
                <w:szCs w:val="20"/>
                <w:color w:val="auto"/>
              </w:rPr>
            </w:pPr>
            <w:r>
              <w:rPr>
                <w:rFonts w:ascii="Calibri" w:cs="Calibri" w:eastAsia="Calibri" w:hAnsi="Calibri"/>
                <w:sz w:val="16"/>
                <w:szCs w:val="16"/>
                <w:b w:val="1"/>
                <w:bCs w:val="1"/>
                <w:color w:val="auto"/>
              </w:rPr>
              <w:t>$</w:t>
            </w:r>
          </w:p>
        </w:tc>
        <w:tc>
          <w:tcPr>
            <w:tcW w:w="7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53,481</w:t>
            </w:r>
          </w:p>
        </w:tc>
      </w:tr>
      <w:tr>
        <w:trPr>
          <w:trHeight w:val="415"/>
        </w:trPr>
        <w:tc>
          <w:tcPr>
            <w:tcW w:w="6380" w:type="dxa"/>
            <w:vAlign w:val="bottom"/>
          </w:tcPr>
          <w:p>
            <w:pPr>
              <w:ind w:left="20"/>
              <w:spacing w:after="0"/>
              <w:rPr>
                <w:sz w:val="20"/>
                <w:szCs w:val="20"/>
                <w:color w:val="auto"/>
              </w:rPr>
            </w:pPr>
            <w:r>
              <w:rPr>
                <w:rFonts w:ascii="Calibri" w:cs="Calibri" w:eastAsia="Calibri" w:hAnsi="Calibri"/>
                <w:sz w:val="16"/>
                <w:szCs w:val="16"/>
                <w:b w:val="1"/>
                <w:bCs w:val="1"/>
                <w:color w:val="auto"/>
              </w:rPr>
              <w:t>Provisional Allocaton of Purchase Price</w:t>
            </w:r>
          </w:p>
        </w:tc>
        <w:tc>
          <w:tcPr>
            <w:tcW w:w="4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5"/>
        </w:trPr>
        <w:tc>
          <w:tcPr>
            <w:tcW w:w="638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4120" w:type="dxa"/>
            <w:vAlign w:val="bottom"/>
          </w:tcPr>
          <w:p>
            <w:pPr>
              <w:jc w:val="right"/>
              <w:ind w:right="179"/>
              <w:spacing w:after="0" w:line="185" w:lineRule="exact"/>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line="185" w:lineRule="exact"/>
              <w:rPr>
                <w:sz w:val="20"/>
                <w:szCs w:val="20"/>
                <w:color w:val="auto"/>
              </w:rPr>
            </w:pPr>
            <w:r>
              <w:rPr>
                <w:rFonts w:ascii="Calibri" w:cs="Calibri" w:eastAsia="Calibri" w:hAnsi="Calibri"/>
                <w:sz w:val="16"/>
                <w:szCs w:val="16"/>
                <w:color w:val="auto"/>
              </w:rPr>
              <w:t>7,632</w:t>
            </w:r>
          </w:p>
        </w:tc>
      </w:tr>
      <w:tr>
        <w:trPr>
          <w:trHeight w:val="198"/>
        </w:trPr>
        <w:tc>
          <w:tcPr>
            <w:tcW w:w="6380" w:type="dxa"/>
            <w:vAlign w:val="bottom"/>
          </w:tcPr>
          <w:p>
            <w:pPr>
              <w:ind w:left="20"/>
              <w:spacing w:after="0"/>
              <w:rPr>
                <w:sz w:val="20"/>
                <w:szCs w:val="20"/>
                <w:color w:val="auto"/>
              </w:rPr>
            </w:pPr>
            <w:r>
              <w:rPr>
                <w:rFonts w:ascii="Calibri" w:cs="Calibri" w:eastAsia="Calibri" w:hAnsi="Calibri"/>
                <w:sz w:val="16"/>
                <w:szCs w:val="16"/>
                <w:color w:val="auto"/>
              </w:rPr>
              <w:t>Current assets</w:t>
            </w:r>
          </w:p>
        </w:tc>
        <w:tc>
          <w:tcPr>
            <w:tcW w:w="41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510</w:t>
            </w:r>
          </w:p>
        </w:tc>
      </w:tr>
      <w:tr>
        <w:trPr>
          <w:trHeight w:val="206"/>
        </w:trPr>
        <w:tc>
          <w:tcPr>
            <w:tcW w:w="6380" w:type="dxa"/>
            <w:vAlign w:val="bottom"/>
          </w:tcPr>
          <w:p>
            <w:pPr>
              <w:ind w:left="20"/>
              <w:spacing w:after="0"/>
              <w:rPr>
                <w:sz w:val="20"/>
                <w:szCs w:val="20"/>
                <w:color w:val="auto"/>
              </w:rPr>
            </w:pPr>
            <w:r>
              <w:rPr>
                <w:rFonts w:ascii="Calibri" w:cs="Calibri" w:eastAsia="Calibri" w:hAnsi="Calibri"/>
                <w:sz w:val="16"/>
                <w:szCs w:val="16"/>
                <w:color w:val="auto"/>
              </w:rPr>
              <w:t>Net equipment</w:t>
            </w:r>
          </w:p>
        </w:tc>
        <w:tc>
          <w:tcPr>
            <w:tcW w:w="41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37</w:t>
            </w:r>
          </w:p>
        </w:tc>
      </w:tr>
      <w:tr>
        <w:trPr>
          <w:trHeight w:val="206"/>
        </w:trPr>
        <w:tc>
          <w:tcPr>
            <w:tcW w:w="6380" w:type="dxa"/>
            <w:vAlign w:val="bottom"/>
          </w:tcPr>
          <w:p>
            <w:pPr>
              <w:ind w:left="20"/>
              <w:spacing w:after="0"/>
              <w:rPr>
                <w:sz w:val="20"/>
                <w:szCs w:val="20"/>
                <w:color w:val="auto"/>
              </w:rPr>
            </w:pPr>
            <w:r>
              <w:rPr>
                <w:rFonts w:ascii="Calibri" w:cs="Calibri" w:eastAsia="Calibri" w:hAnsi="Calibri"/>
                <w:sz w:val="16"/>
                <w:szCs w:val="16"/>
                <w:color w:val="auto"/>
              </w:rPr>
              <w:t>Intellectual property</w:t>
            </w:r>
          </w:p>
        </w:tc>
        <w:tc>
          <w:tcPr>
            <w:tcW w:w="41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29,339</w:t>
            </w:r>
          </w:p>
        </w:tc>
      </w:tr>
      <w:tr>
        <w:trPr>
          <w:trHeight w:val="206"/>
        </w:trPr>
        <w:tc>
          <w:tcPr>
            <w:tcW w:w="6380" w:type="dxa"/>
            <w:vAlign w:val="bottom"/>
          </w:tcPr>
          <w:p>
            <w:pPr>
              <w:ind w:left="20"/>
              <w:spacing w:after="0"/>
              <w:rPr>
                <w:sz w:val="20"/>
                <w:szCs w:val="20"/>
                <w:color w:val="auto"/>
              </w:rPr>
            </w:pPr>
            <w:r>
              <w:rPr>
                <w:rFonts w:ascii="Calibri" w:cs="Calibri" w:eastAsia="Calibri" w:hAnsi="Calibri"/>
                <w:sz w:val="16"/>
                <w:szCs w:val="16"/>
                <w:color w:val="auto"/>
              </w:rPr>
              <w:t>Right of use asset</w:t>
            </w:r>
          </w:p>
        </w:tc>
        <w:tc>
          <w:tcPr>
            <w:tcW w:w="41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412</w:t>
            </w:r>
          </w:p>
        </w:tc>
      </w:tr>
      <w:tr>
        <w:trPr>
          <w:trHeight w:val="206"/>
        </w:trPr>
        <w:tc>
          <w:tcPr>
            <w:tcW w:w="6380" w:type="dxa"/>
            <w:vAlign w:val="bottom"/>
          </w:tcPr>
          <w:p>
            <w:pPr>
              <w:ind w:left="20"/>
              <w:spacing w:after="0"/>
              <w:rPr>
                <w:sz w:val="20"/>
                <w:szCs w:val="20"/>
                <w:color w:val="auto"/>
              </w:rPr>
            </w:pPr>
            <w:r>
              <w:rPr>
                <w:rFonts w:ascii="Calibri" w:cs="Calibri" w:eastAsia="Calibri" w:hAnsi="Calibri"/>
                <w:sz w:val="16"/>
                <w:szCs w:val="16"/>
                <w:color w:val="auto"/>
              </w:rPr>
              <w:t>Lease liability</w:t>
            </w:r>
          </w:p>
        </w:tc>
        <w:tc>
          <w:tcPr>
            <w:tcW w:w="41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(415)</w:t>
            </w:r>
          </w:p>
        </w:tc>
      </w:tr>
      <w:tr>
        <w:trPr>
          <w:trHeight w:val="206"/>
        </w:trPr>
        <w:tc>
          <w:tcPr>
            <w:tcW w:w="6380" w:type="dxa"/>
            <w:vAlign w:val="bottom"/>
          </w:tcPr>
          <w:p>
            <w:pPr>
              <w:ind w:left="20"/>
              <w:spacing w:after="0"/>
              <w:rPr>
                <w:sz w:val="20"/>
                <w:szCs w:val="20"/>
                <w:color w:val="auto"/>
              </w:rPr>
            </w:pPr>
            <w:r>
              <w:rPr>
                <w:rFonts w:ascii="Calibri" w:cs="Calibri" w:eastAsia="Calibri" w:hAnsi="Calibri"/>
                <w:sz w:val="16"/>
                <w:szCs w:val="16"/>
                <w:color w:val="auto"/>
              </w:rPr>
              <w:t>Liabilites assumed</w:t>
            </w:r>
          </w:p>
        </w:tc>
        <w:tc>
          <w:tcPr>
            <w:tcW w:w="41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(6,686)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42" w:name="page43"/>
    <w:bookmarkEnd w:id="4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07707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ind w:left="20"/>
              <w:spacing w:after="0"/>
              <w:rPr>
                <w:sz w:val="20"/>
                <w:szCs w:val="20"/>
                <w:color w:val="auto"/>
              </w:rPr>
            </w:pPr>
            <w:r>
              <w:rPr>
                <w:rFonts w:ascii="Calibri" w:cs="Calibri" w:eastAsia="Calibri" w:hAnsi="Calibri"/>
                <w:sz w:val="16"/>
                <w:szCs w:val="16"/>
                <w:color w:val="auto"/>
              </w:rPr>
              <w:t>Goodwill</w:t>
            </w:r>
          </w:p>
        </w:tc>
        <w:tc>
          <w:tcPr>
            <w:tcW w:w="434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22,652</w:t>
            </w:r>
          </w:p>
        </w:tc>
      </w:tr>
      <w:tr>
        <w:trPr>
          <w:trHeight w:val="21"/>
        </w:trPr>
        <w:tc>
          <w:tcPr>
            <w:tcW w:w="61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61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Total allocaton of purchase price</w:t>
            </w:r>
          </w:p>
        </w:tc>
        <w:tc>
          <w:tcPr>
            <w:tcW w:w="4340" w:type="dxa"/>
            <w:vAlign w:val="bottom"/>
            <w:tcBorders>
              <w:bottom w:val="single" w:sz="8" w:color="auto"/>
            </w:tcBorders>
          </w:tcPr>
          <w:p>
            <w:pPr>
              <w:jc w:val="right"/>
              <w:ind w:right="179"/>
              <w:spacing w:after="0" w:line="192" w:lineRule="exact"/>
              <w:rPr>
                <w:sz w:val="20"/>
                <w:szCs w:val="20"/>
                <w:color w:val="auto"/>
              </w:rPr>
            </w:pPr>
            <w:r>
              <w:rPr>
                <w:rFonts w:ascii="Calibri" w:cs="Calibri" w:eastAsia="Calibri" w:hAnsi="Calibri"/>
                <w:sz w:val="16"/>
                <w:szCs w:val="16"/>
                <w:b w:val="1"/>
                <w:bCs w:val="1"/>
                <w:color w:val="auto"/>
              </w:rPr>
              <w:t>$</w:t>
            </w:r>
          </w:p>
        </w:tc>
        <w:tc>
          <w:tcPr>
            <w:tcW w:w="7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53,481</w:t>
            </w:r>
          </w:p>
        </w:tc>
      </w:tr>
    </w:tbl>
    <w:p>
      <w:pPr>
        <w:spacing w:after="0" w:line="283" w:lineRule="exact"/>
        <w:rPr>
          <w:sz w:val="20"/>
          <w:szCs w:val="20"/>
          <w:color w:val="auto"/>
        </w:rPr>
      </w:pPr>
    </w:p>
    <w:p>
      <w:pPr>
        <w:ind w:right="3780"/>
        <w:spacing w:after="0" w:line="251" w:lineRule="auto"/>
        <w:rPr>
          <w:sz w:val="20"/>
          <w:szCs w:val="20"/>
          <w:color w:val="auto"/>
        </w:rPr>
      </w:pPr>
      <w:r>
        <w:rPr>
          <w:rFonts w:ascii="Calibri" w:cs="Calibri" w:eastAsia="Calibri" w:hAnsi="Calibri"/>
          <w:sz w:val="15"/>
          <w:szCs w:val="15"/>
          <w:color w:val="auto"/>
        </w:rPr>
        <w:t>A professional valuator has been engaged by the Company to estmate the value of the assets of Small Pharma for the purpose of the fnal purchase price allocaton. Accordingly, the above estmated values may be subject to change.</w:t>
      </w:r>
    </w:p>
    <w:p>
      <w:pPr>
        <w:spacing w:after="0" w:line="211" w:lineRule="exact"/>
        <w:rPr>
          <w:sz w:val="20"/>
          <w:szCs w:val="20"/>
          <w:color w:val="auto"/>
        </w:rPr>
      </w:pPr>
    </w:p>
    <w:p>
      <w:pPr>
        <w:ind w:right="520"/>
        <w:spacing w:after="0" w:line="237" w:lineRule="auto"/>
        <w:rPr>
          <w:sz w:val="20"/>
          <w:szCs w:val="20"/>
          <w:color w:val="auto"/>
        </w:rPr>
      </w:pPr>
      <w:r>
        <w:rPr>
          <w:rFonts w:ascii="Calibri" w:cs="Calibri" w:eastAsia="Calibri" w:hAnsi="Calibri"/>
          <w:sz w:val="16"/>
          <w:szCs w:val="16"/>
          <w:color w:val="auto"/>
        </w:rPr>
        <w:t>As at February 28, 2023, Small Pharma had Canadian loss carry forwards of $9,393 and UK loss carry forwards (stated in Canadian dollars) of $46,631. No value has been ascribed to loss carry forward in these consolidated fnancial statements. Tax values of assets acquired may difer from their accountng values.</w:t>
      </w:r>
    </w:p>
    <w:p>
      <w:pPr>
        <w:spacing w:after="0" w:line="225" w:lineRule="auto"/>
        <w:rPr>
          <w:sz w:val="20"/>
          <w:szCs w:val="20"/>
          <w:color w:val="auto"/>
        </w:rPr>
      </w:pPr>
      <w:r>
        <w:rPr>
          <w:rFonts w:ascii="Calibri" w:cs="Calibri" w:eastAsia="Calibri" w:hAnsi="Calibri"/>
          <w:sz w:val="16"/>
          <w:szCs w:val="16"/>
          <w:color w:val="auto"/>
        </w:rPr>
        <w:t>The following revenue and net loss is atributable to the period from Acquisiton date to March 31, 2024 and included in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4629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ind w:left="20"/>
              <w:spacing w:after="0"/>
              <w:rPr>
                <w:sz w:val="20"/>
                <w:szCs w:val="20"/>
                <w:color w:val="auto"/>
              </w:rPr>
            </w:pPr>
            <w:r>
              <w:rPr>
                <w:rFonts w:ascii="Calibri" w:cs="Calibri" w:eastAsia="Calibri" w:hAnsi="Calibri"/>
                <w:sz w:val="16"/>
                <w:szCs w:val="16"/>
                <w:color w:val="auto"/>
              </w:rPr>
              <w:t>Revenue</w:t>
            </w:r>
          </w:p>
        </w:tc>
        <w:tc>
          <w:tcPr>
            <w:tcW w:w="516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5340" w:type="dxa"/>
            <w:vAlign w:val="bottom"/>
          </w:tcPr>
          <w:p>
            <w:pPr>
              <w:ind w:left="20"/>
              <w:spacing w:after="0"/>
              <w:rPr>
                <w:sz w:val="20"/>
                <w:szCs w:val="20"/>
                <w:color w:val="auto"/>
              </w:rPr>
            </w:pPr>
            <w:r>
              <w:rPr>
                <w:rFonts w:ascii="Calibri" w:cs="Calibri" w:eastAsia="Calibri" w:hAnsi="Calibri"/>
                <w:sz w:val="16"/>
                <w:szCs w:val="16"/>
                <w:color w:val="auto"/>
              </w:rPr>
              <w:t>Net loss</w:t>
            </w:r>
          </w:p>
        </w:tc>
        <w:tc>
          <w:tcPr>
            <w:tcW w:w="5160" w:type="dxa"/>
            <w:vAlign w:val="bottom"/>
          </w:tcPr>
          <w:p>
            <w:pPr>
              <w:jc w:val="right"/>
              <w:ind w:right="219"/>
              <w:spacing w:after="0"/>
              <w:rPr>
                <w:sz w:val="20"/>
                <w:szCs w:val="20"/>
                <w:color w:val="auto"/>
              </w:rPr>
            </w:pPr>
            <w:r>
              <w:rPr>
                <w:rFonts w:ascii="Calibri" w:cs="Calibri" w:eastAsia="Calibri" w:hAnsi="Calibri"/>
                <w:sz w:val="16"/>
                <w:szCs w:val="16"/>
                <w:color w:val="auto"/>
              </w:rPr>
              <w:t>$</w:t>
            </w:r>
          </w:p>
        </w:tc>
        <w:tc>
          <w:tcPr>
            <w:tcW w:w="760" w:type="dxa"/>
            <w:vAlign w:val="bottom"/>
          </w:tcPr>
          <w:p>
            <w:pPr>
              <w:jc w:val="right"/>
              <w:spacing w:after="0"/>
              <w:rPr>
                <w:sz w:val="20"/>
                <w:szCs w:val="20"/>
                <w:color w:val="auto"/>
              </w:rPr>
            </w:pPr>
            <w:r>
              <w:rPr>
                <w:rFonts w:ascii="Calibri" w:cs="Calibri" w:eastAsia="Calibri" w:hAnsi="Calibri"/>
                <w:sz w:val="16"/>
                <w:szCs w:val="16"/>
                <w:color w:val="auto"/>
              </w:rPr>
              <w:t>(1,666)</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43" w:name="page44"/>
    <w:bookmarkEnd w:id="4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Calibri" w:cs="Calibri" w:eastAsia="Calibri" w:hAnsi="Calibri"/>
                <w:sz w:val="16"/>
                <w:szCs w:val="16"/>
                <w:b w:val="1"/>
                <w:bCs w:val="1"/>
                <w:color w:val="2D5F91"/>
              </w:rPr>
              <w:t>5.  EQUIPMENT</w:t>
            </w:r>
          </w:p>
        </w:tc>
        <w:tc>
          <w:tcPr>
            <w:tcW w:w="2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52"/>
        </w:trPr>
        <w:tc>
          <w:tcPr>
            <w:tcW w:w="4200" w:type="dxa"/>
            <w:vAlign w:val="bottom"/>
            <w:gridSpan w:val="2"/>
          </w:tcPr>
          <w:p>
            <w:pPr>
              <w:ind w:left="280"/>
              <w:spacing w:after="0"/>
              <w:rPr>
                <w:sz w:val="20"/>
                <w:szCs w:val="20"/>
                <w:color w:val="auto"/>
              </w:rPr>
            </w:pPr>
            <w:r>
              <w:rPr>
                <w:rFonts w:ascii="Calibri" w:cs="Calibri" w:eastAsia="Calibri" w:hAnsi="Calibri"/>
                <w:sz w:val="16"/>
                <w:szCs w:val="16"/>
                <w:color w:val="auto"/>
              </w:rPr>
              <w:t>Equipment consists as follows:</w:t>
            </w: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8"/>
        </w:trPr>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8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Lab Equipment</w:t>
            </w:r>
          </w:p>
        </w:tc>
        <w:tc>
          <w:tcPr>
            <w:tcW w:w="262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Computer Equipment</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80" w:type="dxa"/>
            <w:vAlign w:val="bottom"/>
          </w:tcPr>
          <w:p>
            <w:pPr>
              <w:spacing w:after="0"/>
              <w:rPr>
                <w:sz w:val="17"/>
                <w:szCs w:val="17"/>
                <w:color w:val="auto"/>
              </w:rPr>
            </w:pPr>
          </w:p>
        </w:tc>
        <w:tc>
          <w:tcPr>
            <w:tcW w:w="392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298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w:t>
            </w:r>
          </w:p>
        </w:tc>
        <w:tc>
          <w:tcPr>
            <w:tcW w:w="262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9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2022</w:t>
            </w:r>
          </w:p>
        </w:tc>
        <w:tc>
          <w:tcPr>
            <w:tcW w:w="2980" w:type="dxa"/>
            <w:vAlign w:val="bottom"/>
          </w:tcPr>
          <w:p>
            <w:pPr>
              <w:jc w:val="right"/>
              <w:ind w:right="419"/>
              <w:spacing w:after="0" w:line="185" w:lineRule="exact"/>
              <w:rPr>
                <w:sz w:val="20"/>
                <w:szCs w:val="20"/>
                <w:color w:val="auto"/>
              </w:rPr>
            </w:pPr>
            <w:r>
              <w:rPr>
                <w:rFonts w:ascii="Calibri" w:cs="Calibri" w:eastAsia="Calibri" w:hAnsi="Calibri"/>
                <w:sz w:val="16"/>
                <w:szCs w:val="16"/>
                <w:b w:val="1"/>
                <w:bCs w:val="1"/>
                <w:color w:val="auto"/>
              </w:rPr>
              <w:t>475</w:t>
            </w:r>
          </w:p>
        </w:tc>
        <w:tc>
          <w:tcPr>
            <w:tcW w:w="2620" w:type="dxa"/>
            <w:vAlign w:val="bottom"/>
          </w:tcPr>
          <w:p>
            <w:pPr>
              <w:jc w:val="right"/>
              <w:ind w:right="679"/>
              <w:spacing w:after="0" w:line="185" w:lineRule="exact"/>
              <w:rPr>
                <w:sz w:val="20"/>
                <w:szCs w:val="20"/>
                <w:color w:val="auto"/>
              </w:rPr>
            </w:pPr>
            <w:r>
              <w:rPr>
                <w:rFonts w:ascii="Calibri" w:cs="Calibri" w:eastAsia="Calibri" w:hAnsi="Calibri"/>
                <w:sz w:val="16"/>
                <w:szCs w:val="16"/>
                <w:b w:val="1"/>
                <w:bCs w:val="1"/>
                <w:color w:val="auto"/>
              </w:rPr>
              <w:t>238</w:t>
            </w:r>
          </w:p>
        </w:tc>
        <w:tc>
          <w:tcPr>
            <w:tcW w:w="110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713</w:t>
            </w:r>
          </w:p>
        </w:tc>
      </w:tr>
      <w:tr>
        <w:trPr>
          <w:trHeight w:val="198"/>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142</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142</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47</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1</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48</w:t>
            </w:r>
          </w:p>
        </w:tc>
      </w:tr>
      <w:tr>
        <w:trPr>
          <w:trHeight w:val="21"/>
        </w:trPr>
        <w:tc>
          <w:tcPr>
            <w:tcW w:w="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9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980" w:type="dxa"/>
            <w:vAlign w:val="bottom"/>
          </w:tcPr>
          <w:p>
            <w:pPr>
              <w:jc w:val="right"/>
              <w:ind w:right="419"/>
              <w:spacing w:after="0" w:line="185" w:lineRule="exact"/>
              <w:rPr>
                <w:sz w:val="20"/>
                <w:szCs w:val="20"/>
                <w:color w:val="auto"/>
              </w:rPr>
            </w:pPr>
            <w:r>
              <w:rPr>
                <w:rFonts w:ascii="Calibri" w:cs="Calibri" w:eastAsia="Calibri" w:hAnsi="Calibri"/>
                <w:sz w:val="16"/>
                <w:szCs w:val="16"/>
                <w:b w:val="1"/>
                <w:bCs w:val="1"/>
                <w:color w:val="auto"/>
              </w:rPr>
              <w:t>664</w:t>
            </w:r>
          </w:p>
        </w:tc>
        <w:tc>
          <w:tcPr>
            <w:tcW w:w="2620" w:type="dxa"/>
            <w:vAlign w:val="bottom"/>
          </w:tcPr>
          <w:p>
            <w:pPr>
              <w:jc w:val="right"/>
              <w:ind w:right="679"/>
              <w:spacing w:after="0" w:line="185" w:lineRule="exact"/>
              <w:rPr>
                <w:sz w:val="20"/>
                <w:szCs w:val="20"/>
                <w:color w:val="auto"/>
              </w:rPr>
            </w:pPr>
            <w:r>
              <w:rPr>
                <w:rFonts w:ascii="Calibri" w:cs="Calibri" w:eastAsia="Calibri" w:hAnsi="Calibri"/>
                <w:sz w:val="16"/>
                <w:szCs w:val="16"/>
                <w:b w:val="1"/>
                <w:bCs w:val="1"/>
                <w:color w:val="auto"/>
              </w:rPr>
              <w:t>239</w:t>
            </w:r>
          </w:p>
        </w:tc>
        <w:tc>
          <w:tcPr>
            <w:tcW w:w="110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903</w:t>
            </w:r>
          </w:p>
        </w:tc>
      </w:tr>
      <w:tr>
        <w:trPr>
          <w:trHeight w:val="198"/>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Acquisiton from Small Pharma</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37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37</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21</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21</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Computer equipment write-down</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w:t>
            </w:r>
          </w:p>
        </w:tc>
        <w:tc>
          <w:tcPr>
            <w:tcW w:w="2620" w:type="dxa"/>
            <w:vAlign w:val="bottom"/>
          </w:tcPr>
          <w:p>
            <w:pPr>
              <w:jc w:val="right"/>
              <w:ind w:right="659"/>
              <w:spacing w:after="0"/>
              <w:rPr>
                <w:sz w:val="20"/>
                <w:szCs w:val="20"/>
                <w:color w:val="auto"/>
              </w:rPr>
            </w:pPr>
            <w:r>
              <w:rPr>
                <w:rFonts w:ascii="Calibri" w:cs="Calibri" w:eastAsia="Calibri" w:hAnsi="Calibri"/>
                <w:sz w:val="16"/>
                <w:szCs w:val="16"/>
                <w:color w:val="auto"/>
              </w:rPr>
              <w:t>(33)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(33)</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1</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1"/>
        </w:trPr>
        <w:tc>
          <w:tcPr>
            <w:tcW w:w="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39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2980" w:type="dxa"/>
            <w:vAlign w:val="bottom"/>
            <w:tcBorders>
              <w:bottom w:val="single" w:sz="8" w:color="auto"/>
            </w:tcBorders>
          </w:tcPr>
          <w:p>
            <w:pPr>
              <w:jc w:val="right"/>
              <w:ind w:right="419"/>
              <w:spacing w:after="0" w:line="192" w:lineRule="exact"/>
              <w:rPr>
                <w:sz w:val="20"/>
                <w:szCs w:val="20"/>
                <w:color w:val="auto"/>
              </w:rPr>
            </w:pPr>
            <w:r>
              <w:rPr>
                <w:rFonts w:ascii="Calibri" w:cs="Calibri" w:eastAsia="Calibri" w:hAnsi="Calibri"/>
                <w:sz w:val="16"/>
                <w:szCs w:val="16"/>
                <w:b w:val="1"/>
                <w:bCs w:val="1"/>
                <w:color w:val="auto"/>
              </w:rPr>
              <w:t>664</w:t>
            </w:r>
          </w:p>
        </w:tc>
        <w:tc>
          <w:tcPr>
            <w:tcW w:w="262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266</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930</w:t>
            </w:r>
          </w:p>
        </w:tc>
      </w:tr>
      <w:tr>
        <w:trPr>
          <w:trHeight w:val="402"/>
        </w:trPr>
        <w:tc>
          <w:tcPr>
            <w:tcW w:w="280" w:type="dxa"/>
            <w:vAlign w:val="bottom"/>
          </w:tcPr>
          <w:p>
            <w:pPr>
              <w:spacing w:after="0"/>
              <w:rPr>
                <w:sz w:val="24"/>
                <w:szCs w:val="24"/>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Depreciaton</w:t>
            </w: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2022</w:t>
            </w:r>
          </w:p>
        </w:tc>
        <w:tc>
          <w:tcPr>
            <w:tcW w:w="298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138</w:t>
            </w:r>
          </w:p>
        </w:tc>
        <w:tc>
          <w:tcPr>
            <w:tcW w:w="262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84</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222</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135</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79</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214</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17</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17</w:t>
            </w:r>
          </w:p>
        </w:tc>
      </w:tr>
      <w:tr>
        <w:trPr>
          <w:trHeight w:val="21"/>
        </w:trPr>
        <w:tc>
          <w:tcPr>
            <w:tcW w:w="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9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980" w:type="dxa"/>
            <w:vAlign w:val="bottom"/>
          </w:tcPr>
          <w:p>
            <w:pPr>
              <w:jc w:val="right"/>
              <w:ind w:right="419"/>
              <w:spacing w:after="0" w:line="185" w:lineRule="exact"/>
              <w:rPr>
                <w:sz w:val="20"/>
                <w:szCs w:val="20"/>
                <w:color w:val="auto"/>
              </w:rPr>
            </w:pPr>
            <w:r>
              <w:rPr>
                <w:rFonts w:ascii="Calibri" w:cs="Calibri" w:eastAsia="Calibri" w:hAnsi="Calibri"/>
                <w:sz w:val="16"/>
                <w:szCs w:val="16"/>
                <w:b w:val="1"/>
                <w:bCs w:val="1"/>
                <w:color w:val="auto"/>
              </w:rPr>
              <w:t>290</w:t>
            </w:r>
          </w:p>
        </w:tc>
        <w:tc>
          <w:tcPr>
            <w:tcW w:w="2620" w:type="dxa"/>
            <w:vAlign w:val="bottom"/>
          </w:tcPr>
          <w:p>
            <w:pPr>
              <w:jc w:val="right"/>
              <w:ind w:right="679"/>
              <w:spacing w:after="0" w:line="185" w:lineRule="exact"/>
              <w:rPr>
                <w:sz w:val="20"/>
                <w:szCs w:val="20"/>
                <w:color w:val="auto"/>
              </w:rPr>
            </w:pPr>
            <w:r>
              <w:rPr>
                <w:rFonts w:ascii="Calibri" w:cs="Calibri" w:eastAsia="Calibri" w:hAnsi="Calibri"/>
                <w:sz w:val="16"/>
                <w:szCs w:val="16"/>
                <w:b w:val="1"/>
                <w:bCs w:val="1"/>
                <w:color w:val="auto"/>
              </w:rPr>
              <w:t>163</w:t>
            </w:r>
          </w:p>
        </w:tc>
        <w:tc>
          <w:tcPr>
            <w:tcW w:w="110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453</w:t>
            </w:r>
          </w:p>
        </w:tc>
      </w:tr>
      <w:tr>
        <w:trPr>
          <w:trHeight w:val="198"/>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2980" w:type="dxa"/>
            <w:vAlign w:val="bottom"/>
          </w:tcPr>
          <w:p>
            <w:pPr>
              <w:jc w:val="right"/>
              <w:ind w:right="419"/>
              <w:spacing w:after="0"/>
              <w:rPr>
                <w:sz w:val="20"/>
                <w:szCs w:val="20"/>
                <w:color w:val="auto"/>
              </w:rPr>
            </w:pPr>
            <w:r>
              <w:rPr>
                <w:rFonts w:ascii="Calibri" w:cs="Calibri" w:eastAsia="Calibri" w:hAnsi="Calibri"/>
                <w:sz w:val="16"/>
                <w:szCs w:val="16"/>
                <w:color w:val="auto"/>
              </w:rPr>
              <w:t>137</w:t>
            </w:r>
          </w:p>
        </w:tc>
        <w:tc>
          <w:tcPr>
            <w:tcW w:w="2620" w:type="dxa"/>
            <w:vAlign w:val="bottom"/>
          </w:tcPr>
          <w:p>
            <w:pPr>
              <w:jc w:val="right"/>
              <w:ind w:right="679"/>
              <w:spacing w:after="0"/>
              <w:rPr>
                <w:sz w:val="20"/>
                <w:szCs w:val="20"/>
                <w:color w:val="auto"/>
              </w:rPr>
            </w:pPr>
            <w:r>
              <w:rPr>
                <w:rFonts w:ascii="Calibri" w:cs="Calibri" w:eastAsia="Calibri" w:hAnsi="Calibri"/>
                <w:sz w:val="16"/>
                <w:szCs w:val="16"/>
                <w:color w:val="auto"/>
              </w:rPr>
              <w:t>86</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223</w:t>
            </w:r>
          </w:p>
        </w:tc>
      </w:tr>
      <w:tr>
        <w:trPr>
          <w:trHeight w:val="219"/>
        </w:trPr>
        <w:tc>
          <w:tcPr>
            <w:tcW w:w="28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Computer equipment write-down</w:t>
            </w:r>
          </w:p>
        </w:tc>
        <w:tc>
          <w:tcPr>
            <w:tcW w:w="2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2620" w:type="dxa"/>
            <w:vAlign w:val="bottom"/>
          </w:tcPr>
          <w:p>
            <w:pPr>
              <w:jc w:val="right"/>
              <w:ind w:right="659"/>
              <w:spacing w:after="0"/>
              <w:rPr>
                <w:sz w:val="20"/>
                <w:szCs w:val="20"/>
                <w:color w:val="auto"/>
              </w:rPr>
            </w:pPr>
            <w:r>
              <w:rPr>
                <w:rFonts w:ascii="Calibri" w:cs="Calibri" w:eastAsia="Calibri" w:hAnsi="Calibri"/>
                <w:sz w:val="16"/>
                <w:szCs w:val="16"/>
                <w:color w:val="auto"/>
              </w:rPr>
              <w:t>(15)</w:t>
            </w:r>
          </w:p>
        </w:tc>
        <w:tc>
          <w:tcPr>
            <w:tcW w:w="1100" w:type="dxa"/>
            <w:vAlign w:val="bottom"/>
          </w:tcPr>
          <w:p>
            <w:pPr>
              <w:jc w:val="right"/>
              <w:spacing w:after="0"/>
              <w:rPr>
                <w:sz w:val="20"/>
                <w:szCs w:val="20"/>
                <w:color w:val="auto"/>
              </w:rPr>
            </w:pPr>
            <w:r>
              <w:rPr>
                <w:rFonts w:ascii="Calibri" w:cs="Calibri" w:eastAsia="Calibri" w:hAnsi="Calibri"/>
                <w:sz w:val="16"/>
                <w:szCs w:val="16"/>
                <w:b w:val="1"/>
                <w:bCs w:val="1"/>
                <w:color w:val="auto"/>
              </w:rPr>
              <w:t>(15)</w:t>
            </w:r>
          </w:p>
        </w:tc>
      </w:tr>
      <w:tr>
        <w:trPr>
          <w:trHeight w:val="193"/>
        </w:trPr>
        <w:tc>
          <w:tcPr>
            <w:tcW w:w="280" w:type="dxa"/>
            <w:vAlign w:val="bottom"/>
          </w:tcPr>
          <w:p>
            <w:pPr>
              <w:spacing w:after="0"/>
              <w:rPr>
                <w:sz w:val="16"/>
                <w:szCs w:val="16"/>
                <w:color w:val="auto"/>
              </w:rPr>
            </w:pPr>
          </w:p>
        </w:tc>
        <w:tc>
          <w:tcPr>
            <w:tcW w:w="3920" w:type="dxa"/>
            <w:vAlign w:val="bottom"/>
          </w:tcPr>
          <w:p>
            <w:pPr>
              <w:ind w:left="20"/>
              <w:spacing w:after="0" w:line="193" w:lineRule="exact"/>
              <w:rPr>
                <w:sz w:val="20"/>
                <w:szCs w:val="20"/>
                <w:color w:val="auto"/>
              </w:rPr>
            </w:pPr>
            <w:r>
              <w:rPr>
                <w:rFonts w:ascii="Calibri" w:cs="Calibri" w:eastAsia="Calibri" w:hAnsi="Calibri"/>
                <w:sz w:val="16"/>
                <w:szCs w:val="16"/>
                <w:color w:val="auto"/>
              </w:rPr>
              <w:t>Efect of foreign exchange</w:t>
            </w:r>
          </w:p>
        </w:tc>
        <w:tc>
          <w:tcPr>
            <w:tcW w:w="2980" w:type="dxa"/>
            <w:vAlign w:val="bottom"/>
          </w:tcPr>
          <w:p>
            <w:pPr>
              <w:jc w:val="right"/>
              <w:ind w:right="419"/>
              <w:spacing w:after="0" w:line="193" w:lineRule="exact"/>
              <w:rPr>
                <w:sz w:val="20"/>
                <w:szCs w:val="20"/>
                <w:color w:val="auto"/>
              </w:rPr>
            </w:pPr>
            <w:r>
              <w:rPr>
                <w:rFonts w:ascii="Calibri" w:cs="Calibri" w:eastAsia="Calibri" w:hAnsi="Calibri"/>
                <w:sz w:val="16"/>
                <w:szCs w:val="16"/>
                <w:color w:val="auto"/>
              </w:rPr>
              <w:t>3</w:t>
            </w:r>
          </w:p>
        </w:tc>
        <w:tc>
          <w:tcPr>
            <w:tcW w:w="2620" w:type="dxa"/>
            <w:vAlign w:val="bottom"/>
          </w:tcPr>
          <w:p>
            <w:pPr>
              <w:jc w:val="right"/>
              <w:ind w:right="67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w:t>
            </w:r>
          </w:p>
        </w:tc>
      </w:tr>
      <w:tr>
        <w:trPr>
          <w:trHeight w:val="21"/>
        </w:trPr>
        <w:tc>
          <w:tcPr>
            <w:tcW w:w="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39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2980" w:type="dxa"/>
            <w:vAlign w:val="bottom"/>
            <w:tcBorders>
              <w:bottom w:val="single" w:sz="8" w:color="auto"/>
            </w:tcBorders>
          </w:tcPr>
          <w:p>
            <w:pPr>
              <w:jc w:val="right"/>
              <w:ind w:right="419"/>
              <w:spacing w:after="0" w:line="192" w:lineRule="exact"/>
              <w:rPr>
                <w:sz w:val="20"/>
                <w:szCs w:val="20"/>
                <w:color w:val="auto"/>
              </w:rPr>
            </w:pPr>
            <w:r>
              <w:rPr>
                <w:rFonts w:ascii="Calibri" w:cs="Calibri" w:eastAsia="Calibri" w:hAnsi="Calibri"/>
                <w:sz w:val="16"/>
                <w:szCs w:val="16"/>
                <w:b w:val="1"/>
                <w:bCs w:val="1"/>
                <w:color w:val="auto"/>
              </w:rPr>
              <w:t>430</w:t>
            </w:r>
          </w:p>
        </w:tc>
        <w:tc>
          <w:tcPr>
            <w:tcW w:w="2620" w:type="dxa"/>
            <w:vAlign w:val="bottom"/>
            <w:tcBorders>
              <w:bottom w:val="single" w:sz="8" w:color="auto"/>
            </w:tcBorders>
          </w:tcPr>
          <w:p>
            <w:pPr>
              <w:jc w:val="right"/>
              <w:ind w:right="679"/>
              <w:spacing w:after="0" w:line="192" w:lineRule="exact"/>
              <w:rPr>
                <w:sz w:val="20"/>
                <w:szCs w:val="20"/>
                <w:color w:val="auto"/>
              </w:rPr>
            </w:pPr>
            <w:r>
              <w:rPr>
                <w:rFonts w:ascii="Calibri" w:cs="Calibri" w:eastAsia="Calibri" w:hAnsi="Calibri"/>
                <w:sz w:val="16"/>
                <w:szCs w:val="16"/>
                <w:b w:val="1"/>
                <w:bCs w:val="1"/>
                <w:color w:val="auto"/>
              </w:rPr>
              <w:t>234</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664</w:t>
            </w:r>
          </w:p>
        </w:tc>
      </w:tr>
      <w:tr>
        <w:trPr>
          <w:trHeight w:val="217"/>
        </w:trPr>
        <w:tc>
          <w:tcPr>
            <w:tcW w:w="28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39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2023</w:t>
            </w:r>
          </w:p>
        </w:tc>
        <w:tc>
          <w:tcPr>
            <w:tcW w:w="2980" w:type="dxa"/>
            <w:vAlign w:val="bottom"/>
            <w:tcBorders>
              <w:bottom w:val="single" w:sz="8" w:color="auto"/>
            </w:tcBorders>
          </w:tcPr>
          <w:p>
            <w:pPr>
              <w:jc w:val="right"/>
              <w:ind w:right="379"/>
              <w:spacing w:after="0" w:line="192" w:lineRule="exact"/>
              <w:rPr>
                <w:sz w:val="20"/>
                <w:szCs w:val="20"/>
                <w:color w:val="auto"/>
              </w:rPr>
            </w:pPr>
            <w:r>
              <w:rPr>
                <w:rFonts w:ascii="Calibri" w:cs="Calibri" w:eastAsia="Calibri" w:hAnsi="Calibri"/>
                <w:sz w:val="16"/>
                <w:szCs w:val="16"/>
                <w:b w:val="1"/>
                <w:bCs w:val="1"/>
                <w:color w:val="auto"/>
              </w:rPr>
              <w:t>374</w:t>
            </w:r>
          </w:p>
        </w:tc>
        <w:tc>
          <w:tcPr>
            <w:tcW w:w="2620" w:type="dxa"/>
            <w:vAlign w:val="bottom"/>
            <w:tcBorders>
              <w:bottom w:val="single" w:sz="8" w:color="auto"/>
            </w:tcBorders>
          </w:tcPr>
          <w:p>
            <w:pPr>
              <w:jc w:val="right"/>
              <w:ind w:right="639"/>
              <w:spacing w:after="0" w:line="192" w:lineRule="exact"/>
              <w:rPr>
                <w:sz w:val="20"/>
                <w:szCs w:val="20"/>
                <w:color w:val="auto"/>
              </w:rPr>
            </w:pPr>
            <w:r>
              <w:rPr>
                <w:rFonts w:ascii="Calibri" w:cs="Calibri" w:eastAsia="Calibri" w:hAnsi="Calibri"/>
                <w:sz w:val="16"/>
                <w:szCs w:val="16"/>
                <w:b w:val="1"/>
                <w:bCs w:val="1"/>
                <w:color w:val="auto"/>
              </w:rPr>
              <w:t>76</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450</w:t>
            </w:r>
          </w:p>
        </w:tc>
      </w:tr>
      <w:tr>
        <w:trPr>
          <w:trHeight w:val="198"/>
        </w:trPr>
        <w:tc>
          <w:tcPr>
            <w:tcW w:w="280" w:type="dxa"/>
            <w:vAlign w:val="bottom"/>
          </w:tcPr>
          <w:p>
            <w:pPr>
              <w:spacing w:after="0"/>
              <w:rPr>
                <w:sz w:val="17"/>
                <w:szCs w:val="17"/>
                <w:color w:val="auto"/>
              </w:rPr>
            </w:pPr>
          </w:p>
        </w:tc>
        <w:tc>
          <w:tcPr>
            <w:tcW w:w="39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March 31, 2024</w:t>
            </w:r>
          </w:p>
        </w:tc>
        <w:tc>
          <w:tcPr>
            <w:tcW w:w="2980" w:type="dxa"/>
            <w:vAlign w:val="bottom"/>
            <w:tcBorders>
              <w:bottom w:val="single" w:sz="8" w:color="auto"/>
            </w:tcBorders>
          </w:tcPr>
          <w:p>
            <w:pPr>
              <w:jc w:val="right"/>
              <w:ind w:right="379"/>
              <w:spacing w:after="0" w:line="193" w:lineRule="exact"/>
              <w:rPr>
                <w:sz w:val="20"/>
                <w:szCs w:val="20"/>
                <w:color w:val="auto"/>
              </w:rPr>
            </w:pPr>
            <w:r>
              <w:rPr>
                <w:rFonts w:ascii="Calibri" w:cs="Calibri" w:eastAsia="Calibri" w:hAnsi="Calibri"/>
                <w:sz w:val="16"/>
                <w:szCs w:val="16"/>
                <w:b w:val="1"/>
                <w:bCs w:val="1"/>
                <w:color w:val="auto"/>
              </w:rPr>
              <w:t>234</w:t>
            </w:r>
          </w:p>
        </w:tc>
        <w:tc>
          <w:tcPr>
            <w:tcW w:w="2620" w:type="dxa"/>
            <w:vAlign w:val="bottom"/>
            <w:tcBorders>
              <w:bottom w:val="single" w:sz="8" w:color="auto"/>
            </w:tcBorders>
          </w:tcPr>
          <w:p>
            <w:pPr>
              <w:jc w:val="right"/>
              <w:ind w:right="639"/>
              <w:spacing w:after="0" w:line="193" w:lineRule="exact"/>
              <w:rPr>
                <w:sz w:val="20"/>
                <w:szCs w:val="20"/>
                <w:color w:val="auto"/>
              </w:rPr>
            </w:pPr>
            <w:r>
              <w:rPr>
                <w:rFonts w:ascii="Calibri" w:cs="Calibri" w:eastAsia="Calibri" w:hAnsi="Calibri"/>
                <w:sz w:val="16"/>
                <w:szCs w:val="16"/>
                <w:b w:val="1"/>
                <w:bCs w:val="1"/>
                <w:color w:val="auto"/>
              </w:rPr>
              <w:t>32</w:t>
            </w:r>
          </w:p>
        </w:tc>
        <w:tc>
          <w:tcPr>
            <w:tcW w:w="11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Calibri" w:cs="Calibri" w:eastAsia="Calibri" w:hAnsi="Calibri"/>
          <w:sz w:val="16"/>
          <w:szCs w:val="16"/>
          <w:b w:val="1"/>
          <w:bCs w:val="1"/>
          <w:color w:val="auto"/>
        </w:rPr>
        <w:t>Page 28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120"/>
          </w:cols>
          <w:pgMar w:left="320" w:top="162" w:right="459" w:bottom="1440" w:gutter="0" w:footer="0" w:header="0"/>
        </w:sectPr>
      </w:pPr>
    </w:p>
    <w:bookmarkStart w:id="44" w:name="page45"/>
    <w:bookmarkEnd w:id="4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gridSpan w:val="2"/>
          </w:tcPr>
          <w:p>
            <w:pPr>
              <w:spacing w:after="0"/>
              <w:rPr>
                <w:sz w:val="20"/>
                <w:szCs w:val="20"/>
                <w:color w:val="auto"/>
              </w:rPr>
            </w:pPr>
            <w:r>
              <w:rPr>
                <w:rFonts w:ascii="Calibri" w:cs="Calibri" w:eastAsia="Calibri" w:hAnsi="Calibri"/>
                <w:sz w:val="16"/>
                <w:szCs w:val="16"/>
                <w:b w:val="1"/>
                <w:bCs w:val="1"/>
                <w:color w:val="2D5F91"/>
              </w:rPr>
              <w:t>6.  INTANGIBLE ASSETS</w:t>
            </w:r>
          </w:p>
        </w:tc>
        <w:tc>
          <w:tcPr>
            <w:tcW w:w="2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65"/>
        </w:trPr>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4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IP Research &amp;</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5"/>
        </w:trPr>
        <w:tc>
          <w:tcPr>
            <w:tcW w:w="2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40" w:type="dxa"/>
            <w:vAlign w:val="bottom"/>
          </w:tcPr>
          <w:p>
            <w:pPr>
              <w:jc w:val="right"/>
              <w:ind w:right="319"/>
              <w:spacing w:after="0" w:line="193" w:lineRule="exact"/>
              <w:rPr>
                <w:sz w:val="20"/>
                <w:szCs w:val="20"/>
                <w:color w:val="auto"/>
              </w:rPr>
            </w:pPr>
            <w:r>
              <w:rPr>
                <w:rFonts w:ascii="Calibri" w:cs="Calibri" w:eastAsia="Calibri" w:hAnsi="Calibri"/>
                <w:sz w:val="16"/>
                <w:szCs w:val="16"/>
                <w:b w:val="1"/>
                <w:bCs w:val="1"/>
                <w:color w:val="auto"/>
              </w:rPr>
              <w:t>Development</w:t>
            </w:r>
          </w:p>
        </w:tc>
        <w:tc>
          <w:tcPr>
            <w:tcW w:w="126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Patents</w:t>
            </w:r>
          </w:p>
        </w:tc>
        <w:tc>
          <w:tcPr>
            <w:tcW w:w="126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Licenses</w:t>
            </w:r>
          </w:p>
        </w:tc>
        <w:tc>
          <w:tcPr>
            <w:tcW w:w="13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Sofware</w:t>
            </w:r>
          </w:p>
        </w:tc>
        <w:tc>
          <w:tcPr>
            <w:tcW w:w="92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24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w:t>
            </w:r>
          </w:p>
        </w:tc>
        <w:tc>
          <w:tcPr>
            <w:tcW w:w="126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w:t>
            </w:r>
          </w:p>
        </w:tc>
        <w:tc>
          <w:tcPr>
            <w:tcW w:w="126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w:t>
            </w:r>
          </w:p>
        </w:tc>
        <w:tc>
          <w:tcPr>
            <w:tcW w:w="13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28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3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2022</w:t>
            </w:r>
          </w:p>
        </w:tc>
        <w:tc>
          <w:tcPr>
            <w:tcW w:w="2240" w:type="dxa"/>
            <w:vAlign w:val="bottom"/>
          </w:tcPr>
          <w:p>
            <w:pPr>
              <w:jc w:val="right"/>
              <w:ind w:right="319"/>
              <w:spacing w:after="0" w:line="185" w:lineRule="exact"/>
              <w:rPr>
                <w:sz w:val="20"/>
                <w:szCs w:val="20"/>
                <w:color w:val="auto"/>
              </w:rPr>
            </w:pPr>
            <w:r>
              <w:rPr>
                <w:rFonts w:ascii="Calibri" w:cs="Calibri" w:eastAsia="Calibri" w:hAnsi="Calibri"/>
                <w:sz w:val="16"/>
                <w:szCs w:val="16"/>
                <w:b w:val="1"/>
                <w:bCs w:val="1"/>
                <w:color w:val="auto"/>
              </w:rPr>
              <w:t>1,566</w:t>
            </w:r>
          </w:p>
        </w:tc>
        <w:tc>
          <w:tcPr>
            <w:tcW w:w="126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443</w:t>
            </w:r>
          </w:p>
        </w:tc>
        <w:tc>
          <w:tcPr>
            <w:tcW w:w="1260" w:type="dxa"/>
            <w:vAlign w:val="bottom"/>
          </w:tcPr>
          <w:p>
            <w:pPr>
              <w:jc w:val="right"/>
              <w:ind w:right="279"/>
              <w:spacing w:after="0" w:line="185" w:lineRule="exact"/>
              <w:rPr>
                <w:sz w:val="20"/>
                <w:szCs w:val="20"/>
                <w:color w:val="auto"/>
              </w:rPr>
            </w:pPr>
            <w:r>
              <w:rPr>
                <w:rFonts w:ascii="Calibri" w:cs="Calibri" w:eastAsia="Calibri" w:hAnsi="Calibri"/>
                <w:sz w:val="16"/>
                <w:szCs w:val="16"/>
                <w:b w:val="1"/>
                <w:bCs w:val="1"/>
                <w:color w:val="auto"/>
              </w:rPr>
              <w:t>—</w:t>
            </w:r>
          </w:p>
        </w:tc>
        <w:tc>
          <w:tcPr>
            <w:tcW w:w="136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74</w:t>
            </w:r>
          </w:p>
        </w:tc>
        <w:tc>
          <w:tcPr>
            <w:tcW w:w="9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2,083</w:t>
            </w:r>
          </w:p>
        </w:tc>
      </w:tr>
      <w:tr>
        <w:trPr>
          <w:trHeight w:val="198"/>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240" w:type="dxa"/>
            <w:vAlign w:val="bottom"/>
          </w:tcPr>
          <w:p>
            <w:pPr>
              <w:jc w:val="right"/>
              <w:ind w:right="319"/>
              <w:spacing w:after="0"/>
              <w:rPr>
                <w:sz w:val="20"/>
                <w:szCs w:val="20"/>
                <w:color w:val="auto"/>
              </w:rPr>
            </w:pPr>
            <w:r>
              <w:rPr>
                <w:rFonts w:ascii="Calibri" w:cs="Calibri" w:eastAsia="Calibri" w:hAnsi="Calibri"/>
                <w:sz w:val="16"/>
                <w:szCs w:val="16"/>
                <w:color w:val="auto"/>
              </w:rPr>
              <w:t>1,342</w:t>
            </w:r>
          </w:p>
        </w:tc>
        <w:tc>
          <w:tcPr>
            <w:tcW w:w="1260" w:type="dxa"/>
            <w:vAlign w:val="bottom"/>
          </w:tcPr>
          <w:p>
            <w:pPr>
              <w:jc w:val="right"/>
              <w:ind w:right="299"/>
              <w:spacing w:after="0"/>
              <w:rPr>
                <w:sz w:val="20"/>
                <w:szCs w:val="20"/>
                <w:color w:val="auto"/>
              </w:rPr>
            </w:pPr>
            <w:r>
              <w:rPr>
                <w:rFonts w:ascii="Calibri" w:cs="Calibri" w:eastAsia="Calibri" w:hAnsi="Calibri"/>
                <w:sz w:val="16"/>
                <w:szCs w:val="16"/>
                <w:color w:val="auto"/>
              </w:rPr>
              <w:t>495</w:t>
            </w:r>
          </w:p>
        </w:tc>
        <w:tc>
          <w:tcPr>
            <w:tcW w:w="1260" w:type="dxa"/>
            <w:vAlign w:val="bottom"/>
          </w:tcPr>
          <w:p>
            <w:pPr>
              <w:jc w:val="right"/>
              <w:ind w:right="279"/>
              <w:spacing w:after="0"/>
              <w:rPr>
                <w:sz w:val="20"/>
                <w:szCs w:val="20"/>
                <w:color w:val="auto"/>
              </w:rPr>
            </w:pPr>
            <w:r>
              <w:rPr>
                <w:rFonts w:ascii="Calibri" w:cs="Calibri" w:eastAsia="Calibri" w:hAnsi="Calibri"/>
                <w:sz w:val="16"/>
                <w:szCs w:val="16"/>
                <w:color w:val="auto"/>
              </w:rPr>
              <w:t>1,330</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3,167</w:t>
            </w:r>
          </w:p>
        </w:tc>
      </w:tr>
      <w:tr>
        <w:trPr>
          <w:trHeight w:val="206"/>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240" w:type="dxa"/>
            <w:vAlign w:val="bottom"/>
          </w:tcPr>
          <w:p>
            <w:pPr>
              <w:jc w:val="right"/>
              <w:ind w:right="319"/>
              <w:spacing w:after="0"/>
              <w:rPr>
                <w:sz w:val="20"/>
                <w:szCs w:val="20"/>
                <w:color w:val="auto"/>
              </w:rPr>
            </w:pPr>
            <w:r>
              <w:rPr>
                <w:rFonts w:ascii="Calibri" w:cs="Calibri" w:eastAsia="Calibri" w:hAnsi="Calibri"/>
                <w:sz w:val="16"/>
                <w:szCs w:val="16"/>
                <w:color w:val="auto"/>
              </w:rPr>
              <w:t>168</w:t>
            </w:r>
          </w:p>
        </w:tc>
        <w:tc>
          <w:tcPr>
            <w:tcW w:w="1260" w:type="dxa"/>
            <w:vAlign w:val="bottom"/>
          </w:tcPr>
          <w:p>
            <w:pPr>
              <w:jc w:val="right"/>
              <w:ind w:right="299"/>
              <w:spacing w:after="0"/>
              <w:rPr>
                <w:sz w:val="20"/>
                <w:szCs w:val="20"/>
                <w:color w:val="auto"/>
              </w:rPr>
            </w:pPr>
            <w:r>
              <w:rPr>
                <w:rFonts w:ascii="Calibri" w:cs="Calibri" w:eastAsia="Calibri" w:hAnsi="Calibri"/>
                <w:sz w:val="16"/>
                <w:szCs w:val="16"/>
                <w:color w:val="auto"/>
              </w:rPr>
              <w:t>40</w:t>
            </w:r>
          </w:p>
        </w:tc>
        <w:tc>
          <w:tcPr>
            <w:tcW w:w="1260" w:type="dxa"/>
            <w:vAlign w:val="bottom"/>
          </w:tcPr>
          <w:p>
            <w:pPr>
              <w:jc w:val="right"/>
              <w:ind w:right="279"/>
              <w:spacing w:after="0"/>
              <w:rPr>
                <w:sz w:val="20"/>
                <w:szCs w:val="20"/>
                <w:color w:val="auto"/>
              </w:rPr>
            </w:pPr>
            <w:r>
              <w:rPr>
                <w:rFonts w:ascii="Calibri" w:cs="Calibri" w:eastAsia="Calibri" w:hAnsi="Calibri"/>
                <w:sz w:val="16"/>
                <w:szCs w:val="16"/>
                <w:color w:val="auto"/>
              </w:rPr>
              <w:t>49</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257</w:t>
            </w:r>
          </w:p>
        </w:tc>
      </w:tr>
      <w:tr>
        <w:trPr>
          <w:trHeight w:val="21"/>
        </w:trPr>
        <w:tc>
          <w:tcPr>
            <w:tcW w:w="28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3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240" w:type="dxa"/>
            <w:vAlign w:val="bottom"/>
          </w:tcPr>
          <w:p>
            <w:pPr>
              <w:jc w:val="right"/>
              <w:ind w:right="319"/>
              <w:spacing w:after="0" w:line="185" w:lineRule="exact"/>
              <w:rPr>
                <w:sz w:val="20"/>
                <w:szCs w:val="20"/>
                <w:color w:val="auto"/>
              </w:rPr>
            </w:pPr>
            <w:r>
              <w:rPr>
                <w:rFonts w:ascii="Calibri" w:cs="Calibri" w:eastAsia="Calibri" w:hAnsi="Calibri"/>
                <w:sz w:val="16"/>
                <w:szCs w:val="16"/>
                <w:b w:val="1"/>
                <w:bCs w:val="1"/>
                <w:color w:val="auto"/>
              </w:rPr>
              <w:t>3,076</w:t>
            </w:r>
          </w:p>
        </w:tc>
        <w:tc>
          <w:tcPr>
            <w:tcW w:w="126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978</w:t>
            </w:r>
          </w:p>
        </w:tc>
        <w:tc>
          <w:tcPr>
            <w:tcW w:w="1260" w:type="dxa"/>
            <w:vAlign w:val="bottom"/>
          </w:tcPr>
          <w:p>
            <w:pPr>
              <w:jc w:val="right"/>
              <w:ind w:right="279"/>
              <w:spacing w:after="0" w:line="185" w:lineRule="exact"/>
              <w:rPr>
                <w:sz w:val="20"/>
                <w:szCs w:val="20"/>
                <w:color w:val="auto"/>
              </w:rPr>
            </w:pPr>
            <w:r>
              <w:rPr>
                <w:rFonts w:ascii="Calibri" w:cs="Calibri" w:eastAsia="Calibri" w:hAnsi="Calibri"/>
                <w:sz w:val="16"/>
                <w:szCs w:val="16"/>
                <w:b w:val="1"/>
                <w:bCs w:val="1"/>
                <w:color w:val="auto"/>
              </w:rPr>
              <w:t>1,379</w:t>
            </w:r>
          </w:p>
        </w:tc>
        <w:tc>
          <w:tcPr>
            <w:tcW w:w="136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74</w:t>
            </w:r>
          </w:p>
        </w:tc>
        <w:tc>
          <w:tcPr>
            <w:tcW w:w="9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5,507</w:t>
            </w:r>
          </w:p>
        </w:tc>
      </w:tr>
      <w:tr>
        <w:trPr>
          <w:trHeight w:val="198"/>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color w:val="auto"/>
              </w:rPr>
              <w:t>Acquisiton of Small Pharma</w:t>
            </w:r>
          </w:p>
        </w:tc>
        <w:tc>
          <w:tcPr>
            <w:tcW w:w="2240" w:type="dxa"/>
            <w:vAlign w:val="bottom"/>
          </w:tcPr>
          <w:p>
            <w:pPr>
              <w:jc w:val="right"/>
              <w:ind w:right="319"/>
              <w:spacing w:after="0"/>
              <w:rPr>
                <w:sz w:val="20"/>
                <w:szCs w:val="20"/>
                <w:color w:val="auto"/>
              </w:rPr>
            </w:pPr>
            <w:r>
              <w:rPr>
                <w:rFonts w:ascii="Calibri" w:cs="Calibri" w:eastAsia="Calibri" w:hAnsi="Calibri"/>
                <w:sz w:val="16"/>
                <w:szCs w:val="16"/>
                <w:color w:val="auto"/>
              </w:rPr>
              <w:t>29,339</w:t>
            </w:r>
          </w:p>
        </w:tc>
        <w:tc>
          <w:tcPr>
            <w:tcW w:w="126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29,339</w:t>
            </w:r>
          </w:p>
        </w:tc>
      </w:tr>
      <w:tr>
        <w:trPr>
          <w:trHeight w:val="206"/>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240" w:type="dxa"/>
            <w:vAlign w:val="bottom"/>
          </w:tcPr>
          <w:p>
            <w:pPr>
              <w:jc w:val="right"/>
              <w:ind w:right="31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99"/>
              <w:spacing w:after="0"/>
              <w:rPr>
                <w:sz w:val="20"/>
                <w:szCs w:val="20"/>
                <w:color w:val="auto"/>
              </w:rPr>
            </w:pPr>
            <w:r>
              <w:rPr>
                <w:rFonts w:ascii="Calibri" w:cs="Calibri" w:eastAsia="Calibri" w:hAnsi="Calibri"/>
                <w:sz w:val="16"/>
                <w:szCs w:val="16"/>
                <w:color w:val="auto"/>
              </w:rPr>
              <w:t>689</w:t>
            </w:r>
          </w:p>
        </w:tc>
        <w:tc>
          <w:tcPr>
            <w:tcW w:w="1260" w:type="dxa"/>
            <w:vAlign w:val="bottom"/>
          </w:tcPr>
          <w:p>
            <w:pPr>
              <w:jc w:val="right"/>
              <w:ind w:right="279"/>
              <w:spacing w:after="0"/>
              <w:rPr>
                <w:sz w:val="20"/>
                <w:szCs w:val="20"/>
                <w:color w:val="auto"/>
              </w:rPr>
            </w:pPr>
            <w:r>
              <w:rPr>
                <w:rFonts w:ascii="Calibri" w:cs="Calibri" w:eastAsia="Calibri" w:hAnsi="Calibri"/>
                <w:sz w:val="16"/>
                <w:szCs w:val="16"/>
                <w:color w:val="auto"/>
              </w:rPr>
              <w:t>—</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689</w:t>
            </w:r>
          </w:p>
        </w:tc>
      </w:tr>
      <w:tr>
        <w:trPr>
          <w:trHeight w:val="206"/>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240" w:type="dxa"/>
            <w:vAlign w:val="bottom"/>
          </w:tcPr>
          <w:p>
            <w:pPr>
              <w:jc w:val="right"/>
              <w:ind w:right="319"/>
              <w:spacing w:after="0"/>
              <w:rPr>
                <w:sz w:val="20"/>
                <w:szCs w:val="20"/>
                <w:color w:val="auto"/>
              </w:rPr>
            </w:pPr>
            <w:r>
              <w:rPr>
                <w:rFonts w:ascii="Calibri" w:cs="Calibri" w:eastAsia="Calibri" w:hAnsi="Calibri"/>
                <w:sz w:val="16"/>
                <w:szCs w:val="16"/>
                <w:color w:val="auto"/>
              </w:rPr>
              <w:t>25</w:t>
            </w:r>
          </w:p>
        </w:tc>
        <w:tc>
          <w:tcPr>
            <w:tcW w:w="1260" w:type="dxa"/>
            <w:vAlign w:val="bottom"/>
          </w:tcPr>
          <w:p>
            <w:pPr>
              <w:jc w:val="right"/>
              <w:ind w:right="299"/>
              <w:spacing w:after="0"/>
              <w:rPr>
                <w:sz w:val="20"/>
                <w:szCs w:val="20"/>
                <w:color w:val="auto"/>
              </w:rPr>
            </w:pPr>
            <w:r>
              <w:rPr>
                <w:rFonts w:ascii="Calibri" w:cs="Calibri" w:eastAsia="Calibri" w:hAnsi="Calibri"/>
                <w:sz w:val="16"/>
                <w:szCs w:val="16"/>
                <w:color w:val="auto"/>
              </w:rPr>
              <w:t>1</w:t>
            </w:r>
          </w:p>
        </w:tc>
        <w:tc>
          <w:tcPr>
            <w:tcW w:w="1260" w:type="dxa"/>
            <w:vAlign w:val="bottom"/>
          </w:tcPr>
          <w:p>
            <w:pPr>
              <w:jc w:val="right"/>
              <w:ind w:right="279"/>
              <w:spacing w:after="0"/>
              <w:rPr>
                <w:sz w:val="20"/>
                <w:szCs w:val="20"/>
                <w:color w:val="auto"/>
              </w:rPr>
            </w:pPr>
            <w:r>
              <w:rPr>
                <w:rFonts w:ascii="Calibri" w:cs="Calibri" w:eastAsia="Calibri" w:hAnsi="Calibri"/>
                <w:sz w:val="16"/>
                <w:szCs w:val="16"/>
                <w:color w:val="auto"/>
              </w:rPr>
              <w:t>2</w:t>
            </w:r>
          </w:p>
        </w:tc>
        <w:tc>
          <w:tcPr>
            <w:tcW w:w="136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28</w:t>
            </w:r>
          </w:p>
        </w:tc>
      </w:tr>
      <w:tr>
        <w:trPr>
          <w:trHeight w:val="21"/>
        </w:trPr>
        <w:tc>
          <w:tcPr>
            <w:tcW w:w="28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33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2240" w:type="dxa"/>
            <w:vAlign w:val="bottom"/>
            <w:tcBorders>
              <w:bottom w:val="single" w:sz="8" w:color="auto"/>
            </w:tcBorders>
          </w:tcPr>
          <w:p>
            <w:pPr>
              <w:jc w:val="right"/>
              <w:ind w:right="319"/>
              <w:spacing w:after="0" w:line="192" w:lineRule="exact"/>
              <w:rPr>
                <w:sz w:val="20"/>
                <w:szCs w:val="20"/>
                <w:color w:val="auto"/>
              </w:rPr>
            </w:pPr>
            <w:r>
              <w:rPr>
                <w:rFonts w:ascii="Calibri" w:cs="Calibri" w:eastAsia="Calibri" w:hAnsi="Calibri"/>
                <w:sz w:val="16"/>
                <w:szCs w:val="16"/>
                <w:b w:val="1"/>
                <w:bCs w:val="1"/>
                <w:color w:val="auto"/>
              </w:rPr>
              <w:t>32,440</w:t>
            </w:r>
          </w:p>
        </w:tc>
        <w:tc>
          <w:tcPr>
            <w:tcW w:w="126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1,668</w:t>
            </w:r>
          </w:p>
        </w:tc>
        <w:tc>
          <w:tcPr>
            <w:tcW w:w="1260" w:type="dxa"/>
            <w:vAlign w:val="bottom"/>
            <w:tcBorders>
              <w:bottom w:val="single" w:sz="8" w:color="auto"/>
            </w:tcBorders>
          </w:tcPr>
          <w:p>
            <w:pPr>
              <w:jc w:val="right"/>
              <w:ind w:right="279"/>
              <w:spacing w:after="0" w:line="192" w:lineRule="exact"/>
              <w:rPr>
                <w:sz w:val="20"/>
                <w:szCs w:val="20"/>
                <w:color w:val="auto"/>
              </w:rPr>
            </w:pPr>
            <w:r>
              <w:rPr>
                <w:rFonts w:ascii="Calibri" w:cs="Calibri" w:eastAsia="Calibri" w:hAnsi="Calibri"/>
                <w:sz w:val="16"/>
                <w:szCs w:val="16"/>
                <w:b w:val="1"/>
                <w:bCs w:val="1"/>
                <w:color w:val="auto"/>
              </w:rPr>
              <w:t>1,381</w:t>
            </w:r>
          </w:p>
        </w:tc>
        <w:tc>
          <w:tcPr>
            <w:tcW w:w="136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74</w:t>
            </w:r>
          </w:p>
        </w:tc>
        <w:tc>
          <w:tcPr>
            <w:tcW w:w="9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35,563</w:t>
            </w:r>
          </w:p>
        </w:tc>
      </w:tr>
      <w:tr>
        <w:trPr>
          <w:trHeight w:val="402"/>
        </w:trPr>
        <w:tc>
          <w:tcPr>
            <w:tcW w:w="28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color w:val="auto"/>
              </w:rPr>
              <w:t>Amortzaton charge</w:t>
            </w:r>
          </w:p>
        </w:tc>
        <w:tc>
          <w:tcPr>
            <w:tcW w:w="2240" w:type="dxa"/>
            <w:vAlign w:val="bottom"/>
          </w:tcPr>
          <w:p>
            <w:pPr>
              <w:jc w:val="right"/>
              <w:ind w:right="31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79"/>
              <w:spacing w:after="0"/>
              <w:rPr>
                <w:sz w:val="20"/>
                <w:szCs w:val="20"/>
                <w:color w:val="auto"/>
              </w:rPr>
            </w:pPr>
            <w:r>
              <w:rPr>
                <w:rFonts w:ascii="Calibri" w:cs="Calibri" w:eastAsia="Calibri" w:hAnsi="Calibri"/>
                <w:sz w:val="16"/>
                <w:szCs w:val="16"/>
                <w:color w:val="auto"/>
              </w:rPr>
              <w:t>19</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18</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37</w:t>
            </w:r>
          </w:p>
        </w:tc>
      </w:tr>
      <w:tr>
        <w:trPr>
          <w:trHeight w:val="21"/>
        </w:trPr>
        <w:tc>
          <w:tcPr>
            <w:tcW w:w="28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3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2023</w:t>
            </w:r>
          </w:p>
        </w:tc>
        <w:tc>
          <w:tcPr>
            <w:tcW w:w="2240" w:type="dxa"/>
            <w:vAlign w:val="bottom"/>
          </w:tcPr>
          <w:p>
            <w:pPr>
              <w:jc w:val="right"/>
              <w:ind w:right="319"/>
              <w:spacing w:after="0" w:line="185" w:lineRule="exact"/>
              <w:rPr>
                <w:sz w:val="20"/>
                <w:szCs w:val="20"/>
                <w:color w:val="auto"/>
              </w:rPr>
            </w:pPr>
            <w:r>
              <w:rPr>
                <w:rFonts w:ascii="Calibri" w:cs="Calibri" w:eastAsia="Calibri" w:hAnsi="Calibri"/>
                <w:sz w:val="16"/>
                <w:szCs w:val="16"/>
                <w:b w:val="1"/>
                <w:bCs w:val="1"/>
                <w:color w:val="auto"/>
              </w:rPr>
              <w:t>—</w:t>
            </w:r>
          </w:p>
        </w:tc>
        <w:tc>
          <w:tcPr>
            <w:tcW w:w="126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w:t>
            </w:r>
          </w:p>
        </w:tc>
        <w:tc>
          <w:tcPr>
            <w:tcW w:w="1260" w:type="dxa"/>
            <w:vAlign w:val="bottom"/>
          </w:tcPr>
          <w:p>
            <w:pPr>
              <w:jc w:val="right"/>
              <w:ind w:right="279"/>
              <w:spacing w:after="0" w:line="185" w:lineRule="exact"/>
              <w:rPr>
                <w:sz w:val="20"/>
                <w:szCs w:val="20"/>
                <w:color w:val="auto"/>
              </w:rPr>
            </w:pPr>
            <w:r>
              <w:rPr>
                <w:rFonts w:ascii="Calibri" w:cs="Calibri" w:eastAsia="Calibri" w:hAnsi="Calibri"/>
                <w:sz w:val="16"/>
                <w:szCs w:val="16"/>
                <w:b w:val="1"/>
                <w:bCs w:val="1"/>
                <w:color w:val="auto"/>
              </w:rPr>
              <w:t>19</w:t>
            </w:r>
          </w:p>
        </w:tc>
        <w:tc>
          <w:tcPr>
            <w:tcW w:w="136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18</w:t>
            </w:r>
          </w:p>
        </w:tc>
        <w:tc>
          <w:tcPr>
            <w:tcW w:w="9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37</w:t>
            </w:r>
          </w:p>
        </w:tc>
      </w:tr>
      <w:tr>
        <w:trPr>
          <w:trHeight w:val="198"/>
        </w:trPr>
        <w:tc>
          <w:tcPr>
            <w:tcW w:w="2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Calibri" w:cs="Calibri" w:eastAsia="Calibri" w:hAnsi="Calibri"/>
                <w:sz w:val="16"/>
                <w:szCs w:val="16"/>
                <w:color w:val="auto"/>
              </w:rPr>
              <w:t>Amortzaton charge</w:t>
            </w:r>
          </w:p>
        </w:tc>
        <w:tc>
          <w:tcPr>
            <w:tcW w:w="2240" w:type="dxa"/>
            <w:vAlign w:val="bottom"/>
          </w:tcPr>
          <w:p>
            <w:pPr>
              <w:jc w:val="right"/>
              <w:ind w:right="31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260" w:type="dxa"/>
            <w:vAlign w:val="bottom"/>
          </w:tcPr>
          <w:p>
            <w:pPr>
              <w:jc w:val="right"/>
              <w:ind w:right="279"/>
              <w:spacing w:after="0"/>
              <w:rPr>
                <w:sz w:val="20"/>
                <w:szCs w:val="20"/>
                <w:color w:val="auto"/>
              </w:rPr>
            </w:pPr>
            <w:r>
              <w:rPr>
                <w:rFonts w:ascii="Calibri" w:cs="Calibri" w:eastAsia="Calibri" w:hAnsi="Calibri"/>
                <w:sz w:val="16"/>
                <w:szCs w:val="16"/>
                <w:color w:val="auto"/>
              </w:rPr>
              <w:t>37</w:t>
            </w:r>
          </w:p>
        </w:tc>
        <w:tc>
          <w:tcPr>
            <w:tcW w:w="1360" w:type="dxa"/>
            <w:vAlign w:val="bottom"/>
          </w:tcPr>
          <w:p>
            <w:pPr>
              <w:jc w:val="right"/>
              <w:ind w:right="359"/>
              <w:spacing w:after="0"/>
              <w:rPr>
                <w:sz w:val="20"/>
                <w:szCs w:val="20"/>
                <w:color w:val="auto"/>
              </w:rPr>
            </w:pPr>
            <w:r>
              <w:rPr>
                <w:rFonts w:ascii="Calibri" w:cs="Calibri" w:eastAsia="Calibri" w:hAnsi="Calibri"/>
                <w:sz w:val="16"/>
                <w:szCs w:val="16"/>
                <w:color w:val="auto"/>
              </w:rPr>
              <w:t>24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61</w:t>
            </w:r>
          </w:p>
        </w:tc>
      </w:tr>
      <w:tr>
        <w:trPr>
          <w:trHeight w:val="21"/>
        </w:trPr>
        <w:tc>
          <w:tcPr>
            <w:tcW w:w="28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33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2240" w:type="dxa"/>
            <w:vAlign w:val="bottom"/>
            <w:tcBorders>
              <w:bottom w:val="single" w:sz="8" w:color="auto"/>
            </w:tcBorders>
          </w:tcPr>
          <w:p>
            <w:pPr>
              <w:jc w:val="right"/>
              <w:ind w:right="319"/>
              <w:spacing w:after="0" w:line="192"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bottom w:val="single" w:sz="8" w:color="auto"/>
            </w:tcBorders>
          </w:tcPr>
          <w:p>
            <w:pPr>
              <w:jc w:val="right"/>
              <w:ind w:right="279"/>
              <w:spacing w:after="0" w:line="192" w:lineRule="exact"/>
              <w:rPr>
                <w:sz w:val="20"/>
                <w:szCs w:val="20"/>
                <w:color w:val="auto"/>
              </w:rPr>
            </w:pPr>
            <w:r>
              <w:rPr>
                <w:rFonts w:ascii="Calibri" w:cs="Calibri" w:eastAsia="Calibri" w:hAnsi="Calibri"/>
                <w:sz w:val="16"/>
                <w:szCs w:val="16"/>
                <w:b w:val="1"/>
                <w:bCs w:val="1"/>
                <w:color w:val="auto"/>
              </w:rPr>
              <w:t>56</w:t>
            </w:r>
          </w:p>
        </w:tc>
        <w:tc>
          <w:tcPr>
            <w:tcW w:w="136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42</w:t>
            </w:r>
          </w:p>
        </w:tc>
        <w:tc>
          <w:tcPr>
            <w:tcW w:w="9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98</w:t>
            </w:r>
          </w:p>
        </w:tc>
      </w:tr>
      <w:tr>
        <w:trPr>
          <w:trHeight w:val="217"/>
        </w:trPr>
        <w:tc>
          <w:tcPr>
            <w:tcW w:w="28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33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2023</w:t>
            </w:r>
          </w:p>
        </w:tc>
        <w:tc>
          <w:tcPr>
            <w:tcW w:w="2240" w:type="dxa"/>
            <w:vAlign w:val="bottom"/>
            <w:tcBorders>
              <w:bottom w:val="single" w:sz="8" w:color="auto"/>
            </w:tcBorders>
          </w:tcPr>
          <w:p>
            <w:pPr>
              <w:jc w:val="right"/>
              <w:ind w:right="319"/>
              <w:spacing w:after="0" w:line="192" w:lineRule="exact"/>
              <w:rPr>
                <w:sz w:val="20"/>
                <w:szCs w:val="20"/>
                <w:color w:val="auto"/>
              </w:rPr>
            </w:pPr>
            <w:r>
              <w:rPr>
                <w:rFonts w:ascii="Calibri" w:cs="Calibri" w:eastAsia="Calibri" w:hAnsi="Calibri"/>
                <w:sz w:val="16"/>
                <w:szCs w:val="16"/>
                <w:b w:val="1"/>
                <w:bCs w:val="1"/>
                <w:color w:val="auto"/>
              </w:rPr>
              <w:t>3,076</w:t>
            </w:r>
          </w:p>
        </w:tc>
        <w:tc>
          <w:tcPr>
            <w:tcW w:w="126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978</w:t>
            </w:r>
          </w:p>
        </w:tc>
        <w:tc>
          <w:tcPr>
            <w:tcW w:w="1260" w:type="dxa"/>
            <w:vAlign w:val="bottom"/>
            <w:tcBorders>
              <w:bottom w:val="single" w:sz="8" w:color="auto"/>
            </w:tcBorders>
          </w:tcPr>
          <w:p>
            <w:pPr>
              <w:jc w:val="right"/>
              <w:ind w:right="279"/>
              <w:spacing w:after="0" w:line="192" w:lineRule="exact"/>
              <w:rPr>
                <w:sz w:val="20"/>
                <w:szCs w:val="20"/>
                <w:color w:val="auto"/>
              </w:rPr>
            </w:pPr>
            <w:r>
              <w:rPr>
                <w:rFonts w:ascii="Calibri" w:cs="Calibri" w:eastAsia="Calibri" w:hAnsi="Calibri"/>
                <w:sz w:val="16"/>
                <w:szCs w:val="16"/>
                <w:b w:val="1"/>
                <w:bCs w:val="1"/>
                <w:color w:val="auto"/>
              </w:rPr>
              <w:t>1,360</w:t>
            </w:r>
          </w:p>
        </w:tc>
        <w:tc>
          <w:tcPr>
            <w:tcW w:w="136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56</w:t>
            </w:r>
          </w:p>
        </w:tc>
        <w:tc>
          <w:tcPr>
            <w:tcW w:w="9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5,470</w:t>
            </w:r>
          </w:p>
        </w:tc>
      </w:tr>
      <w:tr>
        <w:trPr>
          <w:trHeight w:val="198"/>
        </w:trPr>
        <w:tc>
          <w:tcPr>
            <w:tcW w:w="280" w:type="dxa"/>
            <w:vAlign w:val="bottom"/>
          </w:tcPr>
          <w:p>
            <w:pPr>
              <w:spacing w:after="0"/>
              <w:rPr>
                <w:sz w:val="17"/>
                <w:szCs w:val="17"/>
                <w:color w:val="auto"/>
              </w:rPr>
            </w:pPr>
          </w:p>
        </w:tc>
        <w:tc>
          <w:tcPr>
            <w:tcW w:w="33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March 31, 2024</w:t>
            </w:r>
          </w:p>
        </w:tc>
        <w:tc>
          <w:tcPr>
            <w:tcW w:w="2240" w:type="dxa"/>
            <w:vAlign w:val="bottom"/>
            <w:tcBorders>
              <w:bottom w:val="single" w:sz="8" w:color="auto"/>
            </w:tcBorders>
          </w:tcPr>
          <w:p>
            <w:pPr>
              <w:jc w:val="right"/>
              <w:ind w:right="319"/>
              <w:spacing w:after="0" w:line="193" w:lineRule="exact"/>
              <w:rPr>
                <w:sz w:val="20"/>
                <w:szCs w:val="20"/>
                <w:color w:val="auto"/>
              </w:rPr>
            </w:pPr>
            <w:r>
              <w:rPr>
                <w:rFonts w:ascii="Calibri" w:cs="Calibri" w:eastAsia="Calibri" w:hAnsi="Calibri"/>
                <w:sz w:val="16"/>
                <w:szCs w:val="16"/>
                <w:b w:val="1"/>
                <w:bCs w:val="1"/>
                <w:color w:val="auto"/>
              </w:rPr>
              <w:t>32,440</w:t>
            </w:r>
          </w:p>
        </w:tc>
        <w:tc>
          <w:tcPr>
            <w:tcW w:w="126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b w:val="1"/>
                <w:bCs w:val="1"/>
                <w:color w:val="auto"/>
              </w:rPr>
              <w:t>1,668</w:t>
            </w:r>
          </w:p>
        </w:tc>
        <w:tc>
          <w:tcPr>
            <w:tcW w:w="1260" w:type="dxa"/>
            <w:vAlign w:val="bottom"/>
            <w:tcBorders>
              <w:bottom w:val="single" w:sz="8" w:color="auto"/>
            </w:tcBorders>
          </w:tcPr>
          <w:p>
            <w:pPr>
              <w:jc w:val="right"/>
              <w:ind w:right="279"/>
              <w:spacing w:after="0" w:line="193" w:lineRule="exact"/>
              <w:rPr>
                <w:sz w:val="20"/>
                <w:szCs w:val="20"/>
                <w:color w:val="auto"/>
              </w:rPr>
            </w:pPr>
            <w:r>
              <w:rPr>
                <w:rFonts w:ascii="Calibri" w:cs="Calibri" w:eastAsia="Calibri" w:hAnsi="Calibri"/>
                <w:sz w:val="16"/>
                <w:szCs w:val="16"/>
                <w:b w:val="1"/>
                <w:bCs w:val="1"/>
                <w:color w:val="auto"/>
              </w:rPr>
              <w:t>1,325</w:t>
            </w:r>
          </w:p>
        </w:tc>
        <w:tc>
          <w:tcPr>
            <w:tcW w:w="1360" w:type="dxa"/>
            <w:vAlign w:val="bottom"/>
            <w:tcBorders>
              <w:bottom w:val="single" w:sz="8" w:color="auto"/>
            </w:tcBorders>
          </w:tcPr>
          <w:p>
            <w:pPr>
              <w:jc w:val="right"/>
              <w:ind w:right="359"/>
              <w:spacing w:after="0" w:line="193" w:lineRule="exact"/>
              <w:rPr>
                <w:sz w:val="20"/>
                <w:szCs w:val="20"/>
                <w:color w:val="auto"/>
              </w:rPr>
            </w:pPr>
            <w:r>
              <w:rPr>
                <w:rFonts w:ascii="Calibri" w:cs="Calibri" w:eastAsia="Calibri" w:hAnsi="Calibri"/>
                <w:sz w:val="16"/>
                <w:szCs w:val="16"/>
                <w:b w:val="1"/>
                <w:bCs w:val="1"/>
                <w:color w:val="auto"/>
              </w:rPr>
              <w:t>32</w:t>
            </w:r>
          </w:p>
        </w:tc>
        <w:tc>
          <w:tcPr>
            <w:tcW w:w="9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35,465</w:t>
            </w:r>
          </w:p>
        </w:tc>
      </w:tr>
    </w:tbl>
    <w:p>
      <w:pPr>
        <w:spacing w:after="0" w:line="22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IP Research &amp; Development</w:t>
      </w:r>
    </w:p>
    <w:p>
      <w:pPr>
        <w:spacing w:after="0" w:line="156"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See note 4 for informaton on the Small Pharma Acquisiton.</w:t>
      </w:r>
    </w:p>
    <w:p>
      <w:pPr>
        <w:spacing w:after="0" w:line="158" w:lineRule="exact"/>
        <w:rPr>
          <w:sz w:val="20"/>
          <w:szCs w:val="20"/>
          <w:color w:val="auto"/>
        </w:rPr>
      </w:pPr>
    </w:p>
    <w:p>
      <w:pPr>
        <w:jc w:val="both"/>
        <w:ind w:left="280" w:right="20"/>
        <w:spacing w:after="0" w:line="238" w:lineRule="auto"/>
        <w:rPr>
          <w:sz w:val="20"/>
          <w:szCs w:val="20"/>
          <w:color w:val="auto"/>
        </w:rPr>
      </w:pPr>
      <w:r>
        <w:rPr>
          <w:rFonts w:ascii="Calibri" w:cs="Calibri" w:eastAsia="Calibri" w:hAnsi="Calibri"/>
          <w:sz w:val="16"/>
          <w:szCs w:val="16"/>
          <w:color w:val="auto"/>
        </w:rPr>
        <w:t>On July 11, 2022, the Company completed the acquisiton of a Phase 1 N,N-dimethyltryptamine (“DMT”) study (the “DMT Acquisiton”) from Entheon Biomedical Corp. to accelerate the clinical development path for CYB004, Cybin’s proprietary deuterated DMT molecule for the potental treatment of anxiety disorders. The Company paid $1,000 for the DMT Acquisiton, and assumed liabilites of $342.</w:t>
      </w:r>
    </w:p>
    <w:p>
      <w:pPr>
        <w:spacing w:after="0" w:line="16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Licenses</w:t>
      </w:r>
    </w:p>
    <w:p>
      <w:pPr>
        <w:spacing w:after="0" w:line="158"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During the year ended March 31, 2023, the Company entered into multple licensing agreements that provide Cybin with additonal access to IP from over 15 more patents or patent applicatons, including the acquisiton of an exclusive license to a targeted class of tryptamine-based molecules from Mindset Pharma Inc. (“Mindset”), for which it paid a one-tme license fee of $680 (US$500). The licensing agreements collectvely provide the Company with access to a broad range of preclinical molecule combinatons for its library of psychedelic derivatve drug development candidates. In additon to the exclusive license with Mindset, the Company spent an additonal $650 on a licensing agreement.</w:t>
      </w:r>
    </w:p>
    <w:p>
      <w:pPr>
        <w:spacing w:after="0" w:line="157"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Patents</w:t>
      </w:r>
    </w:p>
    <w:p>
      <w:pPr>
        <w:spacing w:after="0" w:line="16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Costs associated with patent procurement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45" w:name="page46"/>
    <w:bookmarkEnd w:id="4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2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Impairment</w:t>
      </w:r>
    </w:p>
    <w:p>
      <w:pPr>
        <w:spacing w:after="0" w:line="171"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The Company performed its annual impairment test of intangible assets not yet in use at March 31, 2024. The recoverable amount was determined based on the relief from royalty method to arrive at the value-in-use (“VIU”). The Company considered an estmate of future revenues and a reasonable royalty rate to apply to fnancial projectons based on the current budget and future commercializaton plans. In assessing the VIU, estmated future cash fows are discounted to their present value using a discount rate that refects the assessment of royalty and business opportunites and risk as well as the market potental. The VIU calculatons were performed using a pre-tax discount rate of 15.7% and an estmated useful life of 15 years. Based on the Company’s assessment, the recoverable amount is higher than the carrying value and therefore no impairment loss was recorded for the year ended March 31, 2024.</w:t>
      </w:r>
    </w:p>
    <w:p>
      <w:pPr>
        <w:sectPr>
          <w:pgSz w:w="11900" w:h="16838" w:orient="portrait"/>
          <w:cols w:equalWidth="0" w:num="1">
            <w:col w:w="11240"/>
          </w:cols>
          <w:pgMar w:left="320" w:top="162" w:right="339" w:bottom="1440" w:gutter="0" w:footer="0" w:header="0"/>
        </w:sectPr>
      </w:pPr>
    </w:p>
    <w:p>
      <w:pPr>
        <w:spacing w:after="0" w:line="15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7. LEASES</w:t>
      </w:r>
    </w:p>
    <w:p>
      <w:pPr>
        <w:spacing w:after="0" w:line="16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32804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8041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2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6"/>
        </w:trPr>
        <w:tc>
          <w:tcPr>
            <w:tcW w:w="3020" w:type="dxa"/>
            <w:vAlign w:val="bottom"/>
          </w:tcPr>
          <w:p>
            <w:pPr>
              <w:ind w:left="20"/>
              <w:spacing w:after="0"/>
              <w:rPr>
                <w:sz w:val="20"/>
                <w:szCs w:val="20"/>
                <w:color w:val="auto"/>
              </w:rPr>
            </w:pPr>
            <w:r>
              <w:rPr>
                <w:rFonts w:ascii="Calibri" w:cs="Calibri" w:eastAsia="Calibri" w:hAnsi="Calibri"/>
                <w:sz w:val="16"/>
                <w:szCs w:val="16"/>
                <w:color w:val="auto"/>
              </w:rPr>
              <w:t>Balance as at March 31, 2023</w:t>
            </w:r>
          </w:p>
        </w:tc>
        <w:tc>
          <w:tcPr>
            <w:tcW w:w="142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6"/>
        </w:trPr>
        <w:tc>
          <w:tcPr>
            <w:tcW w:w="30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142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412</w:t>
            </w:r>
          </w:p>
        </w:tc>
      </w:tr>
      <w:tr>
        <w:trPr>
          <w:trHeight w:val="206"/>
        </w:trPr>
        <w:tc>
          <w:tcPr>
            <w:tcW w:w="30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2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12</w:t>
            </w: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2"/>
        </w:trPr>
        <w:tc>
          <w:tcPr>
            <w:tcW w:w="30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142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w:t>
            </w:r>
          </w:p>
        </w:tc>
        <w:tc>
          <w:tcPr>
            <w:tcW w:w="7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424</w:t>
            </w:r>
          </w:p>
        </w:tc>
      </w:tr>
      <w:tr>
        <w:trPr>
          <w:trHeight w:val="415"/>
        </w:trPr>
        <w:tc>
          <w:tcPr>
            <w:tcW w:w="30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Calibri" w:cs="Calibri" w:eastAsia="Calibri" w:hAnsi="Calibri"/>
                <w:sz w:val="16"/>
                <w:szCs w:val="16"/>
                <w:color w:val="auto"/>
              </w:rPr>
              <w:t>Balance as at March 31, 2023</w:t>
            </w:r>
          </w:p>
        </w:tc>
        <w:tc>
          <w:tcPr>
            <w:tcW w:w="142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302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142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140</w:t>
            </w:r>
          </w:p>
        </w:tc>
      </w:tr>
      <w:tr>
        <w:trPr>
          <w:trHeight w:val="206"/>
        </w:trPr>
        <w:tc>
          <w:tcPr>
            <w:tcW w:w="30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420" w:type="dxa"/>
            <w:vAlign w:val="bottom"/>
          </w:tcPr>
          <w:p>
            <w:pPr>
              <w:jc w:val="right"/>
              <w:ind w:right="339"/>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2"/>
        </w:trPr>
        <w:tc>
          <w:tcPr>
            <w:tcW w:w="30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142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w:t>
            </w:r>
          </w:p>
        </w:tc>
        <w:tc>
          <w:tcPr>
            <w:tcW w:w="7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143</w:t>
            </w:r>
          </w:p>
        </w:tc>
      </w:tr>
      <w:tr>
        <w:trPr>
          <w:trHeight w:val="229"/>
        </w:trPr>
        <w:tc>
          <w:tcPr>
            <w:tcW w:w="30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92"/>
        </w:trPr>
        <w:tc>
          <w:tcPr>
            <w:tcW w:w="30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March 31, 2024</w:t>
            </w:r>
          </w:p>
        </w:tc>
        <w:tc>
          <w:tcPr>
            <w:tcW w:w="142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w:t>
            </w:r>
          </w:p>
        </w:tc>
        <w:tc>
          <w:tcPr>
            <w:tcW w:w="7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281</w:t>
            </w:r>
          </w:p>
        </w:tc>
      </w:tr>
    </w:tbl>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28803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80360" cy="76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2023</w:t>
            </w:r>
          </w:p>
        </w:tc>
        <w:tc>
          <w:tcPr>
            <w:tcW w:w="1160" w:type="dxa"/>
            <w:vAlign w:val="bottom"/>
          </w:tcPr>
          <w:p>
            <w:pPr>
              <w:jc w:val="right"/>
              <w:ind w:right="239"/>
              <w:spacing w:after="0"/>
              <w:rPr>
                <w:sz w:val="20"/>
                <w:szCs w:val="20"/>
                <w:color w:val="auto"/>
              </w:rPr>
            </w:pPr>
            <w:r>
              <w:rPr>
                <w:rFonts w:ascii="Calibri" w:cs="Calibri" w:eastAsia="Calibri" w:hAnsi="Calibri"/>
                <w:sz w:val="16"/>
                <w:szCs w:val="16"/>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6"/>
        </w:trPr>
        <w:tc>
          <w:tcPr>
            <w:tcW w:w="270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415</w:t>
            </w:r>
          </w:p>
        </w:tc>
      </w:tr>
      <w:tr>
        <w:trPr>
          <w:trHeight w:val="206"/>
        </w:trPr>
        <w:tc>
          <w:tcPr>
            <w:tcW w:w="2700" w:type="dxa"/>
            <w:vAlign w:val="bottom"/>
          </w:tcPr>
          <w:p>
            <w:pPr>
              <w:ind w:left="20"/>
              <w:spacing w:after="0"/>
              <w:rPr>
                <w:sz w:val="20"/>
                <w:szCs w:val="20"/>
                <w:color w:val="auto"/>
              </w:rPr>
            </w:pPr>
            <w:r>
              <w:rPr>
                <w:rFonts w:ascii="Calibri" w:cs="Calibri" w:eastAsia="Calibri" w:hAnsi="Calibri"/>
                <w:sz w:val="16"/>
                <w:szCs w:val="16"/>
                <w:color w:val="auto"/>
              </w:rPr>
              <w:t>Interest accreton</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8</w:t>
            </w:r>
          </w:p>
        </w:tc>
      </w:tr>
      <w:tr>
        <w:trPr>
          <w:trHeight w:val="206"/>
        </w:trPr>
        <w:tc>
          <w:tcPr>
            <w:tcW w:w="270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17</w:t>
            </w:r>
          </w:p>
        </w:tc>
      </w:tr>
      <w:tr>
        <w:trPr>
          <w:trHeight w:val="206"/>
        </w:trPr>
        <w:tc>
          <w:tcPr>
            <w:tcW w:w="2700" w:type="dxa"/>
            <w:vAlign w:val="bottom"/>
          </w:tcPr>
          <w:p>
            <w:pPr>
              <w:ind w:left="20"/>
              <w:spacing w:after="0"/>
              <w:rPr>
                <w:sz w:val="20"/>
                <w:szCs w:val="20"/>
                <w:color w:val="auto"/>
              </w:rPr>
            </w:pPr>
            <w:r>
              <w:rPr>
                <w:rFonts w:ascii="Calibri" w:cs="Calibri" w:eastAsia="Calibri" w:hAnsi="Calibri"/>
                <w:sz w:val="16"/>
                <w:szCs w:val="16"/>
                <w:color w:val="auto"/>
              </w:rPr>
              <w:t>Payments</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(149)</w:t>
            </w:r>
          </w:p>
        </w:tc>
      </w:tr>
      <w:tr>
        <w:trPr>
          <w:trHeight w:val="21"/>
        </w:trPr>
        <w:tc>
          <w:tcPr>
            <w:tcW w:w="2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2"/>
        </w:trPr>
        <w:tc>
          <w:tcPr>
            <w:tcW w:w="27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291</w:t>
            </w:r>
          </w:p>
        </w:tc>
      </w:tr>
      <w:tr>
        <w:trPr>
          <w:trHeight w:val="229"/>
        </w:trPr>
        <w:tc>
          <w:tcPr>
            <w:tcW w:w="2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192"/>
        </w:trPr>
        <w:tc>
          <w:tcPr>
            <w:tcW w:w="27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Current lease liabilites</w:t>
            </w:r>
          </w:p>
        </w:tc>
        <w:tc>
          <w:tcPr>
            <w:tcW w:w="1160" w:type="dxa"/>
            <w:vAlign w:val="bottom"/>
            <w:tcBorders>
              <w:bottom w:val="single" w:sz="8" w:color="auto"/>
            </w:tcBorders>
          </w:tcPr>
          <w:p>
            <w:pPr>
              <w:jc w:val="right"/>
              <w:ind w:right="239"/>
              <w:spacing w:after="0" w:line="192" w:lineRule="exact"/>
              <w:rPr>
                <w:sz w:val="20"/>
                <w:szCs w:val="20"/>
                <w:color w:val="auto"/>
              </w:rPr>
            </w:pPr>
            <w:r>
              <w:rPr>
                <w:rFonts w:ascii="Calibri" w:cs="Calibri" w:eastAsia="Calibri" w:hAnsi="Calibri"/>
                <w:sz w:val="16"/>
                <w:szCs w:val="16"/>
                <w:b w:val="1"/>
                <w:bCs w:val="1"/>
                <w:color w:val="auto"/>
              </w:rPr>
              <w:t>$</w:t>
            </w:r>
          </w:p>
        </w:tc>
        <w:tc>
          <w:tcPr>
            <w:tcW w:w="6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291</w:t>
            </w:r>
          </w:p>
        </w:tc>
      </w:tr>
    </w:tbl>
    <w:p>
      <w:pPr>
        <w:spacing w:after="0" w:line="1412" w:lineRule="exact"/>
        <w:rPr>
          <w:sz w:val="20"/>
          <w:szCs w:val="20"/>
          <w:color w:val="auto"/>
        </w:rPr>
      </w:pPr>
    </w:p>
    <w:p>
      <w:pPr>
        <w:sectPr>
          <w:pgSz w:w="11900" w:h="16838" w:orient="portrait"/>
          <w:cols w:equalWidth="0" w:num="2">
            <w:col w:w="5160" w:space="260"/>
            <w:col w:w="5820"/>
          </w:cols>
          <w:pgMar w:left="320" w:top="1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Page 30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68580</wp:posOffset>
            </wp:positionV>
            <wp:extent cx="717169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46" w:name="page47"/>
    <w:bookmarkEnd w:id="4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60" w:type="dxa"/>
            <w:vAlign w:val="bottom"/>
            <w:gridSpan w:val="2"/>
          </w:tcPr>
          <w:p>
            <w:pPr>
              <w:spacing w:after="0"/>
              <w:rPr>
                <w:sz w:val="20"/>
                <w:szCs w:val="20"/>
                <w:color w:val="auto"/>
              </w:rPr>
            </w:pPr>
            <w:r>
              <w:rPr>
                <w:rFonts w:ascii="Calibri" w:cs="Calibri" w:eastAsia="Calibri" w:hAnsi="Calibri"/>
                <w:sz w:val="16"/>
                <w:szCs w:val="16"/>
                <w:b w:val="1"/>
                <w:bCs w:val="1"/>
                <w:color w:val="2D5F91"/>
              </w:rPr>
              <w:t>8.  GOODWILL</w:t>
            </w:r>
          </w:p>
        </w:tc>
        <w:tc>
          <w:tcPr>
            <w:tcW w:w="1580" w:type="dxa"/>
            <w:vAlign w:val="bottom"/>
          </w:tcPr>
          <w:p>
            <w:pPr>
              <w:spacing w:after="0"/>
              <w:rPr>
                <w:sz w:val="16"/>
                <w:szCs w:val="16"/>
                <w:color w:val="auto"/>
              </w:rPr>
            </w:pPr>
          </w:p>
        </w:tc>
      </w:tr>
      <w:tr>
        <w:trPr>
          <w:trHeight w:val="364"/>
        </w:trPr>
        <w:tc>
          <w:tcPr>
            <w:tcW w:w="140" w:type="dxa"/>
            <w:vAlign w:val="bottom"/>
          </w:tcPr>
          <w:p>
            <w:pPr>
              <w:spacing w:after="0"/>
              <w:rPr>
                <w:sz w:val="24"/>
                <w:szCs w:val="24"/>
                <w:color w:val="auto"/>
              </w:rPr>
            </w:pPr>
          </w:p>
        </w:tc>
        <w:tc>
          <w:tcPr>
            <w:tcW w:w="9320" w:type="dxa"/>
            <w:vAlign w:val="bottom"/>
          </w:tcPr>
          <w:p>
            <w:pPr>
              <w:ind w:left="140"/>
              <w:spacing w:after="0"/>
              <w:rPr>
                <w:sz w:val="20"/>
                <w:szCs w:val="20"/>
                <w:color w:val="auto"/>
              </w:rPr>
            </w:pPr>
            <w:r>
              <w:rPr>
                <w:rFonts w:ascii="Calibri" w:cs="Calibri" w:eastAsia="Calibri" w:hAnsi="Calibri"/>
                <w:sz w:val="16"/>
                <w:szCs w:val="16"/>
                <w:color w:val="auto"/>
              </w:rPr>
              <w:t>Goodwill is recognized at the acquisiton date when total consideraton exceeds the net identfable assets acquired.</w:t>
            </w:r>
          </w:p>
        </w:tc>
        <w:tc>
          <w:tcPr>
            <w:tcW w:w="1580" w:type="dxa"/>
            <w:vAlign w:val="bottom"/>
          </w:tcPr>
          <w:p>
            <w:pPr>
              <w:spacing w:after="0"/>
              <w:rPr>
                <w:sz w:val="24"/>
                <w:szCs w:val="24"/>
                <w:color w:val="auto"/>
              </w:rPr>
            </w:pPr>
          </w:p>
        </w:tc>
      </w:tr>
      <w:tr>
        <w:trPr>
          <w:trHeight w:val="449"/>
        </w:trPr>
        <w:tc>
          <w:tcPr>
            <w:tcW w:w="140" w:type="dxa"/>
            <w:vAlign w:val="bottom"/>
          </w:tcPr>
          <w:p>
            <w:pPr>
              <w:spacing w:after="0"/>
              <w:rPr>
                <w:sz w:val="24"/>
                <w:szCs w:val="24"/>
                <w:color w:val="auto"/>
              </w:rPr>
            </w:pPr>
          </w:p>
        </w:tc>
        <w:tc>
          <w:tcPr>
            <w:tcW w:w="932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140" w:type="dxa"/>
            <w:vAlign w:val="bottom"/>
          </w:tcPr>
          <w:p>
            <w:pPr>
              <w:spacing w:after="0" w:line="20" w:lineRule="exact"/>
              <w:rPr>
                <w:sz w:val="1"/>
                <w:szCs w:val="1"/>
                <w:color w:val="auto"/>
              </w:rPr>
            </w:pPr>
          </w:p>
        </w:tc>
        <w:tc>
          <w:tcPr>
            <w:tcW w:w="9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5"/>
        </w:trPr>
        <w:tc>
          <w:tcPr>
            <w:tcW w:w="140" w:type="dxa"/>
            <w:vAlign w:val="bottom"/>
          </w:tcPr>
          <w:p>
            <w:pPr>
              <w:spacing w:after="0"/>
              <w:rPr>
                <w:sz w:val="16"/>
                <w:szCs w:val="16"/>
                <w:color w:val="auto"/>
              </w:rPr>
            </w:pPr>
          </w:p>
        </w:tc>
        <w:tc>
          <w:tcPr>
            <w:tcW w:w="9320" w:type="dxa"/>
            <w:vAlign w:val="bottom"/>
          </w:tcPr>
          <w:p>
            <w:pPr>
              <w:ind w:left="100"/>
              <w:spacing w:after="0" w:line="185" w:lineRule="exact"/>
              <w:rPr>
                <w:sz w:val="20"/>
                <w:szCs w:val="20"/>
                <w:color w:val="auto"/>
              </w:rPr>
            </w:pPr>
            <w:r>
              <w:rPr>
                <w:rFonts w:ascii="Calibri" w:cs="Calibri" w:eastAsia="Calibri" w:hAnsi="Calibri"/>
                <w:sz w:val="16"/>
                <w:szCs w:val="16"/>
                <w:color w:val="auto"/>
              </w:rPr>
              <w:t>Balance as at March 31, 2022</w:t>
            </w:r>
          </w:p>
        </w:tc>
        <w:tc>
          <w:tcPr>
            <w:tcW w:w="15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22,892</w:t>
            </w:r>
          </w:p>
        </w:tc>
      </w:tr>
      <w:tr>
        <w:trPr>
          <w:trHeight w:val="198"/>
        </w:trPr>
        <w:tc>
          <w:tcPr>
            <w:tcW w:w="140" w:type="dxa"/>
            <w:vAlign w:val="bottom"/>
          </w:tcPr>
          <w:p>
            <w:pPr>
              <w:spacing w:after="0"/>
              <w:rPr>
                <w:sz w:val="17"/>
                <w:szCs w:val="17"/>
                <w:color w:val="auto"/>
              </w:rPr>
            </w:pPr>
          </w:p>
        </w:tc>
        <w:tc>
          <w:tcPr>
            <w:tcW w:w="9320" w:type="dxa"/>
            <w:vAlign w:val="bottom"/>
          </w:tcPr>
          <w:p>
            <w:pPr>
              <w:ind w:left="100"/>
              <w:spacing w:after="0"/>
              <w:rPr>
                <w:sz w:val="20"/>
                <w:szCs w:val="20"/>
                <w:color w:val="auto"/>
              </w:rPr>
            </w:pPr>
            <w:r>
              <w:rPr>
                <w:rFonts w:ascii="Calibri" w:cs="Calibri" w:eastAsia="Calibri" w:hAnsi="Calibri"/>
                <w:sz w:val="16"/>
                <w:szCs w:val="16"/>
                <w:color w:val="auto"/>
              </w:rPr>
              <w:t>Efect of foreign exchange</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1,900</w:t>
            </w:r>
          </w:p>
        </w:tc>
      </w:tr>
      <w:tr>
        <w:trPr>
          <w:trHeight w:val="21"/>
        </w:trPr>
        <w:tc>
          <w:tcPr>
            <w:tcW w:w="140" w:type="dxa"/>
            <w:vAlign w:val="bottom"/>
          </w:tcPr>
          <w:p>
            <w:pPr>
              <w:spacing w:after="0" w:line="20" w:lineRule="exact"/>
              <w:rPr>
                <w:sz w:val="1"/>
                <w:szCs w:val="1"/>
                <w:color w:val="auto"/>
              </w:rPr>
            </w:pPr>
          </w:p>
        </w:tc>
        <w:tc>
          <w:tcPr>
            <w:tcW w:w="9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5"/>
        </w:trPr>
        <w:tc>
          <w:tcPr>
            <w:tcW w:w="140" w:type="dxa"/>
            <w:vAlign w:val="bottom"/>
          </w:tcPr>
          <w:p>
            <w:pPr>
              <w:spacing w:after="0"/>
              <w:rPr>
                <w:sz w:val="16"/>
                <w:szCs w:val="16"/>
                <w:color w:val="auto"/>
              </w:rPr>
            </w:pPr>
          </w:p>
        </w:tc>
        <w:tc>
          <w:tcPr>
            <w:tcW w:w="9320" w:type="dxa"/>
            <w:vAlign w:val="bottom"/>
          </w:tcPr>
          <w:p>
            <w:pPr>
              <w:ind w:left="100"/>
              <w:spacing w:after="0" w:line="185" w:lineRule="exact"/>
              <w:rPr>
                <w:sz w:val="20"/>
                <w:szCs w:val="20"/>
                <w:color w:val="auto"/>
              </w:rPr>
            </w:pPr>
            <w:r>
              <w:rPr>
                <w:rFonts w:ascii="Calibri" w:cs="Calibri" w:eastAsia="Calibri" w:hAnsi="Calibri"/>
                <w:sz w:val="16"/>
                <w:szCs w:val="16"/>
                <w:color w:val="auto"/>
              </w:rPr>
              <w:t>Balance as at March 31, 2023</w:t>
            </w:r>
          </w:p>
        </w:tc>
        <w:tc>
          <w:tcPr>
            <w:tcW w:w="15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24,792</w:t>
            </w:r>
          </w:p>
        </w:tc>
      </w:tr>
      <w:tr>
        <w:trPr>
          <w:trHeight w:val="198"/>
        </w:trPr>
        <w:tc>
          <w:tcPr>
            <w:tcW w:w="140" w:type="dxa"/>
            <w:vAlign w:val="bottom"/>
          </w:tcPr>
          <w:p>
            <w:pPr>
              <w:spacing w:after="0"/>
              <w:rPr>
                <w:sz w:val="17"/>
                <w:szCs w:val="17"/>
                <w:color w:val="auto"/>
              </w:rPr>
            </w:pPr>
          </w:p>
        </w:tc>
        <w:tc>
          <w:tcPr>
            <w:tcW w:w="9320" w:type="dxa"/>
            <w:vAlign w:val="bottom"/>
          </w:tcPr>
          <w:p>
            <w:pPr>
              <w:ind w:left="100"/>
              <w:spacing w:after="0"/>
              <w:rPr>
                <w:sz w:val="20"/>
                <w:szCs w:val="20"/>
                <w:color w:val="auto"/>
              </w:rPr>
            </w:pPr>
            <w:r>
              <w:rPr>
                <w:rFonts w:ascii="Calibri" w:cs="Calibri" w:eastAsia="Calibri" w:hAnsi="Calibri"/>
                <w:sz w:val="16"/>
                <w:szCs w:val="16"/>
                <w:color w:val="auto"/>
              </w:rPr>
              <w:t>Acquisiton from Small Pharma</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22,652</w:t>
            </w:r>
          </w:p>
        </w:tc>
      </w:tr>
      <w:tr>
        <w:trPr>
          <w:trHeight w:val="206"/>
        </w:trPr>
        <w:tc>
          <w:tcPr>
            <w:tcW w:w="140" w:type="dxa"/>
            <w:vAlign w:val="bottom"/>
          </w:tcPr>
          <w:p>
            <w:pPr>
              <w:spacing w:after="0"/>
              <w:rPr>
                <w:sz w:val="17"/>
                <w:szCs w:val="17"/>
                <w:color w:val="auto"/>
              </w:rPr>
            </w:pPr>
          </w:p>
        </w:tc>
        <w:tc>
          <w:tcPr>
            <w:tcW w:w="9320" w:type="dxa"/>
            <w:vAlign w:val="bottom"/>
          </w:tcPr>
          <w:p>
            <w:pPr>
              <w:ind w:left="100"/>
              <w:spacing w:after="0"/>
              <w:rPr>
                <w:sz w:val="20"/>
                <w:szCs w:val="20"/>
                <w:color w:val="auto"/>
              </w:rPr>
            </w:pPr>
            <w:r>
              <w:rPr>
                <w:rFonts w:ascii="Calibri" w:cs="Calibri" w:eastAsia="Calibri" w:hAnsi="Calibri"/>
                <w:sz w:val="16"/>
                <w:szCs w:val="16"/>
                <w:color w:val="auto"/>
              </w:rPr>
              <w:t>Efect of foreign exchange</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21"/>
        </w:trPr>
        <w:tc>
          <w:tcPr>
            <w:tcW w:w="140" w:type="dxa"/>
            <w:vAlign w:val="bottom"/>
          </w:tcPr>
          <w:p>
            <w:pPr>
              <w:spacing w:after="0" w:line="20" w:lineRule="exact"/>
              <w:rPr>
                <w:sz w:val="1"/>
                <w:szCs w:val="1"/>
                <w:color w:val="auto"/>
              </w:rPr>
            </w:pPr>
          </w:p>
        </w:tc>
        <w:tc>
          <w:tcPr>
            <w:tcW w:w="9320" w:type="dxa"/>
            <w:vAlign w:val="bottom"/>
            <w:tcBorders>
              <w:bottom w:val="single" w:sz="8" w:color="929292"/>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9320" w:type="dxa"/>
            <w:vAlign w:val="bottom"/>
            <w:tcBorders>
              <w:bottom w:val="single" w:sz="8" w:color="auto"/>
            </w:tcBorders>
          </w:tcPr>
          <w:p>
            <w:pPr>
              <w:ind w:left="40"/>
              <w:spacing w:after="0" w:line="192" w:lineRule="exact"/>
              <w:rPr>
                <w:sz w:val="20"/>
                <w:szCs w:val="20"/>
                <w:color w:val="auto"/>
              </w:rPr>
            </w:pPr>
            <w:r>
              <w:rPr>
                <w:rFonts w:ascii="Calibri" w:cs="Calibri" w:eastAsia="Calibri" w:hAnsi="Calibri"/>
                <w:sz w:val="16"/>
                <w:szCs w:val="16"/>
                <w:b w:val="1"/>
                <w:bCs w:val="1"/>
                <w:color w:val="auto"/>
              </w:rPr>
              <w:t>Balance as at March 31, 2024</w:t>
            </w:r>
          </w:p>
        </w:tc>
        <w:tc>
          <w:tcPr>
            <w:tcW w:w="15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47,475</w:t>
            </w:r>
          </w:p>
        </w:tc>
      </w:tr>
    </w:tbl>
    <w:p>
      <w:pPr>
        <w:spacing w:after="0" w:line="221"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Impairment</w:t>
      </w:r>
    </w:p>
    <w:p>
      <w:pPr>
        <w:spacing w:after="0" w:line="158"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16"/>
          <w:szCs w:val="16"/>
          <w:color w:val="auto"/>
        </w:rPr>
        <w:t>For purposes of the Company’s goodwill impairment testng, the Company has grouped certain CGUs to test at the lowest level at which management monitors goodwill for internal management purposes, which is the Company wide level.</w:t>
      </w:r>
    </w:p>
    <w:p>
      <w:pPr>
        <w:spacing w:after="0" w:line="160"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The Company performed its annual impairment test of goodwill at March 31, 2024. The recoverable amount was determined based on value-in-use (“VIU”) and considered the cash fows of the group of CGUs based on the current budget and future commercializaton plans. In assessing the VIU, estmated future cash fows are discounted to their present value using a discount rate that refects market assessments of the tme value of money and the risks specifc to the CGUs. The VIU calculatons were performed using a pre-tax discount rate of 15.7%. The Company determined the terminal value as an estmate of the present value of the future cash fows in the terminal period, applying a terminal growth rate of 2%. Based on the Company’s assessment, the recoverable amount is higher than the carrying value and therefore no impairment loss was recorded for the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31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47" w:name="page48"/>
    <w:bookmarkEnd w:id="47"/>
    <w:p>
      <w:pPr>
        <w:ind w:left="543"/>
        <w:spacing w:after="0"/>
        <w:rPr>
          <w:sz w:val="20"/>
          <w:szCs w:val="20"/>
          <w:color w:val="auto"/>
        </w:rPr>
      </w:pPr>
      <w:r>
        <w:rPr>
          <w:rFonts w:ascii="Calibri" w:cs="Calibri" w:eastAsia="Calibri" w:hAnsi="Calibri"/>
          <w:sz w:val="19"/>
          <w:szCs w:val="19"/>
          <w:b w:val="1"/>
          <w:bCs w:val="1"/>
          <w:color w:val="auto"/>
        </w:rPr>
        <w:t>CYBIN INC.</w:t>
      </w:r>
    </w:p>
    <w:p>
      <w:pPr>
        <w:ind w:left="543"/>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543"/>
        <w:spacing w:after="0" w:line="238" w:lineRule="auto"/>
        <w:rPr>
          <w:sz w:val="20"/>
          <w:szCs w:val="20"/>
          <w:color w:val="auto"/>
        </w:rPr>
      </w:pPr>
      <w:r>
        <w:rPr>
          <w:rFonts w:ascii="Calibri" w:cs="Calibri" w:eastAsia="Calibri" w:hAnsi="Calibri"/>
          <w:sz w:val="19"/>
          <w:szCs w:val="19"/>
          <w:b w:val="1"/>
          <w:bCs w:val="1"/>
          <w:color w:val="auto"/>
        </w:rPr>
        <w:t>March 31, 2024 and March 31, 2023</w:t>
      </w:r>
    </w:p>
    <w:p>
      <w:pPr>
        <w:spacing w:after="0" w:line="16" w:lineRule="exact"/>
        <w:rPr>
          <w:sz w:val="20"/>
          <w:szCs w:val="20"/>
          <w:color w:val="auto"/>
        </w:rPr>
      </w:pPr>
    </w:p>
    <w:p>
      <w:pPr>
        <w:ind w:left="543" w:right="26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629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3" w:hanging="263"/>
        <w:spacing w:after="0"/>
        <w:tabs>
          <w:tab w:leader="none" w:pos="263" w:val="left"/>
        </w:tabs>
        <w:numPr>
          <w:ilvl w:val="0"/>
          <w:numId w:val="28"/>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SHARE CAPITAL</w:t>
      </w:r>
    </w:p>
    <w:p>
      <w:pPr>
        <w:spacing w:after="0" w:line="156" w:lineRule="exact"/>
        <w:rPr>
          <w:rFonts w:ascii="Calibri" w:cs="Calibri" w:eastAsia="Calibri" w:hAnsi="Calibri"/>
          <w:sz w:val="16"/>
          <w:szCs w:val="16"/>
          <w:b w:val="1"/>
          <w:bCs w:val="1"/>
          <w:color w:val="2D5F91"/>
        </w:rPr>
      </w:pPr>
    </w:p>
    <w:p>
      <w:pPr>
        <w:ind w:left="583" w:hanging="292"/>
        <w:spacing w:after="0"/>
        <w:tabs>
          <w:tab w:leader="none" w:pos="583" w:val="left"/>
        </w:tabs>
        <w:numPr>
          <w:ilvl w:val="1"/>
          <w:numId w:val="28"/>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71" w:lineRule="exact"/>
        <w:rPr>
          <w:sz w:val="20"/>
          <w:szCs w:val="20"/>
          <w:color w:val="auto"/>
        </w:rPr>
      </w:pPr>
    </w:p>
    <w:p>
      <w:pPr>
        <w:ind w:left="283" w:right="20"/>
        <w:spacing w:after="0" w:line="237" w:lineRule="auto"/>
        <w:rPr>
          <w:sz w:val="20"/>
          <w:szCs w:val="20"/>
          <w:color w:val="auto"/>
        </w:rPr>
      </w:pPr>
      <w:r>
        <w:rPr>
          <w:rFonts w:ascii="Calibri" w:cs="Calibri" w:eastAsia="Calibri" w:hAnsi="Calibri"/>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58" w:lineRule="exact"/>
        <w:rPr>
          <w:sz w:val="20"/>
          <w:szCs w:val="20"/>
          <w:color w:val="auto"/>
        </w:rPr>
      </w:pPr>
    </w:p>
    <w:p>
      <w:pPr>
        <w:ind w:left="563" w:hanging="272"/>
        <w:spacing w:after="0"/>
        <w:tabs>
          <w:tab w:leader="none" w:pos="563" w:val="left"/>
        </w:tabs>
        <w:numPr>
          <w:ilvl w:val="0"/>
          <w:numId w:val="29"/>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56"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68"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As at March 31, 2024, the Company has 15,807,443 Common Shares held in escrow (2023: nil).</w:t>
      </w:r>
    </w:p>
    <w:p>
      <w:pPr>
        <w:spacing w:after="0" w:line="156"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During the year ended March 31, 2024, the Company completed the following share issuances:</w:t>
      </w:r>
    </w:p>
    <w:p>
      <w:pPr>
        <w:spacing w:after="0" w:line="158" w:lineRule="exact"/>
        <w:rPr>
          <w:sz w:val="20"/>
          <w:szCs w:val="20"/>
          <w:color w:val="auto"/>
        </w:rPr>
      </w:pPr>
    </w:p>
    <w:p>
      <w:pPr>
        <w:jc w:val="both"/>
        <w:ind w:left="283"/>
        <w:spacing w:after="0" w:line="238" w:lineRule="auto"/>
        <w:rPr>
          <w:sz w:val="20"/>
          <w:szCs w:val="20"/>
          <w:color w:val="auto"/>
        </w:rPr>
      </w:pPr>
      <w:r>
        <w:rPr>
          <w:rFonts w:ascii="Calibri" w:cs="Calibri" w:eastAsia="Calibri" w:hAnsi="Calibri"/>
          <w:sz w:val="16"/>
          <w:szCs w:val="16"/>
          <w:color w:val="auto"/>
        </w:rPr>
        <w:t>On August 23, 2023, the Company established a new at-the-market equity program (the “2023 ATM Program” and together with the 2022 ATM Program (see below), the “ATM Programs”) that allows the Company to issue and sell up to US$35,000 of Common Shares from treasury to the public, from tme to tme. Distributons of Common Shares under the 2023 ATM Program are made pursuant to the terms and conditons of an at-the-market equity distributon agreement (the “2023 Distributon Agreement”) dated August 23, 2023, among the Company, Cantor Fitzgerald Canada Corporaton and Cantor Fitzgerald &amp; Co. The 2023 ATM Program is to be efectve untl the earlier of the issuance and sale of all of the Common Shares issuable pursuant to the 2023 ATM Program and September 17, 2025, unless earlier terminated in accordance with the terms of the 2023 Distributon Agreement.</w:t>
      </w:r>
    </w:p>
    <w:p>
      <w:pPr>
        <w:spacing w:after="0" w:line="172" w:lineRule="exact"/>
        <w:rPr>
          <w:sz w:val="20"/>
          <w:szCs w:val="20"/>
          <w:color w:val="auto"/>
        </w:rPr>
      </w:pPr>
    </w:p>
    <w:p>
      <w:pPr>
        <w:jc w:val="both"/>
        <w:ind w:left="283" w:right="20"/>
        <w:spacing w:after="0" w:line="237" w:lineRule="auto"/>
        <w:rPr>
          <w:sz w:val="20"/>
          <w:szCs w:val="20"/>
          <w:color w:val="auto"/>
        </w:rPr>
      </w:pPr>
      <w:r>
        <w:rPr>
          <w:rFonts w:ascii="Calibri" w:cs="Calibri" w:eastAsia="Calibri" w:hAnsi="Calibri"/>
          <w:sz w:val="16"/>
          <w:szCs w:val="16"/>
          <w:color w:val="auto"/>
        </w:rPr>
        <w:t>During the year ended March 31, 2024, the Company sold 34,140,507 Common Shares under the ATM Programs at an average price of $0.4549 (US$0.3374) per Common Share, for aggregate gross proceeds of $15,532 (US$11,518). Share issuance costs related to the ATM Programs for the year were $832.</w:t>
      </w:r>
    </w:p>
    <w:p>
      <w:pPr>
        <w:spacing w:after="0" w:line="160" w:lineRule="exact"/>
        <w:rPr>
          <w:sz w:val="20"/>
          <w:szCs w:val="20"/>
          <w:color w:val="auto"/>
        </w:rPr>
      </w:pPr>
    </w:p>
    <w:p>
      <w:pPr>
        <w:jc w:val="both"/>
        <w:ind w:left="283" w:right="20"/>
        <w:spacing w:after="0" w:line="257" w:lineRule="auto"/>
        <w:rPr>
          <w:sz w:val="20"/>
          <w:szCs w:val="20"/>
          <w:color w:val="auto"/>
        </w:rPr>
      </w:pPr>
      <w:r>
        <w:rPr>
          <w:rFonts w:ascii="Calibri" w:cs="Calibri" w:eastAsia="Calibri" w:hAnsi="Calibri"/>
          <w:sz w:val="15"/>
          <w:szCs w:val="15"/>
          <w:color w:val="auto"/>
        </w:rPr>
        <w:t>On May 30, 2023, the Company entered into an agreement (the “LPC Agreement”) with Lincoln Park Capital Fund, LLC (“LPC”). Subject to the terms and conditons of the LPC Agreement, the Company has the right to sell, and LPC is obligated to purchase, up to US$30,000 of Common Shares over a 36-month period at prices that are based on the market price at the tme of each sale to LPC. Cybin, in its sole discreton, controls the tming and amount of all sales of Common Shares under the LPC Agreement. During the year ended March 31, 2024, the Company sold 1,925,000 Common Shares, at an average price of $0.3236 (US$0.2417) per Common Shares, for aggregate gross proceeds of $623 (US$465) pursuant to the LPC Agreement. Share issuance costs related to the LPC Agreement for the year ended March 31, 2024 were $476 (US$351).</w:t>
      </w:r>
    </w:p>
    <w:p>
      <w:pPr>
        <w:spacing w:after="0" w:line="147" w:lineRule="exact"/>
        <w:rPr>
          <w:sz w:val="20"/>
          <w:szCs w:val="20"/>
          <w:color w:val="auto"/>
        </w:rPr>
      </w:pPr>
    </w:p>
    <w:p>
      <w:pPr>
        <w:jc w:val="both"/>
        <w:ind w:left="283" w:right="20"/>
        <w:spacing w:after="0" w:line="256" w:lineRule="auto"/>
        <w:rPr>
          <w:sz w:val="20"/>
          <w:szCs w:val="20"/>
          <w:color w:val="auto"/>
        </w:rPr>
      </w:pPr>
      <w:r>
        <w:rPr>
          <w:rFonts w:ascii="Calibri" w:cs="Calibri" w:eastAsia="Calibri" w:hAnsi="Calibri"/>
          <w:sz w:val="15"/>
          <w:szCs w:val="15"/>
          <w:color w:val="auto"/>
        </w:rPr>
        <w:t>Cybin has the right to terminate the LPC Agreement at any tme at no cost or penalty. LPC has agreed not to engage in any short selling or hedging actvity of any kind in the Common Shares. As consideraton for LPC’s obligaton to purchase Common Shares from the Company at its directon under the LPC Agreement, Cybin issued 2,538,844 Common Shares to LPC as a commitment fee on May 30, 2023. The LPC Agreement provides that Cybin may not issue or sell any Common Shares to LPC under the LPC Agreement which, when aggregated with all other Common Shares then benefcially owned by LPC and its afliates (as calculated pursuant to Secton 13(d) of the U.S. Securites Exchange Act of 1934, as amended, and Rule 13d-3 thereunder), would result in LPC benefcially owning more than 9.99% of the outstanding Common Shares. On July 31, 2023, Cybin announced that it had suspended all sales under the LPC Agreement. On August 23, 2023, the Company fled a prospectus supplement to the base shelf prospectus dated August 17, 2023 to re-qualify sales of up to US$30,000 of the Company’s Common Shares pursuant to the LPC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32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169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62" w:right="319" w:bottom="1440" w:gutter="0" w:footer="0" w:header="0"/>
        </w:sectPr>
      </w:pPr>
    </w:p>
    <w:bookmarkStart w:id="48" w:name="page49"/>
    <w:bookmarkEnd w:id="48"/>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August 4, 2023, the Company completed a public ofering (the “August 2023 Ofering”) of 24,264,706 units of the Company (the “August 2023 Units”) at a price of US$0.34 per August 2023 Unit for gross proceeds of $11,018(US$8,250) pursuant to a supplement to the Company’s short form base shelf prospectus dated July 5, 2021. Each August 2023 Unit is comprised of one Common Share and one Common Share purchase warrant (the “August 2023 Warrants”). Each August 2023 Warrant is exercisable to acquire one Common Share at a price of $0.53(US$0.40) for a period of 60 months from issuance, subject to acceleraton in certain circumstances. In connecton with the Ofering, Cybin paid the underwriters a cash commission of $506(US$379) and incurred additonal share issuance costs, being professional fees of $622(US$465).</w:t>
      </w:r>
    </w:p>
    <w:p>
      <w:pPr>
        <w:spacing w:after="0" w:line="172"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November 14, 2023, the Company completed a public ofering (the “November 2023 Ofering”) of 66,666,667 units of the Company (the “November 2023 Units”) at a price of US$0.45 per November 2023 Unit for gross proceeds of $41,107(US$30,000) pursuant to a supplement to the Company’s short form base shelf prospectus dated August 17, 2023. Each November 2023 Unit is comprised of one Common Share and one Common Share purchase warrant (the “November 2023 Warrants”). Each November 2023 Warrant is exercisable to acquire one Common Share at a price of$0.70 (US$0.51) between May 14, 2024 and May 14, 2029, subject to acceleraton in certain circumstances. In connecton with the November 2023 Ofering, Cybin paid the underwriters a cash commission of $2,096(US$1,530) and incurred additonal share issuance costs being professional fees of $339(US$247).</w:t>
      </w:r>
    </w:p>
    <w:p>
      <w:pPr>
        <w:spacing w:after="0" w:line="160"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March 19, 2024, the Company completed a private placement (the “March 2024 Ofering”) of 348,837,210 Common Shares at a price of US$0.43 per Common Share for gross proceeds of $202,995(US$150,000). 15,807,443 Common Shares issued in the March 2024 Ofering are subject to resale restrictons untl the July 20, 2024. In connecton with the March 2024 Ofering, Cybin paid the agent cash commission of $11,726(US$8,665) and incurred additonal share issuance costs being professional fees of $78(US$58).</w:t>
      </w:r>
    </w:p>
    <w:p>
      <w:pPr>
        <w:spacing w:after="0" w:line="157"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year ended March 31, 2023, the Company completed the following share issuances:</w:t>
      </w:r>
    </w:p>
    <w:p>
      <w:pPr>
        <w:spacing w:after="0" w:line="171"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August 8, 2022, the Company established an at-the-market equity program (the “2022 ATM Program”) that allowed the Company to issue and sell up to US$35,000 of Common Shares from treasury to the public, from tme to tme. Distributons of Common Shares under the 2022 ATM Program are made pursuant to the terms and conditons of an at-the-market equity distributon agreement dated August 8, 2022 among the Company, Cantor Fitzgerald Canada Corporaton and Cantor Fitzgerald &amp; Co. The 2022 ATM Program was efectve untl August 5, 2023. when it automatcally terminated in accordance with the terms of the Distributon Agreement.</w:t>
      </w:r>
    </w:p>
    <w:p>
      <w:pPr>
        <w:spacing w:after="0" w:line="159"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Up to March 31, 2023 the Company had sold 20,754,120 Common Shares under the 2022 ATM program at an average price of $0.6819 (US$0.5079) per Common Share, for aggregate gross proceeds of $14,152 (US$10,541). Share issuance costs for the year ended March 31, 2023 were $950.</w:t>
      </w: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Preferred Shares</w:t>
      </w:r>
    </w:p>
    <w:p>
      <w:pPr>
        <w:spacing w:after="0" w:line="15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As at March 31, 2024, the Company has nil preferred shares outstanding (March 31, 2023-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49" w:name="page50"/>
    <w:bookmarkEnd w:id="49"/>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260" w:type="dxa"/>
            <w:vAlign w:val="bottom"/>
          </w:tcPr>
          <w:p>
            <w:pPr>
              <w:spacing w:after="0"/>
              <w:rPr>
                <w:sz w:val="20"/>
                <w:szCs w:val="20"/>
                <w:color w:val="auto"/>
              </w:rPr>
            </w:pPr>
            <w:r>
              <w:rPr>
                <w:rFonts w:ascii="Calibri" w:cs="Calibri" w:eastAsia="Calibri" w:hAnsi="Calibri"/>
                <w:sz w:val="16"/>
                <w:szCs w:val="16"/>
                <w:b w:val="1"/>
                <w:bCs w:val="1"/>
                <w:i w:val="1"/>
                <w:iCs w:val="1"/>
                <w:color w:val="auto"/>
              </w:rPr>
              <w:t>Cybin US Class B Shares</w:t>
            </w:r>
          </w:p>
        </w:tc>
        <w:tc>
          <w:tcPr>
            <w:tcW w:w="4420" w:type="dxa"/>
            <w:vAlign w:val="bottom"/>
          </w:tcPr>
          <w:p>
            <w:pPr>
              <w:spacing w:after="0"/>
              <w:rPr>
                <w:sz w:val="16"/>
                <w:szCs w:val="16"/>
                <w:color w:val="auto"/>
              </w:rPr>
            </w:pPr>
          </w:p>
        </w:tc>
      </w:tr>
      <w:tr>
        <w:trPr>
          <w:trHeight w:val="230"/>
        </w:trPr>
        <w:tc>
          <w:tcPr>
            <w:tcW w:w="62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Calibri" w:cs="Calibri" w:eastAsia="Calibri" w:hAnsi="Calibri"/>
                <w:sz w:val="16"/>
                <w:szCs w:val="16"/>
                <w:b w:val="1"/>
                <w:bCs w:val="1"/>
                <w:color w:val="auto"/>
              </w:rPr>
              <w:t>Number of Class B Shares</w:t>
            </w:r>
          </w:p>
        </w:tc>
      </w:tr>
      <w:tr>
        <w:trPr>
          <w:trHeight w:val="21"/>
        </w:trPr>
        <w:tc>
          <w:tcPr>
            <w:tcW w:w="6260" w:type="dxa"/>
            <w:vAlign w:val="bottom"/>
            <w:tcBorders>
              <w:bottom w:val="single" w:sz="8" w:color="929292"/>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185"/>
        </w:trPr>
        <w:tc>
          <w:tcPr>
            <w:tcW w:w="6260" w:type="dxa"/>
            <w:vAlign w:val="bottom"/>
          </w:tcPr>
          <w:p>
            <w:pPr>
              <w:ind w:left="20"/>
              <w:spacing w:after="0" w:line="185" w:lineRule="exact"/>
              <w:rPr>
                <w:sz w:val="20"/>
                <w:szCs w:val="20"/>
                <w:color w:val="auto"/>
              </w:rPr>
            </w:pPr>
            <w:r>
              <w:rPr>
                <w:rFonts w:ascii="Calibri" w:cs="Calibri" w:eastAsia="Calibri" w:hAnsi="Calibri"/>
                <w:sz w:val="16"/>
                <w:szCs w:val="16"/>
                <w:color w:val="auto"/>
              </w:rPr>
              <w:t>Balance as at March 31, 2022</w:t>
            </w:r>
          </w:p>
        </w:tc>
        <w:tc>
          <w:tcPr>
            <w:tcW w:w="4420" w:type="dxa"/>
            <w:vAlign w:val="bottom"/>
          </w:tcPr>
          <w:p>
            <w:pPr>
              <w:jc w:val="right"/>
              <w:spacing w:after="0" w:line="185" w:lineRule="exact"/>
              <w:rPr>
                <w:sz w:val="20"/>
                <w:szCs w:val="20"/>
                <w:color w:val="auto"/>
              </w:rPr>
            </w:pPr>
            <w:r>
              <w:rPr>
                <w:rFonts w:ascii="Calibri" w:cs="Calibri" w:eastAsia="Calibri" w:hAnsi="Calibri"/>
                <w:sz w:val="16"/>
                <w:szCs w:val="16"/>
                <w:color w:val="auto"/>
              </w:rPr>
              <w:t>1,047,135.1</w:t>
            </w:r>
          </w:p>
        </w:tc>
      </w:tr>
      <w:tr>
        <w:trPr>
          <w:trHeight w:val="198"/>
        </w:trPr>
        <w:tc>
          <w:tcPr>
            <w:tcW w:w="6260" w:type="dxa"/>
            <w:vAlign w:val="bottom"/>
          </w:tcPr>
          <w:p>
            <w:pPr>
              <w:ind w:left="20"/>
              <w:spacing w:after="0"/>
              <w:rPr>
                <w:sz w:val="20"/>
                <w:szCs w:val="20"/>
                <w:color w:val="auto"/>
              </w:rPr>
            </w:pPr>
            <w:r>
              <w:rPr>
                <w:rFonts w:ascii="Calibri" w:cs="Calibri" w:eastAsia="Calibri" w:hAnsi="Calibri"/>
                <w:sz w:val="16"/>
                <w:szCs w:val="16"/>
                <w:color w:val="auto"/>
              </w:rPr>
              <w:t>Issued on achievement of milestones</w:t>
            </w:r>
          </w:p>
        </w:tc>
        <w:tc>
          <w:tcPr>
            <w:tcW w:w="4420" w:type="dxa"/>
            <w:vAlign w:val="bottom"/>
          </w:tcPr>
          <w:p>
            <w:pPr>
              <w:jc w:val="right"/>
              <w:spacing w:after="0"/>
              <w:rPr>
                <w:sz w:val="20"/>
                <w:szCs w:val="20"/>
                <w:color w:val="auto"/>
              </w:rPr>
            </w:pPr>
            <w:r>
              <w:rPr>
                <w:rFonts w:ascii="Calibri" w:cs="Calibri" w:eastAsia="Calibri" w:hAnsi="Calibri"/>
                <w:sz w:val="16"/>
                <w:szCs w:val="16"/>
                <w:color w:val="auto"/>
              </w:rPr>
              <w:t>360,374.2</w:t>
            </w:r>
          </w:p>
        </w:tc>
      </w:tr>
      <w:tr>
        <w:trPr>
          <w:trHeight w:val="206"/>
        </w:trPr>
        <w:tc>
          <w:tcPr>
            <w:tcW w:w="6260" w:type="dxa"/>
            <w:vAlign w:val="bottom"/>
          </w:tcPr>
          <w:p>
            <w:pPr>
              <w:ind w:left="20"/>
              <w:spacing w:after="0"/>
              <w:rPr>
                <w:sz w:val="20"/>
                <w:szCs w:val="20"/>
                <w:color w:val="auto"/>
              </w:rPr>
            </w:pPr>
            <w:r>
              <w:rPr>
                <w:rFonts w:ascii="Calibri" w:cs="Calibri" w:eastAsia="Calibri" w:hAnsi="Calibri"/>
                <w:sz w:val="16"/>
                <w:szCs w:val="16"/>
                <w:color w:val="auto"/>
              </w:rPr>
              <w:t>Converted into Common Shares</w:t>
            </w:r>
          </w:p>
        </w:tc>
        <w:tc>
          <w:tcPr>
            <w:tcW w:w="4420" w:type="dxa"/>
            <w:vAlign w:val="bottom"/>
          </w:tcPr>
          <w:p>
            <w:pPr>
              <w:jc w:val="right"/>
              <w:spacing w:after="0"/>
              <w:rPr>
                <w:sz w:val="20"/>
                <w:szCs w:val="20"/>
                <w:color w:val="auto"/>
              </w:rPr>
            </w:pPr>
            <w:r>
              <w:rPr>
                <w:rFonts w:ascii="Calibri" w:cs="Calibri" w:eastAsia="Calibri" w:hAnsi="Calibri"/>
                <w:sz w:val="16"/>
                <w:szCs w:val="16"/>
                <w:color w:val="auto"/>
              </w:rPr>
              <w:t>(876,967.2)</w:t>
            </w: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185"/>
        </w:trPr>
        <w:tc>
          <w:tcPr>
            <w:tcW w:w="6260" w:type="dxa"/>
            <w:vAlign w:val="bottom"/>
          </w:tcPr>
          <w:p>
            <w:pPr>
              <w:ind w:left="20"/>
              <w:spacing w:after="0" w:line="185" w:lineRule="exact"/>
              <w:rPr>
                <w:sz w:val="20"/>
                <w:szCs w:val="20"/>
                <w:color w:val="auto"/>
              </w:rPr>
            </w:pPr>
            <w:r>
              <w:rPr>
                <w:rFonts w:ascii="Calibri" w:cs="Calibri" w:eastAsia="Calibri" w:hAnsi="Calibri"/>
                <w:sz w:val="16"/>
                <w:szCs w:val="16"/>
                <w:color w:val="auto"/>
              </w:rPr>
              <w:t>Balance as at March 31, 2023</w:t>
            </w:r>
          </w:p>
        </w:tc>
        <w:tc>
          <w:tcPr>
            <w:tcW w:w="4420" w:type="dxa"/>
            <w:vAlign w:val="bottom"/>
          </w:tcPr>
          <w:p>
            <w:pPr>
              <w:jc w:val="right"/>
              <w:spacing w:after="0" w:line="185" w:lineRule="exact"/>
              <w:rPr>
                <w:sz w:val="20"/>
                <w:szCs w:val="20"/>
                <w:color w:val="auto"/>
              </w:rPr>
            </w:pPr>
            <w:r>
              <w:rPr>
                <w:rFonts w:ascii="Calibri" w:cs="Calibri" w:eastAsia="Calibri" w:hAnsi="Calibri"/>
                <w:sz w:val="16"/>
                <w:szCs w:val="16"/>
                <w:color w:val="auto"/>
              </w:rPr>
              <w:t>530,542.1</w:t>
            </w:r>
          </w:p>
        </w:tc>
      </w:tr>
      <w:tr>
        <w:trPr>
          <w:trHeight w:val="198"/>
        </w:trPr>
        <w:tc>
          <w:tcPr>
            <w:tcW w:w="6260" w:type="dxa"/>
            <w:vAlign w:val="bottom"/>
          </w:tcPr>
          <w:p>
            <w:pPr>
              <w:ind w:left="20"/>
              <w:spacing w:after="0"/>
              <w:rPr>
                <w:sz w:val="20"/>
                <w:szCs w:val="20"/>
                <w:color w:val="auto"/>
              </w:rPr>
            </w:pPr>
            <w:r>
              <w:rPr>
                <w:rFonts w:ascii="Calibri" w:cs="Calibri" w:eastAsia="Calibri" w:hAnsi="Calibri"/>
                <w:sz w:val="16"/>
                <w:szCs w:val="16"/>
                <w:color w:val="auto"/>
              </w:rPr>
              <w:t>Converted to Common Shares</w:t>
            </w:r>
          </w:p>
        </w:tc>
        <w:tc>
          <w:tcPr>
            <w:tcW w:w="4420" w:type="dxa"/>
            <w:vAlign w:val="bottom"/>
          </w:tcPr>
          <w:p>
            <w:pPr>
              <w:jc w:val="right"/>
              <w:spacing w:after="0"/>
              <w:rPr>
                <w:sz w:val="20"/>
                <w:szCs w:val="20"/>
                <w:color w:val="auto"/>
              </w:rPr>
            </w:pPr>
            <w:r>
              <w:rPr>
                <w:rFonts w:ascii="Calibri" w:cs="Calibri" w:eastAsia="Calibri" w:hAnsi="Calibri"/>
                <w:sz w:val="16"/>
                <w:szCs w:val="16"/>
                <w:color w:val="auto"/>
              </w:rPr>
              <w:t>(494,457.4)</w:t>
            </w: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192"/>
        </w:trPr>
        <w:tc>
          <w:tcPr>
            <w:tcW w:w="62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color w:val="auto"/>
              </w:rPr>
              <w:t>Balance as at March 31, 2024</w:t>
            </w:r>
          </w:p>
        </w:tc>
        <w:tc>
          <w:tcPr>
            <w:tcW w:w="44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36,084.7</w:t>
            </w:r>
          </w:p>
        </w:tc>
      </w:tr>
    </w:tbl>
    <w:p>
      <w:pPr>
        <w:spacing w:after="0" w:line="223"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As at March 31, 2024, 36,084.7 Class B Shares were outstanding, and are exchangeable for a total of 360,847 Common Shares. These consolidated fnancial statements refect issued Class B Shares on an as-converted basis.</w:t>
      </w:r>
    </w:p>
    <w:p>
      <w:pPr>
        <w:spacing w:after="0" w:line="172"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During the year ended March 31, 2024 no additonal Class B shares were issued. As of March 31, 2023 all Milestones were achieved and all eligible Class B shares were issued.</w:t>
      </w:r>
    </w:p>
    <w:p>
      <w:pPr>
        <w:spacing w:after="0" w:line="364"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year ended March 31, 2023, the Company issued Class B Shares as follows:</w:t>
      </w:r>
    </w:p>
    <w:p>
      <w:pPr>
        <w:spacing w:after="0" w:line="158"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April 1, 2022, 22,428.3 Class B Shares were issued to Former Adelia Shareholders due to the achievement of the Milestone identfed as Year 2 Q2 (iv), having an aggregate value of $229 at a price per Class B Share of $10.20. These Class B Shares are exchangeable for a total of 224,283 Common Shares, representng an efectve issue price of $1.02 per Common Share. In consideraton for the Milestone achieved, on June 22, 2022, an additonal 456.5 Class B Shares having an aggregate value of $5 were issued to Former Adelia Shareholders.</w:t>
      </w:r>
    </w:p>
    <w:p>
      <w:pPr>
        <w:spacing w:after="0" w:line="159" w:lineRule="exact"/>
        <w:rPr>
          <w:sz w:val="20"/>
          <w:szCs w:val="20"/>
          <w:color w:val="auto"/>
        </w:rPr>
      </w:pPr>
    </w:p>
    <w:p>
      <w:pPr>
        <w:jc w:val="both"/>
        <w:ind w:left="220"/>
        <w:spacing w:after="0" w:line="223" w:lineRule="auto"/>
        <w:rPr>
          <w:sz w:val="20"/>
          <w:szCs w:val="20"/>
          <w:color w:val="auto"/>
        </w:rPr>
      </w:pPr>
      <w:r>
        <w:rPr>
          <w:rFonts w:ascii="Calibri" w:cs="Calibri" w:eastAsia="Calibri" w:hAnsi="Calibri"/>
          <w:sz w:val="16"/>
          <w:szCs w:val="16"/>
          <w:color w:val="auto"/>
        </w:rPr>
        <w:t>On June 24, 2022, 266,933.1 Class B Shares were issued to Former Adelia Shareholders due to the achievement of certain Milestones identfed as Y2, Q2 (i), (vi), Y2, Q3 (ii), Year 2 Q4 (i) and Year 3 Q1 (i), (ii), (iii), having an aggregate value of $2,034 at a price per Class B Share of $7.62. These Class B Shares are exchangeable for a total of 2,669,331 Common Shares, representng an efectve issue price of $0.76 per Common Share.</w:t>
      </w:r>
    </w:p>
    <w:p>
      <w:pPr>
        <w:spacing w:after="0" w:line="171"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June 27, 2022, 37,366.2 Class B Shares were issued to Former Adelia Shareholders due to the achievement of the Milestone identfed as Y2, Q3 (i), having an aggregate value of $280 at a price per Class B Share of $7.50. These Class B Shares are exchangeable for a total of 373,662 Common Shares, representng an efectve issue price of $0.75 per Common Share.</w:t>
      </w:r>
    </w:p>
    <w:p>
      <w:pPr>
        <w:spacing w:after="0" w:line="159"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August 31, 2022, 33,190.1 Class B Shares were issued to Former Adelia Shareholders due to the achievement of the Milestone identfed as Y2, Q4 (ii), having an aggregate value of $468 at a price per Class B Share of $14.10. These Class B Shares are exchangeable for a total of 331,901 Common Shares, representng an efectve issue price of $1.41 per Common Share.</w:t>
      </w:r>
    </w:p>
    <w:p>
      <w:pPr>
        <w:spacing w:after="0" w:line="15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With the fulfllment of all of the remaining milestones during the year ended March 31, 2023, it is not antcipated that any additonal Class B Shares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50" w:name="page51"/>
    <w:bookmarkEnd w:id="50"/>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hanging="292"/>
        <w:spacing w:after="0"/>
        <w:tabs>
          <w:tab w:leader="none" w:pos="520" w:val="left"/>
        </w:tabs>
        <w:numPr>
          <w:ilvl w:val="0"/>
          <w:numId w:val="30"/>
        </w:numPr>
        <w:rPr>
          <w:rFonts w:ascii="Calibri" w:cs="Calibri" w:eastAsia="Calibri" w:hAnsi="Calibri"/>
          <w:sz w:val="16"/>
          <w:szCs w:val="16"/>
          <w:b w:val="1"/>
          <w:bCs w:val="1"/>
          <w:i w:val="1"/>
          <w:iCs w:val="1"/>
          <w:color w:val="auto"/>
        </w:rPr>
      </w:pPr>
      <w:r>
        <w:rPr>
          <w:rFonts w:ascii="Calibri" w:cs="Calibri" w:eastAsia="Calibri" w:hAnsi="Calibri"/>
          <w:sz w:val="16"/>
          <w:szCs w:val="16"/>
          <w:b w:val="1"/>
          <w:bCs w:val="1"/>
          <w:u w:val="single" w:color="auto"/>
          <w:color w:val="auto"/>
        </w:rPr>
        <w:t>Warrants</w:t>
      </w:r>
    </w:p>
    <w:p>
      <w:pPr>
        <w:spacing w:after="0" w:line="21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contnuity of the outstanding warrants for the years ended March 31, 2024 and March 31, 2023, are as follows:</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alibri" w:cs="Calibri" w:eastAsia="Calibri" w:hAnsi="Calibri"/>
                <w:sz w:val="16"/>
                <w:szCs w:val="16"/>
                <w:b w:val="1"/>
                <w:bCs w:val="1"/>
                <w:color w:val="auto"/>
                <w:w w:val="99"/>
              </w:rPr>
              <w:t>Weighted average exercise</w:t>
            </w:r>
          </w:p>
        </w:tc>
      </w:tr>
      <w:tr>
        <w:trPr>
          <w:trHeight w:val="205"/>
        </w:trPr>
        <w:tc>
          <w:tcPr>
            <w:tcW w:w="4860" w:type="dxa"/>
            <w:vAlign w:val="bottom"/>
          </w:tcPr>
          <w:p>
            <w:pPr>
              <w:spacing w:after="0"/>
              <w:rPr>
                <w:sz w:val="17"/>
                <w:szCs w:val="17"/>
                <w:color w:val="auto"/>
              </w:rPr>
            </w:pPr>
          </w:p>
        </w:tc>
        <w:tc>
          <w:tcPr>
            <w:tcW w:w="396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Number of Warrants</w:t>
            </w:r>
          </w:p>
        </w:tc>
        <w:tc>
          <w:tcPr>
            <w:tcW w:w="18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price</w:t>
            </w:r>
          </w:p>
        </w:tc>
      </w:tr>
      <w:tr>
        <w:trPr>
          <w:trHeight w:val="206"/>
        </w:trPr>
        <w:tc>
          <w:tcPr>
            <w:tcW w:w="4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6"/>
        </w:trPr>
        <w:tc>
          <w:tcPr>
            <w:tcW w:w="4860" w:type="dxa"/>
            <w:vAlign w:val="bottom"/>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39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5"/>
        </w:trPr>
        <w:tc>
          <w:tcPr>
            <w:tcW w:w="4860" w:type="dxa"/>
            <w:vAlign w:val="bottom"/>
          </w:tcPr>
          <w:p>
            <w:pPr>
              <w:ind w:left="60"/>
              <w:spacing w:after="0" w:line="185" w:lineRule="exact"/>
              <w:rPr>
                <w:sz w:val="20"/>
                <w:szCs w:val="20"/>
                <w:color w:val="auto"/>
              </w:rPr>
            </w:pPr>
            <w:r>
              <w:rPr>
                <w:rFonts w:ascii="Calibri" w:cs="Calibri" w:eastAsia="Calibri" w:hAnsi="Calibri"/>
                <w:sz w:val="16"/>
                <w:szCs w:val="16"/>
                <w:color w:val="auto"/>
              </w:rPr>
              <w:t>As at March 31, 2022</w:t>
            </w:r>
          </w:p>
        </w:tc>
        <w:tc>
          <w:tcPr>
            <w:tcW w:w="3960" w:type="dxa"/>
            <w:vAlign w:val="bottom"/>
          </w:tcPr>
          <w:p>
            <w:pPr>
              <w:jc w:val="right"/>
              <w:ind w:right="19"/>
              <w:spacing w:after="0" w:line="185" w:lineRule="exact"/>
              <w:rPr>
                <w:sz w:val="20"/>
                <w:szCs w:val="20"/>
                <w:color w:val="auto"/>
              </w:rPr>
            </w:pPr>
            <w:r>
              <w:rPr>
                <w:rFonts w:ascii="Calibri" w:cs="Calibri" w:eastAsia="Calibri" w:hAnsi="Calibri"/>
                <w:sz w:val="16"/>
                <w:szCs w:val="16"/>
                <w:color w:val="auto"/>
              </w:rPr>
              <w:t>25,548,836</w:t>
            </w:r>
          </w:p>
        </w:tc>
        <w:tc>
          <w:tcPr>
            <w:tcW w:w="1860" w:type="dxa"/>
            <w:vAlign w:val="bottom"/>
          </w:tcPr>
          <w:p>
            <w:pPr>
              <w:jc w:val="right"/>
              <w:spacing w:after="0" w:line="185" w:lineRule="exact"/>
              <w:rPr>
                <w:sz w:val="20"/>
                <w:szCs w:val="20"/>
                <w:color w:val="auto"/>
              </w:rPr>
            </w:pPr>
            <w:r>
              <w:rPr>
                <w:rFonts w:ascii="Calibri" w:cs="Calibri" w:eastAsia="Calibri" w:hAnsi="Calibri"/>
                <w:sz w:val="16"/>
                <w:szCs w:val="16"/>
                <w:color w:val="auto"/>
              </w:rPr>
              <w:t>1.22</w:t>
            </w:r>
          </w:p>
        </w:tc>
      </w:tr>
      <w:tr>
        <w:trPr>
          <w:trHeight w:val="198"/>
        </w:trPr>
        <w:tc>
          <w:tcPr>
            <w:tcW w:w="4860" w:type="dxa"/>
            <w:vAlign w:val="bottom"/>
          </w:tcPr>
          <w:p>
            <w:pPr>
              <w:ind w:left="60"/>
              <w:spacing w:after="0"/>
              <w:rPr>
                <w:sz w:val="20"/>
                <w:szCs w:val="20"/>
                <w:color w:val="auto"/>
              </w:rPr>
            </w:pPr>
            <w:r>
              <w:rPr>
                <w:rFonts w:ascii="Calibri" w:cs="Calibri" w:eastAsia="Calibri" w:hAnsi="Calibri"/>
                <w:sz w:val="16"/>
                <w:szCs w:val="16"/>
                <w:color w:val="auto"/>
              </w:rPr>
              <w:t>Exercised</w:t>
            </w:r>
          </w:p>
        </w:tc>
        <w:tc>
          <w:tcPr>
            <w:tcW w:w="3960" w:type="dxa"/>
            <w:vAlign w:val="bottom"/>
          </w:tcPr>
          <w:p>
            <w:pPr>
              <w:jc w:val="right"/>
              <w:ind w:right="19"/>
              <w:spacing w:after="0"/>
              <w:rPr>
                <w:sz w:val="20"/>
                <w:szCs w:val="20"/>
                <w:color w:val="auto"/>
              </w:rPr>
            </w:pPr>
            <w:r>
              <w:rPr>
                <w:rFonts w:ascii="Calibri" w:cs="Calibri" w:eastAsia="Calibri" w:hAnsi="Calibri"/>
                <w:sz w:val="16"/>
                <w:szCs w:val="16"/>
                <w:color w:val="auto"/>
              </w:rPr>
              <w:t>(1,164,638)</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0.31</w:t>
            </w:r>
          </w:p>
        </w:tc>
      </w:tr>
      <w:tr>
        <w:trPr>
          <w:trHeight w:val="206"/>
        </w:trPr>
        <w:tc>
          <w:tcPr>
            <w:tcW w:w="4860" w:type="dxa"/>
            <w:vAlign w:val="bottom"/>
          </w:tcPr>
          <w:p>
            <w:pPr>
              <w:ind w:left="60"/>
              <w:spacing w:after="0"/>
              <w:rPr>
                <w:sz w:val="20"/>
                <w:szCs w:val="20"/>
                <w:color w:val="auto"/>
              </w:rPr>
            </w:pPr>
            <w:r>
              <w:rPr>
                <w:rFonts w:ascii="Calibri" w:cs="Calibri" w:eastAsia="Calibri" w:hAnsi="Calibri"/>
                <w:sz w:val="16"/>
                <w:szCs w:val="16"/>
                <w:color w:val="auto"/>
              </w:rPr>
              <w:t>Expired</w:t>
            </w:r>
          </w:p>
        </w:tc>
        <w:tc>
          <w:tcPr>
            <w:tcW w:w="3960" w:type="dxa"/>
            <w:vAlign w:val="bottom"/>
          </w:tcPr>
          <w:p>
            <w:pPr>
              <w:jc w:val="right"/>
              <w:ind w:right="19"/>
              <w:spacing w:after="0"/>
              <w:rPr>
                <w:sz w:val="20"/>
                <w:szCs w:val="20"/>
                <w:color w:val="auto"/>
              </w:rPr>
            </w:pPr>
            <w:r>
              <w:rPr>
                <w:rFonts w:ascii="Calibri" w:cs="Calibri" w:eastAsia="Calibri" w:hAnsi="Calibri"/>
                <w:sz w:val="16"/>
                <w:szCs w:val="16"/>
                <w:color w:val="auto"/>
              </w:rPr>
              <w:t>(1,153,713)</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0.75</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5"/>
        </w:trPr>
        <w:tc>
          <w:tcPr>
            <w:tcW w:w="4860" w:type="dxa"/>
            <w:vAlign w:val="bottom"/>
          </w:tcPr>
          <w:p>
            <w:pPr>
              <w:ind w:left="60"/>
              <w:spacing w:after="0" w:line="185" w:lineRule="exact"/>
              <w:rPr>
                <w:sz w:val="20"/>
                <w:szCs w:val="20"/>
                <w:color w:val="auto"/>
              </w:rPr>
            </w:pPr>
            <w:r>
              <w:rPr>
                <w:rFonts w:ascii="Calibri" w:cs="Calibri" w:eastAsia="Calibri" w:hAnsi="Calibri"/>
                <w:sz w:val="16"/>
                <w:szCs w:val="16"/>
                <w:color w:val="auto"/>
              </w:rPr>
              <w:t>As at March 31, 2023</w:t>
            </w:r>
          </w:p>
        </w:tc>
        <w:tc>
          <w:tcPr>
            <w:tcW w:w="3960" w:type="dxa"/>
            <w:vAlign w:val="bottom"/>
          </w:tcPr>
          <w:p>
            <w:pPr>
              <w:jc w:val="right"/>
              <w:ind w:right="19"/>
              <w:spacing w:after="0" w:line="185" w:lineRule="exact"/>
              <w:rPr>
                <w:sz w:val="20"/>
                <w:szCs w:val="20"/>
                <w:color w:val="auto"/>
              </w:rPr>
            </w:pPr>
            <w:r>
              <w:rPr>
                <w:rFonts w:ascii="Calibri" w:cs="Calibri" w:eastAsia="Calibri" w:hAnsi="Calibri"/>
                <w:sz w:val="16"/>
                <w:szCs w:val="16"/>
                <w:color w:val="auto"/>
              </w:rPr>
              <w:t>23,230,485</w:t>
            </w:r>
          </w:p>
        </w:tc>
        <w:tc>
          <w:tcPr>
            <w:tcW w:w="1860" w:type="dxa"/>
            <w:vAlign w:val="bottom"/>
          </w:tcPr>
          <w:p>
            <w:pPr>
              <w:jc w:val="right"/>
              <w:spacing w:after="0" w:line="185" w:lineRule="exact"/>
              <w:rPr>
                <w:sz w:val="20"/>
                <w:szCs w:val="20"/>
                <w:color w:val="auto"/>
              </w:rPr>
            </w:pPr>
            <w:r>
              <w:rPr>
                <w:rFonts w:ascii="Calibri" w:cs="Calibri" w:eastAsia="Calibri" w:hAnsi="Calibri"/>
                <w:sz w:val="16"/>
                <w:szCs w:val="16"/>
                <w:color w:val="auto"/>
              </w:rPr>
              <w:t>1.29</w:t>
            </w:r>
          </w:p>
        </w:tc>
      </w:tr>
      <w:tr>
        <w:trPr>
          <w:trHeight w:val="198"/>
        </w:trPr>
        <w:tc>
          <w:tcPr>
            <w:tcW w:w="4860" w:type="dxa"/>
            <w:vAlign w:val="bottom"/>
          </w:tcPr>
          <w:p>
            <w:pPr>
              <w:ind w:left="60"/>
              <w:spacing w:after="0"/>
              <w:rPr>
                <w:sz w:val="20"/>
                <w:szCs w:val="20"/>
                <w:color w:val="auto"/>
              </w:rPr>
            </w:pPr>
            <w:r>
              <w:rPr>
                <w:rFonts w:ascii="Calibri" w:cs="Calibri" w:eastAsia="Calibri" w:hAnsi="Calibri"/>
                <w:sz w:val="16"/>
                <w:szCs w:val="16"/>
                <w:color w:val="auto"/>
              </w:rPr>
              <w:t>Issued</w:t>
            </w:r>
          </w:p>
        </w:tc>
        <w:tc>
          <w:tcPr>
            <w:tcW w:w="3960" w:type="dxa"/>
            <w:vAlign w:val="bottom"/>
          </w:tcPr>
          <w:p>
            <w:pPr>
              <w:jc w:val="right"/>
              <w:ind w:right="19"/>
              <w:spacing w:after="0"/>
              <w:rPr>
                <w:sz w:val="20"/>
                <w:szCs w:val="20"/>
                <w:color w:val="auto"/>
              </w:rPr>
            </w:pPr>
            <w:r>
              <w:rPr>
                <w:rFonts w:ascii="Calibri" w:cs="Calibri" w:eastAsia="Calibri" w:hAnsi="Calibri"/>
                <w:sz w:val="16"/>
                <w:szCs w:val="16"/>
                <w:color w:val="auto"/>
              </w:rPr>
              <w:t>90,931,373</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0.67</w:t>
            </w:r>
          </w:p>
        </w:tc>
      </w:tr>
      <w:tr>
        <w:trPr>
          <w:trHeight w:val="206"/>
        </w:trPr>
        <w:tc>
          <w:tcPr>
            <w:tcW w:w="4860" w:type="dxa"/>
            <w:vAlign w:val="bottom"/>
          </w:tcPr>
          <w:p>
            <w:pPr>
              <w:ind w:left="60"/>
              <w:spacing w:after="0"/>
              <w:rPr>
                <w:sz w:val="20"/>
                <w:szCs w:val="20"/>
                <w:color w:val="auto"/>
              </w:rPr>
            </w:pPr>
            <w:r>
              <w:rPr>
                <w:rFonts w:ascii="Calibri" w:cs="Calibri" w:eastAsia="Calibri" w:hAnsi="Calibri"/>
                <w:sz w:val="16"/>
                <w:szCs w:val="16"/>
                <w:color w:val="auto"/>
              </w:rPr>
              <w:t>Exercised</w:t>
            </w:r>
          </w:p>
        </w:tc>
        <w:tc>
          <w:tcPr>
            <w:tcW w:w="3960" w:type="dxa"/>
            <w:vAlign w:val="bottom"/>
          </w:tcPr>
          <w:p>
            <w:pPr>
              <w:jc w:val="right"/>
              <w:ind w:right="19"/>
              <w:spacing w:after="0"/>
              <w:rPr>
                <w:sz w:val="20"/>
                <w:szCs w:val="20"/>
                <w:color w:val="auto"/>
              </w:rPr>
            </w:pPr>
            <w:r>
              <w:rPr>
                <w:rFonts w:ascii="Calibri" w:cs="Calibri" w:eastAsia="Calibri" w:hAnsi="Calibri"/>
                <w:sz w:val="16"/>
                <w:szCs w:val="16"/>
                <w:color w:val="auto"/>
              </w:rPr>
              <w:t>(101,000)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0.53</w:t>
            </w:r>
          </w:p>
        </w:tc>
      </w:tr>
      <w:tr>
        <w:trPr>
          <w:trHeight w:val="206"/>
        </w:trPr>
        <w:tc>
          <w:tcPr>
            <w:tcW w:w="4860" w:type="dxa"/>
            <w:vAlign w:val="bottom"/>
          </w:tcPr>
          <w:p>
            <w:pPr>
              <w:ind w:left="60"/>
              <w:spacing w:after="0"/>
              <w:rPr>
                <w:sz w:val="20"/>
                <w:szCs w:val="20"/>
                <w:color w:val="auto"/>
              </w:rPr>
            </w:pPr>
            <w:r>
              <w:rPr>
                <w:rFonts w:ascii="Calibri" w:cs="Calibri" w:eastAsia="Calibri" w:hAnsi="Calibri"/>
                <w:sz w:val="16"/>
                <w:szCs w:val="16"/>
                <w:color w:val="auto"/>
              </w:rPr>
              <w:t>Expired</w:t>
            </w:r>
          </w:p>
        </w:tc>
        <w:tc>
          <w:tcPr>
            <w:tcW w:w="3960" w:type="dxa"/>
            <w:vAlign w:val="bottom"/>
          </w:tcPr>
          <w:p>
            <w:pPr>
              <w:jc w:val="right"/>
              <w:spacing w:after="0"/>
              <w:rPr>
                <w:sz w:val="20"/>
                <w:szCs w:val="20"/>
                <w:color w:val="auto"/>
              </w:rPr>
            </w:pPr>
            <w:r>
              <w:rPr>
                <w:rFonts w:ascii="Calibri" w:cs="Calibri" w:eastAsia="Calibri" w:hAnsi="Calibri"/>
                <w:sz w:val="16"/>
                <w:szCs w:val="16"/>
                <w:color w:val="auto"/>
              </w:rPr>
              <w:t>(7,805,360)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3.47</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2"/>
        </w:trPr>
        <w:tc>
          <w:tcPr>
            <w:tcW w:w="48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Outstanding as at March 31, 2024</w:t>
            </w:r>
          </w:p>
        </w:tc>
        <w:tc>
          <w:tcPr>
            <w:tcW w:w="39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106,255,498</w:t>
            </w:r>
          </w:p>
        </w:tc>
        <w:tc>
          <w:tcPr>
            <w:tcW w:w="18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0.60</w:t>
            </w:r>
          </w:p>
        </w:tc>
      </w:tr>
      <w:tr>
        <w:trPr>
          <w:trHeight w:val="198"/>
        </w:trPr>
        <w:tc>
          <w:tcPr>
            <w:tcW w:w="486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Exercisable as at March 31, 2024</w:t>
            </w:r>
          </w:p>
        </w:tc>
        <w:tc>
          <w:tcPr>
            <w:tcW w:w="3960" w:type="dxa"/>
            <w:vAlign w:val="bottom"/>
            <w:tcBorders>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b w:val="1"/>
                <w:bCs w:val="1"/>
                <w:color w:val="auto"/>
              </w:rPr>
              <w:t>39,588,831</w:t>
            </w:r>
          </w:p>
        </w:tc>
        <w:tc>
          <w:tcPr>
            <w:tcW w:w="1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0.44</w:t>
            </w:r>
          </w:p>
        </w:tc>
      </w:tr>
      <w:tr>
        <w:trPr>
          <w:trHeight w:val="290"/>
        </w:trPr>
        <w:tc>
          <w:tcPr>
            <w:tcW w:w="4860" w:type="dxa"/>
            <w:vAlign w:val="bottom"/>
            <w:tcBorders>
              <w:bottom w:val="single" w:sz="8" w:color="auto"/>
            </w:tcBorders>
          </w:tcPr>
          <w:p>
            <w:pPr>
              <w:ind w:left="60"/>
              <w:spacing w:after="0"/>
              <w:rPr>
                <w:sz w:val="20"/>
                <w:szCs w:val="20"/>
                <w:color w:val="auto"/>
              </w:rPr>
            </w:pPr>
            <w:r>
              <w:rPr>
                <w:rFonts w:ascii="Calibri" w:cs="Calibri" w:eastAsia="Calibri" w:hAnsi="Calibri"/>
                <w:sz w:val="16"/>
                <w:szCs w:val="16"/>
                <w:b w:val="1"/>
                <w:bCs w:val="1"/>
                <w:i w:val="1"/>
                <w:iCs w:val="1"/>
                <w:color w:val="auto"/>
              </w:rPr>
              <w:t>Unit Purchase Warrants</w:t>
            </w:r>
            <w:r>
              <w:rPr>
                <w:rFonts w:ascii="Calibri" w:cs="Calibri" w:eastAsia="Calibri" w:hAnsi="Calibri"/>
                <w:sz w:val="21"/>
                <w:szCs w:val="21"/>
                <w:b w:val="1"/>
                <w:bCs w:val="1"/>
                <w:i w:val="1"/>
                <w:iCs w:val="1"/>
                <w:color w:val="auto"/>
                <w:vertAlign w:val="superscript"/>
              </w:rPr>
              <w:t>(1)</w:t>
            </w:r>
          </w:p>
        </w:tc>
        <w:tc>
          <w:tcPr>
            <w:tcW w:w="39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185"/>
        </w:trPr>
        <w:tc>
          <w:tcPr>
            <w:tcW w:w="4860" w:type="dxa"/>
            <w:vAlign w:val="bottom"/>
          </w:tcPr>
          <w:p>
            <w:pPr>
              <w:ind w:left="60"/>
              <w:spacing w:after="0" w:line="185" w:lineRule="exact"/>
              <w:rPr>
                <w:sz w:val="20"/>
                <w:szCs w:val="20"/>
                <w:color w:val="auto"/>
              </w:rPr>
            </w:pPr>
            <w:r>
              <w:rPr>
                <w:rFonts w:ascii="Calibri" w:cs="Calibri" w:eastAsia="Calibri" w:hAnsi="Calibri"/>
                <w:sz w:val="16"/>
                <w:szCs w:val="16"/>
                <w:color w:val="auto"/>
              </w:rPr>
              <w:t>As at March 31, 2022</w:t>
            </w:r>
          </w:p>
        </w:tc>
        <w:tc>
          <w:tcPr>
            <w:tcW w:w="3960" w:type="dxa"/>
            <w:vAlign w:val="bottom"/>
          </w:tcPr>
          <w:p>
            <w:pPr>
              <w:jc w:val="right"/>
              <w:ind w:right="19"/>
              <w:spacing w:after="0" w:line="185" w:lineRule="exact"/>
              <w:rPr>
                <w:sz w:val="20"/>
                <w:szCs w:val="20"/>
                <w:color w:val="auto"/>
              </w:rPr>
            </w:pPr>
            <w:r>
              <w:rPr>
                <w:rFonts w:ascii="Calibri" w:cs="Calibri" w:eastAsia="Calibri" w:hAnsi="Calibri"/>
                <w:sz w:val="16"/>
                <w:szCs w:val="16"/>
                <w:color w:val="auto"/>
              </w:rPr>
              <w:t>868,740</w:t>
            </w:r>
          </w:p>
        </w:tc>
        <w:tc>
          <w:tcPr>
            <w:tcW w:w="1860" w:type="dxa"/>
            <w:vAlign w:val="bottom"/>
          </w:tcPr>
          <w:p>
            <w:pPr>
              <w:jc w:val="right"/>
              <w:spacing w:after="0" w:line="185" w:lineRule="exact"/>
              <w:rPr>
                <w:sz w:val="20"/>
                <w:szCs w:val="20"/>
                <w:color w:val="auto"/>
              </w:rPr>
            </w:pPr>
            <w:r>
              <w:rPr>
                <w:rFonts w:ascii="Calibri" w:cs="Calibri" w:eastAsia="Calibri" w:hAnsi="Calibri"/>
                <w:sz w:val="16"/>
                <w:szCs w:val="16"/>
                <w:color w:val="auto"/>
              </w:rPr>
              <w:t>2.25</w:t>
            </w:r>
          </w:p>
        </w:tc>
      </w:tr>
      <w:tr>
        <w:trPr>
          <w:trHeight w:val="198"/>
        </w:trPr>
        <w:tc>
          <w:tcPr>
            <w:tcW w:w="4860" w:type="dxa"/>
            <w:vAlign w:val="bottom"/>
          </w:tcPr>
          <w:p>
            <w:pPr>
              <w:ind w:left="60"/>
              <w:spacing w:after="0"/>
              <w:rPr>
                <w:sz w:val="20"/>
                <w:szCs w:val="20"/>
                <w:color w:val="auto"/>
              </w:rPr>
            </w:pPr>
            <w:r>
              <w:rPr>
                <w:rFonts w:ascii="Calibri" w:cs="Calibri" w:eastAsia="Calibri" w:hAnsi="Calibri"/>
                <w:sz w:val="16"/>
                <w:szCs w:val="16"/>
                <w:color w:val="auto"/>
              </w:rPr>
              <w:t>Exercised</w:t>
            </w:r>
          </w:p>
        </w:tc>
        <w:tc>
          <w:tcPr>
            <w:tcW w:w="3960" w:type="dxa"/>
            <w:vAlign w:val="bottom"/>
          </w:tcPr>
          <w:p>
            <w:pPr>
              <w:jc w:val="right"/>
              <w:ind w:right="19"/>
              <w:spacing w:after="0"/>
              <w:rPr>
                <w:sz w:val="20"/>
                <w:szCs w:val="20"/>
                <w:color w:val="auto"/>
              </w:rPr>
            </w:pPr>
            <w:r>
              <w:rPr>
                <w:rFonts w:ascii="Calibri" w:cs="Calibri" w:eastAsia="Calibri" w:hAnsi="Calibri"/>
                <w:sz w:val="16"/>
                <w:szCs w:val="16"/>
                <w:color w:val="auto"/>
              </w:rPr>
              <w:t>—</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5"/>
        </w:trPr>
        <w:tc>
          <w:tcPr>
            <w:tcW w:w="4860" w:type="dxa"/>
            <w:vAlign w:val="bottom"/>
          </w:tcPr>
          <w:p>
            <w:pPr>
              <w:ind w:left="60"/>
              <w:spacing w:after="0" w:line="185" w:lineRule="exact"/>
              <w:rPr>
                <w:sz w:val="20"/>
                <w:szCs w:val="20"/>
                <w:color w:val="auto"/>
              </w:rPr>
            </w:pPr>
            <w:r>
              <w:rPr>
                <w:rFonts w:ascii="Calibri" w:cs="Calibri" w:eastAsia="Calibri" w:hAnsi="Calibri"/>
                <w:sz w:val="16"/>
                <w:szCs w:val="16"/>
                <w:color w:val="auto"/>
              </w:rPr>
              <w:t>As at March 31, 2023</w:t>
            </w:r>
          </w:p>
        </w:tc>
        <w:tc>
          <w:tcPr>
            <w:tcW w:w="3960" w:type="dxa"/>
            <w:vAlign w:val="bottom"/>
          </w:tcPr>
          <w:p>
            <w:pPr>
              <w:jc w:val="right"/>
              <w:ind w:right="19"/>
              <w:spacing w:after="0" w:line="185" w:lineRule="exact"/>
              <w:rPr>
                <w:sz w:val="20"/>
                <w:szCs w:val="20"/>
                <w:color w:val="auto"/>
              </w:rPr>
            </w:pPr>
            <w:r>
              <w:rPr>
                <w:rFonts w:ascii="Calibri" w:cs="Calibri" w:eastAsia="Calibri" w:hAnsi="Calibri"/>
                <w:sz w:val="16"/>
                <w:szCs w:val="16"/>
                <w:color w:val="auto"/>
              </w:rPr>
              <w:t>868,740</w:t>
            </w:r>
          </w:p>
        </w:tc>
        <w:tc>
          <w:tcPr>
            <w:tcW w:w="1860" w:type="dxa"/>
            <w:vAlign w:val="bottom"/>
          </w:tcPr>
          <w:p>
            <w:pPr>
              <w:jc w:val="right"/>
              <w:spacing w:after="0" w:line="185" w:lineRule="exact"/>
              <w:rPr>
                <w:sz w:val="20"/>
                <w:szCs w:val="20"/>
                <w:color w:val="auto"/>
              </w:rPr>
            </w:pPr>
            <w:r>
              <w:rPr>
                <w:rFonts w:ascii="Calibri" w:cs="Calibri" w:eastAsia="Calibri" w:hAnsi="Calibri"/>
                <w:sz w:val="16"/>
                <w:szCs w:val="16"/>
                <w:color w:val="auto"/>
              </w:rPr>
              <w:t>2.25</w:t>
            </w:r>
          </w:p>
        </w:tc>
      </w:tr>
      <w:tr>
        <w:trPr>
          <w:trHeight w:val="198"/>
        </w:trPr>
        <w:tc>
          <w:tcPr>
            <w:tcW w:w="4860" w:type="dxa"/>
            <w:vAlign w:val="bottom"/>
          </w:tcPr>
          <w:p>
            <w:pPr>
              <w:ind w:left="60"/>
              <w:spacing w:after="0"/>
              <w:rPr>
                <w:sz w:val="20"/>
                <w:szCs w:val="20"/>
                <w:color w:val="auto"/>
              </w:rPr>
            </w:pPr>
            <w:r>
              <w:rPr>
                <w:rFonts w:ascii="Calibri" w:cs="Calibri" w:eastAsia="Calibri" w:hAnsi="Calibri"/>
                <w:sz w:val="16"/>
                <w:szCs w:val="16"/>
                <w:color w:val="auto"/>
              </w:rPr>
              <w:t>Expired</w:t>
            </w:r>
          </w:p>
        </w:tc>
        <w:tc>
          <w:tcPr>
            <w:tcW w:w="3960" w:type="dxa"/>
            <w:vAlign w:val="bottom"/>
          </w:tcPr>
          <w:p>
            <w:pPr>
              <w:jc w:val="right"/>
              <w:ind w:right="19"/>
              <w:spacing w:after="0"/>
              <w:rPr>
                <w:sz w:val="20"/>
                <w:szCs w:val="20"/>
                <w:color w:val="auto"/>
              </w:rPr>
            </w:pPr>
            <w:r>
              <w:rPr>
                <w:rFonts w:ascii="Calibri" w:cs="Calibri" w:eastAsia="Calibri" w:hAnsi="Calibri"/>
                <w:sz w:val="16"/>
                <w:szCs w:val="16"/>
                <w:color w:val="auto"/>
              </w:rPr>
              <w:t>(868,740)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2.25</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2"/>
        </w:trPr>
        <w:tc>
          <w:tcPr>
            <w:tcW w:w="48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Outstanding as at March 31, 2024</w:t>
            </w:r>
          </w:p>
        </w:tc>
        <w:tc>
          <w:tcPr>
            <w:tcW w:w="396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color w:val="auto"/>
              </w:rPr>
              <w:t>—</w:t>
            </w:r>
          </w:p>
        </w:tc>
        <w:tc>
          <w:tcPr>
            <w:tcW w:w="18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r>
        <w:trPr>
          <w:trHeight w:val="198"/>
        </w:trPr>
        <w:tc>
          <w:tcPr>
            <w:tcW w:w="486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Exercisable as at March 31, 2024</w:t>
            </w:r>
          </w:p>
        </w:tc>
        <w:tc>
          <w:tcPr>
            <w:tcW w:w="3960" w:type="dxa"/>
            <w:vAlign w:val="bottom"/>
            <w:tcBorders>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r>
    </w:tbl>
    <w:p>
      <w:pPr>
        <w:spacing w:after="0" w:line="69" w:lineRule="exact"/>
        <w:rPr>
          <w:sz w:val="20"/>
          <w:szCs w:val="20"/>
          <w:color w:val="auto"/>
        </w:rPr>
      </w:pPr>
    </w:p>
    <w:p>
      <w:pPr>
        <w:ind w:left="220" w:right="20" w:firstLine="8"/>
        <w:spacing w:after="0" w:line="224" w:lineRule="auto"/>
        <w:tabs>
          <w:tab w:leader="none" w:pos="360" w:val="left"/>
        </w:tabs>
        <w:numPr>
          <w:ilvl w:val="0"/>
          <w:numId w:val="31"/>
        </w:numPr>
        <w:rPr>
          <w:rFonts w:ascii="Calibri" w:cs="Calibri" w:eastAsia="Calibri" w:hAnsi="Calibri"/>
          <w:sz w:val="17"/>
          <w:szCs w:val="17"/>
          <w:i w:val="1"/>
          <w:iCs w:val="1"/>
          <w:color w:val="auto"/>
          <w:vertAlign w:val="superscript"/>
        </w:rPr>
      </w:pPr>
      <w:r>
        <w:rPr>
          <w:rFonts w:ascii="Calibri" w:cs="Calibri" w:eastAsia="Calibri" w:hAnsi="Calibri"/>
          <w:sz w:val="13"/>
          <w:szCs w:val="13"/>
          <w:i w:val="1"/>
          <w:iCs w:val="1"/>
          <w:color w:val="auto"/>
        </w:rPr>
        <w:t>Each unit consisted of one Common Share and one half of one Common Share purchase warrant, with each Common Share purchase warrant being exercisable to acquire one Common Share at an exercise price of $3.25 per Common Share.</w:t>
      </w:r>
    </w:p>
    <w:p>
      <w:pPr>
        <w:spacing w:after="0" w:line="16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year ended March 31, 2024, the Company had the following movement in warrants:</w:t>
      </w:r>
    </w:p>
    <w:p>
      <w:pPr>
        <w:spacing w:after="0" w:line="146" w:lineRule="exact"/>
        <w:rPr>
          <w:sz w:val="20"/>
          <w:szCs w:val="20"/>
          <w:color w:val="auto"/>
        </w:rPr>
      </w:pPr>
    </w:p>
    <w:p>
      <w:pPr>
        <w:ind w:left="220"/>
        <w:spacing w:after="0" w:line="237" w:lineRule="auto"/>
        <w:rPr>
          <w:sz w:val="20"/>
          <w:szCs w:val="20"/>
          <w:color w:val="auto"/>
        </w:rPr>
      </w:pPr>
      <w:r>
        <w:rPr>
          <w:rFonts w:ascii="Calibri" w:cs="Calibri" w:eastAsia="Calibri" w:hAnsi="Calibri"/>
          <w:sz w:val="16"/>
          <w:szCs w:val="16"/>
          <w:color w:val="auto"/>
        </w:rPr>
        <w:t>During the year ended March 31, 2024, 101,000 Common Share purchase warrants (March 31, 2023 - 1,164,638) were exercised by various holders for aggregate proceeds to the Company of $56 (March 31, 2023 - $362).</w:t>
      </w:r>
    </w:p>
    <w:p>
      <w:pPr>
        <w:spacing w:after="0" w:line="17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During the year ended March 31, 2024, 7,805,360 warrants with a weighted average exercise price of $3.47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51" w:name="page52"/>
    <w:bookmarkEnd w:id="5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During the year ended March 31, 2024, the Company completed the following warrant issuances:</w:t>
      </w:r>
    </w:p>
    <w:p>
      <w:pPr>
        <w:spacing w:after="0" w:line="219" w:lineRule="exact"/>
        <w:rPr>
          <w:sz w:val="20"/>
          <w:szCs w:val="20"/>
          <w:color w:val="auto"/>
        </w:rPr>
      </w:pPr>
    </w:p>
    <w:p>
      <w:pPr>
        <w:ind w:left="280"/>
        <w:spacing w:after="0" w:line="230" w:lineRule="auto"/>
        <w:rPr>
          <w:sz w:val="20"/>
          <w:szCs w:val="20"/>
          <w:color w:val="auto"/>
        </w:rPr>
      </w:pPr>
      <w:r>
        <w:rPr>
          <w:rFonts w:ascii="Calibri" w:cs="Calibri" w:eastAsia="Calibri" w:hAnsi="Calibri"/>
          <w:sz w:val="16"/>
          <w:szCs w:val="16"/>
          <w:color w:val="auto"/>
        </w:rPr>
        <w:t>On August 4, 2023, Cybin issued 24,264,706 “August 2023 Warrants” in connecton with the August 2023 Ofering. Each August 2023 Warrant is exercisable to acquire one Common Share at a price of US$0.40 per Common Share untl August 4, 2028, subject to acceleraton in certain circumstances.</w:t>
      </w:r>
    </w:p>
    <w:p>
      <w:pPr>
        <w:spacing w:after="0" w:line="159" w:lineRule="exact"/>
        <w:rPr>
          <w:sz w:val="20"/>
          <w:szCs w:val="20"/>
          <w:color w:val="auto"/>
        </w:rPr>
      </w:pPr>
    </w:p>
    <w:p>
      <w:pPr>
        <w:ind w:left="280" w:right="20"/>
        <w:spacing w:after="0" w:line="237" w:lineRule="auto"/>
        <w:rPr>
          <w:sz w:val="20"/>
          <w:szCs w:val="20"/>
          <w:color w:val="auto"/>
        </w:rPr>
      </w:pPr>
      <w:r>
        <w:rPr>
          <w:rFonts w:ascii="Calibri" w:cs="Calibri" w:eastAsia="Calibri" w:hAnsi="Calibri"/>
          <w:sz w:val="16"/>
          <w:szCs w:val="16"/>
          <w:color w:val="auto"/>
        </w:rPr>
        <w:t>The Company estmated the aggregate fair value of the August 2023 Warrants using the Black-Scholes opton pricing model to be $4,600(US$3,442) with the following assumptons: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ind w:left="380"/>
              <w:spacing w:after="0"/>
              <w:rPr>
                <w:sz w:val="20"/>
                <w:szCs w:val="20"/>
                <w:color w:val="auto"/>
              </w:rPr>
            </w:pPr>
            <w:r>
              <w:rPr>
                <w:rFonts w:ascii="Calibri" w:cs="Calibri" w:eastAsia="Calibri" w:hAnsi="Calibri"/>
                <w:sz w:val="16"/>
                <w:szCs w:val="16"/>
                <w:color w:val="auto"/>
              </w:rPr>
              <w:t>3.87%</w:t>
            </w:r>
          </w:p>
        </w:tc>
        <w:tc>
          <w:tcPr>
            <w:tcW w:w="780" w:type="dxa"/>
            <w:vAlign w:val="bottom"/>
          </w:tcPr>
          <w:p>
            <w:pPr>
              <w:spacing w:after="0"/>
              <w:rPr>
                <w:sz w:val="16"/>
                <w:szCs w:val="16"/>
                <w:color w:val="auto"/>
              </w:rPr>
            </w:pPr>
          </w:p>
        </w:tc>
      </w:tr>
      <w:tr>
        <w:trPr>
          <w:trHeight w:val="194"/>
        </w:trPr>
        <w:tc>
          <w:tcPr>
            <w:tcW w:w="4460" w:type="dxa"/>
            <w:vAlign w:val="bottom"/>
            <w:gridSpan w:val="2"/>
          </w:tcPr>
          <w:p>
            <w:pPr>
              <w:spacing w:after="0" w:line="194" w:lineRule="exact"/>
              <w:rPr>
                <w:sz w:val="20"/>
                <w:szCs w:val="20"/>
                <w:color w:val="auto"/>
              </w:rPr>
            </w:pPr>
            <w:r>
              <w:rPr>
                <w:rFonts w:ascii="Calibri" w:cs="Calibri" w:eastAsia="Calibri" w:hAnsi="Calibri"/>
                <w:sz w:val="16"/>
                <w:szCs w:val="16"/>
                <w:color w:val="auto"/>
              </w:rPr>
              <w:t>Expected annual volatlity rate based on comparable companies</w:t>
            </w:r>
          </w:p>
        </w:tc>
        <w:tc>
          <w:tcPr>
            <w:tcW w:w="780" w:type="dxa"/>
            <w:vAlign w:val="bottom"/>
          </w:tcPr>
          <w:p>
            <w:pPr>
              <w:jc w:val="right"/>
              <w:spacing w:after="0" w:line="194" w:lineRule="exact"/>
              <w:rPr>
                <w:sz w:val="20"/>
                <w:szCs w:val="20"/>
                <w:color w:val="auto"/>
              </w:rPr>
            </w:pPr>
            <w:r>
              <w:rPr>
                <w:rFonts w:ascii="Calibri" w:cs="Calibri" w:eastAsia="Calibri" w:hAnsi="Calibri"/>
                <w:sz w:val="16"/>
                <w:szCs w:val="16"/>
                <w:color w:val="auto"/>
              </w:rPr>
              <w:t>95.0%</w:t>
            </w: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Expected life (in years)</w:t>
            </w:r>
          </w:p>
        </w:tc>
        <w:tc>
          <w:tcPr>
            <w:tcW w:w="2540" w:type="dxa"/>
            <w:vAlign w:val="bottom"/>
          </w:tcPr>
          <w:p>
            <w:pPr>
              <w:ind w:left="880"/>
              <w:spacing w:after="0" w:line="194" w:lineRule="exact"/>
              <w:rPr>
                <w:sz w:val="20"/>
                <w:szCs w:val="20"/>
                <w:color w:val="auto"/>
              </w:rPr>
            </w:pPr>
            <w:r>
              <w:rPr>
                <w:rFonts w:ascii="Calibri" w:cs="Calibri" w:eastAsia="Calibri" w:hAnsi="Calibri"/>
                <w:sz w:val="16"/>
                <w:szCs w:val="16"/>
                <w:color w:val="auto"/>
              </w:rPr>
              <w:t>5</w:t>
            </w:r>
          </w:p>
        </w:tc>
        <w:tc>
          <w:tcPr>
            <w:tcW w:w="780" w:type="dxa"/>
            <w:vAlign w:val="bottom"/>
          </w:tcPr>
          <w:p>
            <w:pPr>
              <w:spacing w:after="0"/>
              <w:rPr>
                <w:sz w:val="16"/>
                <w:szCs w:val="16"/>
                <w:color w:val="auto"/>
              </w:rPr>
            </w:pP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Expected divided yield</w:t>
            </w:r>
          </w:p>
        </w:tc>
        <w:tc>
          <w:tcPr>
            <w:tcW w:w="2540" w:type="dxa"/>
            <w:vAlign w:val="bottom"/>
          </w:tcPr>
          <w:p>
            <w:pPr>
              <w:ind w:left="860"/>
              <w:spacing w:after="0" w:line="194" w:lineRule="exact"/>
              <w:rPr>
                <w:sz w:val="20"/>
                <w:szCs w:val="20"/>
                <w:color w:val="auto"/>
              </w:rPr>
            </w:pPr>
            <w:r>
              <w:rPr>
                <w:rFonts w:ascii="Calibri" w:cs="Calibri" w:eastAsia="Calibri" w:hAnsi="Calibri"/>
                <w:sz w:val="16"/>
                <w:szCs w:val="16"/>
                <w:color w:val="auto"/>
              </w:rPr>
              <w:t>0.00%</w:t>
            </w:r>
          </w:p>
        </w:tc>
        <w:tc>
          <w:tcPr>
            <w:tcW w:w="780" w:type="dxa"/>
            <w:vAlign w:val="bottom"/>
          </w:tcPr>
          <w:p>
            <w:pPr>
              <w:spacing w:after="0"/>
              <w:rPr>
                <w:sz w:val="16"/>
                <w:szCs w:val="16"/>
                <w:color w:val="auto"/>
              </w:rPr>
            </w:pP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Share price</w:t>
            </w:r>
          </w:p>
        </w:tc>
        <w:tc>
          <w:tcPr>
            <w:tcW w:w="2540" w:type="dxa"/>
            <w:vAlign w:val="bottom"/>
          </w:tcPr>
          <w:p>
            <w:pPr>
              <w:ind w:left="260"/>
              <w:spacing w:after="0" w:line="194" w:lineRule="exact"/>
              <w:rPr>
                <w:sz w:val="20"/>
                <w:szCs w:val="20"/>
                <w:color w:val="auto"/>
              </w:rPr>
            </w:pPr>
            <w:r>
              <w:rPr>
                <w:rFonts w:ascii="Calibri" w:cs="Calibri" w:eastAsia="Calibri" w:hAnsi="Calibri"/>
                <w:sz w:val="16"/>
                <w:szCs w:val="16"/>
                <w:color w:val="auto"/>
              </w:rPr>
              <w:t>US$0.34</w:t>
            </w:r>
          </w:p>
        </w:tc>
        <w:tc>
          <w:tcPr>
            <w:tcW w:w="780" w:type="dxa"/>
            <w:vAlign w:val="bottom"/>
          </w:tcPr>
          <w:p>
            <w:pPr>
              <w:spacing w:after="0"/>
              <w:rPr>
                <w:sz w:val="16"/>
                <w:szCs w:val="16"/>
                <w:color w:val="auto"/>
              </w:rPr>
            </w:pP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Exercise price</w:t>
            </w:r>
          </w:p>
        </w:tc>
        <w:tc>
          <w:tcPr>
            <w:tcW w:w="2540" w:type="dxa"/>
            <w:vAlign w:val="bottom"/>
          </w:tcPr>
          <w:p>
            <w:pPr>
              <w:ind w:left="260"/>
              <w:spacing w:after="0" w:line="194" w:lineRule="exact"/>
              <w:rPr>
                <w:sz w:val="20"/>
                <w:szCs w:val="20"/>
                <w:color w:val="auto"/>
              </w:rPr>
            </w:pPr>
            <w:r>
              <w:rPr>
                <w:rFonts w:ascii="Calibri" w:cs="Calibri" w:eastAsia="Calibri" w:hAnsi="Calibri"/>
                <w:sz w:val="16"/>
                <w:szCs w:val="16"/>
                <w:color w:val="auto"/>
              </w:rPr>
              <w:t>US$0.40</w:t>
            </w:r>
          </w:p>
        </w:tc>
        <w:tc>
          <w:tcPr>
            <w:tcW w:w="780" w:type="dxa"/>
            <w:vAlign w:val="bottom"/>
          </w:tcPr>
          <w:p>
            <w:pPr>
              <w:spacing w:after="0"/>
              <w:rPr>
                <w:sz w:val="16"/>
                <w:szCs w:val="16"/>
                <w:color w:val="auto"/>
              </w:rPr>
            </w:pPr>
          </w:p>
        </w:tc>
      </w:tr>
    </w:tbl>
    <w:p>
      <w:pPr>
        <w:spacing w:after="0" w:line="158" w:lineRule="exact"/>
        <w:rPr>
          <w:sz w:val="20"/>
          <w:szCs w:val="20"/>
          <w:color w:val="auto"/>
        </w:rPr>
      </w:pPr>
    </w:p>
    <w:p>
      <w:pPr>
        <w:ind w:left="280" w:right="20"/>
        <w:spacing w:after="0" w:line="237" w:lineRule="auto"/>
        <w:rPr>
          <w:sz w:val="20"/>
          <w:szCs w:val="20"/>
          <w:color w:val="auto"/>
        </w:rPr>
      </w:pPr>
      <w:r>
        <w:rPr>
          <w:rFonts w:ascii="Calibri" w:cs="Calibri" w:eastAsia="Calibri" w:hAnsi="Calibri"/>
          <w:sz w:val="16"/>
          <w:szCs w:val="16"/>
          <w:color w:val="auto"/>
        </w:rPr>
        <w:t>On November 14, 2023, Cybin issued 66,666,667 “November 2023 Warrants” in connecton with the November 2023 Ofering. Each November 2023 Warrant is exercisable from May 14, 2024 to May 14, 2029 to acquire one Common Share at a price of US$0.51, subject to acceleraton in certain circumstances.</w:t>
      </w:r>
    </w:p>
    <w:p>
      <w:pPr>
        <w:spacing w:after="0" w:line="172" w:lineRule="exact"/>
        <w:rPr>
          <w:sz w:val="20"/>
          <w:szCs w:val="20"/>
          <w:color w:val="auto"/>
        </w:rPr>
      </w:pPr>
    </w:p>
    <w:p>
      <w:pPr>
        <w:ind w:left="280" w:right="20"/>
        <w:spacing w:after="0" w:line="237" w:lineRule="auto"/>
        <w:rPr>
          <w:sz w:val="20"/>
          <w:szCs w:val="20"/>
          <w:color w:val="auto"/>
        </w:rPr>
      </w:pPr>
      <w:r>
        <w:rPr>
          <w:rFonts w:ascii="Calibri" w:cs="Calibri" w:eastAsia="Calibri" w:hAnsi="Calibri"/>
          <w:sz w:val="16"/>
          <w:szCs w:val="16"/>
          <w:color w:val="auto"/>
        </w:rPr>
        <w:t>The Company estmated the aggregate fair value of the November 2023 Warrants using the Black-Scholes opton pricing model to be $17,842(US$12,299) with the following assumptons: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ind w:left="28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ind w:left="380"/>
              <w:spacing w:after="0"/>
              <w:rPr>
                <w:sz w:val="20"/>
                <w:szCs w:val="20"/>
                <w:color w:val="auto"/>
              </w:rPr>
            </w:pPr>
            <w:r>
              <w:rPr>
                <w:rFonts w:ascii="Calibri" w:cs="Calibri" w:eastAsia="Calibri" w:hAnsi="Calibri"/>
                <w:sz w:val="16"/>
                <w:szCs w:val="16"/>
                <w:color w:val="auto"/>
              </w:rPr>
              <w:t>3.76%</w:t>
            </w:r>
          </w:p>
        </w:tc>
        <w:tc>
          <w:tcPr>
            <w:tcW w:w="780" w:type="dxa"/>
            <w:vAlign w:val="bottom"/>
          </w:tcPr>
          <w:p>
            <w:pPr>
              <w:spacing w:after="0"/>
              <w:rPr>
                <w:sz w:val="16"/>
                <w:szCs w:val="16"/>
                <w:color w:val="auto"/>
              </w:rPr>
            </w:pPr>
          </w:p>
        </w:tc>
      </w:tr>
      <w:tr>
        <w:trPr>
          <w:trHeight w:val="194"/>
        </w:trPr>
        <w:tc>
          <w:tcPr>
            <w:tcW w:w="4460" w:type="dxa"/>
            <w:vAlign w:val="bottom"/>
            <w:gridSpan w:val="2"/>
          </w:tcPr>
          <w:p>
            <w:pPr>
              <w:spacing w:after="0" w:line="194" w:lineRule="exact"/>
              <w:rPr>
                <w:sz w:val="20"/>
                <w:szCs w:val="20"/>
                <w:color w:val="auto"/>
              </w:rPr>
            </w:pPr>
            <w:r>
              <w:rPr>
                <w:rFonts w:ascii="Calibri" w:cs="Calibri" w:eastAsia="Calibri" w:hAnsi="Calibri"/>
                <w:sz w:val="16"/>
                <w:szCs w:val="16"/>
                <w:color w:val="auto"/>
              </w:rPr>
              <w:t>Expected annual volatlity rate based on comparable companies</w:t>
            </w:r>
          </w:p>
        </w:tc>
        <w:tc>
          <w:tcPr>
            <w:tcW w:w="780" w:type="dxa"/>
            <w:vAlign w:val="bottom"/>
          </w:tcPr>
          <w:p>
            <w:pPr>
              <w:jc w:val="right"/>
              <w:spacing w:after="0" w:line="194" w:lineRule="exact"/>
              <w:rPr>
                <w:sz w:val="20"/>
                <w:szCs w:val="20"/>
                <w:color w:val="auto"/>
              </w:rPr>
            </w:pPr>
            <w:r>
              <w:rPr>
                <w:rFonts w:ascii="Calibri" w:cs="Calibri" w:eastAsia="Calibri" w:hAnsi="Calibri"/>
                <w:sz w:val="16"/>
                <w:szCs w:val="16"/>
                <w:color w:val="auto"/>
              </w:rPr>
              <w:t>95.0%</w:t>
            </w: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Expected life (in years)</w:t>
            </w:r>
          </w:p>
        </w:tc>
        <w:tc>
          <w:tcPr>
            <w:tcW w:w="2540" w:type="dxa"/>
            <w:vAlign w:val="bottom"/>
          </w:tcPr>
          <w:p>
            <w:pPr>
              <w:ind w:left="880"/>
              <w:spacing w:after="0" w:line="194" w:lineRule="exact"/>
              <w:rPr>
                <w:sz w:val="20"/>
                <w:szCs w:val="20"/>
                <w:color w:val="auto"/>
              </w:rPr>
            </w:pPr>
            <w:r>
              <w:rPr>
                <w:rFonts w:ascii="Calibri" w:cs="Calibri" w:eastAsia="Calibri" w:hAnsi="Calibri"/>
                <w:sz w:val="16"/>
                <w:szCs w:val="16"/>
                <w:color w:val="auto"/>
              </w:rPr>
              <w:t>5.5</w:t>
            </w:r>
          </w:p>
        </w:tc>
        <w:tc>
          <w:tcPr>
            <w:tcW w:w="780" w:type="dxa"/>
            <w:vAlign w:val="bottom"/>
          </w:tcPr>
          <w:p>
            <w:pPr>
              <w:spacing w:after="0"/>
              <w:rPr>
                <w:sz w:val="16"/>
                <w:szCs w:val="16"/>
                <w:color w:val="auto"/>
              </w:rPr>
            </w:pP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Expected divided yield</w:t>
            </w:r>
          </w:p>
        </w:tc>
        <w:tc>
          <w:tcPr>
            <w:tcW w:w="2540" w:type="dxa"/>
            <w:vAlign w:val="bottom"/>
          </w:tcPr>
          <w:p>
            <w:pPr>
              <w:ind w:left="860"/>
              <w:spacing w:after="0" w:line="194" w:lineRule="exact"/>
              <w:rPr>
                <w:sz w:val="20"/>
                <w:szCs w:val="20"/>
                <w:color w:val="auto"/>
              </w:rPr>
            </w:pPr>
            <w:r>
              <w:rPr>
                <w:rFonts w:ascii="Calibri" w:cs="Calibri" w:eastAsia="Calibri" w:hAnsi="Calibri"/>
                <w:sz w:val="16"/>
                <w:szCs w:val="16"/>
                <w:color w:val="auto"/>
              </w:rPr>
              <w:t>0.00%</w:t>
            </w:r>
          </w:p>
        </w:tc>
        <w:tc>
          <w:tcPr>
            <w:tcW w:w="780" w:type="dxa"/>
            <w:vAlign w:val="bottom"/>
          </w:tcPr>
          <w:p>
            <w:pPr>
              <w:spacing w:after="0"/>
              <w:rPr>
                <w:sz w:val="16"/>
                <w:szCs w:val="16"/>
                <w:color w:val="auto"/>
              </w:rPr>
            </w:pP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Share price</w:t>
            </w:r>
          </w:p>
        </w:tc>
        <w:tc>
          <w:tcPr>
            <w:tcW w:w="2540" w:type="dxa"/>
            <w:vAlign w:val="bottom"/>
          </w:tcPr>
          <w:p>
            <w:pPr>
              <w:ind w:left="260"/>
              <w:spacing w:after="0" w:line="194" w:lineRule="exact"/>
              <w:rPr>
                <w:sz w:val="20"/>
                <w:szCs w:val="20"/>
                <w:color w:val="auto"/>
              </w:rPr>
            </w:pPr>
            <w:r>
              <w:rPr>
                <w:rFonts w:ascii="Calibri" w:cs="Calibri" w:eastAsia="Calibri" w:hAnsi="Calibri"/>
                <w:sz w:val="16"/>
                <w:szCs w:val="16"/>
                <w:color w:val="auto"/>
              </w:rPr>
              <w:t>US$0.46</w:t>
            </w:r>
          </w:p>
        </w:tc>
        <w:tc>
          <w:tcPr>
            <w:tcW w:w="780" w:type="dxa"/>
            <w:vAlign w:val="bottom"/>
          </w:tcPr>
          <w:p>
            <w:pPr>
              <w:spacing w:after="0"/>
              <w:rPr>
                <w:sz w:val="16"/>
                <w:szCs w:val="16"/>
                <w:color w:val="auto"/>
              </w:rPr>
            </w:pPr>
          </w:p>
        </w:tc>
      </w:tr>
      <w:tr>
        <w:trPr>
          <w:trHeight w:val="194"/>
        </w:trPr>
        <w:tc>
          <w:tcPr>
            <w:tcW w:w="1920" w:type="dxa"/>
            <w:vAlign w:val="bottom"/>
          </w:tcPr>
          <w:p>
            <w:pPr>
              <w:spacing w:after="0" w:line="194" w:lineRule="exact"/>
              <w:rPr>
                <w:sz w:val="20"/>
                <w:szCs w:val="20"/>
                <w:color w:val="auto"/>
              </w:rPr>
            </w:pPr>
            <w:r>
              <w:rPr>
                <w:rFonts w:ascii="Calibri" w:cs="Calibri" w:eastAsia="Calibri" w:hAnsi="Calibri"/>
                <w:sz w:val="16"/>
                <w:szCs w:val="16"/>
                <w:color w:val="auto"/>
              </w:rPr>
              <w:t>Exercise price</w:t>
            </w:r>
          </w:p>
        </w:tc>
        <w:tc>
          <w:tcPr>
            <w:tcW w:w="2540" w:type="dxa"/>
            <w:vAlign w:val="bottom"/>
          </w:tcPr>
          <w:p>
            <w:pPr>
              <w:ind w:left="260"/>
              <w:spacing w:after="0" w:line="194" w:lineRule="exact"/>
              <w:rPr>
                <w:sz w:val="20"/>
                <w:szCs w:val="20"/>
                <w:color w:val="auto"/>
              </w:rPr>
            </w:pPr>
            <w:r>
              <w:rPr>
                <w:rFonts w:ascii="Calibri" w:cs="Calibri" w:eastAsia="Calibri" w:hAnsi="Calibri"/>
                <w:sz w:val="16"/>
                <w:szCs w:val="16"/>
                <w:color w:val="auto"/>
              </w:rPr>
              <w:t>US$0.51</w:t>
            </w:r>
          </w:p>
        </w:tc>
        <w:tc>
          <w:tcPr>
            <w:tcW w:w="780" w:type="dxa"/>
            <w:vAlign w:val="bottom"/>
          </w:tcPr>
          <w:p>
            <w:pPr>
              <w:spacing w:after="0"/>
              <w:rPr>
                <w:sz w:val="16"/>
                <w:szCs w:val="16"/>
                <w:color w:val="auto"/>
              </w:rPr>
            </w:pPr>
          </w:p>
        </w:tc>
      </w:tr>
    </w:tbl>
    <w:p>
      <w:pPr>
        <w:spacing w:after="0" w:line="156" w:lineRule="exact"/>
        <w:rPr>
          <w:sz w:val="20"/>
          <w:szCs w:val="20"/>
          <w:color w:val="auto"/>
        </w:rPr>
      </w:pPr>
    </w:p>
    <w:p>
      <w:pPr>
        <w:ind w:left="880"/>
        <w:spacing w:after="0"/>
        <w:rPr>
          <w:sz w:val="20"/>
          <w:szCs w:val="20"/>
          <w:color w:val="auto"/>
        </w:rPr>
      </w:pPr>
      <w:r>
        <w:rPr>
          <w:rFonts w:ascii="Calibri" w:cs="Calibri" w:eastAsia="Calibri" w:hAnsi="Calibri"/>
          <w:sz w:val="16"/>
          <w:szCs w:val="16"/>
          <w:color w:val="auto"/>
        </w:rPr>
        <w:t>The following summarizes informaton about Common Shares purchase warrants outstanding at March 31, 2024:</w:t>
      </w:r>
    </w:p>
    <w:tbl>
      <w:tblPr>
        <w:tblLayout w:type="fixed"/>
        <w:tblInd w:w="280" w:type="dxa"/>
        <w:tblCellMar>
          <w:top w:w="0" w:type="dxa"/>
          <w:left w:w="0" w:type="dxa"/>
          <w:bottom w:w="0" w:type="dxa"/>
          <w:right w:w="0" w:type="dxa"/>
        </w:tblCellMar>
      </w:tblPr>
      <w:tr>
        <w:trPr>
          <w:trHeight w:val="195"/>
        </w:trPr>
        <w:tc>
          <w:tcPr>
            <w:tcW w:w="2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r>
      <w:tr>
        <w:trPr>
          <w:trHeight w:val="158"/>
        </w:trPr>
        <w:tc>
          <w:tcPr>
            <w:tcW w:w="2800" w:type="dxa"/>
            <w:vAlign w:val="bottom"/>
          </w:tcPr>
          <w:p>
            <w:pPr>
              <w:spacing w:after="0"/>
              <w:rPr>
                <w:sz w:val="13"/>
                <w:szCs w:val="13"/>
                <w:color w:val="auto"/>
              </w:rPr>
            </w:pPr>
          </w:p>
        </w:tc>
        <w:tc>
          <w:tcPr>
            <w:tcW w:w="2640" w:type="dxa"/>
            <w:vAlign w:val="bottom"/>
          </w:tcPr>
          <w:p>
            <w:pPr>
              <w:jc w:val="right"/>
              <w:ind w:right="259"/>
              <w:spacing w:after="0" w:line="158" w:lineRule="exact"/>
              <w:rPr>
                <w:sz w:val="20"/>
                <w:szCs w:val="20"/>
                <w:color w:val="auto"/>
              </w:rPr>
            </w:pPr>
            <w:r>
              <w:rPr>
                <w:rFonts w:ascii="Calibri" w:cs="Calibri" w:eastAsia="Calibri" w:hAnsi="Calibri"/>
                <w:sz w:val="16"/>
                <w:szCs w:val="16"/>
                <w:b w:val="1"/>
                <w:bCs w:val="1"/>
                <w:color w:val="auto"/>
              </w:rPr>
              <w:t>Warrants</w:t>
            </w:r>
          </w:p>
        </w:tc>
        <w:tc>
          <w:tcPr>
            <w:tcW w:w="114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Warrants</w:t>
            </w:r>
          </w:p>
        </w:tc>
        <w:tc>
          <w:tcPr>
            <w:tcW w:w="1640" w:type="dxa"/>
            <w:vAlign w:val="bottom"/>
          </w:tcPr>
          <w:p>
            <w:pPr>
              <w:jc w:val="right"/>
              <w:ind w:right="139"/>
              <w:spacing w:after="0" w:line="158" w:lineRule="exact"/>
              <w:rPr>
                <w:sz w:val="20"/>
                <w:szCs w:val="20"/>
                <w:color w:val="auto"/>
              </w:rPr>
            </w:pPr>
            <w:r>
              <w:rPr>
                <w:rFonts w:ascii="Calibri" w:cs="Calibri" w:eastAsia="Calibri" w:hAnsi="Calibri"/>
                <w:sz w:val="16"/>
                <w:szCs w:val="16"/>
                <w:b w:val="1"/>
                <w:bCs w:val="1"/>
                <w:color w:val="auto"/>
              </w:rPr>
              <w:t>Weighted average of</w:t>
            </w:r>
          </w:p>
        </w:tc>
        <w:tc>
          <w:tcPr>
            <w:tcW w:w="1360" w:type="dxa"/>
            <w:vAlign w:val="bottom"/>
          </w:tcPr>
          <w:p>
            <w:pPr>
              <w:jc w:val="right"/>
              <w:ind w:right="59"/>
              <w:spacing w:after="0" w:line="158" w:lineRule="exact"/>
              <w:rPr>
                <w:sz w:val="20"/>
                <w:szCs w:val="20"/>
                <w:color w:val="auto"/>
              </w:rPr>
            </w:pPr>
            <w:r>
              <w:rPr>
                <w:rFonts w:ascii="Calibri" w:cs="Calibri" w:eastAsia="Calibri" w:hAnsi="Calibri"/>
                <w:sz w:val="16"/>
                <w:szCs w:val="16"/>
                <w:b w:val="1"/>
                <w:bCs w:val="1"/>
                <w:color w:val="auto"/>
              </w:rPr>
              <w:t>Estmated grant</w:t>
            </w:r>
          </w:p>
        </w:tc>
        <w:tc>
          <w:tcPr>
            <w:tcW w:w="1400" w:type="dxa"/>
            <w:vAlign w:val="bottom"/>
          </w:tcPr>
          <w:p>
            <w:pPr>
              <w:jc w:val="right"/>
              <w:spacing w:after="0" w:line="158" w:lineRule="exact"/>
              <w:rPr>
                <w:sz w:val="20"/>
                <w:szCs w:val="20"/>
                <w:color w:val="auto"/>
              </w:rPr>
            </w:pPr>
            <w:r>
              <w:rPr>
                <w:rFonts w:ascii="Calibri" w:cs="Calibri" w:eastAsia="Calibri" w:hAnsi="Calibri"/>
                <w:sz w:val="16"/>
                <w:szCs w:val="16"/>
                <w:b w:val="1"/>
                <w:bCs w:val="1"/>
                <w:color w:val="auto"/>
              </w:rPr>
              <w:t>remaining</w:t>
            </w:r>
          </w:p>
        </w:tc>
      </w:tr>
      <w:tr>
        <w:trPr>
          <w:trHeight w:val="205"/>
        </w:trPr>
        <w:tc>
          <w:tcPr>
            <w:tcW w:w="2800" w:type="dxa"/>
            <w:vAlign w:val="bottom"/>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264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outstanding</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exercisable</w:t>
            </w:r>
          </w:p>
        </w:tc>
        <w:tc>
          <w:tcPr>
            <w:tcW w:w="164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rPr>
              <w:t>exercisable price</w:t>
            </w:r>
          </w:p>
        </w:tc>
        <w:tc>
          <w:tcPr>
            <w:tcW w:w="136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date fair value</w:t>
            </w: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contractual life</w:t>
            </w:r>
          </w:p>
        </w:tc>
      </w:tr>
      <w:tr>
        <w:trPr>
          <w:trHeight w:val="206"/>
        </w:trPr>
        <w:tc>
          <w:tcPr>
            <w:tcW w:w="28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w:t>
            </w:r>
          </w:p>
        </w:tc>
        <w:tc>
          <w:tcPr>
            <w:tcW w:w="136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$000’s</w:t>
            </w:r>
          </w:p>
        </w:tc>
        <w:tc>
          <w:tcPr>
            <w:tcW w:w="140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r>
      <w:tr>
        <w:trPr>
          <w:trHeight w:val="21"/>
        </w:trPr>
        <w:tc>
          <w:tcPr>
            <w:tcW w:w="28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5"/>
        </w:trPr>
        <w:tc>
          <w:tcPr>
            <w:tcW w:w="2800" w:type="dxa"/>
            <w:vAlign w:val="bottom"/>
          </w:tcPr>
          <w:p>
            <w:pPr>
              <w:ind w:left="20"/>
              <w:spacing w:after="0" w:line="185" w:lineRule="exact"/>
              <w:rPr>
                <w:sz w:val="20"/>
                <w:szCs w:val="20"/>
                <w:color w:val="auto"/>
              </w:rPr>
            </w:pPr>
            <w:r>
              <w:rPr>
                <w:rFonts w:ascii="Calibri" w:cs="Calibri" w:eastAsia="Calibri" w:hAnsi="Calibri"/>
                <w:sz w:val="16"/>
                <w:szCs w:val="16"/>
                <w:color w:val="auto"/>
              </w:rPr>
              <w:t>June 15, 2025</w:t>
            </w:r>
          </w:p>
        </w:tc>
        <w:tc>
          <w:tcPr>
            <w:tcW w:w="2640" w:type="dxa"/>
            <w:vAlign w:val="bottom"/>
          </w:tcPr>
          <w:p>
            <w:pPr>
              <w:jc w:val="right"/>
              <w:ind w:right="259"/>
              <w:spacing w:after="0" w:line="185" w:lineRule="exact"/>
              <w:rPr>
                <w:sz w:val="20"/>
                <w:szCs w:val="20"/>
                <w:color w:val="auto"/>
              </w:rPr>
            </w:pPr>
            <w:r>
              <w:rPr>
                <w:rFonts w:ascii="Calibri" w:cs="Calibri" w:eastAsia="Calibri" w:hAnsi="Calibri"/>
                <w:sz w:val="16"/>
                <w:szCs w:val="16"/>
                <w:color w:val="auto"/>
              </w:rPr>
              <w:t>12,800,000</w:t>
            </w:r>
          </w:p>
        </w:tc>
        <w:tc>
          <w:tcPr>
            <w:tcW w:w="1140" w:type="dxa"/>
            <w:vAlign w:val="bottom"/>
          </w:tcPr>
          <w:p>
            <w:pPr>
              <w:jc w:val="right"/>
              <w:spacing w:after="0" w:line="185" w:lineRule="exact"/>
              <w:rPr>
                <w:sz w:val="20"/>
                <w:szCs w:val="20"/>
                <w:color w:val="auto"/>
              </w:rPr>
            </w:pPr>
            <w:r>
              <w:rPr>
                <w:rFonts w:ascii="Calibri" w:cs="Calibri" w:eastAsia="Calibri" w:hAnsi="Calibri"/>
                <w:sz w:val="16"/>
                <w:szCs w:val="16"/>
                <w:color w:val="auto"/>
              </w:rPr>
              <w:t>12,800,000</w:t>
            </w:r>
          </w:p>
        </w:tc>
        <w:tc>
          <w:tcPr>
            <w:tcW w:w="1640" w:type="dxa"/>
            <w:vAlign w:val="bottom"/>
          </w:tcPr>
          <w:p>
            <w:pPr>
              <w:jc w:val="right"/>
              <w:ind w:right="99"/>
              <w:spacing w:after="0" w:line="185" w:lineRule="exact"/>
              <w:rPr>
                <w:sz w:val="20"/>
                <w:szCs w:val="20"/>
                <w:color w:val="auto"/>
              </w:rPr>
            </w:pPr>
            <w:r>
              <w:rPr>
                <w:rFonts w:ascii="Calibri" w:cs="Calibri" w:eastAsia="Calibri" w:hAnsi="Calibri"/>
                <w:sz w:val="16"/>
                <w:szCs w:val="16"/>
                <w:color w:val="auto"/>
              </w:rPr>
              <w:t>0.25</w:t>
            </w:r>
          </w:p>
        </w:tc>
        <w:tc>
          <w:tcPr>
            <w:tcW w:w="1360" w:type="dxa"/>
            <w:vAlign w:val="bottom"/>
          </w:tcPr>
          <w:p>
            <w:pPr>
              <w:jc w:val="right"/>
              <w:ind w:right="59"/>
              <w:spacing w:after="0" w:line="185" w:lineRule="exact"/>
              <w:rPr>
                <w:sz w:val="20"/>
                <w:szCs w:val="20"/>
                <w:color w:val="auto"/>
              </w:rPr>
            </w:pPr>
            <w:r>
              <w:rPr>
                <w:rFonts w:ascii="Calibri" w:cs="Calibri" w:eastAsia="Calibri" w:hAnsi="Calibri"/>
                <w:sz w:val="16"/>
                <w:szCs w:val="16"/>
                <w:color w:val="auto"/>
              </w:rPr>
              <w:t>2,319</w:t>
            </w:r>
          </w:p>
        </w:tc>
        <w:tc>
          <w:tcPr>
            <w:tcW w:w="1400" w:type="dxa"/>
            <w:vAlign w:val="bottom"/>
          </w:tcPr>
          <w:p>
            <w:pPr>
              <w:jc w:val="right"/>
              <w:spacing w:after="0" w:line="185" w:lineRule="exact"/>
              <w:rPr>
                <w:sz w:val="20"/>
                <w:szCs w:val="20"/>
                <w:color w:val="auto"/>
              </w:rPr>
            </w:pPr>
            <w:r>
              <w:rPr>
                <w:rFonts w:ascii="Calibri" w:cs="Calibri" w:eastAsia="Calibri" w:hAnsi="Calibri"/>
                <w:sz w:val="16"/>
                <w:szCs w:val="16"/>
                <w:color w:val="auto"/>
              </w:rPr>
              <w:t>2.21</w:t>
            </w:r>
          </w:p>
        </w:tc>
      </w:tr>
      <w:tr>
        <w:trPr>
          <w:trHeight w:val="198"/>
        </w:trPr>
        <w:tc>
          <w:tcPr>
            <w:tcW w:w="2800" w:type="dxa"/>
            <w:vAlign w:val="bottom"/>
          </w:tcPr>
          <w:p>
            <w:pPr>
              <w:ind w:left="20"/>
              <w:spacing w:after="0"/>
              <w:rPr>
                <w:sz w:val="20"/>
                <w:szCs w:val="20"/>
                <w:color w:val="auto"/>
              </w:rPr>
            </w:pPr>
            <w:r>
              <w:rPr>
                <w:rFonts w:ascii="Calibri" w:cs="Calibri" w:eastAsia="Calibri" w:hAnsi="Calibri"/>
                <w:sz w:val="16"/>
                <w:szCs w:val="16"/>
                <w:color w:val="auto"/>
              </w:rPr>
              <w:t>August 20, 2025</w:t>
            </w:r>
          </w:p>
        </w:tc>
        <w:tc>
          <w:tcPr>
            <w:tcW w:w="2640" w:type="dxa"/>
            <w:vAlign w:val="bottom"/>
          </w:tcPr>
          <w:p>
            <w:pPr>
              <w:jc w:val="right"/>
              <w:ind w:right="259"/>
              <w:spacing w:after="0"/>
              <w:rPr>
                <w:sz w:val="20"/>
                <w:szCs w:val="20"/>
                <w:color w:val="auto"/>
              </w:rPr>
            </w:pPr>
            <w:r>
              <w:rPr>
                <w:rFonts w:ascii="Calibri" w:cs="Calibri" w:eastAsia="Calibri" w:hAnsi="Calibri"/>
                <w:sz w:val="16"/>
                <w:szCs w:val="16"/>
                <w:color w:val="auto"/>
              </w:rPr>
              <w:t>1,475,125</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1,475,125</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0.64</w:t>
            </w:r>
          </w:p>
        </w:tc>
        <w:tc>
          <w:tcPr>
            <w:tcW w:w="1360" w:type="dxa"/>
            <w:vAlign w:val="bottom"/>
          </w:tcPr>
          <w:p>
            <w:pPr>
              <w:jc w:val="right"/>
              <w:ind w:right="59"/>
              <w:spacing w:after="0"/>
              <w:rPr>
                <w:sz w:val="20"/>
                <w:szCs w:val="20"/>
                <w:color w:val="auto"/>
              </w:rPr>
            </w:pPr>
            <w:r>
              <w:rPr>
                <w:rFonts w:ascii="Calibri" w:cs="Calibri" w:eastAsia="Calibri" w:hAnsi="Calibri"/>
                <w:sz w:val="16"/>
                <w:szCs w:val="16"/>
                <w:color w:val="auto"/>
              </w:rPr>
              <w:t>680</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2.39</w:t>
            </w:r>
          </w:p>
        </w:tc>
      </w:tr>
      <w:tr>
        <w:trPr>
          <w:trHeight w:val="206"/>
        </w:trPr>
        <w:tc>
          <w:tcPr>
            <w:tcW w:w="280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640" w:type="dxa"/>
            <w:vAlign w:val="bottom"/>
          </w:tcPr>
          <w:p>
            <w:pPr>
              <w:jc w:val="right"/>
              <w:ind w:right="259"/>
              <w:spacing w:after="0"/>
              <w:rPr>
                <w:sz w:val="20"/>
                <w:szCs w:val="20"/>
                <w:color w:val="auto"/>
              </w:rPr>
            </w:pPr>
            <w:r>
              <w:rPr>
                <w:rFonts w:ascii="Calibri" w:cs="Calibri" w:eastAsia="Calibri" w:hAnsi="Calibri"/>
                <w:sz w:val="16"/>
                <w:szCs w:val="16"/>
                <w:color w:val="auto"/>
              </w:rPr>
              <w:t>1,150,000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1,150,000</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0.25</w:t>
            </w:r>
          </w:p>
        </w:tc>
        <w:tc>
          <w:tcPr>
            <w:tcW w:w="1360" w:type="dxa"/>
            <w:vAlign w:val="bottom"/>
          </w:tcPr>
          <w:p>
            <w:pPr>
              <w:jc w:val="right"/>
              <w:ind w:right="59"/>
              <w:spacing w:after="0"/>
              <w:rPr>
                <w:sz w:val="20"/>
                <w:szCs w:val="20"/>
                <w:color w:val="auto"/>
              </w:rPr>
            </w:pPr>
            <w:r>
              <w:rPr>
                <w:rFonts w:ascii="Calibri" w:cs="Calibri" w:eastAsia="Calibri" w:hAnsi="Calibri"/>
                <w:sz w:val="16"/>
                <w:szCs w:val="16"/>
                <w:color w:val="auto"/>
              </w:rPr>
              <w:t>220</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2.63</w:t>
            </w:r>
          </w:p>
        </w:tc>
      </w:tr>
      <w:tr>
        <w:trPr>
          <w:trHeight w:val="213"/>
        </w:trPr>
        <w:tc>
          <w:tcPr>
            <w:tcW w:w="2800" w:type="dxa"/>
            <w:vAlign w:val="bottom"/>
          </w:tcPr>
          <w:p>
            <w:pPr>
              <w:ind w:left="20"/>
              <w:spacing w:after="0" w:line="213" w:lineRule="exact"/>
              <w:rPr>
                <w:sz w:val="20"/>
                <w:szCs w:val="20"/>
                <w:color w:val="auto"/>
              </w:rPr>
            </w:pPr>
            <w:r>
              <w:rPr>
                <w:rFonts w:ascii="Calibri" w:cs="Calibri" w:eastAsia="Calibri" w:hAnsi="Calibri"/>
                <w:sz w:val="16"/>
                <w:szCs w:val="16"/>
                <w:color w:val="auto"/>
              </w:rPr>
              <w:t>August 4, 2028</w:t>
            </w:r>
            <w:r>
              <w:rPr>
                <w:rFonts w:ascii="Calibri" w:cs="Calibri" w:eastAsia="Calibri" w:hAnsi="Calibri"/>
                <w:sz w:val="21"/>
                <w:szCs w:val="21"/>
                <w:color w:val="auto"/>
                <w:vertAlign w:val="superscript"/>
              </w:rPr>
              <w:t>(1)</w:t>
            </w:r>
          </w:p>
        </w:tc>
        <w:tc>
          <w:tcPr>
            <w:tcW w:w="2640" w:type="dxa"/>
            <w:vAlign w:val="bottom"/>
          </w:tcPr>
          <w:p>
            <w:pPr>
              <w:jc w:val="right"/>
              <w:ind w:right="259"/>
              <w:spacing w:after="0"/>
              <w:rPr>
                <w:sz w:val="20"/>
                <w:szCs w:val="20"/>
                <w:color w:val="auto"/>
              </w:rPr>
            </w:pPr>
            <w:r>
              <w:rPr>
                <w:rFonts w:ascii="Calibri" w:cs="Calibri" w:eastAsia="Calibri" w:hAnsi="Calibri"/>
                <w:sz w:val="16"/>
                <w:szCs w:val="16"/>
                <w:color w:val="auto"/>
              </w:rPr>
              <w:t>24,163,706</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24,163,706</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US$0.40</w:t>
            </w:r>
          </w:p>
        </w:tc>
        <w:tc>
          <w:tcPr>
            <w:tcW w:w="1360" w:type="dxa"/>
            <w:vAlign w:val="bottom"/>
          </w:tcPr>
          <w:p>
            <w:pPr>
              <w:jc w:val="right"/>
              <w:ind w:right="59"/>
              <w:spacing w:after="0"/>
              <w:rPr>
                <w:sz w:val="20"/>
                <w:szCs w:val="20"/>
                <w:color w:val="auto"/>
              </w:rPr>
            </w:pPr>
            <w:r>
              <w:rPr>
                <w:rFonts w:ascii="Calibri" w:cs="Calibri" w:eastAsia="Calibri" w:hAnsi="Calibri"/>
                <w:sz w:val="16"/>
                <w:szCs w:val="16"/>
                <w:color w:val="auto"/>
              </w:rPr>
              <w:t>4,578</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4.34</w:t>
            </w:r>
          </w:p>
        </w:tc>
      </w:tr>
      <w:tr>
        <w:trPr>
          <w:trHeight w:val="220"/>
        </w:trPr>
        <w:tc>
          <w:tcPr>
            <w:tcW w:w="2800" w:type="dxa"/>
            <w:vAlign w:val="bottom"/>
            <w:tcBorders>
              <w:bottom w:val="single" w:sz="8" w:color="auto"/>
            </w:tcBorders>
          </w:tcPr>
          <w:p>
            <w:pPr>
              <w:ind w:left="20"/>
              <w:spacing w:after="0" w:line="219" w:lineRule="exact"/>
              <w:rPr>
                <w:sz w:val="20"/>
                <w:szCs w:val="20"/>
                <w:color w:val="auto"/>
              </w:rPr>
            </w:pPr>
            <w:r>
              <w:rPr>
                <w:rFonts w:ascii="Calibri" w:cs="Calibri" w:eastAsia="Calibri" w:hAnsi="Calibri"/>
                <w:sz w:val="16"/>
                <w:szCs w:val="16"/>
                <w:color w:val="auto"/>
              </w:rPr>
              <w:t>May 14, 2029</w:t>
            </w:r>
            <w:r>
              <w:rPr>
                <w:rFonts w:ascii="Calibri" w:cs="Calibri" w:eastAsia="Calibri" w:hAnsi="Calibri"/>
                <w:sz w:val="21"/>
                <w:szCs w:val="21"/>
                <w:color w:val="auto"/>
                <w:vertAlign w:val="superscript"/>
              </w:rPr>
              <w:t>(2)</w:t>
            </w:r>
          </w:p>
        </w:tc>
        <w:tc>
          <w:tcPr>
            <w:tcW w:w="2640" w:type="dxa"/>
            <w:vAlign w:val="bottom"/>
            <w:tcBorders>
              <w:bottom w:val="single" w:sz="8" w:color="auto"/>
            </w:tcBorders>
          </w:tcPr>
          <w:p>
            <w:pPr>
              <w:jc w:val="right"/>
              <w:ind w:right="259"/>
              <w:spacing w:after="0"/>
              <w:rPr>
                <w:sz w:val="20"/>
                <w:szCs w:val="20"/>
                <w:color w:val="auto"/>
              </w:rPr>
            </w:pPr>
            <w:r>
              <w:rPr>
                <w:rFonts w:ascii="Calibri" w:cs="Calibri" w:eastAsia="Calibri" w:hAnsi="Calibri"/>
                <w:sz w:val="16"/>
                <w:szCs w:val="16"/>
                <w:color w:val="auto"/>
              </w:rPr>
              <w:t>66,666,667</w:t>
            </w: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1640" w:type="dxa"/>
            <w:vAlign w:val="bottom"/>
            <w:tcBorders>
              <w:bottom w:val="single" w:sz="8" w:color="auto"/>
            </w:tcBorders>
          </w:tcPr>
          <w:p>
            <w:pPr>
              <w:jc w:val="right"/>
              <w:ind w:right="99"/>
              <w:spacing w:after="0"/>
              <w:rPr>
                <w:sz w:val="20"/>
                <w:szCs w:val="20"/>
                <w:color w:val="auto"/>
              </w:rPr>
            </w:pPr>
            <w:r>
              <w:rPr>
                <w:rFonts w:ascii="Calibri" w:cs="Calibri" w:eastAsia="Calibri" w:hAnsi="Calibri"/>
                <w:sz w:val="16"/>
                <w:szCs w:val="16"/>
                <w:color w:val="auto"/>
              </w:rPr>
              <w:t>US$0.51</w:t>
            </w:r>
          </w:p>
        </w:tc>
        <w:tc>
          <w:tcPr>
            <w:tcW w:w="1360" w:type="dxa"/>
            <w:vAlign w:val="bottom"/>
            <w:tcBorders>
              <w:bottom w:val="single" w:sz="8" w:color="auto"/>
            </w:tcBorders>
          </w:tcPr>
          <w:p>
            <w:pPr>
              <w:jc w:val="right"/>
              <w:ind w:right="59"/>
              <w:spacing w:after="0"/>
              <w:rPr>
                <w:sz w:val="20"/>
                <w:szCs w:val="20"/>
                <w:color w:val="auto"/>
              </w:rPr>
            </w:pPr>
            <w:r>
              <w:rPr>
                <w:rFonts w:ascii="Calibri" w:cs="Calibri" w:eastAsia="Calibri" w:hAnsi="Calibri"/>
                <w:sz w:val="16"/>
                <w:szCs w:val="16"/>
                <w:color w:val="auto"/>
              </w:rPr>
              <w:t>17,842</w:t>
            </w:r>
          </w:p>
        </w:tc>
        <w:tc>
          <w:tcPr>
            <w:tcW w:w="14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5.12</w:t>
            </w:r>
          </w:p>
        </w:tc>
      </w:tr>
      <w:tr>
        <w:trPr>
          <w:trHeight w:val="192"/>
        </w:trPr>
        <w:tc>
          <w:tcPr>
            <w:tcW w:w="28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106,255,498</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39,588,831</w:t>
            </w:r>
          </w:p>
        </w:tc>
        <w:tc>
          <w:tcPr>
            <w:tcW w:w="164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0.44</w:t>
            </w:r>
          </w:p>
        </w:tc>
        <w:tc>
          <w:tcPr>
            <w:tcW w:w="136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25,639</w:t>
            </w:r>
          </w:p>
        </w:tc>
        <w:tc>
          <w:tcPr>
            <w:tcW w:w="14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4.38</w:t>
            </w:r>
          </w:p>
        </w:tc>
      </w:tr>
    </w:tbl>
    <w:p>
      <w:pPr>
        <w:spacing w:after="0" w:line="10" w:lineRule="exact"/>
        <w:rPr>
          <w:sz w:val="20"/>
          <w:szCs w:val="20"/>
          <w:color w:val="auto"/>
        </w:rPr>
      </w:pPr>
    </w:p>
    <w:p>
      <w:pPr>
        <w:ind w:left="680" w:hanging="101"/>
        <w:spacing w:after="0"/>
        <w:tabs>
          <w:tab w:leader="none" w:pos="680" w:val="left"/>
        </w:tabs>
        <w:numPr>
          <w:ilvl w:val="0"/>
          <w:numId w:val="32"/>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On August 4, 2023, the August 2023 Warrants were issued at US$0.40 which was equivalent to $0.53.</w:t>
      </w:r>
    </w:p>
    <w:p>
      <w:pPr>
        <w:ind w:left="720" w:hanging="141"/>
        <w:spacing w:after="0" w:line="198" w:lineRule="auto"/>
        <w:tabs>
          <w:tab w:leader="none" w:pos="720" w:val="left"/>
        </w:tabs>
        <w:numPr>
          <w:ilvl w:val="0"/>
          <w:numId w:val="33"/>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On November 14, 2023, the November 2023 Warrants were issued at US$0.51 which was equivalent to $0.70.</w:t>
      </w:r>
    </w:p>
    <w:p>
      <w:pPr>
        <w:spacing w:after="0" w:line="200" w:lineRule="exact"/>
        <w:rPr>
          <w:rFonts w:ascii="Calibri" w:cs="Calibri" w:eastAsia="Calibri" w:hAnsi="Calibri"/>
          <w:sz w:val="18"/>
          <w:szCs w:val="18"/>
          <w:i w:val="1"/>
          <w:iCs w:val="1"/>
          <w:color w:val="auto"/>
          <w:vertAlign w:val="superscript"/>
        </w:rPr>
      </w:pPr>
    </w:p>
    <w:p>
      <w:pPr>
        <w:spacing w:after="0" w:line="200" w:lineRule="exact"/>
        <w:rPr>
          <w:rFonts w:ascii="Calibri" w:cs="Calibri" w:eastAsia="Calibri" w:hAnsi="Calibri"/>
          <w:sz w:val="18"/>
          <w:szCs w:val="18"/>
          <w:i w:val="1"/>
          <w:iCs w:val="1"/>
          <w:color w:val="auto"/>
          <w:vertAlign w:val="superscript"/>
        </w:rPr>
      </w:pPr>
    </w:p>
    <w:p>
      <w:pPr>
        <w:spacing w:after="0" w:line="200" w:lineRule="exact"/>
        <w:rPr>
          <w:rFonts w:ascii="Calibri" w:cs="Calibri" w:eastAsia="Calibri" w:hAnsi="Calibri"/>
          <w:sz w:val="18"/>
          <w:szCs w:val="18"/>
          <w:i w:val="1"/>
          <w:iCs w:val="1"/>
          <w:color w:val="auto"/>
          <w:vertAlign w:val="superscript"/>
        </w:rPr>
      </w:pPr>
    </w:p>
    <w:p>
      <w:pPr>
        <w:spacing w:after="0" w:line="361" w:lineRule="exact"/>
        <w:rPr>
          <w:rFonts w:ascii="Calibri" w:cs="Calibri" w:eastAsia="Calibri" w:hAnsi="Calibri"/>
          <w:sz w:val="18"/>
          <w:szCs w:val="18"/>
          <w:i w:val="1"/>
          <w:iCs w:val="1"/>
          <w:color w:val="auto"/>
          <w:vertAlign w:val="superscript"/>
        </w:rPr>
      </w:pPr>
    </w:p>
    <w:p>
      <w:pPr>
        <w:ind w:left="5180"/>
        <w:spacing w:after="0"/>
        <w:rPr>
          <w:rFonts w:ascii="Calibri" w:cs="Calibri" w:eastAsia="Calibri" w:hAnsi="Calibri"/>
          <w:sz w:val="18"/>
          <w:szCs w:val="18"/>
          <w:i w:val="1"/>
          <w:iCs w:val="1"/>
          <w:color w:val="auto"/>
          <w:vertAlign w:val="superscript"/>
        </w:rPr>
      </w:pPr>
      <w:r>
        <w:rPr>
          <w:rFonts w:ascii="Calibri" w:cs="Calibri" w:eastAsia="Calibri" w:hAnsi="Calibri"/>
          <w:sz w:val="16"/>
          <w:szCs w:val="16"/>
          <w:b w:val="1"/>
          <w:bCs w:val="1"/>
          <w:color w:val="auto"/>
        </w:rPr>
        <w:t>Page 36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52" w:name="page53"/>
    <w:bookmarkEnd w:id="52"/>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As at March 31, 2024, the Company has no Common Share purchase warrants held in escrow (2023 - nil).</w:t>
      </w:r>
    </w:p>
    <w:p>
      <w:pPr>
        <w:spacing w:after="0" w:line="171" w:lineRule="exact"/>
        <w:rPr>
          <w:sz w:val="20"/>
          <w:szCs w:val="20"/>
          <w:color w:val="auto"/>
        </w:rPr>
      </w:pPr>
    </w:p>
    <w:p>
      <w:pPr>
        <w:ind w:left="220"/>
        <w:spacing w:after="0" w:line="237" w:lineRule="auto"/>
        <w:rPr>
          <w:sz w:val="20"/>
          <w:szCs w:val="20"/>
          <w:color w:val="auto"/>
        </w:rPr>
      </w:pPr>
      <w:r>
        <w:rPr>
          <w:rFonts w:ascii="Calibri" w:cs="Calibri" w:eastAsia="Calibri" w:hAnsi="Calibri"/>
          <w:sz w:val="16"/>
          <w:szCs w:val="16"/>
          <w:color w:val="auto"/>
        </w:rPr>
        <w:t>The Company recognized share-based payments compensaton related to the issuance of Common Share purchase warrants for the year ended March 31, 2024 of $0 (2023 - $6).</w:t>
      </w:r>
    </w:p>
    <w:p>
      <w:pPr>
        <w:spacing w:after="0" w:line="158" w:lineRule="exact"/>
        <w:rPr>
          <w:sz w:val="20"/>
          <w:szCs w:val="20"/>
          <w:color w:val="auto"/>
        </w:rPr>
      </w:pPr>
    </w:p>
    <w:p>
      <w:pPr>
        <w:ind w:left="500" w:hanging="272"/>
        <w:spacing w:after="0"/>
        <w:tabs>
          <w:tab w:leader="none" w:pos="500" w:val="left"/>
        </w:tabs>
        <w:numPr>
          <w:ilvl w:val="0"/>
          <w:numId w:val="34"/>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Stock optons</w:t>
      </w:r>
    </w:p>
    <w:p>
      <w:pPr>
        <w:spacing w:after="0" w:line="158"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 awards granted to residents of the United States, to increase the fxed number of Incentve Stock Optons (as defned in the plan) and certain other housekeeping amendments.</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400" w:type="dxa"/>
            <w:vAlign w:val="bottom"/>
          </w:tcPr>
          <w:p>
            <w:pPr>
              <w:spacing w:after="0"/>
              <w:rPr>
                <w:sz w:val="20"/>
                <w:szCs w:val="20"/>
                <w:color w:val="auto"/>
              </w:rPr>
            </w:pPr>
            <w:r>
              <w:rPr>
                <w:rFonts w:ascii="Calibri" w:cs="Calibri" w:eastAsia="Calibri" w:hAnsi="Calibri"/>
                <w:sz w:val="16"/>
                <w:szCs w:val="16"/>
                <w:color w:val="auto"/>
              </w:rPr>
              <w:t>The changes in optons for the years ended March 31, 2024 and 2023 are as follows:</w:t>
            </w:r>
          </w:p>
        </w:tc>
        <w:tc>
          <w:tcPr>
            <w:tcW w:w="2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52"/>
        </w:trPr>
        <w:tc>
          <w:tcPr>
            <w:tcW w:w="6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alibri" w:cs="Calibri" w:eastAsia="Calibri" w:hAnsi="Calibri"/>
                <w:sz w:val="16"/>
                <w:szCs w:val="16"/>
                <w:b w:val="1"/>
                <w:bCs w:val="1"/>
                <w:color w:val="auto"/>
                <w:w w:val="99"/>
              </w:rPr>
              <w:t>Weighted average exercise</w:t>
            </w:r>
          </w:p>
        </w:tc>
      </w:tr>
      <w:tr>
        <w:trPr>
          <w:trHeight w:val="205"/>
        </w:trPr>
        <w:tc>
          <w:tcPr>
            <w:tcW w:w="6400" w:type="dxa"/>
            <w:vAlign w:val="bottom"/>
          </w:tcPr>
          <w:p>
            <w:pPr>
              <w:spacing w:after="0"/>
              <w:rPr>
                <w:sz w:val="17"/>
                <w:szCs w:val="17"/>
                <w:color w:val="auto"/>
              </w:rPr>
            </w:pPr>
          </w:p>
        </w:tc>
        <w:tc>
          <w:tcPr>
            <w:tcW w:w="238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Number of Optons</w:t>
            </w:r>
          </w:p>
        </w:tc>
        <w:tc>
          <w:tcPr>
            <w:tcW w:w="18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price</w:t>
            </w:r>
          </w:p>
        </w:tc>
      </w:tr>
      <w:tr>
        <w:trPr>
          <w:trHeight w:val="21"/>
        </w:trPr>
        <w:tc>
          <w:tcPr>
            <w:tcW w:w="64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2"/>
        </w:trPr>
        <w:tc>
          <w:tcPr>
            <w:tcW w:w="6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w:t>
            </w:r>
          </w:p>
        </w:tc>
      </w:tr>
      <w:tr>
        <w:trPr>
          <w:trHeight w:val="192"/>
        </w:trPr>
        <w:tc>
          <w:tcPr>
            <w:tcW w:w="6400" w:type="dxa"/>
            <w:vAlign w:val="bottom"/>
          </w:tcPr>
          <w:p>
            <w:pPr>
              <w:ind w:left="60"/>
              <w:spacing w:after="0" w:line="192" w:lineRule="exact"/>
              <w:rPr>
                <w:sz w:val="20"/>
                <w:szCs w:val="20"/>
                <w:color w:val="auto"/>
              </w:rPr>
            </w:pPr>
            <w:r>
              <w:rPr>
                <w:rFonts w:ascii="Calibri" w:cs="Calibri" w:eastAsia="Calibri" w:hAnsi="Calibri"/>
                <w:sz w:val="16"/>
                <w:szCs w:val="16"/>
                <w:color w:val="auto"/>
              </w:rPr>
              <w:t>As at March 31, 2022</w:t>
            </w:r>
          </w:p>
        </w:tc>
        <w:tc>
          <w:tcPr>
            <w:tcW w:w="2380" w:type="dxa"/>
            <w:vAlign w:val="bottom"/>
          </w:tcPr>
          <w:p>
            <w:pPr>
              <w:jc w:val="right"/>
              <w:ind w:right="19"/>
              <w:spacing w:after="0" w:line="192" w:lineRule="exact"/>
              <w:rPr>
                <w:sz w:val="20"/>
                <w:szCs w:val="20"/>
                <w:color w:val="auto"/>
              </w:rPr>
            </w:pPr>
            <w:r>
              <w:rPr>
                <w:rFonts w:ascii="Calibri" w:cs="Calibri" w:eastAsia="Calibri" w:hAnsi="Calibri"/>
                <w:sz w:val="16"/>
                <w:szCs w:val="16"/>
                <w:color w:val="auto"/>
              </w:rPr>
              <w:t>28,885,002</w:t>
            </w:r>
          </w:p>
        </w:tc>
        <w:tc>
          <w:tcPr>
            <w:tcW w:w="1860" w:type="dxa"/>
            <w:vAlign w:val="bottom"/>
          </w:tcPr>
          <w:p>
            <w:pPr>
              <w:jc w:val="right"/>
              <w:spacing w:after="0" w:line="192" w:lineRule="exact"/>
              <w:rPr>
                <w:sz w:val="20"/>
                <w:szCs w:val="20"/>
                <w:color w:val="auto"/>
              </w:rPr>
            </w:pPr>
            <w:r>
              <w:rPr>
                <w:rFonts w:ascii="Calibri" w:cs="Calibri" w:eastAsia="Calibri" w:hAnsi="Calibri"/>
                <w:sz w:val="16"/>
                <w:szCs w:val="16"/>
                <w:color w:val="auto"/>
              </w:rPr>
              <w:t>1.45</w:t>
            </w:r>
          </w:p>
        </w:tc>
      </w:tr>
      <w:tr>
        <w:trPr>
          <w:trHeight w:val="198"/>
        </w:trPr>
        <w:tc>
          <w:tcPr>
            <w:tcW w:w="6400" w:type="dxa"/>
            <w:vAlign w:val="bottom"/>
          </w:tcPr>
          <w:p>
            <w:pPr>
              <w:ind w:left="60"/>
              <w:spacing w:after="0"/>
              <w:rPr>
                <w:sz w:val="20"/>
                <w:szCs w:val="20"/>
                <w:color w:val="auto"/>
              </w:rPr>
            </w:pPr>
            <w:r>
              <w:rPr>
                <w:rFonts w:ascii="Calibri" w:cs="Calibri" w:eastAsia="Calibri" w:hAnsi="Calibri"/>
                <w:sz w:val="16"/>
                <w:szCs w:val="16"/>
                <w:color w:val="auto"/>
              </w:rPr>
              <w:t>Granted</w:t>
            </w:r>
          </w:p>
        </w:tc>
        <w:tc>
          <w:tcPr>
            <w:tcW w:w="2380" w:type="dxa"/>
            <w:vAlign w:val="bottom"/>
          </w:tcPr>
          <w:p>
            <w:pPr>
              <w:jc w:val="right"/>
              <w:ind w:right="19"/>
              <w:spacing w:after="0"/>
              <w:rPr>
                <w:sz w:val="20"/>
                <w:szCs w:val="20"/>
                <w:color w:val="auto"/>
              </w:rPr>
            </w:pPr>
            <w:r>
              <w:rPr>
                <w:rFonts w:ascii="Calibri" w:cs="Calibri" w:eastAsia="Calibri" w:hAnsi="Calibri"/>
                <w:sz w:val="16"/>
                <w:szCs w:val="16"/>
                <w:color w:val="auto"/>
              </w:rPr>
              <w:t>2,475,000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0.91</w:t>
            </w:r>
          </w:p>
        </w:tc>
      </w:tr>
      <w:tr>
        <w:trPr>
          <w:trHeight w:val="206"/>
        </w:trPr>
        <w:tc>
          <w:tcPr>
            <w:tcW w:w="6400" w:type="dxa"/>
            <w:vAlign w:val="bottom"/>
          </w:tcPr>
          <w:p>
            <w:pPr>
              <w:ind w:left="60"/>
              <w:spacing w:after="0"/>
              <w:rPr>
                <w:sz w:val="20"/>
                <w:szCs w:val="20"/>
                <w:color w:val="auto"/>
              </w:rPr>
            </w:pPr>
            <w:r>
              <w:rPr>
                <w:rFonts w:ascii="Calibri" w:cs="Calibri" w:eastAsia="Calibri" w:hAnsi="Calibri"/>
                <w:sz w:val="16"/>
                <w:szCs w:val="16"/>
                <w:color w:val="auto"/>
              </w:rPr>
              <w:t>Forfeited/Expired</w:t>
            </w:r>
          </w:p>
        </w:tc>
        <w:tc>
          <w:tcPr>
            <w:tcW w:w="2380" w:type="dxa"/>
            <w:vAlign w:val="bottom"/>
          </w:tcPr>
          <w:p>
            <w:pPr>
              <w:jc w:val="right"/>
              <w:ind w:right="19"/>
              <w:spacing w:after="0"/>
              <w:rPr>
                <w:sz w:val="20"/>
                <w:szCs w:val="20"/>
                <w:color w:val="auto"/>
              </w:rPr>
            </w:pPr>
            <w:r>
              <w:rPr>
                <w:rFonts w:ascii="Calibri" w:cs="Calibri" w:eastAsia="Calibri" w:hAnsi="Calibri"/>
                <w:sz w:val="16"/>
                <w:szCs w:val="16"/>
                <w:color w:val="auto"/>
              </w:rPr>
              <w:t>(1,790,202)</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2.20</w:t>
            </w:r>
          </w:p>
        </w:tc>
      </w:tr>
      <w:tr>
        <w:trPr>
          <w:trHeight w:val="21"/>
        </w:trPr>
        <w:tc>
          <w:tcPr>
            <w:tcW w:w="64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5"/>
        </w:trPr>
        <w:tc>
          <w:tcPr>
            <w:tcW w:w="6400" w:type="dxa"/>
            <w:vAlign w:val="bottom"/>
          </w:tcPr>
          <w:p>
            <w:pPr>
              <w:ind w:left="60"/>
              <w:spacing w:after="0" w:line="185" w:lineRule="exact"/>
              <w:rPr>
                <w:sz w:val="20"/>
                <w:szCs w:val="20"/>
                <w:color w:val="auto"/>
              </w:rPr>
            </w:pPr>
            <w:r>
              <w:rPr>
                <w:rFonts w:ascii="Calibri" w:cs="Calibri" w:eastAsia="Calibri" w:hAnsi="Calibri"/>
                <w:sz w:val="16"/>
                <w:szCs w:val="16"/>
                <w:color w:val="auto"/>
              </w:rPr>
              <w:t>As at March 31, 2023</w:t>
            </w:r>
          </w:p>
        </w:tc>
        <w:tc>
          <w:tcPr>
            <w:tcW w:w="2380" w:type="dxa"/>
            <w:vAlign w:val="bottom"/>
          </w:tcPr>
          <w:p>
            <w:pPr>
              <w:jc w:val="right"/>
              <w:ind w:right="19"/>
              <w:spacing w:after="0" w:line="185" w:lineRule="exact"/>
              <w:rPr>
                <w:sz w:val="20"/>
                <w:szCs w:val="20"/>
                <w:color w:val="auto"/>
              </w:rPr>
            </w:pPr>
            <w:r>
              <w:rPr>
                <w:rFonts w:ascii="Calibri" w:cs="Calibri" w:eastAsia="Calibri" w:hAnsi="Calibri"/>
                <w:sz w:val="16"/>
                <w:szCs w:val="16"/>
                <w:color w:val="auto"/>
              </w:rPr>
              <w:t>29,569,800</w:t>
            </w:r>
          </w:p>
        </w:tc>
        <w:tc>
          <w:tcPr>
            <w:tcW w:w="1860" w:type="dxa"/>
            <w:vAlign w:val="bottom"/>
          </w:tcPr>
          <w:p>
            <w:pPr>
              <w:jc w:val="right"/>
              <w:spacing w:after="0" w:line="185" w:lineRule="exact"/>
              <w:rPr>
                <w:sz w:val="20"/>
                <w:szCs w:val="20"/>
                <w:color w:val="auto"/>
              </w:rPr>
            </w:pPr>
            <w:r>
              <w:rPr>
                <w:rFonts w:ascii="Calibri" w:cs="Calibri" w:eastAsia="Calibri" w:hAnsi="Calibri"/>
                <w:sz w:val="16"/>
                <w:szCs w:val="16"/>
                <w:color w:val="auto"/>
              </w:rPr>
              <w:t>1.36</w:t>
            </w:r>
          </w:p>
        </w:tc>
      </w:tr>
      <w:tr>
        <w:trPr>
          <w:trHeight w:val="198"/>
        </w:trPr>
        <w:tc>
          <w:tcPr>
            <w:tcW w:w="6400" w:type="dxa"/>
            <w:vAlign w:val="bottom"/>
          </w:tcPr>
          <w:p>
            <w:pPr>
              <w:ind w:left="60"/>
              <w:spacing w:after="0"/>
              <w:rPr>
                <w:sz w:val="20"/>
                <w:szCs w:val="20"/>
                <w:color w:val="auto"/>
              </w:rPr>
            </w:pPr>
            <w:r>
              <w:rPr>
                <w:rFonts w:ascii="Calibri" w:cs="Calibri" w:eastAsia="Calibri" w:hAnsi="Calibri"/>
                <w:sz w:val="16"/>
                <w:szCs w:val="16"/>
                <w:color w:val="auto"/>
              </w:rPr>
              <w:t>Granted</w:t>
            </w:r>
          </w:p>
        </w:tc>
        <w:tc>
          <w:tcPr>
            <w:tcW w:w="2380" w:type="dxa"/>
            <w:vAlign w:val="bottom"/>
          </w:tcPr>
          <w:p>
            <w:pPr>
              <w:jc w:val="right"/>
              <w:ind w:right="19"/>
              <w:spacing w:after="0"/>
              <w:rPr>
                <w:sz w:val="20"/>
                <w:szCs w:val="20"/>
                <w:color w:val="auto"/>
              </w:rPr>
            </w:pPr>
            <w:r>
              <w:rPr>
                <w:rFonts w:ascii="Calibri" w:cs="Calibri" w:eastAsia="Calibri" w:hAnsi="Calibri"/>
                <w:sz w:val="16"/>
                <w:szCs w:val="16"/>
                <w:color w:val="auto"/>
              </w:rPr>
              <w:t>38,445,000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0.69</w:t>
            </w:r>
          </w:p>
        </w:tc>
      </w:tr>
      <w:tr>
        <w:trPr>
          <w:trHeight w:val="206"/>
        </w:trPr>
        <w:tc>
          <w:tcPr>
            <w:tcW w:w="6400" w:type="dxa"/>
            <w:vAlign w:val="bottom"/>
          </w:tcPr>
          <w:p>
            <w:pPr>
              <w:ind w:left="60"/>
              <w:spacing w:after="0"/>
              <w:rPr>
                <w:sz w:val="20"/>
                <w:szCs w:val="20"/>
                <w:color w:val="auto"/>
              </w:rPr>
            </w:pPr>
            <w:r>
              <w:rPr>
                <w:rFonts w:ascii="Calibri" w:cs="Calibri" w:eastAsia="Calibri" w:hAnsi="Calibri"/>
                <w:sz w:val="16"/>
                <w:szCs w:val="16"/>
                <w:color w:val="auto"/>
              </w:rPr>
              <w:t>Forfeited/Expired</w:t>
            </w:r>
          </w:p>
        </w:tc>
        <w:tc>
          <w:tcPr>
            <w:tcW w:w="2380" w:type="dxa"/>
            <w:vAlign w:val="bottom"/>
          </w:tcPr>
          <w:p>
            <w:pPr>
              <w:jc w:val="right"/>
              <w:spacing w:after="0"/>
              <w:rPr>
                <w:sz w:val="20"/>
                <w:szCs w:val="20"/>
                <w:color w:val="auto"/>
              </w:rPr>
            </w:pPr>
            <w:r>
              <w:rPr>
                <w:rFonts w:ascii="Calibri" w:cs="Calibri" w:eastAsia="Calibri" w:hAnsi="Calibri"/>
                <w:sz w:val="16"/>
                <w:szCs w:val="16"/>
                <w:color w:val="auto"/>
              </w:rPr>
              <w:t>(1,813,800)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1.16</w:t>
            </w:r>
          </w:p>
        </w:tc>
      </w:tr>
      <w:tr>
        <w:trPr>
          <w:trHeight w:val="21"/>
        </w:trPr>
        <w:tc>
          <w:tcPr>
            <w:tcW w:w="64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2"/>
        </w:trPr>
        <w:tc>
          <w:tcPr>
            <w:tcW w:w="640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Outstanding as at March 31, 2024</w:t>
            </w:r>
          </w:p>
        </w:tc>
        <w:tc>
          <w:tcPr>
            <w:tcW w:w="238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66,201,000</w:t>
            </w:r>
          </w:p>
        </w:tc>
        <w:tc>
          <w:tcPr>
            <w:tcW w:w="18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0.93</w:t>
            </w:r>
          </w:p>
        </w:tc>
      </w:tr>
      <w:tr>
        <w:trPr>
          <w:trHeight w:val="198"/>
        </w:trPr>
        <w:tc>
          <w:tcPr>
            <w:tcW w:w="640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Exercisable as at March 31, 2024</w:t>
            </w:r>
          </w:p>
        </w:tc>
        <w:tc>
          <w:tcPr>
            <w:tcW w:w="2380" w:type="dxa"/>
            <w:vAlign w:val="bottom"/>
            <w:tcBorders>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b w:val="1"/>
                <w:bCs w:val="1"/>
                <w:color w:val="auto"/>
              </w:rPr>
              <w:t>56,449,750</w:t>
            </w:r>
          </w:p>
        </w:tc>
        <w:tc>
          <w:tcPr>
            <w:tcW w:w="1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0.98</w:t>
            </w:r>
          </w:p>
        </w:tc>
      </w:tr>
    </w:tbl>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year ended March 31, 2024, the Company completed the following opton issuances:</w:t>
      </w:r>
    </w:p>
    <w:p>
      <w:pPr>
        <w:spacing w:after="0" w:line="219"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June 29, 2023, the Company granted optons to purchase up to 11,615,000 Common Shares, of which 3,991,000 were granted to employees, 3,763,000 were granted to ofcers of the Company, 3,076,000 were granted to consultants, and 785,000 were granted to directors of the Company. The granted optons have an exercise price of $0.44 per Common Share and expire on June 30, 2028. The granted optons have diferent vestng schedules; 1,500,000 optons vested immediately, 700,000 optons vest over three months, 100,000 optons vest over one year, and 9,315,000 optons vest over two years. The aggregate estmated grant date fair value was determined to be $4,080, calculated using the Black-Scholes opton pricing model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53" w:name="page54"/>
    <w:bookmarkEnd w:id="5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2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3.78%</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0.47</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0.44</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280"/>
        <w:spacing w:after="0" w:line="227" w:lineRule="auto"/>
        <w:rPr>
          <w:sz w:val="20"/>
          <w:szCs w:val="20"/>
          <w:color w:val="auto"/>
        </w:rPr>
      </w:pPr>
      <w:r>
        <w:rPr>
          <w:rFonts w:ascii="Calibri" w:cs="Calibri" w:eastAsia="Calibri" w:hAnsi="Calibri"/>
          <w:sz w:val="16"/>
          <w:szCs w:val="16"/>
          <w:color w:val="auto"/>
        </w:rPr>
        <w:t>On September 26, 2023, the Company granted optons to purchase up to 1,210,000 Common Shares, of which 135,000 were granted to an employee and, 1,075,000 were granted to consultants. The granted optons have an exercise price of $0.79 per Common Share, and 975,000 optons expire on September 26, 2026 and the remaining 235,000 optons expire on September 26, 2028. The granted optons have diferent vestng schedules. 375,000 optons vest over three months, 200,000 optons vest over six months, 400,000 optons vest over one year, 100,000 optons vest over ffeen months, and 135,000 optons vest over 18 months.</w:t>
      </w:r>
    </w:p>
    <w:p>
      <w:pPr>
        <w:spacing w:after="0" w:line="205"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aggregate estmated grant date fair value was determined to be $577, calculated using the Black-Scholes opton pricing model with the following assumptons:</w:t>
      </w:r>
    </w:p>
    <w:p>
      <w:pPr>
        <w:ind w:left="280"/>
        <w:spacing w:after="0" w:line="238" w:lineRule="auto"/>
        <w:rPr>
          <w:sz w:val="20"/>
          <w:szCs w:val="20"/>
          <w:color w:val="auto"/>
        </w:rPr>
      </w:pPr>
      <w:r>
        <w:rPr>
          <w:rFonts w:ascii="Calibri" w:cs="Calibri" w:eastAsia="Calibri" w:hAnsi="Calibri"/>
          <w:sz w:val="16"/>
          <w:szCs w:val="16"/>
          <w:color w:val="auto"/>
        </w:rPr>
        <w:t>Optons expiring on September 26, 2026.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4.68%</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3.00</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0.79</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0.79</w:t>
            </w:r>
          </w:p>
        </w:tc>
      </w:tr>
      <w:tr>
        <w:trPr>
          <w:trHeight w:val="21"/>
        </w:trPr>
        <w:tc>
          <w:tcPr>
            <w:tcW w:w="280" w:type="dxa"/>
            <w:vAlign w:val="bottom"/>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26"/>
        </w:trPr>
        <w:tc>
          <w:tcPr>
            <w:tcW w:w="6600" w:type="dxa"/>
            <w:vAlign w:val="bottom"/>
            <w:gridSpan w:val="2"/>
          </w:tcPr>
          <w:p>
            <w:pPr>
              <w:spacing w:after="0"/>
              <w:rPr>
                <w:sz w:val="20"/>
                <w:szCs w:val="20"/>
                <w:color w:val="auto"/>
              </w:rPr>
            </w:pPr>
            <w:r>
              <w:rPr>
                <w:rFonts w:ascii="Calibri" w:cs="Calibri" w:eastAsia="Calibri" w:hAnsi="Calibri"/>
                <w:sz w:val="16"/>
                <w:szCs w:val="16"/>
                <w:color w:val="auto"/>
              </w:rPr>
              <w:t>Optons expiring on September 26, 2028.</w:t>
            </w:r>
          </w:p>
        </w:tc>
        <w:tc>
          <w:tcPr>
            <w:tcW w:w="3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4.28%</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0.79</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0.79</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left="280" w:right="60"/>
        <w:spacing w:after="0" w:line="223" w:lineRule="auto"/>
        <w:rPr>
          <w:sz w:val="20"/>
          <w:szCs w:val="20"/>
          <w:color w:val="auto"/>
        </w:rPr>
      </w:pPr>
      <w:r>
        <w:rPr>
          <w:rFonts w:ascii="Calibri" w:cs="Calibri" w:eastAsia="Calibri" w:hAnsi="Calibri"/>
          <w:sz w:val="16"/>
          <w:szCs w:val="16"/>
          <w:color w:val="auto"/>
        </w:rPr>
        <w:t>On November 16, 2023, the Company granted optons to purchase up to 25,600,000 Common Shares, of which 22,200,000 were granted to ofcers, 1,600,000 were granted to directors, 1,300,000 were granted to employees and 500,000 were granted to a consultant. The granted optons have an exercise price of $0.715 per Common Share, 500,000 optons expire on November 16, 2026 and the remaining 25,100,000 optons expire on November 16, 2028. The granted optons have diferent vestng schedules. 18,850,000 optons vest immediately and 6,750,000 optons vest over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Calibri" w:cs="Calibri" w:eastAsia="Calibri" w:hAnsi="Calibri"/>
          <w:sz w:val="16"/>
          <w:szCs w:val="16"/>
          <w:b w:val="1"/>
          <w:bCs w:val="1"/>
          <w:color w:val="auto"/>
        </w:rPr>
        <w:t>Page 38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140"/>
          </w:cols>
          <w:pgMar w:left="320" w:top="162" w:right="439" w:bottom="1440" w:gutter="0" w:footer="0" w:header="0"/>
        </w:sectPr>
      </w:pPr>
    </w:p>
    <w:bookmarkStart w:id="54" w:name="page55"/>
    <w:bookmarkEnd w:id="5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aggregate estmated grant date fair value was determined to be $10,907, calculated using the Black-Scholes opton pricing model with the following assumptons:</w:t>
      </w:r>
    </w:p>
    <w:p>
      <w:pPr>
        <w:spacing w:after="0" w:line="238" w:lineRule="auto"/>
        <w:rPr>
          <w:sz w:val="20"/>
          <w:szCs w:val="20"/>
          <w:color w:val="auto"/>
        </w:rPr>
      </w:pPr>
      <w:r>
        <w:rPr>
          <w:rFonts w:ascii="Calibri" w:cs="Calibri" w:eastAsia="Calibri" w:hAnsi="Calibri"/>
          <w:sz w:val="16"/>
          <w:szCs w:val="16"/>
          <w:color w:val="auto"/>
        </w:rPr>
        <w:t>Optons expiring on November 16, 2026.</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4.28%</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3.00</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0.60</w:t>
            </w:r>
          </w:p>
        </w:tc>
      </w:tr>
      <w:tr>
        <w:trPr>
          <w:trHeight w:val="206"/>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0.72</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87"/>
        </w:trPr>
        <w:tc>
          <w:tcPr>
            <w:tcW w:w="6600" w:type="dxa"/>
            <w:vAlign w:val="bottom"/>
            <w:gridSpan w:val="2"/>
          </w:tcPr>
          <w:p>
            <w:pPr>
              <w:ind w:left="280"/>
              <w:spacing w:after="0"/>
              <w:rPr>
                <w:sz w:val="20"/>
                <w:szCs w:val="20"/>
                <w:color w:val="auto"/>
              </w:rPr>
            </w:pPr>
            <w:r>
              <w:rPr>
                <w:rFonts w:ascii="Calibri" w:cs="Calibri" w:eastAsia="Calibri" w:hAnsi="Calibri"/>
                <w:sz w:val="16"/>
                <w:szCs w:val="16"/>
                <w:color w:val="auto"/>
              </w:rPr>
              <w:t>Optons expiring on November 16, 2028.</w:t>
            </w:r>
          </w:p>
        </w:tc>
        <w:tc>
          <w:tcPr>
            <w:tcW w:w="3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9"/>
        </w:trPr>
        <w:tc>
          <w:tcPr>
            <w:tcW w:w="28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4.28%</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0.60</w:t>
            </w:r>
          </w:p>
        </w:tc>
      </w:tr>
      <w:tr>
        <w:trPr>
          <w:trHeight w:val="206"/>
        </w:trPr>
        <w:tc>
          <w:tcPr>
            <w:tcW w:w="280" w:type="dxa"/>
            <w:vAlign w:val="bottom"/>
          </w:tcPr>
          <w:p>
            <w:pPr>
              <w:spacing w:after="0"/>
              <w:rPr>
                <w:sz w:val="17"/>
                <w:szCs w:val="17"/>
                <w:color w:val="auto"/>
              </w:rPr>
            </w:pPr>
          </w:p>
        </w:tc>
        <w:tc>
          <w:tcPr>
            <w:tcW w:w="632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spacing w:after="0"/>
              <w:rPr>
                <w:sz w:val="20"/>
                <w:szCs w:val="20"/>
                <w:color w:val="auto"/>
              </w:rPr>
            </w:pPr>
            <w:r>
              <w:rPr>
                <w:rFonts w:ascii="Calibri" w:cs="Calibri" w:eastAsia="Calibri" w:hAnsi="Calibri"/>
                <w:sz w:val="16"/>
                <w:szCs w:val="16"/>
                <w:color w:val="auto"/>
              </w:rPr>
              <w:t>0.72</w:t>
            </w:r>
          </w:p>
        </w:tc>
      </w:tr>
      <w:tr>
        <w:trPr>
          <w:trHeight w:val="21"/>
        </w:trPr>
        <w:tc>
          <w:tcPr>
            <w:tcW w:w="280" w:type="dxa"/>
            <w:vAlign w:val="bottom"/>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280" w:right="20"/>
        <w:spacing w:after="0" w:line="230" w:lineRule="auto"/>
        <w:rPr>
          <w:sz w:val="20"/>
          <w:szCs w:val="20"/>
          <w:color w:val="auto"/>
        </w:rPr>
      </w:pPr>
      <w:r>
        <w:rPr>
          <w:rFonts w:ascii="Calibri" w:cs="Calibri" w:eastAsia="Calibri" w:hAnsi="Calibri"/>
          <w:sz w:val="16"/>
          <w:szCs w:val="16"/>
          <w:color w:val="auto"/>
        </w:rPr>
        <w:t>On March 20, 2024, the Company granted optons to purchase up to 20,000 Common Shares to an employee with an exercise price of $0.56 per Common Share which expire on March 20, 2029 and vest over two years.</w:t>
      </w:r>
    </w:p>
    <w:p>
      <w:pPr>
        <w:ind w:left="280"/>
        <w:spacing w:after="0" w:line="224" w:lineRule="auto"/>
        <w:rPr>
          <w:sz w:val="20"/>
          <w:szCs w:val="20"/>
          <w:color w:val="auto"/>
        </w:rPr>
      </w:pPr>
      <w:r>
        <w:rPr>
          <w:rFonts w:ascii="Calibri" w:cs="Calibri" w:eastAsia="Calibri" w:hAnsi="Calibri"/>
          <w:sz w:val="16"/>
          <w:szCs w:val="16"/>
          <w:color w:val="auto"/>
        </w:rPr>
        <w:t>The aggregate estmated grant date fair value was determined to be $8, calculated using the Black-Scholes opton pricing model with the following assumptons:</w:t>
      </w: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3.52%</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0.56</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0.56</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During the year ended March 31, 2024, the Company amended the expiry dates of certain optons with former employees and consultants of the Company.</w:t>
      </w:r>
    </w:p>
    <w:p>
      <w:pPr>
        <w:spacing w:after="0" w:line="200" w:lineRule="exact"/>
        <w:rPr>
          <w:sz w:val="20"/>
          <w:szCs w:val="20"/>
          <w:color w:val="auto"/>
        </w:rPr>
      </w:pPr>
    </w:p>
    <w:p>
      <w:pPr>
        <w:spacing w:after="0" w:line="393"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During the year ended March 31, 2023, the Company completed the following opton issuances:</w:t>
      </w:r>
    </w:p>
    <w:p>
      <w:pPr>
        <w:spacing w:after="0" w:line="219" w:lineRule="exact"/>
        <w:rPr>
          <w:sz w:val="20"/>
          <w:szCs w:val="20"/>
          <w:color w:val="auto"/>
        </w:rPr>
      </w:pPr>
    </w:p>
    <w:p>
      <w:pPr>
        <w:ind w:left="280"/>
        <w:spacing w:after="0" w:line="237" w:lineRule="auto"/>
        <w:rPr>
          <w:sz w:val="20"/>
          <w:szCs w:val="20"/>
          <w:color w:val="auto"/>
        </w:rPr>
      </w:pPr>
      <w:r>
        <w:rPr>
          <w:rFonts w:ascii="Calibri" w:cs="Calibri" w:eastAsia="Calibri" w:hAnsi="Calibri"/>
          <w:sz w:val="16"/>
          <w:szCs w:val="16"/>
          <w:color w:val="auto"/>
        </w:rPr>
        <w:t>On June 30, 2022, the Company granted optons to purchase up to: 65,000 Common Shares to employees, with an exercise price of $1.00 per Common Share and vestng over two years. The optons expire on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39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55" w:name="page56"/>
    <w:bookmarkEnd w:id="55"/>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2027. The aggregate estmated grant date fair value was determined to be $32, calculated using the Black-Scholes opton pricing model with the following assumptons:</w:t>
      </w: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0.72</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June 30, 2022, the Company granted optons to purchase up to 500,000 Common Shares to consultants, with an exercise price of $0.90 per Common Share. The optons vested immediately and expire on June 30, 2025. The estmated grant date fair value was determined to be $183, calculated using the Black-Scholes opton pricing model with the following assumptons: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3.14%</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0.72</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0.90</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August 15, 2022, the Company granted optons to purchase up to 800,000 Common Shares to consultants, with an exercise price of $1.00 per Common Share and vestng over two years. The optons expire on August 15, 2025. The estmated grant date fair value was determined to be $429, calculated using the Black-Scholes opton pricing model with the following assumptons:</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3.11%</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0.97</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August 15, 2022, the Company granted optons to purchase up to 20,000 Common Shares to an employee, with an exercise price of $1.00 per Common Share and vestng over two years. The optons expire on August 15, 2027. The estmated grant date fair value was determined to be $14, calculated using the Black-Scholes opton pricing model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56" w:name="page57"/>
    <w:bookmarkEnd w:id="56"/>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2.88%</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0.97</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September 30, 2022, the Company granted optons to purchase up to 270,000 Common Shares to consultants, with an exercise price of $0.75 per Common Share and vestng over two years. The optons expire on September 30, 2025. The estmated grant date fair value was determined to be $102, calculated using the Black-Scholes opton pricing model with the following assumptons:</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3.72%</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0.67</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0.75</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September 30, 2022, the Company granted optons to purchase up to 245,000 Common Shares to employees, with an exercise price of $1.00 per Common Share and vestng over two years. The optons expire on September 30, 2027. The estmated grant date fair value was determined to be $98, calculated using the Black-Scholes opton pricing model with the following assumptons: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3.32%</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0.67</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November 16, 2022, the Company granted optons to purchase up to 200,000 Common Shares to a consultant with an exercise price of $0.91 per Common Share. The optons vested immediately and expire on November 15, 2025. The estmated grant date fair value was determined to be $53, calculated using the Black-Scholes opton pricing model with the following assumptons: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3.78%</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0.58</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0.91</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57" w:name="page58"/>
    <w:bookmarkEnd w:id="57"/>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November 16, 2022, the Company granted optons to purchase up to 375,000 Common Shares to consultants with an exercise price of $0.75 per Common Share. The optons vested immediately and expire on November 15, 2025. The estmated grant date fair value was determined to be $110, calculated using the Black-Scholes opton pricing model with the following assumptons:</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3.78%</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0.58</w:t>
            </w:r>
          </w:p>
        </w:tc>
      </w:tr>
      <w:tr>
        <w:trPr>
          <w:trHeight w:val="206"/>
        </w:trPr>
        <w:tc>
          <w:tcPr>
            <w:tcW w:w="63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20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0.75</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stock optons outstanding on March 31, 2024: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Number of optons</w:t>
            </w:r>
          </w:p>
        </w:tc>
        <w:tc>
          <w:tcPr>
            <w:tcW w:w="178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Number of optons</w:t>
            </w:r>
          </w:p>
        </w:tc>
        <w:tc>
          <w:tcPr>
            <w:tcW w:w="166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Weighted average</w:t>
            </w:r>
          </w:p>
        </w:tc>
        <w:tc>
          <w:tcPr>
            <w:tcW w:w="1640" w:type="dxa"/>
            <w:vAlign w:val="bottom"/>
          </w:tcPr>
          <w:p>
            <w:pPr>
              <w:jc w:val="right"/>
              <w:spacing w:after="0"/>
              <w:rPr>
                <w:sz w:val="20"/>
                <w:szCs w:val="20"/>
                <w:color w:val="auto"/>
              </w:rPr>
            </w:pPr>
            <w:r>
              <w:rPr>
                <w:rFonts w:ascii="Calibri" w:cs="Calibri" w:eastAsia="Calibri" w:hAnsi="Calibri"/>
                <w:sz w:val="16"/>
                <w:szCs w:val="16"/>
                <w:b w:val="1"/>
                <w:bCs w:val="1"/>
                <w:color w:val="auto"/>
              </w:rPr>
              <w:t>Recognized estmated</w:t>
            </w:r>
          </w:p>
        </w:tc>
      </w:tr>
      <w:tr>
        <w:trPr>
          <w:trHeight w:val="193"/>
        </w:trPr>
        <w:tc>
          <w:tcPr>
            <w:tcW w:w="2160" w:type="dxa"/>
            <w:vAlign w:val="bottom"/>
          </w:tcPr>
          <w:p>
            <w:pPr>
              <w:spacing w:after="0"/>
              <w:rPr>
                <w:sz w:val="16"/>
                <w:szCs w:val="16"/>
                <w:color w:val="auto"/>
              </w:rPr>
            </w:pPr>
          </w:p>
        </w:tc>
        <w:tc>
          <w:tcPr>
            <w:tcW w:w="2000" w:type="dxa"/>
            <w:vAlign w:val="bottom"/>
          </w:tcPr>
          <w:p>
            <w:pPr>
              <w:jc w:val="right"/>
              <w:ind w:right="199"/>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74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outstanding</w:t>
            </w:r>
          </w:p>
        </w:tc>
        <w:tc>
          <w:tcPr>
            <w:tcW w:w="1780" w:type="dxa"/>
            <w:vAlign w:val="bottom"/>
          </w:tcPr>
          <w:p>
            <w:pPr>
              <w:jc w:val="right"/>
              <w:ind w:right="199"/>
              <w:spacing w:after="0" w:line="193" w:lineRule="exact"/>
              <w:rPr>
                <w:sz w:val="20"/>
                <w:szCs w:val="20"/>
                <w:color w:val="auto"/>
              </w:rPr>
            </w:pPr>
            <w:r>
              <w:rPr>
                <w:rFonts w:ascii="Calibri" w:cs="Calibri" w:eastAsia="Calibri" w:hAnsi="Calibri"/>
                <w:sz w:val="16"/>
                <w:szCs w:val="16"/>
                <w:b w:val="1"/>
                <w:bCs w:val="1"/>
                <w:color w:val="auto"/>
              </w:rPr>
              <w:t>exercisable</w:t>
            </w:r>
          </w:p>
        </w:tc>
        <w:tc>
          <w:tcPr>
            <w:tcW w:w="1660" w:type="dxa"/>
            <w:vAlign w:val="bottom"/>
          </w:tcPr>
          <w:p>
            <w:pPr>
              <w:jc w:val="right"/>
              <w:ind w:right="99"/>
              <w:spacing w:after="0" w:line="193" w:lineRule="exact"/>
              <w:rPr>
                <w:sz w:val="20"/>
                <w:szCs w:val="20"/>
                <w:color w:val="auto"/>
              </w:rPr>
            </w:pPr>
            <w:r>
              <w:rPr>
                <w:rFonts w:ascii="Calibri" w:cs="Calibri" w:eastAsia="Calibri" w:hAnsi="Calibri"/>
                <w:sz w:val="16"/>
                <w:szCs w:val="16"/>
                <w:b w:val="1"/>
                <w:bCs w:val="1"/>
                <w:color w:val="auto"/>
              </w:rPr>
              <w:t>remaining life</w:t>
            </w: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grant date fair value</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2"/>
        </w:trPr>
        <w:tc>
          <w:tcPr>
            <w:tcW w:w="21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Expiry date</w:t>
            </w:r>
          </w:p>
        </w:tc>
        <w:tc>
          <w:tcPr>
            <w:tcW w:w="2000" w:type="dxa"/>
            <w:vAlign w:val="bottom"/>
            <w:tcBorders>
              <w:bottom w:val="single" w:sz="8" w:color="auto"/>
            </w:tcBorders>
          </w:tcPr>
          <w:p>
            <w:pPr>
              <w:jc w:val="right"/>
              <w:ind w:right="199"/>
              <w:spacing w:after="0" w:line="192" w:lineRule="exact"/>
              <w:rPr>
                <w:sz w:val="20"/>
                <w:szCs w:val="20"/>
                <w:color w:val="auto"/>
              </w:rPr>
            </w:pPr>
            <w:r>
              <w:rPr>
                <w:rFonts w:ascii="Calibri" w:cs="Calibri" w:eastAsia="Calibri" w:hAnsi="Calibri"/>
                <w:sz w:val="16"/>
                <w:szCs w:val="16"/>
                <w:b w:val="1"/>
                <w:bCs w:val="1"/>
                <w:color w:val="auto"/>
              </w:rPr>
              <w:t>$</w:t>
            </w:r>
          </w:p>
        </w:tc>
        <w:tc>
          <w:tcPr>
            <w:tcW w:w="17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Years</w:t>
            </w:r>
          </w:p>
        </w:tc>
        <w:tc>
          <w:tcPr>
            <w:tcW w:w="16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$000’s</w:t>
            </w:r>
          </w:p>
        </w:tc>
      </w:tr>
      <w:tr>
        <w:trPr>
          <w:trHeight w:val="192"/>
        </w:trPr>
        <w:tc>
          <w:tcPr>
            <w:tcW w:w="2160" w:type="dxa"/>
            <w:vAlign w:val="bottom"/>
          </w:tcPr>
          <w:p>
            <w:pPr>
              <w:ind w:left="20"/>
              <w:spacing w:after="0" w:line="192" w:lineRule="exact"/>
              <w:rPr>
                <w:sz w:val="20"/>
                <w:szCs w:val="20"/>
                <w:color w:val="auto"/>
              </w:rPr>
            </w:pPr>
            <w:r>
              <w:rPr>
                <w:rFonts w:ascii="Calibri" w:cs="Calibri" w:eastAsia="Calibri" w:hAnsi="Calibri"/>
                <w:sz w:val="16"/>
                <w:szCs w:val="16"/>
                <w:color w:val="auto"/>
              </w:rPr>
              <w:t>June 15, 2025</w:t>
            </w:r>
          </w:p>
        </w:tc>
        <w:tc>
          <w:tcPr>
            <w:tcW w:w="2000" w:type="dxa"/>
            <w:vAlign w:val="bottom"/>
          </w:tcPr>
          <w:p>
            <w:pPr>
              <w:jc w:val="right"/>
              <w:ind w:right="159"/>
              <w:spacing w:after="0" w:line="192" w:lineRule="exact"/>
              <w:rPr>
                <w:sz w:val="20"/>
                <w:szCs w:val="20"/>
                <w:color w:val="auto"/>
              </w:rPr>
            </w:pPr>
            <w:r>
              <w:rPr>
                <w:rFonts w:ascii="Calibri" w:cs="Calibri" w:eastAsia="Calibri" w:hAnsi="Calibri"/>
                <w:sz w:val="16"/>
                <w:szCs w:val="16"/>
                <w:color w:val="auto"/>
              </w:rPr>
              <w:t>0.25</w:t>
            </w:r>
          </w:p>
        </w:tc>
        <w:tc>
          <w:tcPr>
            <w:tcW w:w="1740" w:type="dxa"/>
            <w:vAlign w:val="bottom"/>
          </w:tcPr>
          <w:p>
            <w:pPr>
              <w:jc w:val="right"/>
              <w:ind w:right="179"/>
              <w:spacing w:after="0" w:line="192" w:lineRule="exact"/>
              <w:rPr>
                <w:sz w:val="20"/>
                <w:szCs w:val="20"/>
                <w:color w:val="auto"/>
              </w:rPr>
            </w:pPr>
            <w:r>
              <w:rPr>
                <w:rFonts w:ascii="Calibri" w:cs="Calibri" w:eastAsia="Calibri" w:hAnsi="Calibri"/>
                <w:sz w:val="16"/>
                <w:szCs w:val="16"/>
                <w:color w:val="auto"/>
              </w:rPr>
              <w:t>2,350,000</w:t>
            </w:r>
          </w:p>
        </w:tc>
        <w:tc>
          <w:tcPr>
            <w:tcW w:w="1780" w:type="dxa"/>
            <w:vAlign w:val="bottom"/>
          </w:tcPr>
          <w:p>
            <w:pPr>
              <w:jc w:val="right"/>
              <w:ind w:right="199"/>
              <w:spacing w:after="0" w:line="192" w:lineRule="exact"/>
              <w:rPr>
                <w:sz w:val="20"/>
                <w:szCs w:val="20"/>
                <w:color w:val="auto"/>
              </w:rPr>
            </w:pPr>
            <w:r>
              <w:rPr>
                <w:rFonts w:ascii="Calibri" w:cs="Calibri" w:eastAsia="Calibri" w:hAnsi="Calibri"/>
                <w:sz w:val="16"/>
                <w:szCs w:val="16"/>
                <w:color w:val="auto"/>
              </w:rPr>
              <w:t>2,350,000</w:t>
            </w:r>
          </w:p>
        </w:tc>
        <w:tc>
          <w:tcPr>
            <w:tcW w:w="1660" w:type="dxa"/>
            <w:vAlign w:val="bottom"/>
          </w:tcPr>
          <w:p>
            <w:pPr>
              <w:jc w:val="right"/>
              <w:ind w:right="59"/>
              <w:spacing w:after="0" w:line="192" w:lineRule="exact"/>
              <w:rPr>
                <w:sz w:val="20"/>
                <w:szCs w:val="20"/>
                <w:color w:val="auto"/>
              </w:rPr>
            </w:pPr>
            <w:r>
              <w:rPr>
                <w:rFonts w:ascii="Calibri" w:cs="Calibri" w:eastAsia="Calibri" w:hAnsi="Calibri"/>
                <w:sz w:val="16"/>
                <w:szCs w:val="16"/>
                <w:color w:val="auto"/>
              </w:rPr>
              <w:t>1.21</w:t>
            </w:r>
          </w:p>
        </w:tc>
        <w:tc>
          <w:tcPr>
            <w:tcW w:w="1640" w:type="dxa"/>
            <w:vAlign w:val="bottom"/>
          </w:tcPr>
          <w:p>
            <w:pPr>
              <w:jc w:val="right"/>
              <w:spacing w:after="0" w:line="192" w:lineRule="exact"/>
              <w:rPr>
                <w:sz w:val="20"/>
                <w:szCs w:val="20"/>
                <w:color w:val="auto"/>
              </w:rPr>
            </w:pPr>
            <w:r>
              <w:rPr>
                <w:rFonts w:ascii="Calibri" w:cs="Calibri" w:eastAsia="Calibri" w:hAnsi="Calibri"/>
                <w:sz w:val="16"/>
                <w:szCs w:val="16"/>
                <w:color w:val="auto"/>
              </w:rPr>
              <w:t>420</w:t>
            </w:r>
          </w:p>
        </w:tc>
      </w:tr>
      <w:tr>
        <w:trPr>
          <w:trHeight w:val="198"/>
        </w:trPr>
        <w:tc>
          <w:tcPr>
            <w:tcW w:w="2160" w:type="dxa"/>
            <w:vAlign w:val="bottom"/>
          </w:tcPr>
          <w:p>
            <w:pPr>
              <w:ind w:left="20"/>
              <w:spacing w:after="0"/>
              <w:rPr>
                <w:sz w:val="20"/>
                <w:szCs w:val="20"/>
                <w:color w:val="auto"/>
              </w:rPr>
            </w:pPr>
            <w:r>
              <w:rPr>
                <w:rFonts w:ascii="Calibri" w:cs="Calibri" w:eastAsia="Calibri" w:hAnsi="Calibri"/>
                <w:sz w:val="16"/>
                <w:szCs w:val="16"/>
                <w:color w:val="auto"/>
              </w:rPr>
              <w:t>June 30,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1.25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183</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August 14,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737,500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737,500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1.37</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429</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September 30,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270,000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260,625</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1.50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97</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October 12,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3,000,000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1.53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1,607</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4,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5,700,000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5,700,000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1.60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3,057</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13,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0.88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1.62</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315</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375,000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375,000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1.63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110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0.91</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1.63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53</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11,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1.70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741</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14,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1.74</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1,589,100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1,589,100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1.71</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1,971</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28,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1.89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760,000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760,000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1.74</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1,027</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January 2,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1.89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225,000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225,000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1.76</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304</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February 15,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2.03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1.88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February 16,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2.03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1.88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10,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1,186,300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1,186,300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1.94</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1,185</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15,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1.55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1.95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360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28,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1.36</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1,575,000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1,575,000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1.99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1,540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29,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37,500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1.99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36</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31,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2.00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243</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June 28,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3,160,000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3,160,000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2.24</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6,589</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August 16,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215,000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215,000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2.38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383</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August 18,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2.38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519</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September 26,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975,000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975,000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2.49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439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58" w:name="page59"/>
    <w:bookmarkEnd w:id="58"/>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Number of optons</w:t>
            </w:r>
          </w:p>
        </w:tc>
        <w:tc>
          <w:tcPr>
            <w:tcW w:w="178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Number of optons</w:t>
            </w:r>
          </w:p>
        </w:tc>
        <w:tc>
          <w:tcPr>
            <w:tcW w:w="166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Weighted average</w:t>
            </w:r>
          </w:p>
        </w:tc>
        <w:tc>
          <w:tcPr>
            <w:tcW w:w="1640" w:type="dxa"/>
            <w:vAlign w:val="bottom"/>
          </w:tcPr>
          <w:p>
            <w:pPr>
              <w:jc w:val="right"/>
              <w:spacing w:after="0"/>
              <w:rPr>
                <w:sz w:val="20"/>
                <w:szCs w:val="20"/>
                <w:color w:val="auto"/>
              </w:rPr>
            </w:pPr>
            <w:r>
              <w:rPr>
                <w:rFonts w:ascii="Calibri" w:cs="Calibri" w:eastAsia="Calibri" w:hAnsi="Calibri"/>
                <w:sz w:val="16"/>
                <w:szCs w:val="16"/>
                <w:b w:val="1"/>
                <w:bCs w:val="1"/>
                <w:color w:val="auto"/>
              </w:rPr>
              <w:t>Recognized estmated</w:t>
            </w:r>
          </w:p>
        </w:tc>
      </w:tr>
      <w:tr>
        <w:trPr>
          <w:trHeight w:val="193"/>
        </w:trPr>
        <w:tc>
          <w:tcPr>
            <w:tcW w:w="2180" w:type="dxa"/>
            <w:vAlign w:val="bottom"/>
          </w:tcPr>
          <w:p>
            <w:pPr>
              <w:spacing w:after="0"/>
              <w:rPr>
                <w:sz w:val="16"/>
                <w:szCs w:val="16"/>
                <w:color w:val="auto"/>
              </w:rPr>
            </w:pPr>
          </w:p>
        </w:tc>
        <w:tc>
          <w:tcPr>
            <w:tcW w:w="1980" w:type="dxa"/>
            <w:vAlign w:val="bottom"/>
          </w:tcPr>
          <w:p>
            <w:pPr>
              <w:jc w:val="right"/>
              <w:ind w:right="199"/>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74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outstanding</w:t>
            </w:r>
          </w:p>
        </w:tc>
        <w:tc>
          <w:tcPr>
            <w:tcW w:w="1780" w:type="dxa"/>
            <w:vAlign w:val="bottom"/>
          </w:tcPr>
          <w:p>
            <w:pPr>
              <w:jc w:val="right"/>
              <w:ind w:right="199"/>
              <w:spacing w:after="0" w:line="193" w:lineRule="exact"/>
              <w:rPr>
                <w:sz w:val="20"/>
                <w:szCs w:val="20"/>
                <w:color w:val="auto"/>
              </w:rPr>
            </w:pPr>
            <w:r>
              <w:rPr>
                <w:rFonts w:ascii="Calibri" w:cs="Calibri" w:eastAsia="Calibri" w:hAnsi="Calibri"/>
                <w:sz w:val="16"/>
                <w:szCs w:val="16"/>
                <w:b w:val="1"/>
                <w:bCs w:val="1"/>
                <w:color w:val="auto"/>
              </w:rPr>
              <w:t>exercisable</w:t>
            </w:r>
          </w:p>
        </w:tc>
        <w:tc>
          <w:tcPr>
            <w:tcW w:w="1660" w:type="dxa"/>
            <w:vAlign w:val="bottom"/>
          </w:tcPr>
          <w:p>
            <w:pPr>
              <w:jc w:val="right"/>
              <w:ind w:right="99"/>
              <w:spacing w:after="0" w:line="193" w:lineRule="exact"/>
              <w:rPr>
                <w:sz w:val="20"/>
                <w:szCs w:val="20"/>
                <w:color w:val="auto"/>
              </w:rPr>
            </w:pPr>
            <w:r>
              <w:rPr>
                <w:rFonts w:ascii="Calibri" w:cs="Calibri" w:eastAsia="Calibri" w:hAnsi="Calibri"/>
                <w:sz w:val="16"/>
                <w:szCs w:val="16"/>
                <w:b w:val="1"/>
                <w:bCs w:val="1"/>
                <w:color w:val="auto"/>
              </w:rPr>
              <w:t>remaining life</w:t>
            </w: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grant date fair value</w:t>
            </w: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5"/>
        </w:trPr>
        <w:tc>
          <w:tcPr>
            <w:tcW w:w="2180" w:type="dxa"/>
            <w:vAlign w:val="bottom"/>
          </w:tcPr>
          <w:p>
            <w:pPr>
              <w:ind w:left="20"/>
              <w:spacing w:after="0" w:line="185" w:lineRule="exact"/>
              <w:rPr>
                <w:sz w:val="20"/>
                <w:szCs w:val="20"/>
                <w:color w:val="auto"/>
              </w:rPr>
            </w:pPr>
            <w:r>
              <w:rPr>
                <w:rFonts w:ascii="Calibri" w:cs="Calibri" w:eastAsia="Calibri" w:hAnsi="Calibri"/>
                <w:sz w:val="16"/>
                <w:szCs w:val="16"/>
                <w:color w:val="auto"/>
              </w:rPr>
              <w:t>September 27, 2026</w:t>
            </w:r>
          </w:p>
        </w:tc>
        <w:tc>
          <w:tcPr>
            <w:tcW w:w="1980" w:type="dxa"/>
            <w:vAlign w:val="bottom"/>
          </w:tcPr>
          <w:p>
            <w:pPr>
              <w:jc w:val="right"/>
              <w:ind w:right="159"/>
              <w:spacing w:after="0" w:line="185" w:lineRule="exact"/>
              <w:rPr>
                <w:sz w:val="20"/>
                <w:szCs w:val="20"/>
                <w:color w:val="auto"/>
              </w:rPr>
            </w:pPr>
            <w:r>
              <w:rPr>
                <w:rFonts w:ascii="Calibri" w:cs="Calibri" w:eastAsia="Calibri" w:hAnsi="Calibri"/>
                <w:sz w:val="16"/>
                <w:szCs w:val="16"/>
                <w:color w:val="auto"/>
              </w:rPr>
              <w:t>2.87</w:t>
            </w:r>
          </w:p>
        </w:tc>
        <w:tc>
          <w:tcPr>
            <w:tcW w:w="1740" w:type="dxa"/>
            <w:vAlign w:val="bottom"/>
          </w:tcPr>
          <w:p>
            <w:pPr>
              <w:jc w:val="right"/>
              <w:ind w:right="179"/>
              <w:spacing w:after="0" w:line="185" w:lineRule="exact"/>
              <w:rPr>
                <w:sz w:val="20"/>
                <w:szCs w:val="20"/>
                <w:color w:val="auto"/>
              </w:rPr>
            </w:pPr>
            <w:r>
              <w:rPr>
                <w:rFonts w:ascii="Calibri" w:cs="Calibri" w:eastAsia="Calibri" w:hAnsi="Calibri"/>
                <w:sz w:val="16"/>
                <w:szCs w:val="16"/>
                <w:color w:val="auto"/>
              </w:rPr>
              <w:t>195,000</w:t>
            </w:r>
          </w:p>
        </w:tc>
        <w:tc>
          <w:tcPr>
            <w:tcW w:w="1780" w:type="dxa"/>
            <w:vAlign w:val="bottom"/>
          </w:tcPr>
          <w:p>
            <w:pPr>
              <w:jc w:val="right"/>
              <w:ind w:right="199"/>
              <w:spacing w:after="0" w:line="185" w:lineRule="exact"/>
              <w:rPr>
                <w:sz w:val="20"/>
                <w:szCs w:val="20"/>
                <w:color w:val="auto"/>
              </w:rPr>
            </w:pPr>
            <w:r>
              <w:rPr>
                <w:rFonts w:ascii="Calibri" w:cs="Calibri" w:eastAsia="Calibri" w:hAnsi="Calibri"/>
                <w:sz w:val="16"/>
                <w:szCs w:val="16"/>
                <w:color w:val="auto"/>
              </w:rPr>
              <w:t>195,000</w:t>
            </w:r>
          </w:p>
        </w:tc>
        <w:tc>
          <w:tcPr>
            <w:tcW w:w="1660" w:type="dxa"/>
            <w:vAlign w:val="bottom"/>
          </w:tcPr>
          <w:p>
            <w:pPr>
              <w:jc w:val="right"/>
              <w:ind w:right="59"/>
              <w:spacing w:after="0" w:line="185" w:lineRule="exact"/>
              <w:rPr>
                <w:sz w:val="20"/>
                <w:szCs w:val="20"/>
                <w:color w:val="auto"/>
              </w:rPr>
            </w:pPr>
            <w:r>
              <w:rPr>
                <w:rFonts w:ascii="Calibri" w:cs="Calibri" w:eastAsia="Calibri" w:hAnsi="Calibri"/>
                <w:sz w:val="16"/>
                <w:szCs w:val="16"/>
                <w:color w:val="auto"/>
              </w:rPr>
              <w:t>2.49</w:t>
            </w:r>
          </w:p>
        </w:tc>
        <w:tc>
          <w:tcPr>
            <w:tcW w:w="1640" w:type="dxa"/>
            <w:vAlign w:val="bottom"/>
          </w:tcPr>
          <w:p>
            <w:pPr>
              <w:jc w:val="right"/>
              <w:spacing w:after="0" w:line="185" w:lineRule="exact"/>
              <w:rPr>
                <w:sz w:val="20"/>
                <w:szCs w:val="20"/>
                <w:color w:val="auto"/>
              </w:rPr>
            </w:pPr>
            <w:r>
              <w:rPr>
                <w:rFonts w:ascii="Calibri" w:cs="Calibri" w:eastAsia="Calibri" w:hAnsi="Calibri"/>
                <w:sz w:val="16"/>
                <w:szCs w:val="16"/>
                <w:color w:val="auto"/>
              </w:rPr>
              <w:t>403</w:t>
            </w:r>
          </w:p>
        </w:tc>
      </w:tr>
      <w:tr>
        <w:trPr>
          <w:trHeight w:val="198"/>
        </w:trPr>
        <w:tc>
          <w:tcPr>
            <w:tcW w:w="2180" w:type="dxa"/>
            <w:vAlign w:val="bottom"/>
          </w:tcPr>
          <w:p>
            <w:pPr>
              <w:ind w:left="20"/>
              <w:spacing w:after="0"/>
              <w:rPr>
                <w:sz w:val="20"/>
                <w:szCs w:val="20"/>
                <w:color w:val="auto"/>
              </w:rPr>
            </w:pPr>
            <w:r>
              <w:rPr>
                <w:rFonts w:ascii="Calibri" w:cs="Calibri" w:eastAsia="Calibri" w:hAnsi="Calibri"/>
                <w:sz w:val="16"/>
                <w:szCs w:val="16"/>
                <w:color w:val="auto"/>
              </w:rPr>
              <w:t>September 27, 2026</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545,000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545,000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2.49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1,105</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November 16, 2026</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0.72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125,000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2.63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81</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December 31, 2026</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1.50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1,250,000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1,250,000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2.75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1,352</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December 31, 2026</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2.75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18</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March 4, 2027</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1.13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1,075,600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1,075,600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2.92</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878</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March 4, 2027</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40,000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40,000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2.92</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March 8, 2027</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1.02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400,000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400,000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2.93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295</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June 30, 2027</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65,000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65,000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3.25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August 14, 2027</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3.37</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14</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September 30, 2027</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220,000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190,625</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3.50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95</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June 30, 2028</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0.44</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11,310,000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6,805,000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4.25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3,297</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September 26, 2028</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0.79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235,000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105,000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4.49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98</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November 16, 2028</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0.72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25,100,000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20,412,500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4.63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9,438</w:t>
            </w:r>
          </w:p>
        </w:tc>
      </w:tr>
      <w:tr>
        <w:trPr>
          <w:trHeight w:val="206"/>
        </w:trPr>
        <w:tc>
          <w:tcPr>
            <w:tcW w:w="2180" w:type="dxa"/>
            <w:vAlign w:val="bottom"/>
          </w:tcPr>
          <w:p>
            <w:pPr>
              <w:ind w:left="20"/>
              <w:spacing w:after="0"/>
              <w:rPr>
                <w:sz w:val="20"/>
                <w:szCs w:val="20"/>
                <w:color w:val="auto"/>
              </w:rPr>
            </w:pPr>
            <w:r>
              <w:rPr>
                <w:rFonts w:ascii="Calibri" w:cs="Calibri" w:eastAsia="Calibri" w:hAnsi="Calibri"/>
                <w:sz w:val="16"/>
                <w:szCs w:val="16"/>
                <w:color w:val="auto"/>
              </w:rPr>
              <w:t>March 20, 2029</w:t>
            </w:r>
          </w:p>
        </w:tc>
        <w:tc>
          <w:tcPr>
            <w:tcW w:w="1980" w:type="dxa"/>
            <w:vAlign w:val="bottom"/>
          </w:tcPr>
          <w:p>
            <w:pPr>
              <w:jc w:val="right"/>
              <w:ind w:right="159"/>
              <w:spacing w:after="0"/>
              <w:rPr>
                <w:sz w:val="20"/>
                <w:szCs w:val="20"/>
                <w:color w:val="auto"/>
              </w:rPr>
            </w:pPr>
            <w:r>
              <w:rPr>
                <w:rFonts w:ascii="Calibri" w:cs="Calibri" w:eastAsia="Calibri" w:hAnsi="Calibri"/>
                <w:sz w:val="16"/>
                <w:szCs w:val="16"/>
                <w:color w:val="auto"/>
              </w:rPr>
              <w:t>0.56</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4.97</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w:t>
            </w:r>
          </w:p>
        </w:tc>
      </w:tr>
      <w:tr>
        <w:trPr>
          <w:trHeight w:val="21"/>
        </w:trPr>
        <w:tc>
          <w:tcPr>
            <w:tcW w:w="21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2"/>
        </w:trPr>
        <w:tc>
          <w:tcPr>
            <w:tcW w:w="2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79"/>
              <w:spacing w:after="0" w:line="192" w:lineRule="exact"/>
              <w:rPr>
                <w:sz w:val="20"/>
                <w:szCs w:val="20"/>
                <w:color w:val="auto"/>
              </w:rPr>
            </w:pPr>
            <w:r>
              <w:rPr>
                <w:rFonts w:ascii="Calibri" w:cs="Calibri" w:eastAsia="Calibri" w:hAnsi="Calibri"/>
                <w:sz w:val="16"/>
                <w:szCs w:val="16"/>
                <w:b w:val="1"/>
                <w:bCs w:val="1"/>
                <w:color w:val="auto"/>
              </w:rPr>
              <w:t>66,201,000</w:t>
            </w:r>
          </w:p>
        </w:tc>
        <w:tc>
          <w:tcPr>
            <w:tcW w:w="1780" w:type="dxa"/>
            <w:vAlign w:val="bottom"/>
            <w:tcBorders>
              <w:bottom w:val="single" w:sz="8" w:color="auto"/>
            </w:tcBorders>
          </w:tcPr>
          <w:p>
            <w:pPr>
              <w:jc w:val="right"/>
              <w:ind w:right="199"/>
              <w:spacing w:after="0" w:line="192" w:lineRule="exact"/>
              <w:rPr>
                <w:sz w:val="20"/>
                <w:szCs w:val="20"/>
                <w:color w:val="auto"/>
              </w:rPr>
            </w:pPr>
            <w:r>
              <w:rPr>
                <w:rFonts w:ascii="Calibri" w:cs="Calibri" w:eastAsia="Calibri" w:hAnsi="Calibri"/>
                <w:sz w:val="16"/>
                <w:szCs w:val="16"/>
                <w:b w:val="1"/>
                <w:bCs w:val="1"/>
                <w:color w:val="auto"/>
              </w:rPr>
              <w:t>56,449,750</w:t>
            </w:r>
          </w:p>
        </w:tc>
        <w:tc>
          <w:tcPr>
            <w:tcW w:w="166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2.40</w:t>
            </w:r>
          </w:p>
        </w:tc>
        <w:tc>
          <w:tcPr>
            <w:tcW w:w="16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39,177</w:t>
            </w:r>
          </w:p>
        </w:tc>
      </w:tr>
    </w:tbl>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As at March 31, 2024, the Company has no optons held in escrow (2023 - nil).</w:t>
      </w:r>
    </w:p>
    <w:p>
      <w:pPr>
        <w:spacing w:after="0" w:line="16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Company recognized share-based payments expense related to the issuance of stock optons for the year ended March 31, 2024 of $13,886 (2023 - $4,680).</w:t>
      </w:r>
    </w:p>
    <w:p>
      <w:pPr>
        <w:spacing w:after="0" w:line="15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outstanding optons and warrants disclosed above were ant-dilutve for the year ended March 31, 2024 and did not impact the calculaton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59" w:name="page60"/>
    <w:bookmarkEnd w:id="5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10.</w:t>
      </w:r>
      <w:r>
        <w:rPr>
          <w:sz w:val="20"/>
          <w:szCs w:val="20"/>
          <w:color w:val="auto"/>
        </w:rPr>
        <w:tab/>
      </w:r>
      <w:r>
        <w:rPr>
          <w:rFonts w:ascii="Calibri" w:cs="Calibri" w:eastAsia="Calibri" w:hAnsi="Calibri"/>
          <w:sz w:val="15"/>
          <w:szCs w:val="15"/>
          <w:b w:val="1"/>
          <w:bCs w:val="1"/>
          <w:color w:val="2D5F91"/>
        </w:rPr>
        <w:t>RELATED PARTY TRANSACTIONS AND BALANCES</w:t>
      </w:r>
    </w:p>
    <w:p>
      <w:pPr>
        <w:spacing w:after="0" w:line="171" w:lineRule="exact"/>
        <w:rPr>
          <w:sz w:val="20"/>
          <w:szCs w:val="20"/>
          <w:color w:val="auto"/>
        </w:rPr>
      </w:pPr>
    </w:p>
    <w:p>
      <w:pPr>
        <w:ind w:left="280"/>
        <w:spacing w:after="0" w:line="237"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7720" w:type="dxa"/>
            <w:vAlign w:val="bottom"/>
          </w:tcPr>
          <w:p>
            <w:pPr>
              <w:spacing w:after="0"/>
              <w:rPr>
                <w:sz w:val="20"/>
                <w:szCs w:val="20"/>
                <w:color w:val="auto"/>
              </w:rPr>
            </w:pPr>
            <w:r>
              <w:rPr>
                <w:rFonts w:ascii="Calibri" w:cs="Calibri" w:eastAsia="Calibri" w:hAnsi="Calibri"/>
                <w:sz w:val="16"/>
                <w:szCs w:val="16"/>
                <w:color w:val="auto"/>
              </w:rPr>
              <w:t>The remuneraton of key management personnel for the years ended March 31, 2024 and 2023 are as follows:</w:t>
            </w:r>
          </w:p>
        </w:tc>
        <w:tc>
          <w:tcPr>
            <w:tcW w:w="1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88"/>
        </w:trPr>
        <w:tc>
          <w:tcPr>
            <w:tcW w:w="7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Year ended March 31,</w:t>
            </w:r>
          </w:p>
        </w:tc>
      </w:tr>
      <w:tr>
        <w:trPr>
          <w:trHeight w:val="206"/>
        </w:trPr>
        <w:tc>
          <w:tcPr>
            <w:tcW w:w="77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2024</w:t>
            </w: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r>
      <w:tr>
        <w:trPr>
          <w:trHeight w:val="206"/>
        </w:trPr>
        <w:tc>
          <w:tcPr>
            <w:tcW w:w="77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w:t>
            </w: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7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1"/>
        </w:trPr>
        <w:tc>
          <w:tcPr>
            <w:tcW w:w="7720" w:type="dxa"/>
            <w:vAlign w:val="bottom"/>
          </w:tcPr>
          <w:p>
            <w:pPr>
              <w:ind w:left="60"/>
              <w:spacing w:after="0" w:line="191" w:lineRule="exact"/>
              <w:rPr>
                <w:sz w:val="20"/>
                <w:szCs w:val="20"/>
                <w:color w:val="auto"/>
              </w:rPr>
            </w:pPr>
            <w:r>
              <w:rPr>
                <w:rFonts w:ascii="Calibri" w:cs="Calibri" w:eastAsia="Calibri" w:hAnsi="Calibri"/>
                <w:sz w:val="15"/>
                <w:szCs w:val="15"/>
                <w:color w:val="auto"/>
              </w:rPr>
              <w:t>Payroll, consultng and benefts</w:t>
            </w:r>
            <w:r>
              <w:rPr>
                <w:rFonts w:ascii="Calibri" w:cs="Calibri" w:eastAsia="Calibri" w:hAnsi="Calibri"/>
                <w:sz w:val="20"/>
                <w:szCs w:val="20"/>
                <w:color w:val="auto"/>
                <w:vertAlign w:val="superscript"/>
              </w:rPr>
              <w:t>(1)</w:t>
            </w:r>
          </w:p>
        </w:tc>
        <w:tc>
          <w:tcPr>
            <w:tcW w:w="1240" w:type="dxa"/>
            <w:vAlign w:val="bottom"/>
          </w:tcPr>
          <w:p>
            <w:pPr>
              <w:jc w:val="right"/>
              <w:ind w:right="19"/>
              <w:spacing w:after="0" w:line="191" w:lineRule="exact"/>
              <w:rPr>
                <w:sz w:val="20"/>
                <w:szCs w:val="20"/>
                <w:color w:val="auto"/>
              </w:rPr>
            </w:pPr>
            <w:r>
              <w:rPr>
                <w:rFonts w:ascii="Calibri" w:cs="Calibri" w:eastAsia="Calibri" w:hAnsi="Calibri"/>
                <w:sz w:val="16"/>
                <w:szCs w:val="16"/>
                <w:b w:val="1"/>
                <w:bCs w:val="1"/>
                <w:color w:val="auto"/>
              </w:rPr>
              <w:t>6,406</w:t>
            </w:r>
          </w:p>
        </w:tc>
        <w:tc>
          <w:tcPr>
            <w:tcW w:w="1580" w:type="dxa"/>
            <w:vAlign w:val="bottom"/>
          </w:tcPr>
          <w:p>
            <w:pPr>
              <w:jc w:val="right"/>
              <w:spacing w:after="0" w:line="191" w:lineRule="exact"/>
              <w:rPr>
                <w:sz w:val="20"/>
                <w:szCs w:val="20"/>
                <w:color w:val="auto"/>
              </w:rPr>
            </w:pPr>
            <w:r>
              <w:rPr>
                <w:rFonts w:ascii="Calibri" w:cs="Calibri" w:eastAsia="Calibri" w:hAnsi="Calibri"/>
                <w:sz w:val="16"/>
                <w:szCs w:val="16"/>
                <w:color w:val="auto"/>
              </w:rPr>
              <w:t>5,966</w:t>
            </w:r>
          </w:p>
        </w:tc>
      </w:tr>
      <w:tr>
        <w:trPr>
          <w:trHeight w:val="193"/>
        </w:trPr>
        <w:tc>
          <w:tcPr>
            <w:tcW w:w="7720" w:type="dxa"/>
            <w:vAlign w:val="bottom"/>
          </w:tcPr>
          <w:p>
            <w:pPr>
              <w:ind w:left="60"/>
              <w:spacing w:after="0" w:line="193" w:lineRule="exact"/>
              <w:rPr>
                <w:sz w:val="20"/>
                <w:szCs w:val="20"/>
                <w:color w:val="auto"/>
              </w:rPr>
            </w:pPr>
            <w:r>
              <w:rPr>
                <w:rFonts w:ascii="Calibri" w:cs="Calibri" w:eastAsia="Calibri" w:hAnsi="Calibri"/>
                <w:sz w:val="16"/>
                <w:szCs w:val="16"/>
                <w:color w:val="auto"/>
              </w:rPr>
              <w:t>Share-based compensaton</w:t>
            </w:r>
          </w:p>
        </w:tc>
        <w:tc>
          <w:tcPr>
            <w:tcW w:w="1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6"/>
        </w:trPr>
        <w:tc>
          <w:tcPr>
            <w:tcW w:w="7720" w:type="dxa"/>
            <w:vAlign w:val="bottom"/>
          </w:tcPr>
          <w:p>
            <w:pPr>
              <w:ind w:left="260"/>
              <w:spacing w:after="0"/>
              <w:rPr>
                <w:sz w:val="20"/>
                <w:szCs w:val="20"/>
                <w:color w:val="auto"/>
              </w:rPr>
            </w:pPr>
            <w:r>
              <w:rPr>
                <w:rFonts w:ascii="Calibri" w:cs="Calibri" w:eastAsia="Calibri" w:hAnsi="Calibri"/>
                <w:sz w:val="16"/>
                <w:szCs w:val="16"/>
                <w:color w:val="auto"/>
              </w:rPr>
              <w:t>Optons</w:t>
            </w:r>
          </w:p>
        </w:tc>
        <w:tc>
          <w:tcPr>
            <w:tcW w:w="1240" w:type="dxa"/>
            <w:vAlign w:val="bottom"/>
          </w:tcPr>
          <w:p>
            <w:pPr>
              <w:jc w:val="right"/>
              <w:ind w:right="19"/>
              <w:spacing w:after="0"/>
              <w:rPr>
                <w:sz w:val="20"/>
                <w:szCs w:val="20"/>
                <w:color w:val="auto"/>
              </w:rPr>
            </w:pPr>
            <w:r>
              <w:rPr>
                <w:rFonts w:ascii="Calibri" w:cs="Calibri" w:eastAsia="Calibri" w:hAnsi="Calibri"/>
                <w:sz w:val="16"/>
                <w:szCs w:val="16"/>
                <w:color w:val="auto"/>
              </w:rPr>
              <w:t>8,643</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2,346</w:t>
            </w:r>
          </w:p>
        </w:tc>
      </w:tr>
      <w:tr>
        <w:trPr>
          <w:trHeight w:val="206"/>
        </w:trPr>
        <w:tc>
          <w:tcPr>
            <w:tcW w:w="7720" w:type="dxa"/>
            <w:vAlign w:val="bottom"/>
          </w:tcPr>
          <w:p>
            <w:pPr>
              <w:ind w:left="260"/>
              <w:spacing w:after="0"/>
              <w:rPr>
                <w:sz w:val="20"/>
                <w:szCs w:val="20"/>
                <w:color w:val="auto"/>
              </w:rPr>
            </w:pPr>
            <w:r>
              <w:rPr>
                <w:rFonts w:ascii="Calibri" w:cs="Calibri" w:eastAsia="Calibri" w:hAnsi="Calibri"/>
                <w:sz w:val="16"/>
                <w:szCs w:val="16"/>
                <w:color w:val="auto"/>
              </w:rPr>
              <w:t>Warrants</w:t>
            </w:r>
          </w:p>
        </w:tc>
        <w:tc>
          <w:tcPr>
            <w:tcW w:w="124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1"/>
        </w:trPr>
        <w:tc>
          <w:tcPr>
            <w:tcW w:w="7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2"/>
        </w:trPr>
        <w:tc>
          <w:tcPr>
            <w:tcW w:w="772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124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15,049</w:t>
            </w:r>
          </w:p>
        </w:tc>
        <w:tc>
          <w:tcPr>
            <w:tcW w:w="15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8,315</w:t>
            </w:r>
          </w:p>
        </w:tc>
      </w:tr>
    </w:tbl>
    <w:p>
      <w:pPr>
        <w:spacing w:after="0" w:line="69" w:lineRule="exact"/>
        <w:rPr>
          <w:sz w:val="20"/>
          <w:szCs w:val="20"/>
          <w:color w:val="auto"/>
        </w:rPr>
      </w:pPr>
    </w:p>
    <w:p>
      <w:pPr>
        <w:ind w:left="280" w:right="20" w:firstLine="8"/>
        <w:spacing w:after="0" w:line="224" w:lineRule="auto"/>
        <w:tabs>
          <w:tab w:leader="none" w:pos="419" w:val="left"/>
        </w:tabs>
        <w:numPr>
          <w:ilvl w:val="0"/>
          <w:numId w:val="35"/>
        </w:numPr>
        <w:rPr>
          <w:rFonts w:ascii="Calibri" w:cs="Calibri" w:eastAsia="Calibri" w:hAnsi="Calibri"/>
          <w:sz w:val="17"/>
          <w:szCs w:val="17"/>
          <w:i w:val="1"/>
          <w:iCs w:val="1"/>
          <w:color w:val="auto"/>
          <w:vertAlign w:val="superscript"/>
        </w:rPr>
      </w:pPr>
      <w:r>
        <w:rPr>
          <w:rFonts w:ascii="Calibri" w:cs="Calibri" w:eastAsia="Calibri" w:hAnsi="Calibri"/>
          <w:sz w:val="13"/>
          <w:szCs w:val="13"/>
          <w:i w:val="1"/>
          <w:iCs w:val="1"/>
          <w:color w:val="auto"/>
        </w:rPr>
        <w:t>For the year ended March 31, 2024, includes $</w:t>
      </w:r>
      <w:r>
        <w:rPr>
          <w:rFonts w:ascii="Calibri" w:cs="Calibri" w:eastAsia="Calibri" w:hAnsi="Calibri"/>
          <w:sz w:val="13"/>
          <w:szCs w:val="13"/>
          <w:color w:val="auto"/>
        </w:rPr>
        <w:t>5,145</w:t>
      </w:r>
      <w:r>
        <w:rPr>
          <w:rFonts w:ascii="Calibri" w:cs="Calibri" w:eastAsia="Calibri" w:hAnsi="Calibri"/>
          <w:sz w:val="13"/>
          <w:szCs w:val="13"/>
          <w:i w:val="1"/>
          <w:iCs w:val="1"/>
          <w:color w:val="auto"/>
        </w:rPr>
        <w:t xml:space="preserve"> presented in the consolidated statement of loss and comprehensive loss as a part of “General and administratve costs” and $</w:t>
      </w:r>
      <w:r>
        <w:rPr>
          <w:rFonts w:ascii="Calibri" w:cs="Calibri" w:eastAsia="Calibri" w:hAnsi="Calibri"/>
          <w:sz w:val="13"/>
          <w:szCs w:val="13"/>
          <w:color w:val="auto"/>
        </w:rPr>
        <w:t>1,261</w:t>
      </w:r>
      <w:r>
        <w:rPr>
          <w:rFonts w:ascii="Calibri" w:cs="Calibri" w:eastAsia="Calibri" w:hAnsi="Calibri"/>
          <w:sz w:val="13"/>
          <w:szCs w:val="13"/>
          <w:i w:val="1"/>
          <w:iCs w:val="1"/>
          <w:color w:val="auto"/>
        </w:rPr>
        <w:t xml:space="preserve"> presented in the consolidated statement of loss and comprehensive loss as a part of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44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60" w:name="page61"/>
    <w:bookmarkEnd w:id="6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jc w:val="right"/>
              <w:spacing w:after="0"/>
              <w:rPr>
                <w:sz w:val="20"/>
                <w:szCs w:val="20"/>
                <w:color w:val="auto"/>
              </w:rPr>
            </w:pPr>
            <w:r>
              <w:rPr>
                <w:rFonts w:ascii="Calibri" w:cs="Calibri" w:eastAsia="Calibri" w:hAnsi="Calibri"/>
                <w:sz w:val="16"/>
                <w:szCs w:val="16"/>
                <w:b w:val="1"/>
                <w:bCs w:val="1"/>
                <w:color w:val="2D5F91"/>
                <w:w w:val="87"/>
              </w:rPr>
              <w:t>11.</w:t>
            </w:r>
          </w:p>
        </w:tc>
        <w:tc>
          <w:tcPr>
            <w:tcW w:w="6100" w:type="dxa"/>
            <w:vAlign w:val="bottom"/>
          </w:tcPr>
          <w:p>
            <w:pPr>
              <w:ind w:left="120"/>
              <w:spacing w:after="0"/>
              <w:rPr>
                <w:sz w:val="20"/>
                <w:szCs w:val="20"/>
                <w:color w:val="auto"/>
              </w:rPr>
            </w:pPr>
            <w:r>
              <w:rPr>
                <w:rFonts w:ascii="Calibri" w:cs="Calibri" w:eastAsia="Calibri" w:hAnsi="Calibri"/>
                <w:sz w:val="16"/>
                <w:szCs w:val="16"/>
                <w:b w:val="1"/>
                <w:bCs w:val="1"/>
                <w:color w:val="2D5F91"/>
              </w:rPr>
              <w:t>GENERAL AND ADMINISTRATIVE EXPENSES</w:t>
            </w:r>
          </w:p>
        </w:tc>
        <w:tc>
          <w:tcPr>
            <w:tcW w:w="3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2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Calibri" w:cs="Calibri" w:eastAsia="Calibri" w:hAnsi="Calibri"/>
                <w:sz w:val="16"/>
                <w:szCs w:val="16"/>
                <w:b w:val="1"/>
                <w:bCs w:val="1"/>
                <w:color w:val="auto"/>
              </w:rPr>
              <w:t>Year ended March 31,</w:t>
            </w:r>
          </w:p>
        </w:tc>
      </w:tr>
      <w:tr>
        <w:trPr>
          <w:trHeight w:val="206"/>
        </w:trPr>
        <w:tc>
          <w:tcPr>
            <w:tcW w:w="2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2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2024</w:t>
            </w:r>
          </w:p>
        </w:tc>
        <w:tc>
          <w:tcPr>
            <w:tcW w:w="154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1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2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w:t>
            </w:r>
          </w:p>
        </w:tc>
        <w:tc>
          <w:tcPr>
            <w:tcW w:w="15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tcPr>
          <w:p>
            <w:pPr>
              <w:spacing w:after="0"/>
              <w:rPr>
                <w:sz w:val="17"/>
                <w:szCs w:val="17"/>
                <w:color w:val="auto"/>
              </w:rPr>
            </w:pPr>
          </w:p>
        </w:tc>
      </w:tr>
      <w:tr>
        <w:trPr>
          <w:trHeight w:val="21"/>
        </w:trPr>
        <w:tc>
          <w:tcPr>
            <w:tcW w:w="2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5"/>
        </w:trPr>
        <w:tc>
          <w:tcPr>
            <w:tcW w:w="220" w:type="dxa"/>
            <w:vAlign w:val="bottom"/>
          </w:tcPr>
          <w:p>
            <w:pPr>
              <w:spacing w:after="0"/>
              <w:rPr>
                <w:sz w:val="16"/>
                <w:szCs w:val="16"/>
                <w:color w:val="auto"/>
              </w:rPr>
            </w:pPr>
          </w:p>
        </w:tc>
        <w:tc>
          <w:tcPr>
            <w:tcW w:w="6100" w:type="dxa"/>
            <w:vAlign w:val="bottom"/>
          </w:tcPr>
          <w:p>
            <w:pPr>
              <w:ind w:left="20"/>
              <w:spacing w:after="0" w:line="185" w:lineRule="exact"/>
              <w:rPr>
                <w:sz w:val="20"/>
                <w:szCs w:val="20"/>
                <w:color w:val="auto"/>
              </w:rPr>
            </w:pPr>
            <w:r>
              <w:rPr>
                <w:rFonts w:ascii="Calibri" w:cs="Calibri" w:eastAsia="Calibri" w:hAnsi="Calibri"/>
                <w:sz w:val="16"/>
                <w:szCs w:val="16"/>
                <w:color w:val="auto"/>
              </w:rPr>
              <w:t>Payroll, consultng and benefts</w:t>
            </w:r>
          </w:p>
        </w:tc>
        <w:tc>
          <w:tcPr>
            <w:tcW w:w="3220" w:type="dxa"/>
            <w:vAlign w:val="bottom"/>
          </w:tcPr>
          <w:p>
            <w:pPr>
              <w:jc w:val="right"/>
              <w:ind w:right="99"/>
              <w:spacing w:after="0" w:line="185" w:lineRule="exact"/>
              <w:rPr>
                <w:sz w:val="20"/>
                <w:szCs w:val="20"/>
                <w:color w:val="auto"/>
              </w:rPr>
            </w:pPr>
            <w:r>
              <w:rPr>
                <w:rFonts w:ascii="Calibri" w:cs="Calibri" w:eastAsia="Calibri" w:hAnsi="Calibri"/>
                <w:sz w:val="16"/>
                <w:szCs w:val="16"/>
                <w:color w:val="auto"/>
              </w:rPr>
              <w:t>8,248</w:t>
            </w:r>
          </w:p>
        </w:tc>
        <w:tc>
          <w:tcPr>
            <w:tcW w:w="1540" w:type="dxa"/>
            <w:vAlign w:val="bottom"/>
          </w:tcPr>
          <w:p>
            <w:pPr>
              <w:jc w:val="right"/>
              <w:spacing w:after="0" w:line="185" w:lineRule="exact"/>
              <w:rPr>
                <w:sz w:val="20"/>
                <w:szCs w:val="20"/>
                <w:color w:val="auto"/>
              </w:rPr>
            </w:pPr>
            <w:r>
              <w:rPr>
                <w:rFonts w:ascii="Calibri" w:cs="Calibri" w:eastAsia="Calibri" w:hAnsi="Calibri"/>
                <w:sz w:val="16"/>
                <w:szCs w:val="16"/>
                <w:color w:val="auto"/>
              </w:rPr>
              <w:t>6,272</w:t>
            </w:r>
          </w:p>
        </w:tc>
        <w:tc>
          <w:tcPr>
            <w:tcW w:w="120" w:type="dxa"/>
            <w:vAlign w:val="bottom"/>
          </w:tcPr>
          <w:p>
            <w:pPr>
              <w:spacing w:after="0"/>
              <w:rPr>
                <w:sz w:val="16"/>
                <w:szCs w:val="16"/>
                <w:color w:val="auto"/>
              </w:rPr>
            </w:pPr>
          </w:p>
        </w:tc>
      </w:tr>
      <w:tr>
        <w:trPr>
          <w:trHeight w:val="198"/>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Capital market</w:t>
            </w:r>
          </w:p>
        </w:tc>
        <w:tc>
          <w:tcPr>
            <w:tcW w:w="3220" w:type="dxa"/>
            <w:vAlign w:val="bottom"/>
          </w:tcPr>
          <w:p>
            <w:pPr>
              <w:jc w:val="right"/>
              <w:ind w:right="99"/>
              <w:spacing w:after="0"/>
              <w:rPr>
                <w:sz w:val="20"/>
                <w:szCs w:val="20"/>
                <w:color w:val="auto"/>
              </w:rPr>
            </w:pPr>
            <w:r>
              <w:rPr>
                <w:rFonts w:ascii="Calibri" w:cs="Calibri" w:eastAsia="Calibri" w:hAnsi="Calibri"/>
                <w:sz w:val="16"/>
                <w:szCs w:val="16"/>
                <w:color w:val="auto"/>
              </w:rPr>
              <w:t>11,519</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6,323</w:t>
            </w:r>
          </w:p>
        </w:tc>
        <w:tc>
          <w:tcPr>
            <w:tcW w:w="1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Ofce and administraton</w:t>
            </w:r>
          </w:p>
        </w:tc>
        <w:tc>
          <w:tcPr>
            <w:tcW w:w="3220" w:type="dxa"/>
            <w:vAlign w:val="bottom"/>
          </w:tcPr>
          <w:p>
            <w:pPr>
              <w:jc w:val="right"/>
              <w:ind w:right="99"/>
              <w:spacing w:after="0"/>
              <w:rPr>
                <w:sz w:val="20"/>
                <w:szCs w:val="20"/>
                <w:color w:val="auto"/>
              </w:rPr>
            </w:pPr>
            <w:r>
              <w:rPr>
                <w:rFonts w:ascii="Calibri" w:cs="Calibri" w:eastAsia="Calibri" w:hAnsi="Calibri"/>
                <w:sz w:val="16"/>
                <w:szCs w:val="16"/>
                <w:color w:val="auto"/>
              </w:rPr>
              <w:t>2,945</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3,731</w:t>
            </w:r>
          </w:p>
        </w:tc>
        <w:tc>
          <w:tcPr>
            <w:tcW w:w="1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3220" w:type="dxa"/>
            <w:vAlign w:val="bottom"/>
          </w:tcPr>
          <w:p>
            <w:pPr>
              <w:jc w:val="right"/>
              <w:ind w:right="99"/>
              <w:spacing w:after="0"/>
              <w:rPr>
                <w:sz w:val="20"/>
                <w:szCs w:val="20"/>
                <w:color w:val="auto"/>
              </w:rPr>
            </w:pPr>
            <w:r>
              <w:rPr>
                <w:rFonts w:ascii="Calibri" w:cs="Calibri" w:eastAsia="Calibri" w:hAnsi="Calibri"/>
                <w:sz w:val="16"/>
                <w:szCs w:val="16"/>
                <w:color w:val="auto"/>
              </w:rPr>
              <w:t>4,918</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2,142</w:t>
            </w:r>
          </w:p>
        </w:tc>
        <w:tc>
          <w:tcPr>
            <w:tcW w:w="1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Investor relatons</w:t>
            </w:r>
          </w:p>
        </w:tc>
        <w:tc>
          <w:tcPr>
            <w:tcW w:w="3220" w:type="dxa"/>
            <w:vAlign w:val="bottom"/>
          </w:tcPr>
          <w:p>
            <w:pPr>
              <w:jc w:val="right"/>
              <w:ind w:right="99"/>
              <w:spacing w:after="0"/>
              <w:rPr>
                <w:sz w:val="20"/>
                <w:szCs w:val="20"/>
                <w:color w:val="auto"/>
              </w:rPr>
            </w:pPr>
            <w:r>
              <w:rPr>
                <w:rFonts w:ascii="Calibri" w:cs="Calibri" w:eastAsia="Calibri" w:hAnsi="Calibri"/>
                <w:sz w:val="16"/>
                <w:szCs w:val="16"/>
                <w:color w:val="auto"/>
              </w:rPr>
              <w:t>1,896</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984</w:t>
            </w:r>
          </w:p>
        </w:tc>
        <w:tc>
          <w:tcPr>
            <w:tcW w:w="1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Marketng media</w:t>
            </w:r>
          </w:p>
        </w:tc>
        <w:tc>
          <w:tcPr>
            <w:tcW w:w="3220" w:type="dxa"/>
            <w:vAlign w:val="bottom"/>
          </w:tcPr>
          <w:p>
            <w:pPr>
              <w:jc w:val="right"/>
              <w:ind w:right="99"/>
              <w:spacing w:after="0"/>
              <w:rPr>
                <w:sz w:val="20"/>
                <w:szCs w:val="20"/>
                <w:color w:val="auto"/>
              </w:rPr>
            </w:pPr>
            <w:r>
              <w:rPr>
                <w:rFonts w:ascii="Calibri" w:cs="Calibri" w:eastAsia="Calibri" w:hAnsi="Calibri"/>
                <w:sz w:val="16"/>
                <w:szCs w:val="16"/>
                <w:color w:val="auto"/>
              </w:rPr>
              <w:t>1,895</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881</w:t>
            </w:r>
          </w:p>
        </w:tc>
        <w:tc>
          <w:tcPr>
            <w:tcW w:w="1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Business development</w:t>
            </w:r>
          </w:p>
        </w:tc>
        <w:tc>
          <w:tcPr>
            <w:tcW w:w="3220" w:type="dxa"/>
            <w:vAlign w:val="bottom"/>
          </w:tcPr>
          <w:p>
            <w:pPr>
              <w:jc w:val="right"/>
              <w:ind w:right="99"/>
              <w:spacing w:after="0"/>
              <w:rPr>
                <w:sz w:val="20"/>
                <w:szCs w:val="20"/>
                <w:color w:val="auto"/>
              </w:rPr>
            </w:pPr>
            <w:r>
              <w:rPr>
                <w:rFonts w:ascii="Calibri" w:cs="Calibri" w:eastAsia="Calibri" w:hAnsi="Calibri"/>
                <w:sz w:val="16"/>
                <w:szCs w:val="16"/>
                <w:color w:val="auto"/>
              </w:rPr>
              <w:t>896</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654</w:t>
            </w:r>
          </w:p>
        </w:tc>
        <w:tc>
          <w:tcPr>
            <w:tcW w:w="1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Listng fees</w:t>
            </w:r>
          </w:p>
        </w:tc>
        <w:tc>
          <w:tcPr>
            <w:tcW w:w="3220" w:type="dxa"/>
            <w:vAlign w:val="bottom"/>
          </w:tcPr>
          <w:p>
            <w:pPr>
              <w:jc w:val="right"/>
              <w:ind w:right="99"/>
              <w:spacing w:after="0"/>
              <w:rPr>
                <w:sz w:val="20"/>
                <w:szCs w:val="20"/>
                <w:color w:val="auto"/>
              </w:rPr>
            </w:pPr>
            <w:r>
              <w:rPr>
                <w:rFonts w:ascii="Calibri" w:cs="Calibri" w:eastAsia="Calibri" w:hAnsi="Calibri"/>
                <w:sz w:val="16"/>
                <w:szCs w:val="16"/>
                <w:color w:val="auto"/>
              </w:rPr>
              <w:t>271</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354</w:t>
            </w:r>
          </w:p>
        </w:tc>
        <w:tc>
          <w:tcPr>
            <w:tcW w:w="120" w:type="dxa"/>
            <w:vAlign w:val="bottom"/>
          </w:tcPr>
          <w:p>
            <w:pPr>
              <w:spacing w:after="0"/>
              <w:rPr>
                <w:sz w:val="17"/>
                <w:szCs w:val="17"/>
                <w:color w:val="auto"/>
              </w:rPr>
            </w:pPr>
          </w:p>
        </w:tc>
      </w:tr>
      <w:tr>
        <w:trPr>
          <w:trHeight w:val="21"/>
        </w:trPr>
        <w:tc>
          <w:tcPr>
            <w:tcW w:w="2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6100" w:type="dxa"/>
            <w:vAlign w:val="bottom"/>
            <w:tcBorders>
              <w:bottom w:val="single" w:sz="8" w:color="auto"/>
            </w:tcBorders>
          </w:tcPr>
          <w:p>
            <w:pPr>
              <w:ind w:left="80"/>
              <w:spacing w:after="0" w:line="192" w:lineRule="exact"/>
              <w:rPr>
                <w:sz w:val="20"/>
                <w:szCs w:val="20"/>
                <w:color w:val="auto"/>
              </w:rPr>
            </w:pPr>
            <w:r>
              <w:rPr>
                <w:rFonts w:ascii="Calibri" w:cs="Calibri" w:eastAsia="Calibri" w:hAnsi="Calibri"/>
                <w:sz w:val="16"/>
                <w:szCs w:val="16"/>
                <w:b w:val="1"/>
                <w:bCs w:val="1"/>
                <w:color w:val="auto"/>
              </w:rPr>
              <w:t>Total</w:t>
            </w:r>
          </w:p>
        </w:tc>
        <w:tc>
          <w:tcPr>
            <w:tcW w:w="322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32,588</w:t>
            </w:r>
          </w:p>
        </w:tc>
        <w:tc>
          <w:tcPr>
            <w:tcW w:w="15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21,341</w:t>
            </w:r>
          </w:p>
        </w:tc>
        <w:tc>
          <w:tcPr>
            <w:tcW w:w="120" w:type="dxa"/>
            <w:vAlign w:val="bottom"/>
          </w:tcPr>
          <w:p>
            <w:pPr>
              <w:spacing w:after="0"/>
              <w:rPr>
                <w:sz w:val="16"/>
                <w:szCs w:val="16"/>
                <w:color w:val="auto"/>
              </w:rPr>
            </w:pPr>
          </w:p>
        </w:tc>
      </w:tr>
      <w:tr>
        <w:trPr>
          <w:trHeight w:val="415"/>
        </w:trPr>
        <w:tc>
          <w:tcPr>
            <w:tcW w:w="220" w:type="dxa"/>
            <w:vAlign w:val="bottom"/>
          </w:tcPr>
          <w:p>
            <w:pPr>
              <w:jc w:val="right"/>
              <w:spacing w:after="0"/>
              <w:rPr>
                <w:sz w:val="20"/>
                <w:szCs w:val="20"/>
                <w:color w:val="auto"/>
              </w:rPr>
            </w:pPr>
            <w:r>
              <w:rPr>
                <w:rFonts w:ascii="Calibri" w:cs="Calibri" w:eastAsia="Calibri" w:hAnsi="Calibri"/>
                <w:sz w:val="16"/>
                <w:szCs w:val="16"/>
                <w:b w:val="1"/>
                <w:bCs w:val="1"/>
                <w:color w:val="2D5F91"/>
                <w:w w:val="87"/>
              </w:rPr>
              <w:t>12.</w:t>
            </w:r>
          </w:p>
        </w:tc>
        <w:tc>
          <w:tcPr>
            <w:tcW w:w="6100" w:type="dxa"/>
            <w:vAlign w:val="bottom"/>
          </w:tcPr>
          <w:p>
            <w:pPr>
              <w:ind w:left="120"/>
              <w:spacing w:after="0"/>
              <w:rPr>
                <w:sz w:val="20"/>
                <w:szCs w:val="20"/>
                <w:color w:val="auto"/>
              </w:rPr>
            </w:pPr>
            <w:r>
              <w:rPr>
                <w:rFonts w:ascii="Calibri" w:cs="Calibri" w:eastAsia="Calibri" w:hAnsi="Calibri"/>
                <w:sz w:val="16"/>
                <w:szCs w:val="16"/>
                <w:b w:val="1"/>
                <w:bCs w:val="1"/>
                <w:color w:val="2D5F91"/>
              </w:rPr>
              <w:t>RESEARCH EXPENSES</w:t>
            </w:r>
          </w:p>
        </w:tc>
        <w:tc>
          <w:tcPr>
            <w:tcW w:w="3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9"/>
        </w:trPr>
        <w:tc>
          <w:tcPr>
            <w:tcW w:w="2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Calibri" w:cs="Calibri" w:eastAsia="Calibri" w:hAnsi="Calibri"/>
                <w:sz w:val="16"/>
                <w:szCs w:val="16"/>
                <w:b w:val="1"/>
                <w:bCs w:val="1"/>
                <w:color w:val="auto"/>
              </w:rPr>
              <w:t>Year ended March 31,</w:t>
            </w:r>
          </w:p>
        </w:tc>
      </w:tr>
      <w:tr>
        <w:trPr>
          <w:trHeight w:val="206"/>
        </w:trPr>
        <w:tc>
          <w:tcPr>
            <w:tcW w:w="2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20" w:type="dxa"/>
            <w:vAlign w:val="bottom"/>
          </w:tcPr>
          <w:p>
            <w:pPr>
              <w:jc w:val="right"/>
              <w:spacing w:after="0"/>
              <w:rPr>
                <w:sz w:val="20"/>
                <w:szCs w:val="20"/>
                <w:color w:val="auto"/>
              </w:rPr>
            </w:pPr>
            <w:r>
              <w:rPr>
                <w:rFonts w:ascii="Calibri" w:cs="Calibri" w:eastAsia="Calibri" w:hAnsi="Calibri"/>
                <w:sz w:val="16"/>
                <w:szCs w:val="16"/>
                <w:b w:val="1"/>
                <w:bCs w:val="1"/>
                <w:color w:val="auto"/>
              </w:rPr>
              <w:t>2024</w:t>
            </w:r>
          </w:p>
        </w:tc>
        <w:tc>
          <w:tcPr>
            <w:tcW w:w="1660" w:type="dxa"/>
            <w:vAlign w:val="bottom"/>
            <w:gridSpan w:val="2"/>
          </w:tcPr>
          <w:p>
            <w:pPr>
              <w:jc w:val="right"/>
              <w:ind w:right="60"/>
              <w:spacing w:after="0"/>
              <w:rPr>
                <w:sz w:val="20"/>
                <w:szCs w:val="20"/>
                <w:color w:val="auto"/>
              </w:rPr>
            </w:pPr>
            <w:r>
              <w:rPr>
                <w:rFonts w:ascii="Calibri" w:cs="Calibri" w:eastAsia="Calibri" w:hAnsi="Calibri"/>
                <w:sz w:val="16"/>
                <w:szCs w:val="16"/>
                <w:b w:val="1"/>
                <w:bCs w:val="1"/>
                <w:color w:val="auto"/>
              </w:rPr>
              <w:t>2023</w:t>
            </w:r>
          </w:p>
        </w:tc>
      </w:tr>
      <w:tr>
        <w:trPr>
          <w:trHeight w:val="206"/>
        </w:trPr>
        <w:tc>
          <w:tcPr>
            <w:tcW w:w="2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1660" w:type="dxa"/>
            <w:vAlign w:val="bottom"/>
            <w:gridSpan w:val="2"/>
          </w:tcPr>
          <w:p>
            <w:pPr>
              <w:jc w:val="right"/>
              <w:ind w:right="60"/>
              <w:spacing w:after="0"/>
              <w:rPr>
                <w:sz w:val="20"/>
                <w:szCs w:val="20"/>
                <w:color w:val="auto"/>
              </w:rPr>
            </w:pPr>
            <w:r>
              <w:rPr>
                <w:rFonts w:ascii="Calibri" w:cs="Calibri" w:eastAsia="Calibri" w:hAnsi="Calibri"/>
                <w:sz w:val="16"/>
                <w:szCs w:val="16"/>
                <w:b w:val="1"/>
                <w:bCs w:val="1"/>
                <w:color w:val="auto"/>
              </w:rPr>
              <w:t>$</w:t>
            </w:r>
          </w:p>
        </w:tc>
      </w:tr>
      <w:tr>
        <w:trPr>
          <w:trHeight w:val="21"/>
        </w:trPr>
        <w:tc>
          <w:tcPr>
            <w:tcW w:w="2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185"/>
        </w:trPr>
        <w:tc>
          <w:tcPr>
            <w:tcW w:w="220" w:type="dxa"/>
            <w:vAlign w:val="bottom"/>
          </w:tcPr>
          <w:p>
            <w:pPr>
              <w:spacing w:after="0"/>
              <w:rPr>
                <w:sz w:val="16"/>
                <w:szCs w:val="16"/>
                <w:color w:val="auto"/>
              </w:rPr>
            </w:pPr>
          </w:p>
        </w:tc>
        <w:tc>
          <w:tcPr>
            <w:tcW w:w="6100" w:type="dxa"/>
            <w:vAlign w:val="bottom"/>
          </w:tcPr>
          <w:p>
            <w:pPr>
              <w:ind w:left="20"/>
              <w:spacing w:after="0" w:line="185" w:lineRule="exact"/>
              <w:rPr>
                <w:sz w:val="20"/>
                <w:szCs w:val="20"/>
                <w:color w:val="auto"/>
              </w:rPr>
            </w:pPr>
            <w:r>
              <w:rPr>
                <w:rFonts w:ascii="Calibri" w:cs="Calibri" w:eastAsia="Calibri" w:hAnsi="Calibri"/>
                <w:sz w:val="16"/>
                <w:szCs w:val="16"/>
                <w:color w:val="auto"/>
              </w:rPr>
              <w:t>Advancement of development programs</w:t>
            </w:r>
          </w:p>
        </w:tc>
        <w:tc>
          <w:tcPr>
            <w:tcW w:w="3220" w:type="dxa"/>
            <w:vAlign w:val="bottom"/>
          </w:tcPr>
          <w:p>
            <w:pPr>
              <w:jc w:val="right"/>
              <w:spacing w:after="0" w:line="185" w:lineRule="exact"/>
              <w:rPr>
                <w:sz w:val="20"/>
                <w:szCs w:val="20"/>
                <w:color w:val="auto"/>
              </w:rPr>
            </w:pPr>
            <w:r>
              <w:rPr>
                <w:rFonts w:ascii="Calibri" w:cs="Calibri" w:eastAsia="Calibri" w:hAnsi="Calibri"/>
                <w:sz w:val="16"/>
                <w:szCs w:val="16"/>
                <w:color w:val="auto"/>
              </w:rPr>
              <w:t>22,799</w:t>
            </w:r>
          </w:p>
        </w:tc>
        <w:tc>
          <w:tcPr>
            <w:tcW w:w="1660" w:type="dxa"/>
            <w:vAlign w:val="bottom"/>
            <w:gridSpan w:val="2"/>
          </w:tcPr>
          <w:p>
            <w:pPr>
              <w:jc w:val="right"/>
              <w:ind w:right="60"/>
              <w:spacing w:after="0" w:line="185" w:lineRule="exact"/>
              <w:rPr>
                <w:sz w:val="20"/>
                <w:szCs w:val="20"/>
                <w:color w:val="auto"/>
              </w:rPr>
            </w:pPr>
            <w:r>
              <w:rPr>
                <w:rFonts w:ascii="Calibri" w:cs="Calibri" w:eastAsia="Calibri" w:hAnsi="Calibri"/>
                <w:sz w:val="16"/>
                <w:szCs w:val="16"/>
                <w:color w:val="auto"/>
              </w:rPr>
              <w:t>14,360</w:t>
            </w:r>
          </w:p>
        </w:tc>
      </w:tr>
      <w:tr>
        <w:trPr>
          <w:trHeight w:val="198"/>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Payroll and benefts</w:t>
            </w:r>
          </w:p>
        </w:tc>
        <w:tc>
          <w:tcPr>
            <w:tcW w:w="3220" w:type="dxa"/>
            <w:vAlign w:val="bottom"/>
          </w:tcPr>
          <w:p>
            <w:pPr>
              <w:jc w:val="right"/>
              <w:spacing w:after="0"/>
              <w:rPr>
                <w:sz w:val="20"/>
                <w:szCs w:val="20"/>
                <w:color w:val="auto"/>
              </w:rPr>
            </w:pPr>
            <w:r>
              <w:rPr>
                <w:rFonts w:ascii="Calibri" w:cs="Calibri" w:eastAsia="Calibri" w:hAnsi="Calibri"/>
                <w:sz w:val="16"/>
                <w:szCs w:val="16"/>
                <w:color w:val="auto"/>
              </w:rPr>
              <w:t>8,319</w:t>
            </w:r>
          </w:p>
        </w:tc>
        <w:tc>
          <w:tcPr>
            <w:tcW w:w="1660" w:type="dxa"/>
            <w:vAlign w:val="bottom"/>
            <w:gridSpan w:val="2"/>
          </w:tcPr>
          <w:p>
            <w:pPr>
              <w:jc w:val="right"/>
              <w:ind w:right="60"/>
              <w:spacing w:after="0"/>
              <w:rPr>
                <w:sz w:val="20"/>
                <w:szCs w:val="20"/>
                <w:color w:val="auto"/>
              </w:rPr>
            </w:pPr>
            <w:r>
              <w:rPr>
                <w:rFonts w:ascii="Calibri" w:cs="Calibri" w:eastAsia="Calibri" w:hAnsi="Calibri"/>
                <w:sz w:val="16"/>
                <w:szCs w:val="16"/>
                <w:color w:val="auto"/>
              </w:rPr>
              <w:t>8,830</w:t>
            </w: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3220" w:type="dxa"/>
            <w:vAlign w:val="bottom"/>
          </w:tcPr>
          <w:p>
            <w:pPr>
              <w:jc w:val="right"/>
              <w:spacing w:after="0"/>
              <w:rPr>
                <w:sz w:val="20"/>
                <w:szCs w:val="20"/>
                <w:color w:val="auto"/>
              </w:rPr>
            </w:pPr>
            <w:r>
              <w:rPr>
                <w:rFonts w:ascii="Calibri" w:cs="Calibri" w:eastAsia="Calibri" w:hAnsi="Calibri"/>
                <w:sz w:val="16"/>
                <w:szCs w:val="16"/>
                <w:color w:val="auto"/>
              </w:rPr>
              <w:t>210</w:t>
            </w:r>
          </w:p>
        </w:tc>
        <w:tc>
          <w:tcPr>
            <w:tcW w:w="166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1,159</w:t>
            </w:r>
          </w:p>
        </w:tc>
      </w:tr>
      <w:tr>
        <w:trPr>
          <w:trHeight w:val="206"/>
        </w:trPr>
        <w:tc>
          <w:tcPr>
            <w:tcW w:w="220" w:type="dxa"/>
            <w:vAlign w:val="bottom"/>
          </w:tcPr>
          <w:p>
            <w:pPr>
              <w:spacing w:after="0"/>
              <w:rPr>
                <w:sz w:val="17"/>
                <w:szCs w:val="17"/>
                <w:color w:val="auto"/>
              </w:rPr>
            </w:pPr>
          </w:p>
        </w:tc>
        <w:tc>
          <w:tcPr>
            <w:tcW w:w="6100" w:type="dxa"/>
            <w:vAlign w:val="bottom"/>
          </w:tcPr>
          <w:p>
            <w:pPr>
              <w:ind w:left="20"/>
              <w:spacing w:after="0"/>
              <w:rPr>
                <w:sz w:val="20"/>
                <w:szCs w:val="20"/>
                <w:color w:val="auto"/>
              </w:rPr>
            </w:pPr>
            <w:r>
              <w:rPr>
                <w:rFonts w:ascii="Calibri" w:cs="Calibri" w:eastAsia="Calibri" w:hAnsi="Calibri"/>
                <w:sz w:val="16"/>
                <w:szCs w:val="16"/>
                <w:color w:val="auto"/>
              </w:rPr>
              <w:t>Lab and administraton</w:t>
            </w:r>
          </w:p>
        </w:tc>
        <w:tc>
          <w:tcPr>
            <w:tcW w:w="3220" w:type="dxa"/>
            <w:vAlign w:val="bottom"/>
          </w:tcPr>
          <w:p>
            <w:pPr>
              <w:jc w:val="right"/>
              <w:spacing w:after="0"/>
              <w:rPr>
                <w:sz w:val="20"/>
                <w:szCs w:val="20"/>
                <w:color w:val="auto"/>
              </w:rPr>
            </w:pPr>
            <w:r>
              <w:rPr>
                <w:rFonts w:ascii="Calibri" w:cs="Calibri" w:eastAsia="Calibri" w:hAnsi="Calibri"/>
                <w:sz w:val="16"/>
                <w:szCs w:val="16"/>
                <w:color w:val="auto"/>
              </w:rPr>
              <w:t>1,034</w:t>
            </w:r>
          </w:p>
        </w:tc>
        <w:tc>
          <w:tcPr>
            <w:tcW w:w="166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1,142</w:t>
            </w:r>
          </w:p>
        </w:tc>
      </w:tr>
      <w:tr>
        <w:trPr>
          <w:trHeight w:val="21"/>
        </w:trPr>
        <w:tc>
          <w:tcPr>
            <w:tcW w:w="2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6100" w:type="dxa"/>
            <w:vAlign w:val="bottom"/>
            <w:tcBorders>
              <w:bottom w:val="single" w:sz="8" w:color="auto"/>
            </w:tcBorders>
          </w:tcPr>
          <w:p>
            <w:pPr>
              <w:ind w:left="80"/>
              <w:spacing w:after="0" w:line="192" w:lineRule="exact"/>
              <w:rPr>
                <w:sz w:val="20"/>
                <w:szCs w:val="20"/>
                <w:color w:val="auto"/>
              </w:rPr>
            </w:pPr>
            <w:r>
              <w:rPr>
                <w:rFonts w:ascii="Calibri" w:cs="Calibri" w:eastAsia="Calibri" w:hAnsi="Calibri"/>
                <w:sz w:val="16"/>
                <w:szCs w:val="16"/>
                <w:b w:val="1"/>
                <w:bCs w:val="1"/>
                <w:color w:val="auto"/>
              </w:rPr>
              <w:t>Total</w:t>
            </w:r>
          </w:p>
        </w:tc>
        <w:tc>
          <w:tcPr>
            <w:tcW w:w="32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32,362</w:t>
            </w:r>
          </w:p>
        </w:tc>
        <w:tc>
          <w:tcPr>
            <w:tcW w:w="1660" w:type="dxa"/>
            <w:vAlign w:val="bottom"/>
            <w:tcBorders>
              <w:bottom w:val="single" w:sz="8" w:color="auto"/>
            </w:tcBorders>
            <w:gridSpan w:val="2"/>
          </w:tcPr>
          <w:p>
            <w:pPr>
              <w:jc w:val="right"/>
              <w:ind w:right="60"/>
              <w:spacing w:after="0" w:line="192" w:lineRule="exact"/>
              <w:rPr>
                <w:sz w:val="20"/>
                <w:szCs w:val="20"/>
                <w:color w:val="auto"/>
              </w:rPr>
            </w:pPr>
            <w:r>
              <w:rPr>
                <w:rFonts w:ascii="Calibri" w:cs="Calibri" w:eastAsia="Calibri" w:hAnsi="Calibri"/>
                <w:sz w:val="16"/>
                <w:szCs w:val="16"/>
                <w:color w:val="auto"/>
              </w:rPr>
              <w:t>25,491</w:t>
            </w:r>
          </w:p>
        </w:tc>
      </w:tr>
      <w:tr>
        <w:trPr>
          <w:trHeight w:val="415"/>
        </w:trPr>
        <w:tc>
          <w:tcPr>
            <w:tcW w:w="220" w:type="dxa"/>
            <w:vAlign w:val="bottom"/>
          </w:tcPr>
          <w:p>
            <w:pPr>
              <w:jc w:val="right"/>
              <w:spacing w:after="0"/>
              <w:rPr>
                <w:sz w:val="20"/>
                <w:szCs w:val="20"/>
                <w:color w:val="auto"/>
              </w:rPr>
            </w:pPr>
            <w:r>
              <w:rPr>
                <w:rFonts w:ascii="Calibri" w:cs="Calibri" w:eastAsia="Calibri" w:hAnsi="Calibri"/>
                <w:sz w:val="16"/>
                <w:szCs w:val="16"/>
                <w:b w:val="1"/>
                <w:bCs w:val="1"/>
                <w:color w:val="2D5F91"/>
                <w:w w:val="87"/>
              </w:rPr>
              <w:t>13.</w:t>
            </w:r>
          </w:p>
        </w:tc>
        <w:tc>
          <w:tcPr>
            <w:tcW w:w="6100" w:type="dxa"/>
            <w:vAlign w:val="bottom"/>
          </w:tcPr>
          <w:p>
            <w:pPr>
              <w:ind w:left="120"/>
              <w:spacing w:after="0"/>
              <w:rPr>
                <w:sz w:val="20"/>
                <w:szCs w:val="20"/>
                <w:color w:val="auto"/>
              </w:rPr>
            </w:pPr>
            <w:r>
              <w:rPr>
                <w:rFonts w:ascii="Calibri" w:cs="Calibri" w:eastAsia="Calibri" w:hAnsi="Calibri"/>
                <w:sz w:val="16"/>
                <w:szCs w:val="16"/>
                <w:b w:val="1"/>
                <w:bCs w:val="1"/>
                <w:color w:val="2D5F91"/>
              </w:rPr>
              <w:t>CONTRACTS, COMMITMENTS AND CONTINGENCIES</w:t>
            </w:r>
          </w:p>
        </w:tc>
        <w:tc>
          <w:tcPr>
            <w:tcW w:w="3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1" w:lineRule="exact"/>
        <w:rPr>
          <w:sz w:val="20"/>
          <w:szCs w:val="20"/>
          <w:color w:val="auto"/>
        </w:rPr>
      </w:pPr>
    </w:p>
    <w:p>
      <w:pPr>
        <w:jc w:val="both"/>
        <w:ind w:left="280" w:right="20"/>
        <w:spacing w:after="0" w:line="238" w:lineRule="auto"/>
        <w:rPr>
          <w:sz w:val="20"/>
          <w:szCs w:val="20"/>
          <w:color w:val="auto"/>
        </w:rPr>
      </w:pPr>
      <w:r>
        <w:rPr>
          <w:rFonts w:ascii="Calibri" w:cs="Calibri" w:eastAsia="Calibri" w:hAnsi="Calibri"/>
          <w:sz w:val="16"/>
          <w:szCs w:val="16"/>
          <w:color w:val="auto"/>
        </w:rPr>
        <w:t>As at March 31, 2024, the Company had entered into agreements for various studies which may require the Company to spend up to an additonal $6,625. The Company expects to pay this amount within the 12 months ending March 31, 2025,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59"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In additon to the above, during the year ended March 31, 2022, the Company entered into an exclusive license agreement with Mindset to acquire access to a number of classes of tryptamine-based molecules to support Company’s early-stage research programs and a fully-paid, perpetual non-exclusive license to a separate class of tryptamine-based molecules. Upon the successful completon of certain milestones contemplated in the exclusive license, the Company may have to pay additonal consideraton of up to $12,844 (US$9,500). At the sole discreton of Cybin, the milestones may be paid in cash or in Common Shares, or a combinaton thereof, subject to the approval of the Cboe. Due to the nature of the arrangement, the tming and probability of future potental payments cannot be determined at this tme, and no accrual has been recorded. Further, there is no assurance that the aforementoned milestones will be met at all.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45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61" w:name="page62"/>
    <w:bookmarkEnd w:id="6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also contemplates a sales royalty of approximately 2% for all commercialized licensed products within the scope of the agreement.</w:t>
      </w:r>
    </w:p>
    <w:p>
      <w:pPr>
        <w:spacing w:after="0" w:line="171"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159"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16"/>
          <w:szCs w:val="16"/>
          <w:color w:val="auto"/>
        </w:rPr>
        <w:t>In the normal course of business, the Company may be subject to legal proceedings and claims. As at March 31, 2024, there was no ongoing litgaton and therefore no contngent liabilites have been recorded.</w:t>
      </w:r>
    </w:p>
    <w:p>
      <w:pPr>
        <w:spacing w:after="0" w:line="158"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CAPITAL MANAGEMENT</w:t>
      </w:r>
    </w:p>
    <w:p>
      <w:pPr>
        <w:spacing w:after="0" w:line="171" w:lineRule="exact"/>
        <w:rPr>
          <w:sz w:val="20"/>
          <w:szCs w:val="20"/>
          <w:color w:val="auto"/>
        </w:rPr>
      </w:pPr>
    </w:p>
    <w:p>
      <w:pPr>
        <w:jc w:val="both"/>
        <w:ind w:left="280"/>
        <w:spacing w:after="0" w:line="257" w:lineRule="auto"/>
        <w:rPr>
          <w:sz w:val="20"/>
          <w:szCs w:val="20"/>
          <w:color w:val="auto"/>
        </w:rPr>
      </w:pPr>
      <w:r>
        <w:rPr>
          <w:rFonts w:ascii="Calibri" w:cs="Calibri" w:eastAsia="Calibri" w:hAnsi="Calibri"/>
          <w:sz w:val="15"/>
          <w:szCs w:val="15"/>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47" w:lineRule="exact"/>
        <w:rPr>
          <w:sz w:val="20"/>
          <w:szCs w:val="20"/>
          <w:color w:val="auto"/>
        </w:rPr>
      </w:pPr>
    </w:p>
    <w:p>
      <w:pPr>
        <w:jc w:val="both"/>
        <w:ind w:left="280" w:right="20"/>
        <w:spacing w:after="0" w:line="238"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57"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capital management objectves, policies and processes generally remained unchanged during the year ended March 31, 2024.</w:t>
      </w:r>
    </w:p>
    <w:p>
      <w:pPr>
        <w:spacing w:after="0" w:line="171"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The Company requires capital to fund existng and future operatons and meet regulatory capital requirements. The Company’s policy is to maintain adequate levels of capital at all tmes.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56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3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8"/>
        </w:trPr>
        <w:tc>
          <w:tcPr>
            <w:tcW w:w="556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March 31, 2024</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206"/>
        </w:trPr>
        <w:tc>
          <w:tcPr>
            <w:tcW w:w="5560" w:type="dxa"/>
            <w:vAlign w:val="bottom"/>
          </w:tcPr>
          <w:p>
            <w:pPr>
              <w:spacing w:after="0"/>
              <w:rPr>
                <w:sz w:val="17"/>
                <w:szCs w:val="17"/>
                <w:color w:val="auto"/>
              </w:rPr>
            </w:pP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5"/>
        </w:trPr>
        <w:tc>
          <w:tcPr>
            <w:tcW w:w="5560" w:type="dxa"/>
            <w:vAlign w:val="bottom"/>
          </w:tcPr>
          <w:p>
            <w:pPr>
              <w:ind w:left="60"/>
              <w:spacing w:after="0" w:line="185" w:lineRule="exact"/>
              <w:rPr>
                <w:sz w:val="20"/>
                <w:szCs w:val="20"/>
                <w:color w:val="auto"/>
              </w:rPr>
            </w:pPr>
            <w:r>
              <w:rPr>
                <w:rFonts w:ascii="Calibri" w:cs="Calibri" w:eastAsia="Calibri" w:hAnsi="Calibri"/>
                <w:sz w:val="16"/>
                <w:szCs w:val="16"/>
                <w:color w:val="auto"/>
              </w:rPr>
              <w:t>Shareholders’ equity comprised of:</w:t>
            </w:r>
          </w:p>
        </w:tc>
        <w:tc>
          <w:tcPr>
            <w:tcW w:w="3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8"/>
        </w:trPr>
        <w:tc>
          <w:tcPr>
            <w:tcW w:w="556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443,877</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158,162</w:t>
            </w:r>
          </w:p>
        </w:tc>
      </w:tr>
      <w:tr>
        <w:trPr>
          <w:trHeight w:val="206"/>
        </w:trPr>
        <w:tc>
          <w:tcPr>
            <w:tcW w:w="556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11,750</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2,102</w:t>
            </w:r>
          </w:p>
        </w:tc>
      </w:tr>
      <w:tr>
        <w:trPr>
          <w:trHeight w:val="206"/>
        </w:trPr>
        <w:tc>
          <w:tcPr>
            <w:tcW w:w="556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39,177</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27,283</w:t>
            </w:r>
          </w:p>
        </w:tc>
      </w:tr>
      <w:tr>
        <w:trPr>
          <w:trHeight w:val="206"/>
        </w:trPr>
        <w:tc>
          <w:tcPr>
            <w:tcW w:w="556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25,639</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10,873</w:t>
            </w:r>
          </w:p>
        </w:tc>
      </w:tr>
      <w:tr>
        <w:trPr>
          <w:trHeight w:val="206"/>
        </w:trPr>
        <w:tc>
          <w:tcPr>
            <w:tcW w:w="556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loss</w:t>
            </w: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(2,285)</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(2,035)</w:t>
            </w:r>
          </w:p>
        </w:tc>
      </w:tr>
      <w:tr>
        <w:trPr>
          <w:trHeight w:val="206"/>
        </w:trPr>
        <w:tc>
          <w:tcPr>
            <w:tcW w:w="556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34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(226,231)</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(148,151)</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2"/>
        </w:trPr>
        <w:tc>
          <w:tcPr>
            <w:tcW w:w="55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346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291,927</w:t>
            </w:r>
          </w:p>
        </w:tc>
        <w:tc>
          <w:tcPr>
            <w:tcW w:w="15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48,234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46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62" w:name="page63"/>
    <w:bookmarkEnd w:id="6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15.</w:t>
      </w:r>
      <w:r>
        <w:rPr>
          <w:sz w:val="20"/>
          <w:szCs w:val="20"/>
          <w:color w:val="auto"/>
        </w:rPr>
        <w:tab/>
      </w:r>
      <w:r>
        <w:rPr>
          <w:rFonts w:ascii="Calibri" w:cs="Calibri" w:eastAsia="Calibri" w:hAnsi="Calibri"/>
          <w:sz w:val="15"/>
          <w:szCs w:val="15"/>
          <w:b w:val="1"/>
          <w:bCs w:val="1"/>
          <w:color w:val="2D5F91"/>
        </w:rPr>
        <w:t>FINANCIAL INSTRUMENTS</w:t>
      </w:r>
    </w:p>
    <w:p>
      <w:pPr>
        <w:spacing w:after="0" w:line="16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5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900" w:type="dxa"/>
            <w:vAlign w:val="bottom"/>
          </w:tcPr>
          <w:p>
            <w:pPr>
              <w:spacing w:after="0"/>
              <w:rPr>
                <w:sz w:val="20"/>
                <w:szCs w:val="20"/>
                <w:color w:val="auto"/>
              </w:rPr>
            </w:pPr>
            <w:r>
              <w:rPr>
                <w:rFonts w:ascii="Calibri" w:cs="Calibri" w:eastAsia="Calibri" w:hAnsi="Calibri"/>
                <w:sz w:val="16"/>
                <w:szCs w:val="16"/>
                <w:color w:val="auto"/>
              </w:rPr>
              <w:t>The Company has classifed its fnancial instruments as follows:</w:t>
            </w:r>
          </w:p>
        </w:tc>
        <w:tc>
          <w:tcPr>
            <w:tcW w:w="3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88"/>
        </w:trPr>
        <w:tc>
          <w:tcPr>
            <w:tcW w:w="590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24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March 31, 2024</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206"/>
        </w:trPr>
        <w:tc>
          <w:tcPr>
            <w:tcW w:w="5900" w:type="dxa"/>
            <w:vAlign w:val="bottom"/>
          </w:tcPr>
          <w:p>
            <w:pPr>
              <w:spacing w:after="0"/>
              <w:rPr>
                <w:sz w:val="17"/>
                <w:szCs w:val="17"/>
                <w:color w:val="auto"/>
              </w:rPr>
            </w:pPr>
          </w:p>
        </w:tc>
        <w:tc>
          <w:tcPr>
            <w:tcW w:w="32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5"/>
        </w:trPr>
        <w:tc>
          <w:tcPr>
            <w:tcW w:w="590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8"/>
        </w:trPr>
        <w:tc>
          <w:tcPr>
            <w:tcW w:w="590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2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208,992</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16,633</w:t>
            </w:r>
          </w:p>
        </w:tc>
      </w:tr>
      <w:tr>
        <w:trPr>
          <w:trHeight w:val="206"/>
        </w:trPr>
        <w:tc>
          <w:tcPr>
            <w:tcW w:w="590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90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2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254</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42</w:t>
            </w:r>
          </w:p>
        </w:tc>
      </w:tr>
      <w:tr>
        <w:trPr>
          <w:trHeight w:val="206"/>
        </w:trPr>
        <w:tc>
          <w:tcPr>
            <w:tcW w:w="590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amortzed cost:</w:t>
            </w:r>
          </w:p>
        </w:tc>
        <w:tc>
          <w:tcPr>
            <w:tcW w:w="3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90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2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9,805</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5,663</w:t>
            </w:r>
          </w:p>
        </w:tc>
      </w:tr>
      <w:tr>
        <w:trPr>
          <w:trHeight w:val="206"/>
        </w:trPr>
        <w:tc>
          <w:tcPr>
            <w:tcW w:w="5900" w:type="dxa"/>
            <w:vAlign w:val="bottom"/>
          </w:tcPr>
          <w:p>
            <w:pPr>
              <w:ind w:left="160"/>
              <w:spacing w:after="0"/>
              <w:rPr>
                <w:sz w:val="20"/>
                <w:szCs w:val="20"/>
                <w:color w:val="auto"/>
              </w:rPr>
            </w:pPr>
            <w:r>
              <w:rPr>
                <w:rFonts w:ascii="Calibri" w:cs="Calibri" w:eastAsia="Calibri" w:hAnsi="Calibri"/>
                <w:sz w:val="16"/>
                <w:szCs w:val="16"/>
                <w:color w:val="auto"/>
              </w:rPr>
              <w:t>Lease liabilites</w:t>
            </w:r>
          </w:p>
        </w:tc>
        <w:tc>
          <w:tcPr>
            <w:tcW w:w="32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291</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16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u w:val="single" w:color="auto"/>
          <w:color w:val="auto"/>
        </w:rPr>
        <w:t>Fair value Hierarchy of Financial Instruments</w:t>
      </w:r>
    </w:p>
    <w:p>
      <w:pPr>
        <w:spacing w:after="0" w:line="158"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60"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72"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59" w:lineRule="exact"/>
        <w:rPr>
          <w:sz w:val="20"/>
          <w:szCs w:val="20"/>
          <w:color w:val="auto"/>
        </w:rPr>
      </w:pPr>
    </w:p>
    <w:p>
      <w:pPr>
        <w:jc w:val="both"/>
        <w:ind w:left="280" w:right="20"/>
        <w:spacing w:after="0" w:line="238"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Investments and any contngent liabilites are classifed as Level 3.</w:t>
      </w:r>
    </w:p>
    <w:p>
      <w:pPr>
        <w:spacing w:after="0" w:line="157"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There were no transfers between levels of the fair value hierarchy for the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47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63" w:name="page64"/>
    <w:bookmarkEnd w:id="63"/>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table presents the changes in level 3 fnancial assets for the for two years ended March 31, 2024 :</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20"/>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45"/>
        </w:trPr>
        <w:tc>
          <w:tcPr>
            <w:tcW w:w="1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ind w:left="20"/>
              <w:spacing w:after="0" w:line="185" w:lineRule="exact"/>
              <w:rPr>
                <w:sz w:val="20"/>
                <w:szCs w:val="20"/>
                <w:color w:val="auto"/>
              </w:rPr>
            </w:pPr>
            <w:r>
              <w:rPr>
                <w:rFonts w:ascii="Calibri" w:cs="Calibri" w:eastAsia="Calibri" w:hAnsi="Calibri"/>
                <w:sz w:val="16"/>
                <w:szCs w:val="16"/>
                <w:color w:val="auto"/>
              </w:rPr>
              <w:t>Balance as at March 31, 2022</w:t>
            </w: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60"/>
              <w:spacing w:after="0" w:line="185" w:lineRule="exact"/>
              <w:rPr>
                <w:sz w:val="20"/>
                <w:szCs w:val="20"/>
                <w:color w:val="auto"/>
              </w:rPr>
            </w:pPr>
            <w:r>
              <w:rPr>
                <w:rFonts w:ascii="Calibri" w:cs="Calibri" w:eastAsia="Calibri" w:hAnsi="Calibri"/>
                <w:sz w:val="16"/>
                <w:szCs w:val="16"/>
                <w:color w:val="auto"/>
              </w:rPr>
              <w:t>242</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Calibri" w:cs="Calibri" w:eastAsia="Calibri" w:hAnsi="Calibri"/>
                <w:sz w:val="16"/>
                <w:szCs w:val="16"/>
                <w:color w:val="auto"/>
              </w:rPr>
              <w:t>Interest income</w:t>
            </w: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18</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Calibri" w:cs="Calibri" w:eastAsia="Calibri" w:hAnsi="Calibri"/>
                <w:sz w:val="16"/>
                <w:szCs w:val="16"/>
                <w:color w:val="auto"/>
              </w:rPr>
              <w:t>Change in fair value of investments measured at fair value through proft or loss</w:t>
            </w:r>
          </w:p>
        </w:tc>
        <w:tc>
          <w:tcPr>
            <w:tcW w:w="1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80" w:type="dxa"/>
            <w:vAlign w:val="bottom"/>
            <w:gridSpan w:val="2"/>
          </w:tcPr>
          <w:p>
            <w:pPr>
              <w:jc w:val="right"/>
              <w:ind w:right="60"/>
              <w:spacing w:after="0"/>
              <w:rPr>
                <w:sz w:val="20"/>
                <w:szCs w:val="20"/>
                <w:color w:val="auto"/>
              </w:rPr>
            </w:pPr>
            <w:r>
              <w:rPr>
                <w:rFonts w:ascii="Calibri" w:cs="Calibri" w:eastAsia="Calibri" w:hAnsi="Calibri"/>
                <w:sz w:val="16"/>
                <w:szCs w:val="16"/>
                <w:color w:val="auto"/>
              </w:rPr>
              <w:t>(260)</w:t>
            </w:r>
          </w:p>
        </w:tc>
        <w:tc>
          <w:tcPr>
            <w:tcW w:w="0" w:type="dxa"/>
            <w:vAlign w:val="bottom"/>
          </w:tcPr>
          <w:p>
            <w:pPr>
              <w:spacing w:after="0"/>
              <w:rPr>
                <w:sz w:val="1"/>
                <w:szCs w:val="1"/>
                <w:color w:val="auto"/>
              </w:rPr>
            </w:pPr>
          </w:p>
        </w:tc>
      </w:tr>
      <w:tr>
        <w:trPr>
          <w:trHeight w:val="45"/>
        </w:trPr>
        <w:tc>
          <w:tcPr>
            <w:tcW w:w="1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ind w:left="20"/>
              <w:spacing w:after="0" w:line="185" w:lineRule="exact"/>
              <w:rPr>
                <w:sz w:val="20"/>
                <w:szCs w:val="20"/>
                <w:color w:val="auto"/>
              </w:rPr>
            </w:pPr>
            <w:r>
              <w:rPr>
                <w:rFonts w:ascii="Calibri" w:cs="Calibri" w:eastAsia="Calibri" w:hAnsi="Calibri"/>
                <w:sz w:val="16"/>
                <w:szCs w:val="16"/>
                <w:color w:val="auto"/>
              </w:rPr>
              <w:t>Balance as at March 31, 2023</w:t>
            </w: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60"/>
              <w:spacing w:after="0" w:line="185"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7"/>
        </w:trPr>
        <w:tc>
          <w:tcPr>
            <w:tcW w:w="2240" w:type="dxa"/>
            <w:vAlign w:val="bottom"/>
            <w:gridSpan w:val="2"/>
          </w:tcPr>
          <w:p>
            <w:pPr>
              <w:ind w:left="20"/>
              <w:spacing w:after="0"/>
              <w:rPr>
                <w:sz w:val="20"/>
                <w:szCs w:val="20"/>
                <w:color w:val="auto"/>
              </w:rPr>
            </w:pPr>
            <w:r>
              <w:rPr>
                <w:rFonts w:ascii="Calibri" w:cs="Calibri" w:eastAsia="Calibri" w:hAnsi="Calibri"/>
                <w:sz w:val="16"/>
                <w:szCs w:val="16"/>
                <w:color w:val="auto"/>
              </w:rPr>
              <w:t>Interest income</w:t>
            </w:r>
          </w:p>
        </w:tc>
        <w:tc>
          <w:tcPr>
            <w:tcW w:w="1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gridSpan w:val="2"/>
          </w:tcPr>
          <w:p>
            <w:pPr>
              <w:jc w:val="right"/>
              <w:ind w:right="6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51"/>
        </w:trPr>
        <w:tc>
          <w:tcPr>
            <w:tcW w:w="5300" w:type="dxa"/>
            <w:vAlign w:val="bottom"/>
            <w:tcBorders>
              <w:bottom w:val="single" w:sz="8" w:color="auto"/>
            </w:tcBorders>
            <w:gridSpan w:val="4"/>
          </w:tcPr>
          <w:p>
            <w:pPr>
              <w:ind w:left="20"/>
              <w:spacing w:after="0"/>
              <w:rPr>
                <w:sz w:val="20"/>
                <w:szCs w:val="20"/>
                <w:color w:val="auto"/>
              </w:rPr>
            </w:pPr>
            <w:r>
              <w:rPr>
                <w:rFonts w:ascii="Calibri" w:cs="Calibri" w:eastAsia="Calibri" w:hAnsi="Calibri"/>
                <w:sz w:val="16"/>
                <w:szCs w:val="16"/>
                <w:color w:val="auto"/>
              </w:rPr>
              <w:t>Change in fair value of investments measured at fair value through proft or loss</w:t>
            </w:r>
          </w:p>
        </w:tc>
        <w:tc>
          <w:tcPr>
            <w:tcW w:w="1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240" w:type="dxa"/>
            <w:vAlign w:val="bottom"/>
            <w:gridSpan w:val="2"/>
          </w:tcPr>
          <w:p>
            <w:pPr>
              <w:ind w:left="20"/>
              <w:spacing w:after="0" w:line="185" w:lineRule="exact"/>
              <w:rPr>
                <w:sz w:val="20"/>
                <w:szCs w:val="20"/>
                <w:color w:val="auto"/>
              </w:rPr>
            </w:pPr>
            <w:r>
              <w:rPr>
                <w:rFonts w:ascii="Calibri" w:cs="Calibri" w:eastAsia="Calibri" w:hAnsi="Calibri"/>
                <w:sz w:val="16"/>
                <w:szCs w:val="16"/>
                <w:color w:val="auto"/>
              </w:rPr>
              <w:t>Balance as at March 31, 2024</w:t>
            </w: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60"/>
              <w:spacing w:after="0" w:line="173" w:lineRule="exact"/>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37"/>
        </w:trPr>
        <w:tc>
          <w:tcPr>
            <w:tcW w:w="1460" w:type="dxa"/>
            <w:vAlign w:val="bottom"/>
            <w:tcBorders>
              <w:bottom w:val="single" w:sz="8" w:color="auto"/>
            </w:tcBorders>
          </w:tcPr>
          <w:p>
            <w:pPr>
              <w:spacing w:after="0"/>
              <w:rPr>
                <w:sz w:val="3"/>
                <w:szCs w:val="3"/>
                <w:color w:val="auto"/>
              </w:rPr>
            </w:pPr>
          </w:p>
        </w:tc>
        <w:tc>
          <w:tcPr>
            <w:tcW w:w="9080" w:type="dxa"/>
            <w:vAlign w:val="bottom"/>
            <w:tcBorders>
              <w:bottom w:val="single" w:sz="8" w:color="auto"/>
            </w:tcBorders>
            <w:gridSpan w:val="6"/>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8"/>
        </w:trPr>
        <w:tc>
          <w:tcPr>
            <w:tcW w:w="10620" w:type="dxa"/>
            <w:vAlign w:val="bottom"/>
            <w:gridSpan w:val="8"/>
          </w:tcPr>
          <w:p>
            <w:pPr>
              <w:spacing w:after="0"/>
              <w:rPr>
                <w:sz w:val="20"/>
                <w:szCs w:val="20"/>
                <w:color w:val="auto"/>
              </w:rPr>
            </w:pPr>
            <w:r>
              <w:rPr>
                <w:rFonts w:ascii="Calibri" w:cs="Calibri" w:eastAsia="Calibri" w:hAnsi="Calibri"/>
                <w:sz w:val="16"/>
                <w:szCs w:val="16"/>
                <w:color w:val="auto"/>
              </w:rPr>
              <w:t>The following table summarizes the quanttatve informaton about the signifcant unobservable inputs used in level 3 fair value measurements:</w:t>
            </w: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jc w:val="right"/>
              <w:ind w:right="120"/>
              <w:spacing w:after="0"/>
              <w:rPr>
                <w:sz w:val="20"/>
                <w:szCs w:val="20"/>
                <w:color w:val="auto"/>
              </w:rPr>
            </w:pPr>
            <w:r>
              <w:rPr>
                <w:rFonts w:ascii="Calibri" w:cs="Calibri" w:eastAsia="Calibri" w:hAnsi="Calibri"/>
                <w:sz w:val="16"/>
                <w:szCs w:val="16"/>
                <w:b w:val="1"/>
                <w:bCs w:val="1"/>
                <w:color w:val="auto"/>
              </w:rPr>
              <w:t>Fair Value as at</w:t>
            </w: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tcPr>
          <w:p>
            <w:pPr>
              <w:jc w:val="right"/>
              <w:ind w:right="400"/>
              <w:spacing w:after="0" w:line="190" w:lineRule="exact"/>
              <w:rPr>
                <w:sz w:val="20"/>
                <w:szCs w:val="20"/>
                <w:color w:val="auto"/>
              </w:rPr>
            </w:pPr>
            <w:r>
              <w:rPr>
                <w:rFonts w:ascii="Calibri" w:cs="Calibri" w:eastAsia="Calibri" w:hAnsi="Calibri"/>
                <w:sz w:val="16"/>
                <w:szCs w:val="16"/>
                <w:b w:val="1"/>
                <w:bCs w:val="1"/>
                <w:color w:val="auto"/>
              </w:rPr>
              <w:t>March 31, 2024</w:t>
            </w:r>
          </w:p>
        </w:tc>
        <w:tc>
          <w:tcPr>
            <w:tcW w:w="1220" w:type="dxa"/>
            <w:vAlign w:val="bottom"/>
          </w:tcPr>
          <w:p>
            <w:pPr>
              <w:jc w:val="right"/>
              <w:spacing w:after="0" w:line="190" w:lineRule="exact"/>
              <w:rPr>
                <w:sz w:val="20"/>
                <w:szCs w:val="20"/>
                <w:color w:val="auto"/>
              </w:rPr>
            </w:pPr>
            <w:r>
              <w:rPr>
                <w:rFonts w:ascii="Calibri" w:cs="Calibri" w:eastAsia="Calibri" w:hAnsi="Calibri"/>
                <w:sz w:val="16"/>
                <w:szCs w:val="16"/>
                <w:b w:val="1"/>
                <w:bCs w:val="1"/>
                <w:color w:val="auto"/>
              </w:rPr>
              <w:t>March 31, 2023</w:t>
            </w:r>
          </w:p>
        </w:tc>
        <w:tc>
          <w:tcPr>
            <w:tcW w:w="18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Range of</w:t>
            </w:r>
          </w:p>
        </w:tc>
        <w:tc>
          <w:tcPr>
            <w:tcW w:w="2580" w:type="dxa"/>
            <w:vAlign w:val="bottom"/>
            <w:gridSpan w:val="2"/>
            <w:vMerge w:val="restart"/>
          </w:tcPr>
          <w:p>
            <w:pPr>
              <w:jc w:val="right"/>
              <w:ind w:right="140"/>
              <w:spacing w:after="0"/>
              <w:rPr>
                <w:sz w:val="20"/>
                <w:szCs w:val="20"/>
                <w:color w:val="auto"/>
              </w:rPr>
            </w:pPr>
            <w:r>
              <w:rPr>
                <w:rFonts w:ascii="Calibri" w:cs="Calibri" w:eastAsia="Calibri" w:hAnsi="Calibri"/>
                <w:sz w:val="16"/>
                <w:szCs w:val="16"/>
                <w:b w:val="1"/>
                <w:bCs w:val="1"/>
                <w:color w:val="auto"/>
              </w:rPr>
              <w:t>Relatonship of unobservable inputs</w:t>
            </w:r>
          </w:p>
        </w:tc>
        <w:tc>
          <w:tcPr>
            <w:tcW w:w="0" w:type="dxa"/>
            <w:vAlign w:val="bottom"/>
          </w:tcPr>
          <w:p>
            <w:pPr>
              <w:spacing w:after="0"/>
              <w:rPr>
                <w:sz w:val="1"/>
                <w:szCs w:val="1"/>
                <w:color w:val="auto"/>
              </w:rPr>
            </w:pPr>
          </w:p>
        </w:tc>
      </w:tr>
      <w:tr>
        <w:trPr>
          <w:trHeight w:val="37"/>
        </w:trPr>
        <w:tc>
          <w:tcPr>
            <w:tcW w:w="224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1840" w:type="dxa"/>
            <w:vAlign w:val="bottom"/>
            <w:vMerge w:val="restart"/>
          </w:tcPr>
          <w:p>
            <w:pPr>
              <w:jc w:val="right"/>
              <w:ind w:right="440"/>
              <w:spacing w:after="0"/>
              <w:rPr>
                <w:sz w:val="20"/>
                <w:szCs w:val="20"/>
                <w:color w:val="auto"/>
              </w:rPr>
            </w:pPr>
            <w:r>
              <w:rPr>
                <w:rFonts w:ascii="Calibri" w:cs="Calibri" w:eastAsia="Calibri" w:hAnsi="Calibri"/>
                <w:sz w:val="16"/>
                <w:szCs w:val="16"/>
                <w:b w:val="1"/>
                <w:bCs w:val="1"/>
                <w:color w:val="auto"/>
              </w:rPr>
              <w:t>$</w:t>
            </w:r>
          </w:p>
        </w:tc>
        <w:tc>
          <w:tcPr>
            <w:tcW w:w="122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1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5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4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860" w:type="dxa"/>
            <w:vAlign w:val="bottom"/>
          </w:tcPr>
          <w:p>
            <w:pPr>
              <w:jc w:val="right"/>
              <w:ind w:right="159"/>
              <w:spacing w:after="0"/>
              <w:rPr>
                <w:sz w:val="20"/>
                <w:szCs w:val="20"/>
                <w:color w:val="auto"/>
              </w:rPr>
            </w:pPr>
            <w:r>
              <w:rPr>
                <w:rFonts w:ascii="Calibri" w:cs="Calibri" w:eastAsia="Calibri" w:hAnsi="Calibri"/>
                <w:sz w:val="16"/>
                <w:szCs w:val="16"/>
                <w:b w:val="1"/>
                <w:bCs w:val="1"/>
                <w:color w:val="auto"/>
              </w:rPr>
              <w:t>Unobservable inputs</w:t>
            </w:r>
          </w:p>
        </w:tc>
        <w:tc>
          <w:tcPr>
            <w:tcW w:w="8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inputs</w:t>
            </w:r>
          </w:p>
        </w:tc>
        <w:tc>
          <w:tcPr>
            <w:tcW w:w="258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b w:val="1"/>
                <w:bCs w:val="1"/>
                <w:color w:val="auto"/>
              </w:rPr>
              <w:t>to fair value</w:t>
            </w:r>
          </w:p>
        </w:tc>
        <w:tc>
          <w:tcPr>
            <w:tcW w:w="0" w:type="dxa"/>
            <w:vAlign w:val="bottom"/>
          </w:tcPr>
          <w:p>
            <w:pPr>
              <w:spacing w:after="0"/>
              <w:rPr>
                <w:sz w:val="1"/>
                <w:szCs w:val="1"/>
                <w:color w:val="auto"/>
              </w:rPr>
            </w:pPr>
          </w:p>
        </w:tc>
      </w:tr>
      <w:tr>
        <w:trPr>
          <w:trHeight w:val="21"/>
        </w:trPr>
        <w:tc>
          <w:tcPr>
            <w:tcW w:w="2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gridSpan w:val="2"/>
          </w:tcPr>
          <w:p>
            <w:pPr>
              <w:ind w:left="20"/>
              <w:spacing w:after="0" w:line="142" w:lineRule="exact"/>
              <w:rPr>
                <w:sz w:val="20"/>
                <w:szCs w:val="20"/>
                <w:color w:val="auto"/>
              </w:rPr>
            </w:pPr>
            <w:r>
              <w:rPr>
                <w:rFonts w:ascii="Calibri" w:cs="Calibri" w:eastAsia="Calibri" w:hAnsi="Calibri"/>
                <w:sz w:val="15"/>
                <w:szCs w:val="15"/>
                <w:color w:val="auto"/>
              </w:rPr>
              <w:t>Rx Hybrid Instrument</w:t>
            </w:r>
          </w:p>
        </w:tc>
        <w:tc>
          <w:tcPr>
            <w:tcW w:w="1840" w:type="dxa"/>
            <w:vAlign w:val="bottom"/>
            <w:tcBorders>
              <w:top w:val="single" w:sz="8" w:color="auto"/>
            </w:tcBorders>
          </w:tcPr>
          <w:p>
            <w:pPr>
              <w:jc w:val="right"/>
              <w:ind w:right="440"/>
              <w:spacing w:after="0" w:line="142" w:lineRule="exact"/>
              <w:rPr>
                <w:sz w:val="20"/>
                <w:szCs w:val="20"/>
                <w:color w:val="auto"/>
              </w:rPr>
            </w:pPr>
            <w:r>
              <w:rPr>
                <w:rFonts w:ascii="Calibri" w:cs="Calibri" w:eastAsia="Calibri" w:hAnsi="Calibri"/>
                <w:sz w:val="15"/>
                <w:szCs w:val="15"/>
                <w:b w:val="1"/>
                <w:bCs w:val="1"/>
                <w:color w:val="auto"/>
              </w:rPr>
              <w:t>—</w:t>
            </w:r>
          </w:p>
        </w:tc>
        <w:tc>
          <w:tcPr>
            <w:tcW w:w="3080" w:type="dxa"/>
            <w:vAlign w:val="bottom"/>
            <w:tcBorders>
              <w:top w:val="single" w:sz="8" w:color="auto"/>
            </w:tcBorders>
            <w:gridSpan w:val="2"/>
          </w:tcPr>
          <w:p>
            <w:pPr>
              <w:jc w:val="right"/>
              <w:ind w:right="179"/>
              <w:spacing w:after="0" w:line="142" w:lineRule="exact"/>
              <w:rPr>
                <w:sz w:val="20"/>
                <w:szCs w:val="20"/>
                <w:color w:val="auto"/>
              </w:rPr>
            </w:pPr>
            <w:r>
              <w:rPr>
                <w:rFonts w:ascii="Calibri" w:cs="Calibri" w:eastAsia="Calibri" w:hAnsi="Calibri"/>
                <w:sz w:val="15"/>
                <w:szCs w:val="15"/>
                <w:color w:val="auto"/>
              </w:rPr>
              <w:t>— Fair value interest rate of</w:t>
            </w:r>
          </w:p>
        </w:tc>
        <w:tc>
          <w:tcPr>
            <w:tcW w:w="880" w:type="dxa"/>
            <w:vAlign w:val="bottom"/>
            <w:tcBorders>
              <w:top w:val="single" w:sz="8" w:color="auto"/>
            </w:tcBorders>
          </w:tcPr>
          <w:p>
            <w:pPr>
              <w:jc w:val="right"/>
              <w:spacing w:after="0" w:line="142" w:lineRule="exact"/>
              <w:rPr>
                <w:sz w:val="20"/>
                <w:szCs w:val="20"/>
                <w:color w:val="auto"/>
              </w:rPr>
            </w:pPr>
            <w:r>
              <w:rPr>
                <w:rFonts w:ascii="Calibri" w:cs="Calibri" w:eastAsia="Calibri" w:hAnsi="Calibri"/>
                <w:sz w:val="15"/>
                <w:szCs w:val="15"/>
                <w:color w:val="auto"/>
              </w:rPr>
              <w:t>10%</w:t>
            </w:r>
          </w:p>
        </w:tc>
        <w:tc>
          <w:tcPr>
            <w:tcW w:w="2500" w:type="dxa"/>
            <w:vAlign w:val="bottom"/>
            <w:tcBorders>
              <w:top w:val="single" w:sz="8" w:color="auto"/>
            </w:tcBorders>
          </w:tcPr>
          <w:p>
            <w:pPr>
              <w:jc w:val="right"/>
              <w:spacing w:after="0" w:line="142" w:lineRule="exact"/>
              <w:rPr>
                <w:sz w:val="20"/>
                <w:szCs w:val="20"/>
                <w:color w:val="auto"/>
              </w:rPr>
            </w:pPr>
            <w:r>
              <w:rPr>
                <w:rFonts w:ascii="Calibri" w:cs="Calibri" w:eastAsia="Calibri" w:hAnsi="Calibri"/>
                <w:sz w:val="15"/>
                <w:szCs w:val="15"/>
                <w:color w:val="auto"/>
              </w:rPr>
              <w:t>Increase/decrease in the 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jc w:val="right"/>
              <w:ind w:right="159"/>
              <w:spacing w:after="0" w:line="170" w:lineRule="exact"/>
              <w:rPr>
                <w:sz w:val="20"/>
                <w:szCs w:val="20"/>
                <w:color w:val="auto"/>
              </w:rPr>
            </w:pPr>
            <w:r>
              <w:rPr>
                <w:rFonts w:ascii="Calibri" w:cs="Calibri" w:eastAsia="Calibri" w:hAnsi="Calibri"/>
                <w:sz w:val="16"/>
                <w:szCs w:val="16"/>
                <w:color w:val="auto"/>
              </w:rPr>
              <w:t>loan and conversion</w:t>
            </w:r>
          </w:p>
        </w:tc>
        <w:tc>
          <w:tcPr>
            <w:tcW w:w="880" w:type="dxa"/>
            <w:vAlign w:val="bottom"/>
          </w:tcPr>
          <w:p>
            <w:pPr>
              <w:spacing w:after="0"/>
              <w:rPr>
                <w:sz w:val="14"/>
                <w:szCs w:val="14"/>
                <w:color w:val="auto"/>
              </w:rPr>
            </w:pPr>
          </w:p>
        </w:tc>
        <w:tc>
          <w:tcPr>
            <w:tcW w:w="2580" w:type="dxa"/>
            <w:vAlign w:val="bottom"/>
            <w:gridSpan w:val="2"/>
          </w:tcPr>
          <w:p>
            <w:pPr>
              <w:jc w:val="right"/>
              <w:ind w:right="140"/>
              <w:spacing w:after="0" w:line="170" w:lineRule="exact"/>
              <w:rPr>
                <w:sz w:val="20"/>
                <w:szCs w:val="20"/>
                <w:color w:val="auto"/>
              </w:rPr>
            </w:pPr>
            <w:r>
              <w:rPr>
                <w:rFonts w:ascii="Calibri" w:cs="Calibri" w:eastAsia="Calibri" w:hAnsi="Calibri"/>
                <w:sz w:val="16"/>
                <w:szCs w:val="16"/>
                <w:color w:val="auto"/>
                <w:w w:val="99"/>
              </w:rPr>
              <w:t>rate by 1% would not have a material</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60" w:type="dxa"/>
            <w:vAlign w:val="bottom"/>
          </w:tcPr>
          <w:p>
            <w:pPr>
              <w:jc w:val="right"/>
              <w:ind w:right="159"/>
              <w:spacing w:after="0" w:line="158" w:lineRule="exact"/>
              <w:rPr>
                <w:sz w:val="20"/>
                <w:szCs w:val="20"/>
                <w:color w:val="auto"/>
              </w:rPr>
            </w:pPr>
            <w:r>
              <w:rPr>
                <w:rFonts w:ascii="Calibri" w:cs="Calibri" w:eastAsia="Calibri" w:hAnsi="Calibri"/>
                <w:sz w:val="16"/>
                <w:szCs w:val="16"/>
                <w:color w:val="auto"/>
              </w:rPr>
              <w:t>feature</w:t>
            </w:r>
          </w:p>
        </w:tc>
        <w:tc>
          <w:tcPr>
            <w:tcW w:w="880" w:type="dxa"/>
            <w:vAlign w:val="bottom"/>
          </w:tcPr>
          <w:p>
            <w:pPr>
              <w:spacing w:after="0"/>
              <w:rPr>
                <w:sz w:val="13"/>
                <w:szCs w:val="13"/>
                <w:color w:val="auto"/>
              </w:rPr>
            </w:pPr>
          </w:p>
        </w:tc>
        <w:tc>
          <w:tcPr>
            <w:tcW w:w="2580" w:type="dxa"/>
            <w:vAlign w:val="bottom"/>
            <w:gridSpan w:val="2"/>
          </w:tcPr>
          <w:p>
            <w:pPr>
              <w:jc w:val="right"/>
              <w:ind w:right="140"/>
              <w:spacing w:after="0" w:line="158" w:lineRule="exact"/>
              <w:rPr>
                <w:sz w:val="20"/>
                <w:szCs w:val="20"/>
                <w:color w:val="auto"/>
              </w:rPr>
            </w:pPr>
            <w:r>
              <w:rPr>
                <w:rFonts w:ascii="Calibri" w:cs="Calibri" w:eastAsia="Calibri" w:hAnsi="Calibri"/>
                <w:sz w:val="16"/>
                <w:szCs w:val="16"/>
                <w:color w:val="auto"/>
              </w:rPr>
              <w:t>efect on the fair value of the</w:t>
            </w:r>
          </w:p>
        </w:tc>
        <w:tc>
          <w:tcPr>
            <w:tcW w:w="0" w:type="dxa"/>
            <w:vAlign w:val="bottom"/>
          </w:tcPr>
          <w:p>
            <w:pPr>
              <w:spacing w:after="0"/>
              <w:rPr>
                <w:sz w:val="1"/>
                <w:szCs w:val="1"/>
                <w:color w:val="auto"/>
              </w:rPr>
            </w:pPr>
          </w:p>
        </w:tc>
      </w:tr>
      <w:tr>
        <w:trPr>
          <w:trHeight w:val="193"/>
        </w:trPr>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investment</w:t>
            </w: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56"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Credit risk</w:t>
      </w:r>
    </w:p>
    <w:p>
      <w:pPr>
        <w:spacing w:after="0" w:line="171"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March 31, 2024, the Company’s maximum exposure to credit risk is the carrying value of its fnancial assets.</w:t>
      </w:r>
    </w:p>
    <w:p>
      <w:pPr>
        <w:spacing w:after="0" w:line="157"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Liquidity risk</w:t>
      </w:r>
    </w:p>
    <w:p>
      <w:pPr>
        <w:spacing w:after="0" w:line="158"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72" w:lineRule="exact"/>
        <w:rPr>
          <w:sz w:val="20"/>
          <w:szCs w:val="20"/>
          <w:color w:val="auto"/>
        </w:rPr>
      </w:pPr>
    </w:p>
    <w:p>
      <w:pPr>
        <w:ind w:left="220" w:right="20"/>
        <w:spacing w:after="0" w:line="295" w:lineRule="auto"/>
        <w:rPr>
          <w:sz w:val="20"/>
          <w:szCs w:val="20"/>
          <w:color w:val="auto"/>
        </w:rPr>
      </w:pPr>
      <w:r>
        <w:rPr>
          <w:rFonts w:ascii="Calibri" w:cs="Calibri" w:eastAsia="Calibri" w:hAnsi="Calibri"/>
          <w:sz w:val="16"/>
          <w:szCs w:val="16"/>
          <w:color w:val="auto"/>
        </w:rPr>
        <w:t>As at March 31, 2024, the Company had cash of $208,992 (March 31, 2023 - $16,633) in order to meet current liabilites. Accounts payable and accrued liabilites include trade payables and other obligatons of $10,096 (March 31, 2023 - $5,663), all amounts are due within the next 12 months.</w:t>
      </w:r>
    </w:p>
    <w:p>
      <w:pPr>
        <w:spacing w:after="0" w:line="11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Market risk</w:t>
      </w:r>
    </w:p>
    <w:p>
      <w:pPr>
        <w:spacing w:after="0" w:line="15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64" w:name="page65"/>
    <w:bookmarkEnd w:id="64"/>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71"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market interest rate. In seeking to minimize the risks from interest rate fuctuatons, the Company manages exposure through its normal operatng and fnancing actvites. As at March 31, 2024, the Company has determined its exposure to interest rate risk is minimal.</w:t>
      </w:r>
    </w:p>
    <w:p>
      <w:pPr>
        <w:spacing w:after="0" w:line="157"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58" w:lineRule="exact"/>
        <w:rPr>
          <w:sz w:val="20"/>
          <w:szCs w:val="20"/>
          <w:color w:val="auto"/>
        </w:rPr>
      </w:pPr>
    </w:p>
    <w:p>
      <w:pPr>
        <w:jc w:val="both"/>
        <w:ind w:left="220"/>
        <w:spacing w:after="0" w:line="237"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the functonal currency of CAD is used for reportng. The Company has not entered into any foreign currency contracts to mitgate this risk.</w:t>
      </w:r>
    </w:p>
    <w:p>
      <w:pPr>
        <w:spacing w:after="0" w:line="17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At March 31, 2024, the Company had the following balances in monetary assets and monetary liabilites which are subject to fuctuaton against CAD:</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200" w:type="dxa"/>
            <w:vAlign w:val="bottom"/>
          </w:tcPr>
          <w:p>
            <w:pPr>
              <w:ind w:left="4080"/>
              <w:spacing w:after="0"/>
              <w:rPr>
                <w:sz w:val="20"/>
                <w:szCs w:val="20"/>
                <w:color w:val="auto"/>
              </w:rPr>
            </w:pPr>
            <w:r>
              <w:rPr>
                <w:rFonts w:ascii="Calibri" w:cs="Calibri" w:eastAsia="Calibri" w:hAnsi="Calibri"/>
                <w:sz w:val="16"/>
                <w:szCs w:val="16"/>
                <w:b w:val="1"/>
                <w:bCs w:val="1"/>
                <w:color w:val="auto"/>
                <w:w w:val="98"/>
              </w:rPr>
              <w:t>Denominated in:</w:t>
            </w:r>
          </w:p>
        </w:tc>
        <w:tc>
          <w:tcPr>
            <w:tcW w:w="6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US$000’s</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b w:val="1"/>
                <w:bCs w:val="1"/>
                <w:color w:val="auto"/>
              </w:rPr>
              <w:t>GBP 000’s</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b w:val="1"/>
                <w:bCs w:val="1"/>
                <w:color w:val="auto"/>
              </w:rPr>
              <w:t>EUR 000’s</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520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600" w:type="dxa"/>
            <w:vAlign w:val="bottom"/>
          </w:tcPr>
          <w:p>
            <w:pPr>
              <w:spacing w:after="0"/>
              <w:rPr>
                <w:sz w:val="16"/>
                <w:szCs w:val="16"/>
                <w:color w:val="auto"/>
              </w:rPr>
            </w:pPr>
          </w:p>
        </w:tc>
        <w:tc>
          <w:tcPr>
            <w:tcW w:w="1160" w:type="dxa"/>
            <w:vAlign w:val="bottom"/>
          </w:tcPr>
          <w:p>
            <w:pPr>
              <w:jc w:val="right"/>
              <w:spacing w:after="0" w:line="185" w:lineRule="exact"/>
              <w:rPr>
                <w:sz w:val="20"/>
                <w:szCs w:val="20"/>
                <w:color w:val="auto"/>
              </w:rPr>
            </w:pPr>
            <w:r>
              <w:rPr>
                <w:rFonts w:ascii="Calibri" w:cs="Calibri" w:eastAsia="Calibri" w:hAnsi="Calibri"/>
                <w:sz w:val="16"/>
                <w:szCs w:val="16"/>
                <w:color w:val="auto"/>
              </w:rPr>
              <w:t>148,713</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color w:val="auto"/>
              </w:rPr>
              <w:t>509</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color w:val="auto"/>
              </w:rPr>
              <w:t>425</w:t>
            </w:r>
          </w:p>
        </w:tc>
      </w:tr>
      <w:tr>
        <w:trPr>
          <w:trHeight w:val="198"/>
        </w:trPr>
        <w:tc>
          <w:tcPr>
            <w:tcW w:w="5200" w:type="dxa"/>
            <w:vAlign w:val="bottom"/>
          </w:tcPr>
          <w:p>
            <w:pPr>
              <w:ind w:left="20"/>
              <w:spacing w:after="0"/>
              <w:rPr>
                <w:sz w:val="20"/>
                <w:szCs w:val="20"/>
                <w:color w:val="auto"/>
              </w:rPr>
            </w:pPr>
            <w:r>
              <w:rPr>
                <w:rFonts w:ascii="Calibri" w:cs="Calibri" w:eastAsia="Calibri" w:hAnsi="Calibri"/>
                <w:sz w:val="16"/>
                <w:szCs w:val="16"/>
                <w:color w:val="auto"/>
              </w:rPr>
              <w:t>Accounts payable and accrued liabilites</w:t>
            </w: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(343)</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(299)</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(201)</w:t>
            </w:r>
          </w:p>
        </w:tc>
      </w:tr>
      <w:tr>
        <w:trPr>
          <w:trHeight w:val="206"/>
        </w:trPr>
        <w:tc>
          <w:tcPr>
            <w:tcW w:w="5200" w:type="dxa"/>
            <w:vAlign w:val="bottom"/>
          </w:tcPr>
          <w:p>
            <w:pPr>
              <w:ind w:left="20"/>
              <w:spacing w:after="0"/>
              <w:rPr>
                <w:sz w:val="20"/>
                <w:szCs w:val="20"/>
                <w:color w:val="auto"/>
              </w:rPr>
            </w:pPr>
            <w:r>
              <w:rPr>
                <w:rFonts w:ascii="Calibri" w:cs="Calibri" w:eastAsia="Calibri" w:hAnsi="Calibri"/>
                <w:sz w:val="16"/>
                <w:szCs w:val="16"/>
                <w:color w:val="auto"/>
              </w:rPr>
              <w:t>Lease liability</w:t>
            </w: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(217)</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5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148,370</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(7)</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225</w:t>
            </w:r>
          </w:p>
        </w:tc>
      </w:tr>
      <w:tr>
        <w:trPr>
          <w:trHeight w:val="198"/>
        </w:trPr>
        <w:tc>
          <w:tcPr>
            <w:tcW w:w="5200" w:type="dxa"/>
            <w:vAlign w:val="bottom"/>
          </w:tcPr>
          <w:p>
            <w:pPr>
              <w:ind w:left="20"/>
              <w:spacing w:after="0"/>
              <w:rPr>
                <w:sz w:val="20"/>
                <w:szCs w:val="20"/>
                <w:color w:val="auto"/>
              </w:rPr>
            </w:pPr>
            <w:r>
              <w:rPr>
                <w:rFonts w:ascii="Calibri" w:cs="Calibri" w:eastAsia="Calibri" w:hAnsi="Calibri"/>
                <w:sz w:val="16"/>
                <w:szCs w:val="16"/>
                <w:color w:val="auto"/>
              </w:rPr>
              <w:t>Foreign currency rate</w:t>
            </w: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1.3550</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1.7114</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1.4632</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52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Equivalent in Canadian dollars</w:t>
            </w:r>
          </w:p>
        </w:tc>
        <w:tc>
          <w:tcPr>
            <w:tcW w:w="600" w:type="dxa"/>
            <w:vAlign w:val="bottom"/>
            <w:tcBorders>
              <w:bottom w:val="single" w:sz="8" w:color="auto"/>
            </w:tcBorders>
          </w:tcPr>
          <w:p>
            <w:pPr>
              <w:jc w:val="right"/>
              <w:ind w:right="419"/>
              <w:spacing w:after="0" w:line="192" w:lineRule="exact"/>
              <w:rPr>
                <w:sz w:val="20"/>
                <w:szCs w:val="20"/>
                <w:color w:val="auto"/>
              </w:rPr>
            </w:pPr>
            <w:r>
              <w:rPr>
                <w:rFonts w:ascii="Calibri" w:cs="Calibri" w:eastAsia="Calibri" w:hAnsi="Calibri"/>
                <w:sz w:val="16"/>
                <w:szCs w:val="16"/>
                <w:b w:val="1"/>
                <w:bCs w:val="1"/>
                <w:color w:val="auto"/>
                <w:w w:val="97"/>
              </w:rPr>
              <w:t>$</w:t>
            </w:r>
          </w:p>
        </w:tc>
        <w:tc>
          <w:tcPr>
            <w:tcW w:w="11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201,041</w:t>
            </w:r>
          </w:p>
        </w:tc>
        <w:tc>
          <w:tcPr>
            <w:tcW w:w="580" w:type="dxa"/>
            <w:vAlign w:val="bottom"/>
            <w:tcBorders>
              <w:bottom w:val="single" w:sz="8" w:color="auto"/>
            </w:tcBorders>
          </w:tcPr>
          <w:p>
            <w:pPr>
              <w:jc w:val="right"/>
              <w:ind w:right="399"/>
              <w:spacing w:after="0" w:line="192"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(12)</w:t>
            </w:r>
          </w:p>
        </w:tc>
        <w:tc>
          <w:tcPr>
            <w:tcW w:w="580" w:type="dxa"/>
            <w:vAlign w:val="bottom"/>
            <w:tcBorders>
              <w:bottom w:val="single" w:sz="8" w:color="auto"/>
            </w:tcBorders>
          </w:tcPr>
          <w:p>
            <w:pPr>
              <w:jc w:val="right"/>
              <w:ind w:right="399"/>
              <w:spacing w:after="0" w:line="192"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329</w:t>
            </w:r>
          </w:p>
        </w:tc>
      </w:tr>
      <w:tr>
        <w:trPr>
          <w:trHeight w:val="198"/>
        </w:trPr>
        <w:tc>
          <w:tcPr>
            <w:tcW w:w="52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Impact of 10% change in foreign currency rate</w:t>
            </w:r>
          </w:p>
        </w:tc>
        <w:tc>
          <w:tcPr>
            <w:tcW w:w="600" w:type="dxa"/>
            <w:vAlign w:val="bottom"/>
            <w:tcBorders>
              <w:bottom w:val="single" w:sz="8" w:color="auto"/>
            </w:tcBorders>
          </w:tcPr>
          <w:p>
            <w:pPr>
              <w:jc w:val="right"/>
              <w:ind w:right="419"/>
              <w:spacing w:after="0" w:line="193" w:lineRule="exact"/>
              <w:rPr>
                <w:sz w:val="20"/>
                <w:szCs w:val="20"/>
                <w:color w:val="auto"/>
              </w:rPr>
            </w:pPr>
            <w:r>
              <w:rPr>
                <w:rFonts w:ascii="Calibri" w:cs="Calibri" w:eastAsia="Calibri" w:hAnsi="Calibri"/>
                <w:sz w:val="16"/>
                <w:szCs w:val="16"/>
                <w:b w:val="1"/>
                <w:bCs w:val="1"/>
                <w:color w:val="auto"/>
                <w:w w:val="97"/>
              </w:rPr>
              <w:t>$</w:t>
            </w:r>
          </w:p>
        </w:tc>
        <w:tc>
          <w:tcPr>
            <w:tcW w:w="11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20,104</w:t>
            </w:r>
          </w:p>
        </w:tc>
        <w:tc>
          <w:tcPr>
            <w:tcW w:w="580" w:type="dxa"/>
            <w:vAlign w:val="bottom"/>
            <w:tcBorders>
              <w:bottom w:val="single" w:sz="8" w:color="auto"/>
            </w:tcBorders>
          </w:tcPr>
          <w:p>
            <w:pPr>
              <w:jc w:val="right"/>
              <w:ind w:right="399"/>
              <w:spacing w:after="0" w:line="193"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w:t>
            </w:r>
          </w:p>
        </w:tc>
        <w:tc>
          <w:tcPr>
            <w:tcW w:w="580" w:type="dxa"/>
            <w:vAlign w:val="bottom"/>
            <w:tcBorders>
              <w:bottom w:val="single" w:sz="8" w:color="auto"/>
            </w:tcBorders>
          </w:tcPr>
          <w:p>
            <w:pPr>
              <w:jc w:val="right"/>
              <w:ind w:right="399"/>
              <w:spacing w:after="0" w:line="193"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33</w:t>
            </w:r>
          </w:p>
        </w:tc>
      </w:tr>
    </w:tbl>
    <w:p>
      <w:pPr>
        <w:spacing w:after="0" w:line="223" w:lineRule="exact"/>
        <w:rPr>
          <w:sz w:val="20"/>
          <w:szCs w:val="20"/>
          <w:color w:val="auto"/>
        </w:rPr>
      </w:pPr>
    </w:p>
    <w:p>
      <w:pPr>
        <w:ind w:left="220"/>
        <w:spacing w:after="0" w:line="237" w:lineRule="auto"/>
        <w:rPr>
          <w:sz w:val="20"/>
          <w:szCs w:val="20"/>
          <w:color w:val="auto"/>
        </w:rPr>
      </w:pPr>
      <w:r>
        <w:rPr>
          <w:rFonts w:ascii="Calibri" w:cs="Calibri" w:eastAsia="Calibri" w:hAnsi="Calibri"/>
          <w:sz w:val="16"/>
          <w:szCs w:val="16"/>
          <w:color w:val="auto"/>
        </w:rPr>
        <w:t>Based on the above net exposures as at March 31, 2024, and assuming that all other variables remain constant, a 10% change of the USD, GBP and EUR, against the CAD would impact net loss by approximately by $20,138.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62230</wp:posOffset>
            </wp:positionV>
            <wp:extent cx="717169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00"/>
          </w:cols>
          <w:pgMar w:left="380" w:top="162" w:right="319" w:bottom="1440" w:gutter="0" w:footer="0" w:header="0"/>
        </w:sectPr>
      </w:pPr>
    </w:p>
    <w:bookmarkStart w:id="65" w:name="page66"/>
    <w:bookmarkEnd w:id="65"/>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gridSpan w:val="2"/>
          </w:tcPr>
          <w:p>
            <w:pPr>
              <w:spacing w:after="0"/>
              <w:rPr>
                <w:sz w:val="20"/>
                <w:szCs w:val="20"/>
                <w:color w:val="auto"/>
              </w:rPr>
            </w:pPr>
            <w:r>
              <w:rPr>
                <w:rFonts w:ascii="Calibri" w:cs="Calibri" w:eastAsia="Calibri" w:hAnsi="Calibri"/>
                <w:sz w:val="16"/>
                <w:szCs w:val="16"/>
                <w:b w:val="1"/>
                <w:bCs w:val="1"/>
                <w:color w:val="2D5F91"/>
              </w:rPr>
              <w:t>16.  INCOME TAX</w:t>
            </w:r>
          </w:p>
        </w:tc>
        <w:tc>
          <w:tcPr>
            <w:tcW w:w="2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52"/>
        </w:trPr>
        <w:tc>
          <w:tcPr>
            <w:tcW w:w="8820" w:type="dxa"/>
            <w:vAlign w:val="bottom"/>
            <w:gridSpan w:val="3"/>
          </w:tcPr>
          <w:p>
            <w:pPr>
              <w:ind w:left="280"/>
              <w:spacing w:after="0"/>
              <w:rPr>
                <w:sz w:val="20"/>
                <w:szCs w:val="20"/>
                <w:color w:val="auto"/>
              </w:rPr>
            </w:pPr>
            <w:r>
              <w:rPr>
                <w:rFonts w:ascii="Calibri" w:cs="Calibri" w:eastAsia="Calibri" w:hAnsi="Calibri"/>
                <w:sz w:val="16"/>
                <w:szCs w:val="16"/>
                <w:color w:val="auto"/>
                <w:w w:val="98"/>
              </w:rPr>
              <w:t>Major items causing the Company’s income tax rate to difer from the Canadian statutory rate of approximately 26.5% are as follows:</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8"/>
        </w:trPr>
        <w:tc>
          <w:tcPr>
            <w:tcW w:w="2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Year ended March 31,</w:t>
            </w:r>
          </w:p>
        </w:tc>
      </w:tr>
      <w:tr>
        <w:trPr>
          <w:trHeight w:val="206"/>
        </w:trPr>
        <w:tc>
          <w:tcPr>
            <w:tcW w:w="2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2024</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r>
      <w:tr>
        <w:trPr>
          <w:trHeight w:val="21"/>
        </w:trPr>
        <w:tc>
          <w:tcPr>
            <w:tcW w:w="280" w:type="dxa"/>
            <w:vAlign w:val="bottom"/>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564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color w:val="auto"/>
              </w:rPr>
              <w:t>Net loss before income taxes</w:t>
            </w:r>
          </w:p>
        </w:tc>
        <w:tc>
          <w:tcPr>
            <w:tcW w:w="2900" w:type="dxa"/>
            <w:vAlign w:val="bottom"/>
            <w:tcBorders>
              <w:bottom w:val="single" w:sz="8" w:color="auto"/>
            </w:tcBorders>
          </w:tcPr>
          <w:p>
            <w:pPr>
              <w:jc w:val="right"/>
              <w:ind w:right="539"/>
              <w:spacing w:after="0" w:line="192" w:lineRule="exact"/>
              <w:rPr>
                <w:sz w:val="20"/>
                <w:szCs w:val="20"/>
                <w:color w:val="auto"/>
              </w:rPr>
            </w:pPr>
            <w:r>
              <w:rPr>
                <w:rFonts w:ascii="Calibri" w:cs="Calibri" w:eastAsia="Calibri" w:hAnsi="Calibri"/>
                <w:sz w:val="16"/>
                <w:szCs w:val="16"/>
                <w:b w:val="1"/>
                <w:bCs w:val="1"/>
                <w:color w:val="auto"/>
              </w:rPr>
              <w:t>$</w:t>
            </w:r>
          </w:p>
        </w:tc>
        <w:tc>
          <w:tcPr>
            <w:tcW w:w="6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(78,080)</w:t>
            </w:r>
          </w:p>
        </w:tc>
        <w:tc>
          <w:tcPr>
            <w:tcW w:w="46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(47,490)</w:t>
            </w:r>
          </w:p>
        </w:tc>
      </w:tr>
      <w:tr>
        <w:trPr>
          <w:trHeight w:val="366"/>
        </w:trPr>
        <w:tc>
          <w:tcPr>
            <w:tcW w:w="28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Expected recovery at statutory rate</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20,691</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12,585</w:t>
            </w:r>
          </w:p>
        </w:tc>
      </w:tr>
      <w:tr>
        <w:trPr>
          <w:trHeight w:val="206"/>
        </w:trPr>
        <w:tc>
          <w:tcPr>
            <w:tcW w:w="2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Non-capital loss acquired on acquisiton of subsidiary</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11,658</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2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Share-based compensaton</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(3,680)</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(1,242)</w:t>
            </w:r>
          </w:p>
        </w:tc>
      </w:tr>
      <w:tr>
        <w:trPr>
          <w:trHeight w:val="206"/>
        </w:trPr>
        <w:tc>
          <w:tcPr>
            <w:tcW w:w="2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4,420</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321</w:t>
            </w:r>
          </w:p>
        </w:tc>
      </w:tr>
      <w:tr>
        <w:trPr>
          <w:trHeight w:val="206"/>
        </w:trPr>
        <w:tc>
          <w:tcPr>
            <w:tcW w:w="2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Diference between Canadian and foreign tax rates</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(5,440)</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(4,032)</w:t>
            </w:r>
          </w:p>
        </w:tc>
      </w:tr>
      <w:tr>
        <w:trPr>
          <w:trHeight w:val="206"/>
        </w:trPr>
        <w:tc>
          <w:tcPr>
            <w:tcW w:w="2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Efect of exchange on unbooked deferred tax assets</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(112)</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438</w:t>
            </w:r>
          </w:p>
        </w:tc>
      </w:tr>
      <w:tr>
        <w:trPr>
          <w:trHeight w:val="206"/>
        </w:trPr>
        <w:tc>
          <w:tcPr>
            <w:tcW w:w="2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Non-deductble expenses</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(132)</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(338)</w:t>
            </w:r>
          </w:p>
        </w:tc>
      </w:tr>
      <w:tr>
        <w:trPr>
          <w:trHeight w:val="206"/>
        </w:trPr>
        <w:tc>
          <w:tcPr>
            <w:tcW w:w="2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Calibri" w:cs="Calibri" w:eastAsia="Calibri" w:hAnsi="Calibri"/>
                <w:sz w:val="16"/>
                <w:szCs w:val="16"/>
                <w:color w:val="auto"/>
              </w:rPr>
              <w:t>Change in unrecognized deferred tax assets</w:t>
            </w:r>
          </w:p>
        </w:tc>
        <w:tc>
          <w:tcPr>
            <w:tcW w:w="29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6"/>
                <w:szCs w:val="16"/>
                <w:b w:val="1"/>
                <w:bCs w:val="1"/>
                <w:color w:val="auto"/>
              </w:rPr>
              <w:t>(27,405)</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(7,732)</w:t>
            </w:r>
          </w:p>
        </w:tc>
      </w:tr>
      <w:tr>
        <w:trPr>
          <w:trHeight w:val="21"/>
        </w:trPr>
        <w:tc>
          <w:tcPr>
            <w:tcW w:w="280" w:type="dxa"/>
            <w:vAlign w:val="bottom"/>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564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Income tax recovery</w:t>
            </w:r>
          </w:p>
        </w:tc>
        <w:tc>
          <w:tcPr>
            <w:tcW w:w="2900" w:type="dxa"/>
            <w:vAlign w:val="bottom"/>
            <w:tcBorders>
              <w:bottom w:val="single" w:sz="8" w:color="auto"/>
            </w:tcBorders>
          </w:tcPr>
          <w:p>
            <w:pPr>
              <w:jc w:val="right"/>
              <w:ind w:right="539"/>
              <w:spacing w:after="0" w:line="192" w:lineRule="exact"/>
              <w:rPr>
                <w:sz w:val="20"/>
                <w:szCs w:val="20"/>
                <w:color w:val="auto"/>
              </w:rPr>
            </w:pPr>
            <w:r>
              <w:rPr>
                <w:rFonts w:ascii="Calibri" w:cs="Calibri" w:eastAsia="Calibri" w:hAnsi="Calibri"/>
                <w:sz w:val="16"/>
                <w:szCs w:val="16"/>
                <w:b w:val="1"/>
                <w:bCs w:val="1"/>
                <w:color w:val="auto"/>
              </w:rPr>
              <w:t>$</w:t>
            </w:r>
          </w:p>
        </w:tc>
        <w:tc>
          <w:tcPr>
            <w:tcW w:w="1080" w:type="dxa"/>
            <w:vAlign w:val="bottom"/>
            <w:tcBorders>
              <w:bottom w:val="single" w:sz="8" w:color="auto"/>
            </w:tcBorders>
            <w:gridSpan w:val="2"/>
          </w:tcPr>
          <w:p>
            <w:pPr>
              <w:jc w:val="right"/>
              <w:ind w:right="259"/>
              <w:spacing w:after="0" w:line="192" w:lineRule="exact"/>
              <w:rPr>
                <w:sz w:val="20"/>
                <w:szCs w:val="20"/>
                <w:color w:val="auto"/>
              </w:rPr>
            </w:pP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t>
            </w:r>
          </w:p>
        </w:tc>
        <w:tc>
          <w:tcPr>
            <w:tcW w:w="9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23" w:lineRule="exact"/>
        <w:rPr>
          <w:sz w:val="20"/>
          <w:szCs w:val="20"/>
          <w:color w:val="auto"/>
        </w:rPr>
      </w:pPr>
    </w:p>
    <w:p>
      <w:pPr>
        <w:ind w:left="280"/>
        <w:spacing w:after="0" w:line="237" w:lineRule="auto"/>
        <w:rPr>
          <w:sz w:val="20"/>
          <w:szCs w:val="20"/>
          <w:color w:val="auto"/>
        </w:rPr>
      </w:pPr>
      <w:r>
        <w:rPr>
          <w:rFonts w:ascii="Calibri" w:cs="Calibri" w:eastAsia="Calibri" w:hAnsi="Calibri"/>
          <w:sz w:val="16"/>
          <w:szCs w:val="16"/>
          <w:color w:val="auto"/>
        </w:rPr>
        <w:t>The signifcant components of the Company’s temporary diferences, unused tax credits and unused tax losses, that have not been included on the consolidated statements of fnancial positon,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137160</wp:posOffset>
            </wp:positionV>
            <wp:extent cx="672274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22745" cy="7620"/>
                    </a:xfrm>
                    <a:prstGeom prst="rect">
                      <a:avLst/>
                    </a:prstGeom>
                    <a:noFill/>
                  </pic:spPr>
                </pic:pic>
              </a:graphicData>
            </a:graphic>
          </wp:anchor>
        </w:drawing>
      </w:r>
    </w:p>
    <w:p>
      <w:pPr>
        <w:spacing w:after="0" w:line="199"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4220" w:type="dxa"/>
            <w:vAlign w:val="bottom"/>
          </w:tcPr>
          <w:p>
            <w:pPr>
              <w:ind w:left="20"/>
              <w:spacing w:after="0"/>
              <w:rPr>
                <w:sz w:val="20"/>
                <w:szCs w:val="20"/>
                <w:color w:val="auto"/>
              </w:rPr>
            </w:pPr>
            <w:r>
              <w:rPr>
                <w:rFonts w:ascii="Calibri" w:cs="Calibri" w:eastAsia="Calibri" w:hAnsi="Calibri"/>
                <w:sz w:val="16"/>
                <w:szCs w:val="16"/>
                <w:b w:val="1"/>
                <w:bCs w:val="1"/>
                <w:color w:val="auto"/>
              </w:rPr>
              <w:t>As at</w:t>
            </w:r>
          </w:p>
        </w:tc>
        <w:tc>
          <w:tcPr>
            <w:tcW w:w="28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2023</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5"/>
        </w:trPr>
        <w:tc>
          <w:tcPr>
            <w:tcW w:w="4220" w:type="dxa"/>
            <w:vAlign w:val="bottom"/>
          </w:tcPr>
          <w:p>
            <w:pPr>
              <w:ind w:left="20"/>
              <w:spacing w:after="0" w:line="185" w:lineRule="exact"/>
              <w:rPr>
                <w:sz w:val="20"/>
                <w:szCs w:val="20"/>
                <w:color w:val="auto"/>
              </w:rPr>
            </w:pPr>
            <w:r>
              <w:rPr>
                <w:rFonts w:ascii="Calibri" w:cs="Calibri" w:eastAsia="Calibri" w:hAnsi="Calibri"/>
                <w:sz w:val="16"/>
                <w:szCs w:val="16"/>
                <w:color w:val="auto"/>
              </w:rPr>
              <w:t>Non-capital loss carryforwards</w:t>
            </w:r>
          </w:p>
        </w:tc>
        <w:tc>
          <w:tcPr>
            <w:tcW w:w="2880" w:type="dxa"/>
            <w:vAlign w:val="bottom"/>
          </w:tcPr>
          <w:p>
            <w:pPr>
              <w:jc w:val="right"/>
              <w:ind w:right="459"/>
              <w:spacing w:after="0" w:line="185" w:lineRule="exact"/>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43,083</w:t>
            </w:r>
          </w:p>
        </w:tc>
        <w:tc>
          <w:tcPr>
            <w:tcW w:w="460" w:type="dxa"/>
            <w:vAlign w:val="bottom"/>
          </w:tcPr>
          <w:p>
            <w:pPr>
              <w:jc w:val="right"/>
              <w:ind w:right="259"/>
              <w:spacing w:after="0" w:line="185" w:lineRule="exact"/>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line="185" w:lineRule="exact"/>
              <w:rPr>
                <w:sz w:val="20"/>
                <w:szCs w:val="20"/>
                <w:color w:val="auto"/>
              </w:rPr>
            </w:pPr>
            <w:r>
              <w:rPr>
                <w:rFonts w:ascii="Calibri" w:cs="Calibri" w:eastAsia="Calibri" w:hAnsi="Calibri"/>
                <w:sz w:val="16"/>
                <w:szCs w:val="16"/>
                <w:color w:val="auto"/>
              </w:rPr>
              <w:t>19,371</w:t>
            </w:r>
          </w:p>
        </w:tc>
      </w:tr>
      <w:tr>
        <w:trPr>
          <w:trHeight w:val="198"/>
        </w:trPr>
        <w:tc>
          <w:tcPr>
            <w:tcW w:w="4220" w:type="dxa"/>
            <w:vAlign w:val="bottom"/>
          </w:tcPr>
          <w:p>
            <w:pPr>
              <w:ind w:left="20"/>
              <w:spacing w:after="0"/>
              <w:rPr>
                <w:sz w:val="20"/>
                <w:szCs w:val="20"/>
                <w:color w:val="auto"/>
              </w:rPr>
            </w:pPr>
            <w:r>
              <w:rPr>
                <w:rFonts w:ascii="Calibri" w:cs="Calibri" w:eastAsia="Calibri" w:hAnsi="Calibri"/>
                <w:sz w:val="16"/>
                <w:szCs w:val="16"/>
                <w:color w:val="auto"/>
              </w:rPr>
              <w:t>Deferred compensaton</w:t>
            </w:r>
          </w:p>
        </w:tc>
        <w:tc>
          <w:tcPr>
            <w:tcW w:w="2880" w:type="dxa"/>
            <w:vAlign w:val="bottom"/>
          </w:tcPr>
          <w:p>
            <w:pPr>
              <w:jc w:val="right"/>
              <w:ind w:right="459"/>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16"/>
                <w:szCs w:val="16"/>
                <w:b w:val="1"/>
                <w:bCs w:val="1"/>
                <w:color w:val="auto"/>
              </w:rPr>
              <w:t>1,474</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1,474</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R&amp;D expenditures</w:t>
            </w:r>
          </w:p>
        </w:tc>
        <w:tc>
          <w:tcPr>
            <w:tcW w:w="2880" w:type="dxa"/>
            <w:vAlign w:val="bottom"/>
          </w:tcPr>
          <w:p>
            <w:pPr>
              <w:jc w:val="right"/>
              <w:ind w:right="459"/>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16"/>
                <w:szCs w:val="16"/>
                <w:b w:val="1"/>
                <w:bCs w:val="1"/>
                <w:color w:val="auto"/>
              </w:rPr>
              <w:t>1,681</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1,053</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2880" w:type="dxa"/>
            <w:vAlign w:val="bottom"/>
          </w:tcPr>
          <w:p>
            <w:pPr>
              <w:jc w:val="right"/>
              <w:ind w:right="459"/>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16"/>
                <w:szCs w:val="16"/>
                <w:b w:val="1"/>
                <w:bCs w:val="1"/>
                <w:color w:val="auto"/>
              </w:rPr>
              <w:t>4,361</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1,303</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Depreciaton/CCA diferences</w:t>
            </w:r>
          </w:p>
        </w:tc>
        <w:tc>
          <w:tcPr>
            <w:tcW w:w="2880" w:type="dxa"/>
            <w:vAlign w:val="bottom"/>
          </w:tcPr>
          <w:p>
            <w:pPr>
              <w:jc w:val="right"/>
              <w:ind w:right="459"/>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16"/>
                <w:szCs w:val="16"/>
                <w:b w:val="1"/>
                <w:bCs w:val="1"/>
                <w:color w:val="auto"/>
              </w:rPr>
              <w:t>7</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(6)</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Other</w:t>
            </w:r>
          </w:p>
        </w:tc>
        <w:tc>
          <w:tcPr>
            <w:tcW w:w="2880" w:type="dxa"/>
            <w:vAlign w:val="bottom"/>
          </w:tcPr>
          <w:p>
            <w:pPr>
              <w:jc w:val="right"/>
              <w:ind w:right="459"/>
              <w:spacing w:after="0"/>
              <w:rPr>
                <w:sz w:val="20"/>
                <w:szCs w:val="20"/>
                <w:color w:val="auto"/>
              </w:rPr>
            </w:pPr>
            <w:r>
              <w:rPr>
                <w:rFonts w:ascii="Calibri" w:cs="Calibri" w:eastAsia="Calibri" w:hAnsi="Calibri"/>
                <w:sz w:val="16"/>
                <w:szCs w:val="16"/>
                <w:b w:val="1"/>
                <w:bCs w:val="1"/>
                <w:color w:val="auto"/>
              </w:rPr>
              <w:t>$</w:t>
            </w:r>
          </w:p>
        </w:tc>
        <w:tc>
          <w:tcPr>
            <w:tcW w:w="2060" w:type="dxa"/>
            <w:vAlign w:val="bottom"/>
            <w:gridSpan w:val="2"/>
          </w:tcPr>
          <w:p>
            <w:pPr>
              <w:jc w:val="right"/>
              <w:ind w:right="259"/>
              <w:spacing w:after="0"/>
              <w:rPr>
                <w:sz w:val="20"/>
                <w:szCs w:val="20"/>
                <w:color w:val="auto"/>
              </w:rPr>
            </w:pP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6</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5"/>
        </w:trPr>
        <w:tc>
          <w:tcPr>
            <w:tcW w:w="4220" w:type="dxa"/>
            <w:vAlign w:val="bottom"/>
          </w:tcPr>
          <w:p>
            <w:pPr>
              <w:spacing w:after="0"/>
              <w:rPr>
                <w:sz w:val="16"/>
                <w:szCs w:val="16"/>
                <w:color w:val="auto"/>
              </w:rPr>
            </w:pPr>
          </w:p>
        </w:tc>
        <w:tc>
          <w:tcPr>
            <w:tcW w:w="2880" w:type="dxa"/>
            <w:vAlign w:val="bottom"/>
          </w:tcPr>
          <w:p>
            <w:pPr>
              <w:jc w:val="right"/>
              <w:ind w:right="459"/>
              <w:spacing w:after="0" w:line="185" w:lineRule="exact"/>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50,606</w:t>
            </w:r>
          </w:p>
        </w:tc>
        <w:tc>
          <w:tcPr>
            <w:tcW w:w="460" w:type="dxa"/>
            <w:vAlign w:val="bottom"/>
          </w:tcPr>
          <w:p>
            <w:pPr>
              <w:jc w:val="right"/>
              <w:ind w:right="259"/>
              <w:spacing w:after="0" w:line="185" w:lineRule="exact"/>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line="185" w:lineRule="exact"/>
              <w:rPr>
                <w:sz w:val="20"/>
                <w:szCs w:val="20"/>
                <w:color w:val="auto"/>
              </w:rPr>
            </w:pPr>
            <w:r>
              <w:rPr>
                <w:rFonts w:ascii="Calibri" w:cs="Calibri" w:eastAsia="Calibri" w:hAnsi="Calibri"/>
                <w:sz w:val="16"/>
                <w:szCs w:val="16"/>
                <w:color w:val="auto"/>
              </w:rPr>
              <w:t>23,201</w:t>
            </w:r>
          </w:p>
        </w:tc>
      </w:tr>
      <w:tr>
        <w:trPr>
          <w:trHeight w:val="198"/>
        </w:trPr>
        <w:tc>
          <w:tcPr>
            <w:tcW w:w="4220" w:type="dxa"/>
            <w:vAlign w:val="bottom"/>
          </w:tcPr>
          <w:p>
            <w:pPr>
              <w:ind w:left="20"/>
              <w:spacing w:after="0"/>
              <w:rPr>
                <w:sz w:val="20"/>
                <w:szCs w:val="20"/>
                <w:color w:val="auto"/>
              </w:rPr>
            </w:pPr>
            <w:r>
              <w:rPr>
                <w:rFonts w:ascii="Calibri" w:cs="Calibri" w:eastAsia="Calibri" w:hAnsi="Calibri"/>
                <w:sz w:val="16"/>
                <w:szCs w:val="16"/>
                <w:color w:val="auto"/>
              </w:rPr>
              <w:t>Valuaton allowance</w:t>
            </w:r>
          </w:p>
        </w:tc>
        <w:tc>
          <w:tcPr>
            <w:tcW w:w="2880" w:type="dxa"/>
            <w:vAlign w:val="bottom"/>
          </w:tcPr>
          <w:p>
            <w:pPr>
              <w:jc w:val="right"/>
              <w:ind w:right="459"/>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16"/>
                <w:szCs w:val="16"/>
                <w:b w:val="1"/>
                <w:bCs w:val="1"/>
                <w:color w:val="auto"/>
              </w:rPr>
              <w:t>(50,606)</w:t>
            </w:r>
          </w:p>
        </w:tc>
        <w:tc>
          <w:tcPr>
            <w:tcW w:w="46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color w:val="auto"/>
              </w:rPr>
              <w:t>(23,201)</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2"/>
        </w:trPr>
        <w:tc>
          <w:tcPr>
            <w:tcW w:w="4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459"/>
              <w:spacing w:after="0" w:line="192" w:lineRule="exact"/>
              <w:rPr>
                <w:sz w:val="20"/>
                <w:szCs w:val="20"/>
                <w:color w:val="auto"/>
              </w:rPr>
            </w:pPr>
            <w:r>
              <w:rPr>
                <w:rFonts w:ascii="Calibri" w:cs="Calibri" w:eastAsia="Calibri" w:hAnsi="Calibri"/>
                <w:sz w:val="16"/>
                <w:szCs w:val="16"/>
                <w:b w:val="1"/>
                <w:bCs w:val="1"/>
                <w:color w:val="auto"/>
              </w:rPr>
              <w:t>$</w:t>
            </w:r>
          </w:p>
        </w:tc>
        <w:tc>
          <w:tcPr>
            <w:tcW w:w="2060" w:type="dxa"/>
            <w:vAlign w:val="bottom"/>
            <w:tcBorders>
              <w:bottom w:val="single" w:sz="8" w:color="auto"/>
            </w:tcBorders>
            <w:gridSpan w:val="2"/>
          </w:tcPr>
          <w:p>
            <w:pPr>
              <w:jc w:val="right"/>
              <w:ind w:right="259"/>
              <w:spacing w:after="0" w:line="192" w:lineRule="exact"/>
              <w:rPr>
                <w:sz w:val="20"/>
                <w:szCs w:val="20"/>
                <w:color w:val="auto"/>
              </w:rPr>
            </w:pP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t>
            </w:r>
          </w:p>
        </w:tc>
        <w:tc>
          <w:tcPr>
            <w:tcW w:w="14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50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66" w:name="page67"/>
    <w:bookmarkEnd w:id="6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60" w:right="12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714629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The non-capital losses in Canada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136525</wp:posOffset>
            </wp:positionV>
            <wp:extent cx="66916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197"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13335</wp:posOffset>
            </wp:positionV>
            <wp:extent cx="66916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620" w:type="dxa"/>
            <w:vAlign w:val="bottom"/>
          </w:tcPr>
          <w:p>
            <w:pPr>
              <w:ind w:left="20"/>
              <w:spacing w:after="0"/>
              <w:rPr>
                <w:sz w:val="20"/>
                <w:szCs w:val="20"/>
                <w:color w:val="auto"/>
              </w:rPr>
            </w:pPr>
            <w:r>
              <w:rPr>
                <w:rFonts w:ascii="Calibri" w:cs="Calibri" w:eastAsia="Calibri" w:hAnsi="Calibri"/>
                <w:sz w:val="16"/>
                <w:szCs w:val="16"/>
                <w:color w:val="auto"/>
              </w:rPr>
              <w:t>2040</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740</w:t>
            </w:r>
          </w:p>
        </w:tc>
        <w:tc>
          <w:tcPr>
            <w:tcW w:w="20" w:type="dxa"/>
            <w:vAlign w:val="bottom"/>
          </w:tcPr>
          <w:p>
            <w:pPr>
              <w:spacing w:after="0"/>
              <w:rPr>
                <w:sz w:val="16"/>
                <w:szCs w:val="16"/>
                <w:color w:val="auto"/>
              </w:rPr>
            </w:pPr>
          </w:p>
        </w:tc>
      </w:tr>
      <w:tr>
        <w:trPr>
          <w:trHeight w:val="206"/>
        </w:trPr>
        <w:tc>
          <w:tcPr>
            <w:tcW w:w="6620" w:type="dxa"/>
            <w:vAlign w:val="bottom"/>
          </w:tcPr>
          <w:p>
            <w:pPr>
              <w:ind w:left="20"/>
              <w:spacing w:after="0"/>
              <w:rPr>
                <w:sz w:val="20"/>
                <w:szCs w:val="20"/>
                <w:color w:val="auto"/>
              </w:rPr>
            </w:pPr>
            <w:r>
              <w:rPr>
                <w:rFonts w:ascii="Calibri" w:cs="Calibri" w:eastAsia="Calibri" w:hAnsi="Calibri"/>
                <w:sz w:val="16"/>
                <w:szCs w:val="16"/>
                <w:color w:val="auto"/>
              </w:rPr>
              <w:t>2041</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19,193</w:t>
            </w:r>
          </w:p>
        </w:tc>
        <w:tc>
          <w:tcPr>
            <w:tcW w:w="20" w:type="dxa"/>
            <w:vAlign w:val="bottom"/>
          </w:tcPr>
          <w:p>
            <w:pPr>
              <w:spacing w:after="0"/>
              <w:rPr>
                <w:sz w:val="17"/>
                <w:szCs w:val="17"/>
                <w:color w:val="auto"/>
              </w:rPr>
            </w:pPr>
          </w:p>
        </w:tc>
      </w:tr>
      <w:tr>
        <w:trPr>
          <w:trHeight w:val="206"/>
        </w:trPr>
        <w:tc>
          <w:tcPr>
            <w:tcW w:w="6620" w:type="dxa"/>
            <w:vAlign w:val="bottom"/>
          </w:tcPr>
          <w:p>
            <w:pPr>
              <w:ind w:left="20"/>
              <w:spacing w:after="0"/>
              <w:rPr>
                <w:sz w:val="20"/>
                <w:szCs w:val="20"/>
                <w:color w:val="auto"/>
              </w:rPr>
            </w:pPr>
            <w:r>
              <w:rPr>
                <w:rFonts w:ascii="Calibri" w:cs="Calibri" w:eastAsia="Calibri" w:hAnsi="Calibri"/>
                <w:sz w:val="16"/>
                <w:szCs w:val="16"/>
                <w:color w:val="auto"/>
              </w:rPr>
              <w:t>2042</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12,234</w:t>
            </w:r>
          </w:p>
        </w:tc>
        <w:tc>
          <w:tcPr>
            <w:tcW w:w="20" w:type="dxa"/>
            <w:vAlign w:val="bottom"/>
          </w:tcPr>
          <w:p>
            <w:pPr>
              <w:spacing w:after="0"/>
              <w:rPr>
                <w:sz w:val="17"/>
                <w:szCs w:val="17"/>
                <w:color w:val="auto"/>
              </w:rPr>
            </w:pPr>
          </w:p>
        </w:tc>
      </w:tr>
      <w:tr>
        <w:trPr>
          <w:trHeight w:val="206"/>
        </w:trPr>
        <w:tc>
          <w:tcPr>
            <w:tcW w:w="6620" w:type="dxa"/>
            <w:vAlign w:val="bottom"/>
          </w:tcPr>
          <w:p>
            <w:pPr>
              <w:ind w:left="20"/>
              <w:spacing w:after="0"/>
              <w:rPr>
                <w:sz w:val="20"/>
                <w:szCs w:val="20"/>
                <w:color w:val="auto"/>
              </w:rPr>
            </w:pPr>
            <w:r>
              <w:rPr>
                <w:rFonts w:ascii="Calibri" w:cs="Calibri" w:eastAsia="Calibri" w:hAnsi="Calibri"/>
                <w:sz w:val="16"/>
                <w:szCs w:val="16"/>
                <w:color w:val="auto"/>
              </w:rPr>
              <w:t>2043</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10,704</w:t>
            </w:r>
          </w:p>
        </w:tc>
        <w:tc>
          <w:tcPr>
            <w:tcW w:w="20" w:type="dxa"/>
            <w:vAlign w:val="bottom"/>
          </w:tcPr>
          <w:p>
            <w:pPr>
              <w:spacing w:after="0"/>
              <w:rPr>
                <w:sz w:val="17"/>
                <w:szCs w:val="17"/>
                <w:color w:val="auto"/>
              </w:rPr>
            </w:pPr>
          </w:p>
        </w:tc>
      </w:tr>
      <w:tr>
        <w:trPr>
          <w:trHeight w:val="206"/>
        </w:trPr>
        <w:tc>
          <w:tcPr>
            <w:tcW w:w="6620" w:type="dxa"/>
            <w:vAlign w:val="bottom"/>
          </w:tcPr>
          <w:p>
            <w:pPr>
              <w:ind w:left="20"/>
              <w:spacing w:after="0"/>
              <w:rPr>
                <w:sz w:val="20"/>
                <w:szCs w:val="20"/>
                <w:color w:val="auto"/>
              </w:rPr>
            </w:pPr>
            <w:r>
              <w:rPr>
                <w:rFonts w:ascii="Calibri" w:cs="Calibri" w:eastAsia="Calibri" w:hAnsi="Calibri"/>
                <w:sz w:val="16"/>
                <w:szCs w:val="16"/>
                <w:color w:val="auto"/>
              </w:rPr>
              <w:t>2044</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24,397</w:t>
            </w:r>
          </w:p>
        </w:tc>
        <w:tc>
          <w:tcPr>
            <w:tcW w:w="20" w:type="dxa"/>
            <w:vAlign w:val="bottom"/>
          </w:tcPr>
          <w:p>
            <w:pPr>
              <w:spacing w:after="0"/>
              <w:rPr>
                <w:sz w:val="17"/>
                <w:szCs w:val="17"/>
                <w:color w:val="auto"/>
              </w:rPr>
            </w:pP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2"/>
        </w:trPr>
        <w:tc>
          <w:tcPr>
            <w:tcW w:w="66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67,268</w:t>
            </w:r>
          </w:p>
        </w:tc>
        <w:tc>
          <w:tcPr>
            <w:tcW w:w="20" w:type="dxa"/>
            <w:vAlign w:val="bottom"/>
            <w:tcBorders>
              <w:bottom w:val="single" w:sz="8" w:color="auto"/>
            </w:tcBorders>
          </w:tcPr>
          <w:p>
            <w:pPr>
              <w:spacing w:after="0"/>
              <w:rPr>
                <w:sz w:val="16"/>
                <w:szCs w:val="16"/>
                <w:color w:val="auto"/>
              </w:rPr>
            </w:pPr>
          </w:p>
        </w:tc>
      </w:tr>
      <w:tr>
        <w:trPr>
          <w:trHeight w:val="415"/>
        </w:trPr>
        <w:tc>
          <w:tcPr>
            <w:tcW w:w="6620" w:type="dxa"/>
            <w:vAlign w:val="bottom"/>
          </w:tcPr>
          <w:p>
            <w:pPr>
              <w:spacing w:after="0"/>
              <w:rPr>
                <w:sz w:val="20"/>
                <w:szCs w:val="20"/>
                <w:color w:val="auto"/>
              </w:rPr>
            </w:pPr>
            <w:r>
              <w:rPr>
                <w:rFonts w:ascii="Calibri" w:cs="Calibri" w:eastAsia="Calibri" w:hAnsi="Calibri"/>
                <w:sz w:val="16"/>
                <w:szCs w:val="16"/>
                <w:color w:val="auto"/>
              </w:rPr>
              <w:t>This loss carryforward in the United States consists of:</w:t>
            </w:r>
          </w:p>
        </w:tc>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66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6620" w:type="dxa"/>
            <w:vAlign w:val="bottom"/>
          </w:tcPr>
          <w:p>
            <w:pPr>
              <w:ind w:left="20"/>
              <w:spacing w:after="0" w:line="185" w:lineRule="exact"/>
              <w:rPr>
                <w:sz w:val="20"/>
                <w:szCs w:val="20"/>
                <w:color w:val="auto"/>
              </w:rPr>
            </w:pPr>
            <w:r>
              <w:rPr>
                <w:rFonts w:ascii="Calibri" w:cs="Calibri" w:eastAsia="Calibri" w:hAnsi="Calibri"/>
                <w:sz w:val="16"/>
                <w:szCs w:val="16"/>
                <w:color w:val="auto"/>
              </w:rPr>
              <w:t>Pre-acquisiton loss generated in the period ended December 4, 2020</w:t>
            </w:r>
          </w:p>
        </w:tc>
        <w:tc>
          <w:tcPr>
            <w:tcW w:w="2840" w:type="dxa"/>
            <w:vAlign w:val="bottom"/>
          </w:tcPr>
          <w:p>
            <w:pPr>
              <w:jc w:val="right"/>
              <w:ind w:right="499"/>
              <w:spacing w:after="0" w:line="185" w:lineRule="exact"/>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992</w:t>
            </w:r>
          </w:p>
        </w:tc>
        <w:tc>
          <w:tcPr>
            <w:tcW w:w="20" w:type="dxa"/>
            <w:vAlign w:val="bottom"/>
          </w:tcPr>
          <w:p>
            <w:pPr>
              <w:spacing w:after="0"/>
              <w:rPr>
                <w:sz w:val="16"/>
                <w:szCs w:val="16"/>
                <w:color w:val="auto"/>
              </w:rPr>
            </w:pPr>
          </w:p>
        </w:tc>
      </w:tr>
      <w:tr>
        <w:trPr>
          <w:trHeight w:val="198"/>
        </w:trPr>
        <w:tc>
          <w:tcPr>
            <w:tcW w:w="6620" w:type="dxa"/>
            <w:vAlign w:val="bottom"/>
          </w:tcPr>
          <w:p>
            <w:pPr>
              <w:ind w:left="20"/>
              <w:spacing w:after="0"/>
              <w:rPr>
                <w:sz w:val="20"/>
                <w:szCs w:val="20"/>
                <w:color w:val="auto"/>
              </w:rPr>
            </w:pPr>
            <w:r>
              <w:rPr>
                <w:rFonts w:ascii="Calibri" w:cs="Calibri" w:eastAsia="Calibri" w:hAnsi="Calibri"/>
                <w:sz w:val="16"/>
                <w:szCs w:val="16"/>
                <w:color w:val="auto"/>
              </w:rPr>
              <w:t>Post-acquisiton loss generated in the period ending March 31, 2021</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1,323</w:t>
            </w:r>
          </w:p>
        </w:tc>
        <w:tc>
          <w:tcPr>
            <w:tcW w:w="20" w:type="dxa"/>
            <w:vAlign w:val="bottom"/>
          </w:tcPr>
          <w:p>
            <w:pPr>
              <w:spacing w:after="0"/>
              <w:rPr>
                <w:sz w:val="17"/>
                <w:szCs w:val="17"/>
                <w:color w:val="auto"/>
              </w:rPr>
            </w:pPr>
          </w:p>
        </w:tc>
      </w:tr>
      <w:tr>
        <w:trPr>
          <w:trHeight w:val="206"/>
        </w:trPr>
        <w:tc>
          <w:tcPr>
            <w:tcW w:w="662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2022</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5,849</w:t>
            </w:r>
          </w:p>
        </w:tc>
        <w:tc>
          <w:tcPr>
            <w:tcW w:w="20" w:type="dxa"/>
            <w:vAlign w:val="bottom"/>
          </w:tcPr>
          <w:p>
            <w:pPr>
              <w:spacing w:after="0"/>
              <w:rPr>
                <w:sz w:val="17"/>
                <w:szCs w:val="17"/>
                <w:color w:val="auto"/>
              </w:rPr>
            </w:pPr>
          </w:p>
        </w:tc>
      </w:tr>
      <w:tr>
        <w:trPr>
          <w:trHeight w:val="206"/>
        </w:trPr>
        <w:tc>
          <w:tcPr>
            <w:tcW w:w="662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2023</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5,311</w:t>
            </w:r>
          </w:p>
        </w:tc>
        <w:tc>
          <w:tcPr>
            <w:tcW w:w="20" w:type="dxa"/>
            <w:vAlign w:val="bottom"/>
          </w:tcPr>
          <w:p>
            <w:pPr>
              <w:spacing w:after="0"/>
              <w:rPr>
                <w:sz w:val="17"/>
                <w:szCs w:val="17"/>
                <w:color w:val="auto"/>
              </w:rPr>
            </w:pPr>
          </w:p>
        </w:tc>
      </w:tr>
      <w:tr>
        <w:trPr>
          <w:trHeight w:val="206"/>
        </w:trPr>
        <w:tc>
          <w:tcPr>
            <w:tcW w:w="662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2024</w:t>
            </w:r>
          </w:p>
        </w:tc>
        <w:tc>
          <w:tcPr>
            <w:tcW w:w="28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b w:val="1"/>
                <w:bCs w:val="1"/>
                <w:color w:val="auto"/>
              </w:rPr>
              <w:t>2,792</w:t>
            </w:r>
          </w:p>
        </w:tc>
        <w:tc>
          <w:tcPr>
            <w:tcW w:w="20" w:type="dxa"/>
            <w:vAlign w:val="bottom"/>
          </w:tcPr>
          <w:p>
            <w:pPr>
              <w:spacing w:after="0"/>
              <w:rPr>
                <w:sz w:val="17"/>
                <w:szCs w:val="17"/>
                <w:color w:val="auto"/>
              </w:rPr>
            </w:pP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66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b w:val="1"/>
                <w:bCs w:val="1"/>
                <w:color w:val="auto"/>
              </w:rPr>
              <w:t>$</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16,267</w:t>
            </w:r>
          </w:p>
        </w:tc>
        <w:tc>
          <w:tcPr>
            <w:tcW w:w="20" w:type="dxa"/>
            <w:vAlign w:val="bottom"/>
          </w:tcPr>
          <w:p>
            <w:pPr>
              <w:spacing w:after="0"/>
              <w:rPr>
                <w:sz w:val="16"/>
                <w:szCs w:val="16"/>
                <w:color w:val="auto"/>
              </w:rPr>
            </w:pPr>
          </w:p>
        </w:tc>
      </w:tr>
    </w:tbl>
    <w:p>
      <w:pPr>
        <w:spacing w:after="0" w:line="65" w:lineRule="exact"/>
        <w:rPr>
          <w:sz w:val="20"/>
          <w:szCs w:val="20"/>
          <w:color w:val="auto"/>
        </w:rPr>
      </w:pPr>
    </w:p>
    <w:p>
      <w:pPr>
        <w:ind w:left="280" w:right="40"/>
        <w:spacing w:after="0" w:line="238"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March 31, 2024, the annual limitaton was $144.</w:t>
      </w:r>
    </w:p>
    <w:p>
      <w:pPr>
        <w:spacing w:after="0" w:line="157"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156"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non-capital losses in Ireland expire as follows:</w:t>
      </w: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28575</wp:posOffset>
            </wp:positionV>
            <wp:extent cx="67691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69100" cy="7620"/>
                    </a:xfrm>
                    <a:prstGeom prst="rect">
                      <a:avLst/>
                    </a:prstGeom>
                    <a:noFill/>
                  </pic:spPr>
                </pic:pic>
              </a:graphicData>
            </a:graphic>
          </wp:anchor>
        </w:drawing>
      </w:r>
    </w:p>
    <w:p>
      <w:pPr>
        <w:spacing w:after="0" w:line="27"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580" w:type="dxa"/>
            <w:vAlign w:val="bottom"/>
          </w:tcPr>
          <w:p>
            <w:pPr>
              <w:jc w:val="right"/>
              <w:ind w:right="4159"/>
              <w:spacing w:after="0"/>
              <w:rPr>
                <w:sz w:val="20"/>
                <w:szCs w:val="20"/>
                <w:color w:val="auto"/>
              </w:rPr>
            </w:pPr>
            <w:r>
              <w:rPr>
                <w:rFonts w:ascii="Calibri" w:cs="Calibri" w:eastAsia="Calibri" w:hAnsi="Calibri"/>
                <w:sz w:val="16"/>
                <w:szCs w:val="16"/>
                <w:color w:val="auto"/>
                <w:w w:val="98"/>
              </w:rPr>
              <w:t>2042</w:t>
            </w:r>
          </w:p>
        </w:tc>
        <w:tc>
          <w:tcPr>
            <w:tcW w:w="49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b w:val="1"/>
                <w:bCs w:val="1"/>
                <w:color w:val="auto"/>
              </w:rPr>
              <w:t>22,965</w:t>
            </w:r>
          </w:p>
        </w:tc>
      </w:tr>
      <w:tr>
        <w:trPr>
          <w:trHeight w:val="243"/>
        </w:trPr>
        <w:tc>
          <w:tcPr>
            <w:tcW w:w="4580" w:type="dxa"/>
            <w:vAlign w:val="bottom"/>
          </w:tcPr>
          <w:p>
            <w:pPr>
              <w:jc w:val="right"/>
              <w:ind w:right="4159"/>
              <w:spacing w:after="0"/>
              <w:rPr>
                <w:sz w:val="20"/>
                <w:szCs w:val="20"/>
                <w:color w:val="auto"/>
              </w:rPr>
            </w:pPr>
            <w:r>
              <w:rPr>
                <w:rFonts w:ascii="Calibri" w:cs="Calibri" w:eastAsia="Calibri" w:hAnsi="Calibri"/>
                <w:sz w:val="16"/>
                <w:szCs w:val="16"/>
                <w:color w:val="auto"/>
                <w:w w:val="98"/>
              </w:rPr>
              <w:t>2043</w:t>
            </w:r>
          </w:p>
        </w:tc>
        <w:tc>
          <w:tcPr>
            <w:tcW w:w="49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b w:val="1"/>
                <w:bCs w:val="1"/>
                <w:color w:val="auto"/>
              </w:rPr>
              <w:t>23,017</w:t>
            </w:r>
          </w:p>
        </w:tc>
      </w:tr>
      <w:tr>
        <w:trPr>
          <w:trHeight w:val="243"/>
        </w:trPr>
        <w:tc>
          <w:tcPr>
            <w:tcW w:w="4580" w:type="dxa"/>
            <w:vAlign w:val="bottom"/>
          </w:tcPr>
          <w:p>
            <w:pPr>
              <w:jc w:val="right"/>
              <w:ind w:right="4159"/>
              <w:spacing w:after="0"/>
              <w:rPr>
                <w:sz w:val="20"/>
                <w:szCs w:val="20"/>
                <w:color w:val="auto"/>
              </w:rPr>
            </w:pPr>
            <w:r>
              <w:rPr>
                <w:rFonts w:ascii="Calibri" w:cs="Calibri" w:eastAsia="Calibri" w:hAnsi="Calibri"/>
                <w:sz w:val="16"/>
                <w:szCs w:val="16"/>
                <w:color w:val="auto"/>
                <w:w w:val="98"/>
              </w:rPr>
              <w:t>2044</w:t>
            </w:r>
          </w:p>
        </w:tc>
        <w:tc>
          <w:tcPr>
            <w:tcW w:w="49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b w:val="1"/>
                <w:bCs w:val="1"/>
                <w:color w:val="auto"/>
              </w:rPr>
              <w:t>33,857</w:t>
            </w:r>
          </w:p>
        </w:tc>
      </w:tr>
      <w:tr>
        <w:trPr>
          <w:trHeight w:val="45"/>
        </w:trPr>
        <w:tc>
          <w:tcPr>
            <w:tcW w:w="4580" w:type="dxa"/>
            <w:vAlign w:val="bottom"/>
            <w:tcBorders>
              <w:bottom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2"/>
        </w:trPr>
        <w:tc>
          <w:tcPr>
            <w:tcW w:w="458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79,839</w:t>
            </w:r>
          </w:p>
        </w:tc>
      </w:tr>
    </w:tbl>
    <w:p>
      <w:pPr>
        <w:spacing w:after="0" w:line="221"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17.</w:t>
      </w:r>
      <w:r>
        <w:rPr>
          <w:sz w:val="20"/>
          <w:szCs w:val="20"/>
          <w:color w:val="auto"/>
        </w:rPr>
        <w:tab/>
      </w:r>
      <w:r>
        <w:rPr>
          <w:rFonts w:ascii="Calibri" w:cs="Calibri" w:eastAsia="Calibri" w:hAnsi="Calibri"/>
          <w:sz w:val="15"/>
          <w:szCs w:val="15"/>
          <w:b w:val="1"/>
          <w:bCs w:val="1"/>
          <w:color w:val="2D5F91"/>
        </w:rPr>
        <w:t>SUBSEQUENT EVENTS</w:t>
      </w:r>
    </w:p>
    <w:p>
      <w:pPr>
        <w:spacing w:after="0" w:line="1" w:lineRule="exact"/>
        <w:rPr>
          <w:sz w:val="20"/>
          <w:szCs w:val="20"/>
          <w:color w:val="auto"/>
        </w:rPr>
      </w:pPr>
    </w:p>
    <w:p>
      <w:pPr>
        <w:ind w:right="4620"/>
        <w:spacing w:after="0" w:line="238" w:lineRule="auto"/>
        <w:rPr>
          <w:sz w:val="20"/>
          <w:szCs w:val="20"/>
          <w:color w:val="auto"/>
        </w:rPr>
      </w:pPr>
      <w:r>
        <w:rPr>
          <w:rFonts w:ascii="Calibri" w:cs="Calibri" w:eastAsia="Calibri" w:hAnsi="Calibri"/>
          <w:sz w:val="16"/>
          <w:szCs w:val="16"/>
          <w:color w:val="auto"/>
        </w:rPr>
        <w:t>On April 1, 2024, pursuant to the provisions of the Business Corporatons Act (Ontario), Small Pharma completed a horizontal amalgamaton with Cybin Corp., with Cybin Corp. being the resultng entty. As a result of this amalgamaton, Cybin UK Ltd. is now a wholly-owned subsidiary of Cybin Corp.</w:t>
      </w:r>
    </w:p>
    <w:p>
      <w:pPr>
        <w:spacing w:after="0" w:line="147" w:lineRule="exact"/>
        <w:rPr>
          <w:sz w:val="20"/>
          <w:szCs w:val="20"/>
          <w:color w:val="auto"/>
        </w:rPr>
      </w:pPr>
    </w:p>
    <w:p>
      <w:pPr>
        <w:ind w:left="280"/>
        <w:spacing w:after="0" w:line="230" w:lineRule="auto"/>
        <w:rPr>
          <w:sz w:val="20"/>
          <w:szCs w:val="20"/>
          <w:color w:val="auto"/>
        </w:rPr>
      </w:pPr>
      <w:r>
        <w:rPr>
          <w:rFonts w:ascii="Calibri" w:cs="Calibri" w:eastAsia="Calibri" w:hAnsi="Calibri"/>
          <w:sz w:val="16"/>
          <w:szCs w:val="16"/>
          <w:color w:val="auto"/>
        </w:rPr>
        <w:t>On April 5, 2024, the Company granted optons to purchase up to 11,715,000 Common Shares, of which 7,250,000 were granted to ofcers and 4,465,000 were granted to employees. The granted optons have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51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17169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7" w:name="page68"/>
    <w:bookmarkEnd w:id="67"/>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714629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exercise price of $0.56 per Common Share. All the optons expire on April 5, 2029. 1,464,375 optons vest immediately and 10,250,625 optons vest over two years.</w:t>
      </w:r>
    </w:p>
    <w:p>
      <w:pPr>
        <w:spacing w:after="0" w:line="20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On May 5, 2024, the Company cancelled optons(price ranged from $0.715 to $3.15) to purchase up to 45,586,900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Calibri" w:cs="Calibri" w:eastAsia="Calibri" w:hAnsi="Calibri"/>
          <w:sz w:val="16"/>
          <w:szCs w:val="16"/>
          <w:b w:val="1"/>
          <w:bCs w:val="1"/>
          <w:color w:val="auto"/>
        </w:rPr>
        <w:t>Page 52 of 52</w:t>
      </w:r>
    </w:p>
    <w:p>
      <w:pPr>
        <w:sectPr>
          <w:pgSz w:w="11900" w:h="16838" w:orient="portrait"/>
          <w:cols w:equalWidth="0" w:num="1">
            <w:col w:w="11060"/>
          </w:cols>
          <w:pgMar w:left="380" w:top="162" w:right="4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3104515</wp:posOffset>
            </wp:positionH>
            <wp:positionV relativeFrom="page">
              <wp:posOffset>2753360</wp:posOffset>
            </wp:positionV>
            <wp:extent cx="1193800" cy="6927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93800" cy="69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INFORMATION FORM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25, 2024</w:t>
      </w:r>
    </w:p>
    <w:p>
      <w:pPr>
        <w:sectPr>
          <w:pgSz w:w="11900" w:h="16838" w:orient="portrait"/>
          <w:cols w:equalWidth="0" w:num="1">
            <w:col w:w="9019"/>
          </w:cols>
          <w:pgMar w:left="1440" w:top="1440" w:right="1440" w:bottom="1440" w:gutter="0" w:footer="0" w:header="0"/>
        </w:sectPr>
      </w:pPr>
    </w:p>
    <w:bookmarkStart w:id="69" w:name="page70"/>
    <w:bookmarkEnd w:id="6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GENERAL</w:t>
            </w: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7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w w:val="97"/>
              </w:rPr>
              <w:t>CAUTIONARY NOTE REGARDING FORWARD-LOOKING STATEMENTS</w:t>
            </w:r>
          </w:p>
        </w:tc>
        <w:tc>
          <w:tcPr>
            <w:tcW w:w="2920" w:type="dxa"/>
            <w:vAlign w:val="bottom"/>
            <w:gridSpan w:val="3"/>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gridSpan w:val="17"/>
            <w:vMerge w:val="continue"/>
          </w:tcPr>
          <w:p>
            <w:pPr>
              <w:spacing w:after="0" w:line="20" w:lineRule="exact"/>
              <w:rPr>
                <w:sz w:val="1"/>
                <w:szCs w:val="1"/>
                <w:color w:val="auto"/>
              </w:rPr>
            </w:pPr>
          </w:p>
        </w:tc>
        <w:tc>
          <w:tcPr>
            <w:tcW w:w="2920" w:type="dxa"/>
            <w:vAlign w:val="bottom"/>
            <w:gridSpan w:val="3"/>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720" w:type="dxa"/>
            <w:vAlign w:val="bottom"/>
            <w:tcBorders>
              <w:bottom w:val="single" w:sz="8" w:color="auto"/>
            </w:tcBorders>
            <w:gridSpan w:val="17"/>
            <w:vMerge w:val="continue"/>
          </w:tcPr>
          <w:p>
            <w:pPr>
              <w:spacing w:after="0"/>
              <w:rPr>
                <w:sz w:val="21"/>
                <w:szCs w:val="21"/>
                <w:color w:val="auto"/>
              </w:rPr>
            </w:pPr>
          </w:p>
        </w:tc>
        <w:tc>
          <w:tcPr>
            <w:tcW w:w="2920" w:type="dxa"/>
            <w:vAlign w:val="bottom"/>
            <w:gridSpan w:val="3"/>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1"/>
        </w:trPr>
        <w:tc>
          <w:tcPr>
            <w:tcW w:w="26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w w:val="97"/>
              </w:rPr>
              <w:t>MARKET AND INDUSTRY DATA</w:t>
            </w:r>
          </w:p>
        </w:tc>
        <w:tc>
          <w:tcPr>
            <w:tcW w:w="5960" w:type="dxa"/>
            <w:vAlign w:val="bottom"/>
            <w:gridSpan w:val="10"/>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80" w:type="dxa"/>
            <w:vAlign w:val="bottom"/>
            <w:gridSpan w:val="10"/>
            <w:vMerge w:val="continue"/>
          </w:tcPr>
          <w:p>
            <w:pPr>
              <w:spacing w:after="0" w:line="20" w:lineRule="exact"/>
              <w:rPr>
                <w:sz w:val="1"/>
                <w:szCs w:val="1"/>
                <w:color w:val="auto"/>
              </w:rPr>
            </w:pPr>
          </w:p>
        </w:tc>
        <w:tc>
          <w:tcPr>
            <w:tcW w:w="5960" w:type="dxa"/>
            <w:vAlign w:val="bottom"/>
            <w:gridSpan w:val="1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680" w:type="dxa"/>
            <w:vAlign w:val="bottom"/>
            <w:tcBorders>
              <w:bottom w:val="single" w:sz="8" w:color="auto"/>
            </w:tcBorders>
            <w:gridSpan w:val="10"/>
            <w:vMerge w:val="continue"/>
          </w:tcPr>
          <w:p>
            <w:pPr>
              <w:spacing w:after="0"/>
              <w:rPr>
                <w:sz w:val="21"/>
                <w:szCs w:val="21"/>
                <w:color w:val="auto"/>
              </w:rPr>
            </w:pPr>
          </w:p>
        </w:tc>
        <w:tc>
          <w:tcPr>
            <w:tcW w:w="5960" w:type="dxa"/>
            <w:vAlign w:val="bottom"/>
            <w:gridSpan w:val="1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REGULATORY</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8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7"/>
              </w:rPr>
              <w:t>GLOSSARY OF TERMS</w:t>
            </w:r>
          </w:p>
        </w:tc>
        <w:tc>
          <w:tcPr>
            <w:tcW w:w="6800" w:type="dxa"/>
            <w:vAlign w:val="bottom"/>
            <w:gridSpan w:val="15"/>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gridSpan w:val="5"/>
            <w:vMerge w:val="continue"/>
          </w:tcPr>
          <w:p>
            <w:pPr>
              <w:spacing w:after="0" w:line="20" w:lineRule="exact"/>
              <w:rPr>
                <w:sz w:val="1"/>
                <w:szCs w:val="1"/>
                <w:color w:val="auto"/>
              </w:rPr>
            </w:pPr>
          </w:p>
        </w:tc>
        <w:tc>
          <w:tcPr>
            <w:tcW w:w="6800" w:type="dxa"/>
            <w:vAlign w:val="bottom"/>
            <w:gridSpan w:val="15"/>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840" w:type="dxa"/>
            <w:vAlign w:val="bottom"/>
            <w:tcBorders>
              <w:bottom w:val="single" w:sz="8" w:color="auto"/>
            </w:tcBorders>
            <w:gridSpan w:val="5"/>
            <w:vMerge w:val="continue"/>
          </w:tcPr>
          <w:p>
            <w:pPr>
              <w:spacing w:after="0"/>
              <w:rPr>
                <w:sz w:val="21"/>
                <w:szCs w:val="21"/>
                <w:color w:val="auto"/>
              </w:rPr>
            </w:pPr>
          </w:p>
        </w:tc>
        <w:tc>
          <w:tcPr>
            <w:tcW w:w="6800" w:type="dxa"/>
            <w:vAlign w:val="bottom"/>
            <w:gridSpan w:val="15"/>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41"/>
        </w:trPr>
        <w:tc>
          <w:tcPr>
            <w:tcW w:w="2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w w:val="96"/>
              </w:rPr>
              <w:t>CORPORATE STRUCTURE</w:t>
            </w:r>
          </w:p>
        </w:tc>
        <w:tc>
          <w:tcPr>
            <w:tcW w:w="6520" w:type="dxa"/>
            <w:vAlign w:val="bottom"/>
            <w:gridSpan w:val="12"/>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gridSpan w:val="8"/>
            <w:vMerge w:val="continue"/>
          </w:tcPr>
          <w:p>
            <w:pPr>
              <w:spacing w:after="0" w:line="20" w:lineRule="exact"/>
              <w:rPr>
                <w:sz w:val="1"/>
                <w:szCs w:val="1"/>
                <w:color w:val="auto"/>
              </w:rPr>
            </w:pPr>
          </w:p>
        </w:tc>
        <w:tc>
          <w:tcPr>
            <w:tcW w:w="6520" w:type="dxa"/>
            <w:vAlign w:val="bottom"/>
            <w:gridSpan w:val="12"/>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120" w:type="dxa"/>
            <w:vAlign w:val="bottom"/>
            <w:tcBorders>
              <w:bottom w:val="single" w:sz="8" w:color="auto"/>
            </w:tcBorders>
            <w:gridSpan w:val="8"/>
            <w:vMerge w:val="continue"/>
          </w:tcPr>
          <w:p>
            <w:pPr>
              <w:spacing w:after="0"/>
              <w:rPr>
                <w:sz w:val="21"/>
                <w:szCs w:val="21"/>
                <w:color w:val="auto"/>
              </w:rPr>
            </w:pPr>
          </w:p>
        </w:tc>
        <w:tc>
          <w:tcPr>
            <w:tcW w:w="6520" w:type="dxa"/>
            <w:vAlign w:val="bottom"/>
            <w:gridSpan w:val="12"/>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GENERAL DEVELOPMENT OF THE BUSINESS</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41"/>
        </w:trPr>
        <w:tc>
          <w:tcPr>
            <w:tcW w:w="2700" w:type="dxa"/>
            <w:vAlign w:val="bottom"/>
            <w:tcBorders>
              <w:top w:val="single" w:sz="8" w:color="auto"/>
            </w:tcBorders>
            <w:gridSpan w:val="11"/>
            <w:vMerge w:val="restart"/>
          </w:tcPr>
          <w:p>
            <w:pPr>
              <w:spacing w:after="0"/>
              <w:rPr>
                <w:sz w:val="20"/>
                <w:szCs w:val="20"/>
                <w:color w:val="auto"/>
              </w:rPr>
            </w:pPr>
            <w:r>
              <w:rPr>
                <w:rFonts w:ascii="Times New Roman" w:cs="Times New Roman" w:eastAsia="Times New Roman" w:hAnsi="Times New Roman"/>
                <w:sz w:val="18"/>
                <w:szCs w:val="18"/>
                <w:color w:val="auto"/>
                <w:w w:val="97"/>
              </w:rPr>
              <w:t>DESCRIPTION OF THE BUSINESS</w:t>
            </w:r>
          </w:p>
        </w:tc>
        <w:tc>
          <w:tcPr>
            <w:tcW w:w="1020" w:type="dxa"/>
            <w:vAlign w:val="bottom"/>
            <w:tcBorders>
              <w:top w:val="single" w:sz="8" w:color="auto"/>
            </w:tcBorders>
            <w:gridSpan w:val="3"/>
            <w:vMerge w:val="restart"/>
          </w:tcPr>
          <w:p>
            <w:pPr>
              <w:spacing w:after="0"/>
              <w:rPr>
                <w:sz w:val="3"/>
                <w:szCs w:val="3"/>
                <w:color w:val="auto"/>
              </w:rPr>
            </w:pPr>
          </w:p>
        </w:tc>
        <w:tc>
          <w:tcPr>
            <w:tcW w:w="4920" w:type="dxa"/>
            <w:vAlign w:val="bottom"/>
            <w:gridSpan w:val="6"/>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700" w:type="dxa"/>
            <w:vAlign w:val="bottom"/>
            <w:gridSpan w:val="11"/>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4920" w:type="dxa"/>
            <w:vAlign w:val="bottom"/>
            <w:gridSpan w:val="6"/>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700" w:type="dxa"/>
            <w:vAlign w:val="bottom"/>
            <w:tcBorders>
              <w:bottom w:val="single" w:sz="8" w:color="auto"/>
            </w:tcBorders>
            <w:gridSpan w:val="11"/>
            <w:vMerge w:val="continue"/>
          </w:tcPr>
          <w:p>
            <w:pPr>
              <w:spacing w:after="0"/>
              <w:rPr>
                <w:sz w:val="21"/>
                <w:szCs w:val="21"/>
                <w:color w:val="auto"/>
              </w:rPr>
            </w:pPr>
          </w:p>
        </w:tc>
        <w:tc>
          <w:tcPr>
            <w:tcW w:w="1020" w:type="dxa"/>
            <w:vAlign w:val="bottom"/>
            <w:gridSpan w:val="3"/>
            <w:vMerge w:val="continue"/>
          </w:tcPr>
          <w:p>
            <w:pPr>
              <w:spacing w:after="0"/>
              <w:rPr>
                <w:sz w:val="21"/>
                <w:szCs w:val="21"/>
                <w:color w:val="auto"/>
              </w:rPr>
            </w:pPr>
          </w:p>
        </w:tc>
        <w:tc>
          <w:tcPr>
            <w:tcW w:w="4920" w:type="dxa"/>
            <w:vAlign w:val="bottom"/>
            <w:gridSpan w:val="6"/>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41"/>
        </w:trPr>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6"/>
              </w:rPr>
              <w:t>RISK FACTORS</w:t>
            </w:r>
          </w:p>
        </w:tc>
        <w:tc>
          <w:tcPr>
            <w:tcW w:w="7400" w:type="dxa"/>
            <w:vAlign w:val="bottom"/>
            <w:gridSpan w:val="17"/>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40" w:type="dxa"/>
            <w:vAlign w:val="bottom"/>
            <w:gridSpan w:val="3"/>
            <w:vMerge w:val="continue"/>
          </w:tcPr>
          <w:p>
            <w:pPr>
              <w:spacing w:after="0" w:line="20" w:lineRule="exact"/>
              <w:rPr>
                <w:sz w:val="1"/>
                <w:szCs w:val="1"/>
                <w:color w:val="auto"/>
              </w:rPr>
            </w:pPr>
          </w:p>
        </w:tc>
        <w:tc>
          <w:tcPr>
            <w:tcW w:w="7400" w:type="dxa"/>
            <w:vAlign w:val="bottom"/>
            <w:gridSpan w:val="17"/>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240" w:type="dxa"/>
            <w:vAlign w:val="bottom"/>
            <w:tcBorders>
              <w:bottom w:val="single" w:sz="8" w:color="auto"/>
            </w:tcBorders>
            <w:gridSpan w:val="3"/>
            <w:vMerge w:val="continue"/>
          </w:tcPr>
          <w:p>
            <w:pPr>
              <w:spacing w:after="0"/>
              <w:rPr>
                <w:sz w:val="21"/>
                <w:szCs w:val="21"/>
                <w:color w:val="auto"/>
              </w:rPr>
            </w:pPr>
          </w:p>
        </w:tc>
        <w:tc>
          <w:tcPr>
            <w:tcW w:w="7400" w:type="dxa"/>
            <w:vAlign w:val="bottom"/>
            <w:gridSpan w:val="17"/>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DIVIDEND AND DISTRIBUTIONS</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DESCRIPTION OF CAPITAL STRUCTURE</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41"/>
        </w:trPr>
        <w:tc>
          <w:tcPr>
            <w:tcW w:w="3320" w:type="dxa"/>
            <w:vAlign w:val="bottom"/>
            <w:tcBorders>
              <w:top w:val="single" w:sz="8" w:color="auto"/>
            </w:tcBorders>
            <w:gridSpan w:val="12"/>
            <w:vMerge w:val="restart"/>
          </w:tcPr>
          <w:p>
            <w:pPr>
              <w:spacing w:after="0"/>
              <w:rPr>
                <w:sz w:val="20"/>
                <w:szCs w:val="20"/>
                <w:color w:val="auto"/>
              </w:rPr>
            </w:pPr>
            <w:r>
              <w:rPr>
                <w:rFonts w:ascii="Times New Roman" w:cs="Times New Roman" w:eastAsia="Times New Roman" w:hAnsi="Times New Roman"/>
                <w:sz w:val="18"/>
                <w:szCs w:val="18"/>
                <w:color w:val="auto"/>
              </w:rPr>
              <w:t>MARKET FOR SECURITIES</w:t>
            </w:r>
          </w:p>
        </w:tc>
        <w:tc>
          <w:tcPr>
            <w:tcW w:w="5320" w:type="dxa"/>
            <w:vAlign w:val="bottom"/>
            <w:gridSpan w:val="8"/>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320" w:type="dxa"/>
            <w:vAlign w:val="bottom"/>
            <w:gridSpan w:val="12"/>
            <w:vMerge w:val="continue"/>
          </w:tcPr>
          <w:p>
            <w:pPr>
              <w:spacing w:after="0" w:line="20" w:lineRule="exact"/>
              <w:rPr>
                <w:sz w:val="1"/>
                <w:szCs w:val="1"/>
                <w:color w:val="auto"/>
              </w:rPr>
            </w:pPr>
          </w:p>
        </w:tc>
        <w:tc>
          <w:tcPr>
            <w:tcW w:w="5320" w:type="dxa"/>
            <w:vAlign w:val="bottom"/>
            <w:gridSpan w:val="8"/>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320" w:type="dxa"/>
            <w:vAlign w:val="bottom"/>
            <w:gridSpan w:val="12"/>
            <w:vMerge w:val="continue"/>
          </w:tcPr>
          <w:p>
            <w:pPr>
              <w:spacing w:after="0"/>
              <w:rPr>
                <w:sz w:val="21"/>
                <w:szCs w:val="21"/>
                <w:color w:val="auto"/>
              </w:rPr>
            </w:pPr>
          </w:p>
        </w:tc>
        <w:tc>
          <w:tcPr>
            <w:tcW w:w="5320" w:type="dxa"/>
            <w:vAlign w:val="bottom"/>
            <w:gridSpan w:val="8"/>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CEASE TRADE ORDERS, BANKRUPTCIES, PENALTIES OR SANCTIONS</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41"/>
        </w:trPr>
        <w:tc>
          <w:tcPr>
            <w:tcW w:w="5720" w:type="dxa"/>
            <w:vAlign w:val="bottom"/>
            <w:tcBorders>
              <w:top w:val="single" w:sz="8" w:color="auto"/>
            </w:tcBorders>
            <w:gridSpan w:val="17"/>
            <w:vMerge w:val="restart"/>
          </w:tcPr>
          <w:p>
            <w:pPr>
              <w:spacing w:after="0"/>
              <w:rPr>
                <w:sz w:val="20"/>
                <w:szCs w:val="20"/>
                <w:color w:val="auto"/>
              </w:rPr>
            </w:pPr>
            <w:r>
              <w:rPr>
                <w:rFonts w:ascii="Times New Roman" w:cs="Times New Roman" w:eastAsia="Times New Roman" w:hAnsi="Times New Roman"/>
                <w:sz w:val="18"/>
                <w:szCs w:val="18"/>
                <w:color w:val="auto"/>
              </w:rPr>
              <w:t>CONFLICTS OF INTEREST</w:t>
            </w:r>
          </w:p>
        </w:tc>
        <w:tc>
          <w:tcPr>
            <w:tcW w:w="2920" w:type="dxa"/>
            <w:vAlign w:val="bottom"/>
            <w:gridSpan w:val="3"/>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gridSpan w:val="17"/>
            <w:vMerge w:val="continue"/>
          </w:tcPr>
          <w:p>
            <w:pPr>
              <w:spacing w:after="0" w:line="20" w:lineRule="exact"/>
              <w:rPr>
                <w:sz w:val="1"/>
                <w:szCs w:val="1"/>
                <w:color w:val="auto"/>
              </w:rPr>
            </w:pPr>
          </w:p>
        </w:tc>
        <w:tc>
          <w:tcPr>
            <w:tcW w:w="2920" w:type="dxa"/>
            <w:vAlign w:val="bottom"/>
            <w:gridSpan w:val="3"/>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20" w:type="dxa"/>
            <w:vAlign w:val="bottom"/>
            <w:gridSpan w:val="17"/>
            <w:vMerge w:val="continue"/>
          </w:tcPr>
          <w:p>
            <w:pPr>
              <w:spacing w:after="0"/>
              <w:rPr>
                <w:sz w:val="21"/>
                <w:szCs w:val="21"/>
                <w:color w:val="auto"/>
              </w:rPr>
            </w:pPr>
          </w:p>
        </w:tc>
        <w:tc>
          <w:tcPr>
            <w:tcW w:w="2920" w:type="dxa"/>
            <w:vAlign w:val="bottom"/>
            <w:gridSpan w:val="3"/>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LEGAL PROCEEDINGS AND REGULATORY ACTIONS</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61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auto"/>
                <w:w w:val="98"/>
              </w:rPr>
              <w:t>INTEREST OF MANAGEMENT AND OTHERS IN MATERIAL TRANSACTIONS</w:t>
            </w:r>
          </w:p>
        </w:tc>
        <w:tc>
          <w:tcPr>
            <w:tcW w:w="2460" w:type="dxa"/>
            <w:vAlign w:val="bottom"/>
            <w:gridSpan w:val="2"/>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gridSpan w:val="18"/>
            <w:vMerge w:val="continue"/>
          </w:tcPr>
          <w:p>
            <w:pPr>
              <w:spacing w:after="0" w:line="20" w:lineRule="exact"/>
              <w:rPr>
                <w:sz w:val="1"/>
                <w:szCs w:val="1"/>
                <w:color w:val="auto"/>
              </w:rPr>
            </w:pPr>
          </w:p>
        </w:tc>
        <w:tc>
          <w:tcPr>
            <w:tcW w:w="2460" w:type="dxa"/>
            <w:vAlign w:val="bottom"/>
            <w:gridSpan w:val="2"/>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180" w:type="dxa"/>
            <w:vAlign w:val="bottom"/>
            <w:tcBorders>
              <w:bottom w:val="single" w:sz="8" w:color="auto"/>
            </w:tcBorders>
            <w:gridSpan w:val="18"/>
            <w:vMerge w:val="continue"/>
          </w:tcPr>
          <w:p>
            <w:pPr>
              <w:spacing w:after="0"/>
              <w:rPr>
                <w:sz w:val="21"/>
                <w:szCs w:val="21"/>
                <w:color w:val="auto"/>
              </w:rPr>
            </w:pPr>
          </w:p>
        </w:tc>
        <w:tc>
          <w:tcPr>
            <w:tcW w:w="2460" w:type="dxa"/>
            <w:vAlign w:val="bottom"/>
            <w:gridSpan w:val="2"/>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41"/>
        </w:trPr>
        <w:tc>
          <w:tcPr>
            <w:tcW w:w="39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auto"/>
                <w:w w:val="98"/>
              </w:rPr>
              <w:t>AUDITOR, TRANSFER AGENT AND REGISTRAR</w:t>
            </w:r>
          </w:p>
        </w:tc>
        <w:tc>
          <w:tcPr>
            <w:tcW w:w="4740" w:type="dxa"/>
            <w:vAlign w:val="bottom"/>
            <w:gridSpan w:val="5"/>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00" w:type="dxa"/>
            <w:vAlign w:val="bottom"/>
            <w:gridSpan w:val="15"/>
            <w:vMerge w:val="continue"/>
          </w:tcPr>
          <w:p>
            <w:pPr>
              <w:spacing w:after="0" w:line="20" w:lineRule="exact"/>
              <w:rPr>
                <w:sz w:val="1"/>
                <w:szCs w:val="1"/>
                <w:color w:val="auto"/>
              </w:rPr>
            </w:pPr>
          </w:p>
        </w:tc>
        <w:tc>
          <w:tcPr>
            <w:tcW w:w="4740" w:type="dxa"/>
            <w:vAlign w:val="bottom"/>
            <w:gridSpan w:val="5"/>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900" w:type="dxa"/>
            <w:vAlign w:val="bottom"/>
            <w:tcBorders>
              <w:bottom w:val="single" w:sz="8" w:color="auto"/>
            </w:tcBorders>
            <w:gridSpan w:val="15"/>
            <w:vMerge w:val="continue"/>
          </w:tcPr>
          <w:p>
            <w:pPr>
              <w:spacing w:after="0"/>
              <w:rPr>
                <w:sz w:val="21"/>
                <w:szCs w:val="21"/>
                <w:color w:val="auto"/>
              </w:rPr>
            </w:pPr>
          </w:p>
        </w:tc>
        <w:tc>
          <w:tcPr>
            <w:tcW w:w="4740" w:type="dxa"/>
            <w:vAlign w:val="bottom"/>
            <w:gridSpan w:val="5"/>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41"/>
        </w:trPr>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w w:val="96"/>
              </w:rPr>
              <w:t>MATERIAL CONTRACTS</w:t>
            </w:r>
          </w:p>
        </w:tc>
        <w:tc>
          <w:tcPr>
            <w:tcW w:w="6640" w:type="dxa"/>
            <w:vAlign w:val="bottom"/>
            <w:gridSpan w:val="14"/>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0" w:type="dxa"/>
            <w:vAlign w:val="bottom"/>
            <w:gridSpan w:val="6"/>
            <w:vMerge w:val="continue"/>
          </w:tcPr>
          <w:p>
            <w:pPr>
              <w:spacing w:after="0" w:line="20" w:lineRule="exact"/>
              <w:rPr>
                <w:sz w:val="1"/>
                <w:szCs w:val="1"/>
                <w:color w:val="auto"/>
              </w:rPr>
            </w:pPr>
          </w:p>
        </w:tc>
        <w:tc>
          <w:tcPr>
            <w:tcW w:w="6640" w:type="dxa"/>
            <w:vAlign w:val="bottom"/>
            <w:gridSpan w:val="14"/>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00" w:type="dxa"/>
            <w:vAlign w:val="bottom"/>
            <w:tcBorders>
              <w:bottom w:val="single" w:sz="8" w:color="auto"/>
            </w:tcBorders>
            <w:gridSpan w:val="6"/>
            <w:vMerge w:val="continue"/>
          </w:tcPr>
          <w:p>
            <w:pPr>
              <w:spacing w:after="0"/>
              <w:rPr>
                <w:sz w:val="21"/>
                <w:szCs w:val="21"/>
                <w:color w:val="auto"/>
              </w:rPr>
            </w:pPr>
          </w:p>
        </w:tc>
        <w:tc>
          <w:tcPr>
            <w:tcW w:w="6640" w:type="dxa"/>
            <w:vAlign w:val="bottom"/>
            <w:gridSpan w:val="14"/>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41"/>
        </w:trPr>
        <w:tc>
          <w:tcPr>
            <w:tcW w:w="20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w w:val="97"/>
              </w:rPr>
              <w:t>INTERESTS OF EXPERTS</w:t>
            </w:r>
          </w:p>
        </w:tc>
        <w:tc>
          <w:tcPr>
            <w:tcW w:w="6620" w:type="dxa"/>
            <w:vAlign w:val="bottom"/>
            <w:gridSpan w:val="13"/>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20" w:type="dxa"/>
            <w:vAlign w:val="bottom"/>
            <w:gridSpan w:val="7"/>
            <w:vMerge w:val="continue"/>
          </w:tcPr>
          <w:p>
            <w:pPr>
              <w:spacing w:after="0" w:line="20" w:lineRule="exact"/>
              <w:rPr>
                <w:sz w:val="1"/>
                <w:szCs w:val="1"/>
                <w:color w:val="auto"/>
              </w:rPr>
            </w:pPr>
          </w:p>
        </w:tc>
        <w:tc>
          <w:tcPr>
            <w:tcW w:w="6620" w:type="dxa"/>
            <w:vAlign w:val="bottom"/>
            <w:gridSpan w:val="13"/>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20" w:type="dxa"/>
            <w:vAlign w:val="bottom"/>
            <w:tcBorders>
              <w:bottom w:val="single" w:sz="8" w:color="auto"/>
            </w:tcBorders>
            <w:gridSpan w:val="7"/>
            <w:vMerge w:val="continue"/>
          </w:tcPr>
          <w:p>
            <w:pPr>
              <w:spacing w:after="0"/>
              <w:rPr>
                <w:sz w:val="21"/>
                <w:szCs w:val="21"/>
                <w:color w:val="auto"/>
              </w:rPr>
            </w:pPr>
          </w:p>
        </w:tc>
        <w:tc>
          <w:tcPr>
            <w:tcW w:w="6620" w:type="dxa"/>
            <w:vAlign w:val="bottom"/>
            <w:gridSpan w:val="13"/>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41"/>
        </w:trPr>
        <w:tc>
          <w:tcPr>
            <w:tcW w:w="1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7"/>
              </w:rPr>
              <w:t>AUDIT COMMITTEE</w:t>
            </w:r>
          </w:p>
        </w:tc>
        <w:tc>
          <w:tcPr>
            <w:tcW w:w="6980" w:type="dxa"/>
            <w:vAlign w:val="bottom"/>
            <w:gridSpan w:val="16"/>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60" w:type="dxa"/>
            <w:vAlign w:val="bottom"/>
            <w:gridSpan w:val="4"/>
            <w:vMerge w:val="continue"/>
          </w:tcPr>
          <w:p>
            <w:pPr>
              <w:spacing w:after="0" w:line="20" w:lineRule="exact"/>
              <w:rPr>
                <w:sz w:val="1"/>
                <w:szCs w:val="1"/>
                <w:color w:val="auto"/>
              </w:rPr>
            </w:pPr>
          </w:p>
        </w:tc>
        <w:tc>
          <w:tcPr>
            <w:tcW w:w="6980" w:type="dxa"/>
            <w:vAlign w:val="bottom"/>
            <w:gridSpan w:val="16"/>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660" w:type="dxa"/>
            <w:vAlign w:val="bottom"/>
            <w:tcBorders>
              <w:bottom w:val="single" w:sz="8" w:color="auto"/>
            </w:tcBorders>
            <w:gridSpan w:val="4"/>
            <w:vMerge w:val="continue"/>
          </w:tcPr>
          <w:p>
            <w:pPr>
              <w:spacing w:after="0"/>
              <w:rPr>
                <w:sz w:val="21"/>
                <w:szCs w:val="21"/>
                <w:color w:val="auto"/>
              </w:rPr>
            </w:pPr>
          </w:p>
        </w:tc>
        <w:tc>
          <w:tcPr>
            <w:tcW w:w="6980" w:type="dxa"/>
            <w:vAlign w:val="bottom"/>
            <w:gridSpan w:val="16"/>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41"/>
        </w:trPr>
        <w:tc>
          <w:tcPr>
            <w:tcW w:w="2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w w:val="98"/>
              </w:rPr>
              <w:t>COMPLIANCE PROGRAM</w:t>
            </w:r>
          </w:p>
        </w:tc>
        <w:tc>
          <w:tcPr>
            <w:tcW w:w="6520" w:type="dxa"/>
            <w:vAlign w:val="bottom"/>
            <w:gridSpan w:val="12"/>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gridSpan w:val="8"/>
            <w:vMerge w:val="continue"/>
          </w:tcPr>
          <w:p>
            <w:pPr>
              <w:spacing w:after="0" w:line="20" w:lineRule="exact"/>
              <w:rPr>
                <w:sz w:val="1"/>
                <w:szCs w:val="1"/>
                <w:color w:val="auto"/>
              </w:rPr>
            </w:pPr>
          </w:p>
        </w:tc>
        <w:tc>
          <w:tcPr>
            <w:tcW w:w="6520" w:type="dxa"/>
            <w:vAlign w:val="bottom"/>
            <w:gridSpan w:val="12"/>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120" w:type="dxa"/>
            <w:vAlign w:val="bottom"/>
            <w:tcBorders>
              <w:bottom w:val="single" w:sz="8" w:color="auto"/>
            </w:tcBorders>
            <w:gridSpan w:val="8"/>
            <w:vMerge w:val="continue"/>
          </w:tcPr>
          <w:p>
            <w:pPr>
              <w:spacing w:after="0"/>
              <w:rPr>
                <w:sz w:val="21"/>
                <w:szCs w:val="21"/>
                <w:color w:val="auto"/>
              </w:rPr>
            </w:pPr>
          </w:p>
        </w:tc>
        <w:tc>
          <w:tcPr>
            <w:tcW w:w="6520" w:type="dxa"/>
            <w:vAlign w:val="bottom"/>
            <w:gridSpan w:val="12"/>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INSIDER TRADING POLICY AND CODE OF ETHICS AND BUSINESS CONDUCT</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41"/>
        </w:trPr>
        <w:tc>
          <w:tcPr>
            <w:tcW w:w="2380" w:type="dxa"/>
            <w:vAlign w:val="bottom"/>
            <w:tcBorders>
              <w:top w:val="single" w:sz="8" w:color="auto"/>
            </w:tcBorders>
            <w:gridSpan w:val="9"/>
            <w:vMerge w:val="restart"/>
          </w:tcPr>
          <w:p>
            <w:pPr>
              <w:spacing w:after="0"/>
              <w:rPr>
                <w:sz w:val="20"/>
                <w:szCs w:val="20"/>
                <w:color w:val="auto"/>
              </w:rPr>
            </w:pPr>
            <w:r>
              <w:rPr>
                <w:rFonts w:ascii="Times New Roman" w:cs="Times New Roman" w:eastAsia="Times New Roman" w:hAnsi="Times New Roman"/>
                <w:sz w:val="18"/>
                <w:szCs w:val="18"/>
                <w:color w:val="auto"/>
                <w:w w:val="97"/>
              </w:rPr>
              <w:t>ADDITIONAL INFORMATION</w:t>
            </w:r>
          </w:p>
        </w:tc>
        <w:tc>
          <w:tcPr>
            <w:tcW w:w="3960" w:type="dxa"/>
            <w:vAlign w:val="bottom"/>
            <w:tcBorders>
              <w:top w:val="single" w:sz="8" w:color="auto"/>
            </w:tcBorders>
            <w:gridSpan w:val="10"/>
            <w:vMerge w:val="restart"/>
          </w:tcPr>
          <w:p>
            <w:pPr>
              <w:spacing w:after="0"/>
              <w:rPr>
                <w:sz w:val="3"/>
                <w:szCs w:val="3"/>
                <w:color w:val="auto"/>
              </w:rPr>
            </w:pPr>
          </w:p>
        </w:tc>
        <w:tc>
          <w:tcPr>
            <w:tcW w:w="2300" w:type="dxa"/>
            <w:vAlign w:val="bottom"/>
            <w:vMerge w:val="restart"/>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380" w:type="dxa"/>
            <w:vAlign w:val="bottom"/>
            <w:gridSpan w:val="9"/>
            <w:vMerge w:val="continue"/>
          </w:tcPr>
          <w:p>
            <w:pPr>
              <w:spacing w:after="0" w:line="20" w:lineRule="exact"/>
              <w:rPr>
                <w:sz w:val="1"/>
                <w:szCs w:val="1"/>
                <w:color w:val="auto"/>
              </w:rPr>
            </w:pPr>
          </w:p>
        </w:tc>
        <w:tc>
          <w:tcPr>
            <w:tcW w:w="3960" w:type="dxa"/>
            <w:vAlign w:val="bottom"/>
            <w:gridSpan w:val="10"/>
            <w:vMerge w:val="continue"/>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380" w:type="dxa"/>
            <w:vAlign w:val="bottom"/>
            <w:tcBorders>
              <w:bottom w:val="single" w:sz="8" w:color="auto"/>
            </w:tcBorders>
            <w:gridSpan w:val="9"/>
            <w:vMerge w:val="continue"/>
          </w:tcPr>
          <w:p>
            <w:pPr>
              <w:spacing w:after="0"/>
              <w:rPr>
                <w:sz w:val="21"/>
                <w:szCs w:val="21"/>
                <w:color w:val="auto"/>
              </w:rPr>
            </w:pPr>
          </w:p>
        </w:tc>
        <w:tc>
          <w:tcPr>
            <w:tcW w:w="3960" w:type="dxa"/>
            <w:vAlign w:val="bottom"/>
            <w:gridSpan w:val="10"/>
            <w:vMerge w:val="continue"/>
          </w:tcPr>
          <w:p>
            <w:pPr>
              <w:spacing w:after="0"/>
              <w:rPr>
                <w:sz w:val="21"/>
                <w:szCs w:val="21"/>
                <w:color w:val="auto"/>
              </w:rPr>
            </w:pPr>
          </w:p>
        </w:tc>
        <w:tc>
          <w:tcPr>
            <w:tcW w:w="2300" w:type="dxa"/>
            <w:vAlign w:val="bottom"/>
            <w:vMerge w:val="continue"/>
          </w:tcPr>
          <w:p>
            <w:pPr>
              <w:spacing w:after="0"/>
              <w:rPr>
                <w:sz w:val="21"/>
                <w:szCs w:val="21"/>
                <w:color w:val="auto"/>
              </w:rPr>
            </w:pPr>
          </w:p>
        </w:tc>
        <w:tc>
          <w:tcPr>
            <w:tcW w:w="2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41"/>
        </w:trPr>
        <w:tc>
          <w:tcPr>
            <w:tcW w:w="8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EXHIBIT “A” AUDIT COMMITTEE CHARTER</w:t>
            </w:r>
          </w:p>
        </w:tc>
        <w:tc>
          <w:tcPr>
            <w:tcW w:w="2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gridSpan w:val="20"/>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40" w:type="dxa"/>
            <w:vAlign w:val="bottom"/>
            <w:gridSpan w:val="20"/>
            <w:vMerge w:val="continue"/>
          </w:tcPr>
          <w:p>
            <w:pPr>
              <w:spacing w:after="0"/>
              <w:rPr>
                <w:sz w:val="21"/>
                <w:szCs w:val="21"/>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A-1</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180"/>
          </w:cols>
          <w:pgMar w:left="380" w:top="11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In this annual information form (this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unless otherwise noted or the context indicates otherwise,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Cybin Inc. and its subsidiaries.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financial information in this AIF is prepared in Canadian dollars and using International Financial Reporting Standards as issued by the International Accounting Standards Board. Unless otherwise noted herein, this AIF applies to the business activities and operations of the Company for the year ended March 31, 2024, as updated to June 25, 2024, unless otherwise indicated.</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All dollar amounts in this AIF are expressed in Canadian dollars, except as otherwise indicated. References to US$ or “U.S. dollars” are to United States dollars.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AIF, and certain documents incorporated by reference in this AIF, contain forward-looking information and forward-looking statements within the meaning of Canadian securities legislation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All statements other than statements of historical fact contained in this AIF and in documents incorporated by reference in this AIF, including, without limitation, those regarding the Company’s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and information include, without limitation, the information concerning possible or assumed future results of operations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set out under “</w:t>
      </w:r>
      <w:r>
        <w:rPr>
          <w:rFonts w:ascii="Times New Roman" w:cs="Times New Roman" w:eastAsia="Times New Roman" w:hAnsi="Times New Roman"/>
          <w:sz w:val="18"/>
          <w:szCs w:val="18"/>
          <w:i w:val="1"/>
          <w:iCs w:val="1"/>
          <w:color w:val="auto"/>
        </w:rPr>
        <w:t>General Development of the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 including statements regarding:</w:t>
      </w:r>
    </w:p>
    <w:p>
      <w:pPr>
        <w:spacing w:after="0" w:line="185" w:lineRule="exact"/>
        <w:rPr>
          <w:sz w:val="20"/>
          <w:szCs w:val="20"/>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and expectations described in the Company’s critical accounting policies and estimates;</w:t>
      </w:r>
    </w:p>
    <w:p>
      <w:pPr>
        <w:spacing w:after="0" w:line="2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adoption and impact of certain accounting pronouncements;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market for psilocybin products;</w:t>
      </w:r>
    </w:p>
    <w:p>
      <w:pPr>
        <w:spacing w:after="0" w:line="5" w:lineRule="exact"/>
        <w:rPr>
          <w:rFonts w:ascii="Times New Roman" w:cs="Times New Roman" w:eastAsia="Times New Roman" w:hAnsi="Times New Roman"/>
          <w:sz w:val="18"/>
          <w:szCs w:val="18"/>
          <w:color w:val="auto"/>
        </w:rPr>
      </w:pPr>
    </w:p>
    <w:p>
      <w:pPr>
        <w:ind w:left="1160" w:hanging="581"/>
        <w:spacing w:after="0" w:line="246" w:lineRule="auto"/>
        <w:tabs>
          <w:tab w:leader="none" w:pos="11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legislation, regulations and licensing related to the import, export, processing and sale of psilocybin products;</w:t>
      </w: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regulatory bodies of psychedelic substances including psilocybin, for the treatment of various health conditions;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industry in Canada, the United States, the Netherlands, the EU, Ireland and the United Kingdom;</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and participate in international market opportunities;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inventory through long-term supply contracts or otherwise;</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diversification and future corporate development;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results of research and development;</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expectations including discussions of plans or potential for expansion of capacity at existing or new facilities;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future expenditures and capital activities; and</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expected use of proceeds from fundraising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37" w:right="339" w:bottom="1440" w:gutter="0" w:footer="0" w:header="0"/>
        </w:sectPr>
      </w:pPr>
    </w:p>
    <w:bookmarkStart w:id="71" w:name="page72"/>
    <w:bookmarkEnd w:id="71"/>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statements are not historical facts, but instead represent only the Company’s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AIF and in documents incorporated by reference in this AIF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Company. These forward-looking statements are made as of the date of this AIF and the Company assumes no obligation to update or revise them to reflect subsequent information, events or circumstances or otherwise, except as required by law.</w:t>
      </w:r>
    </w:p>
    <w:p>
      <w:pPr>
        <w:spacing w:after="0" w:line="17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AIF and in documents incorporated by reference in this AIF are based on numerous assumptions regarding the Company’s present and future business strategies and the environment in which the Company will operate in the future, including assumptions regarding business and operating strategies, and the Company’s ability to operate on a profitable basis. The Company does not undertake any obligation to update or release any revisions to these forward-looking statements to reflect events or circumstances after the date of this report, except as may be required by law.</w:t>
      </w:r>
    </w:p>
    <w:p>
      <w:pPr>
        <w:spacing w:after="0" w:line="1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Company’s Business and Industry:</w:t>
      </w:r>
    </w:p>
    <w:p>
      <w:pPr>
        <w:spacing w:after="0" w:line="25" w:lineRule="exact"/>
        <w:rPr>
          <w:sz w:val="20"/>
          <w:szCs w:val="20"/>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nature of investment risk;</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uncertainties;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operating in European countries;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private issuer” status under the U.S. securities laws;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growth;</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of commercial success;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profits or significant revenues;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contract manufacturers;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of products;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clinical trials;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grade product manufacturing;</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regulatory approvals;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440" w:right="319" w:bottom="1440" w:gutter="0" w:footer="0" w:header="0"/>
        </w:sectPr>
      </w:pPr>
    </w:p>
    <w:bookmarkStart w:id="72" w:name="page73"/>
    <w:bookmarkEnd w:id="72"/>
    <w:p>
      <w:pPr>
        <w:spacing w:after="0" w:line="1" w:lineRule="exact"/>
        <w:rPr>
          <w:sz w:val="20"/>
          <w:szCs w:val="20"/>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spacing w:after="0" w:line="2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and growth;</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contracts;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forecast;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brand;</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viability;</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quality control systems;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inputs;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fraudulent or illegal activity;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 and insurance coverage;</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public company;</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risks;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decriminalisation of psychedelics;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 may prove to be inaccurate;</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inflation;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conditions;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and interpretation of tax laws;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civil liabilities;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5" w:lineRule="exact"/>
        <w:rPr>
          <w:sz w:val="20"/>
          <w:szCs w:val="20"/>
          <w:color w:val="auto"/>
        </w:rPr>
      </w:pPr>
    </w:p>
    <w:p>
      <w:pPr>
        <w:ind w:left="1160" w:hanging="58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protection;</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reform;</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19" w:lineRule="exact"/>
        <w:rPr>
          <w:sz w:val="20"/>
          <w:szCs w:val="20"/>
          <w:color w:val="auto"/>
        </w:rPr>
      </w:pPr>
    </w:p>
    <w:p>
      <w:pPr>
        <w:ind w:left="1160" w:hanging="581"/>
        <w:spacing w:after="0"/>
        <w:tabs>
          <w:tab w:leader="none" w:pos="11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number of authorized but unissued Common Shares (as defined herein);</w:t>
      </w:r>
    </w:p>
    <w:p>
      <w:pPr>
        <w:spacing w:after="0" w:line="16" w:lineRule="exact"/>
        <w:rPr>
          <w:rFonts w:ascii="Times New Roman" w:cs="Times New Roman" w:eastAsia="Times New Roman" w:hAnsi="Times New Roman"/>
          <w:sz w:val="17"/>
          <w:szCs w:val="17"/>
          <w:color w:val="auto"/>
        </w:rPr>
      </w:pPr>
    </w:p>
    <w:p>
      <w:pPr>
        <w:ind w:left="1160" w:hanging="58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cash flow from operating activities and going concern;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requirements;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product revenue;</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internal controls;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25" w:lineRule="exact"/>
        <w:rPr>
          <w:sz w:val="20"/>
          <w:szCs w:val="20"/>
          <w:color w:val="auto"/>
        </w:rPr>
      </w:pPr>
    </w:p>
    <w:p>
      <w:pPr>
        <w:ind w:left="1160" w:hanging="581"/>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the Common Shares;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Common Shares;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1440" w:right="1440" w:bottom="1440" w:gutter="0" w:footer="0" w:header="0"/>
        </w:sectPr>
      </w:pPr>
    </w:p>
    <w:bookmarkStart w:id="73" w:name="page74"/>
    <w:bookmarkEnd w:id="73"/>
    <w:p>
      <w:pPr>
        <w:spacing w:after="0" w:line="1" w:lineRule="exact"/>
        <w:rPr>
          <w:sz w:val="20"/>
          <w:szCs w:val="20"/>
          <w:color w:val="auto"/>
        </w:rPr>
      </w:pPr>
    </w:p>
    <w:p>
      <w:pPr>
        <w:ind w:left="1160" w:hanging="581"/>
        <w:spacing w:after="0"/>
        <w:tabs>
          <w:tab w:leader="none" w:pos="1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and</w:t>
      </w:r>
    </w:p>
    <w:p>
      <w:pPr>
        <w:spacing w:after="0" w:line="2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the forward-looking statements contained in this AIF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52" w:lineRule="exact"/>
        <w:rPr>
          <w:sz w:val="20"/>
          <w:szCs w:val="20"/>
          <w:color w:val="auto"/>
        </w:rPr>
      </w:pPr>
    </w:p>
    <w:p>
      <w:pPr>
        <w:ind w:left="1160" w:hanging="581"/>
        <w:spacing w:after="0" w:line="257" w:lineRule="auto"/>
        <w:tabs>
          <w:tab w:leader="none" w:pos="11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access additional funding;</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pandemics;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5" w:lineRule="exact"/>
        <w:rPr>
          <w:rFonts w:ascii="Times New Roman" w:cs="Times New Roman" w:eastAsia="Times New Roman" w:hAnsi="Times New Roman"/>
          <w:sz w:val="18"/>
          <w:szCs w:val="18"/>
          <w:color w:val="auto"/>
        </w:rPr>
      </w:pPr>
    </w:p>
    <w:p>
      <w:pPr>
        <w:ind w:left="1160" w:hanging="581"/>
        <w:spacing w:after="0" w:line="246" w:lineRule="auto"/>
        <w:tabs>
          <w:tab w:leader="none" w:pos="11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5" w:lineRule="exact"/>
        <w:rPr>
          <w:rFonts w:ascii="Times New Roman" w:cs="Times New Roman" w:eastAsia="Times New Roman" w:hAnsi="Times New Roman"/>
          <w:sz w:val="18"/>
          <w:szCs w:val="18"/>
          <w:color w:val="auto"/>
        </w:rPr>
      </w:pPr>
    </w:p>
    <w:p>
      <w:pPr>
        <w:ind w:left="1160" w:hanging="581"/>
        <w:spacing w:after="0" w:line="246" w:lineRule="auto"/>
        <w:tabs>
          <w:tab w:leader="none" w:pos="11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5" w:lineRule="exact"/>
        <w:rPr>
          <w:rFonts w:ascii="Times New Roman" w:cs="Times New Roman" w:eastAsia="Times New Roman" w:hAnsi="Times New Roman"/>
          <w:sz w:val="18"/>
          <w:szCs w:val="18"/>
          <w:color w:val="auto"/>
        </w:rPr>
      </w:pPr>
    </w:p>
    <w:p>
      <w:pPr>
        <w:ind w:left="1160" w:hanging="581"/>
        <w:spacing w:after="0" w:line="259" w:lineRule="auto"/>
        <w:tabs>
          <w:tab w:leader="none" w:pos="11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unforeseen changes to the laws or regulations in the United States, the United Kingdom, Canada, the Netherlands, Ireland and other jurisdictions in which the Company operates.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AIF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studies on timelines indicated as possible by such guidelines, other industry examples, and the Company’s development efforts to date.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factors set out above and those identified in this AIF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AIF includes market and industry data that has been obtained from third-party sources, including industry publications. The Company believes that the industry data is accurate and that its estimates and assumptions are reasonable, but there is no assurance as to the accuracy or completeness of this data. Third-party sources generally state that the information contained therein has been obtained from sources believed to be reliable, but there is no assurance as to the accuracy or completeness of included information. Although the data is believed to be reliable, the Company has not independently verified any of the data from third-party sources referred to in this AIF or ascertained the underlying economic assumptions relied upon by such sources. The Company does not intend, and undertakes no obligation, to update or revise any such information or data, whether as a result of new information, future events or otherwise, except as, and to the extent required by, applicable Canadian securities laws.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current business focuses on conducting and sponsoring research and development on psychedelic molecules, including psilocybin, and is focused on developing and commercializing psychedelic-inspired regulated medicines. No product will be commercialized prior to applicable legal or regulatory approval.</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Canadian and United States federal governments regulate drugs through the CDSA (as defined herein) and the CSA (as defined herein), respectively, which place controlled substances in a schedule. Under the CDSA, psilocybin is currently a Schedule III drug under CDSA and a Schedule I drug under the CSA.</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both Canada and the United States, the applicable federal government is responsible for regulating, among other things, the approval, import, sale and marketing of drugs, including any psychedelic substances, whether natural or novel. Health Canada, and the FDA (as defined herein), have not approved psilocybin as a drug for any indication. The Company does not deal with psychedelic substances except indirectly within laboratory and clinical trial settings conducted within approved regulatory frameworks in order to identify and develop potential treatments for medical conditions and, further, does not have any direct or indirect involvement with illegal selling, production or distribution of any substances in jurisdictions in which it operates.</w:t>
      </w:r>
    </w:p>
    <w:p>
      <w:pPr>
        <w:spacing w:after="0" w:line="16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the European Union (the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the INCB (as defined herein), a United Nations entity, oversees the enforcement of international restrictions on controlled substances. EU legislation specifically addresses the regulation of precursors or substances used in the illicit production of drugs through Regulation (EC) No. 273/2004 and Council Regulation (EC) No. 111/2005. However, the EU does not classify different narcotic drugs or psychotropic substances directly. Instead, the Council Decision 2005/387/JHA allows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440" w:right="319" w:bottom="1440" w:gutter="0" w:footer="0" w:header="0"/>
        </w:sectPr>
      </w:pPr>
    </w:p>
    <w:bookmarkStart w:id="75" w:name="page76"/>
    <w:bookmarkEnd w:id="75"/>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decision that can mandate EU member states to impose national controls on a drug, aligning with INCB standards.</w:t>
      </w:r>
    </w:p>
    <w:p>
      <w:pPr>
        <w:spacing w:after="0" w:line="193" w:lineRule="exact"/>
        <w:rPr>
          <w:sz w:val="20"/>
          <w:szCs w:val="20"/>
          <w:color w:val="auto"/>
        </w:rPr>
      </w:pPr>
    </w:p>
    <w:p>
      <w:pPr>
        <w:ind w:right="3760"/>
        <w:spacing w:after="0" w:line="228" w:lineRule="auto"/>
        <w:rPr>
          <w:sz w:val="20"/>
          <w:szCs w:val="20"/>
          <w:color w:val="auto"/>
        </w:rPr>
      </w:pPr>
      <w:r>
        <w:rPr>
          <w:rFonts w:ascii="Times New Roman" w:cs="Times New Roman" w:eastAsia="Times New Roman" w:hAnsi="Times New Roman"/>
          <w:sz w:val="17"/>
          <w:szCs w:val="17"/>
          <w:color w:val="auto"/>
        </w:rPr>
        <w:t>EU member states have agreed to prohibit the use of DMT, and in limited and specific cases, inter alia for scientific or medical purposes, regulate the use of DMT. There are specific regulatory requirements in</w:t>
      </w:r>
    </w:p>
    <w:p>
      <w:pPr>
        <w:spacing w:after="0" w:line="211" w:lineRule="auto"/>
        <w:rPr>
          <w:sz w:val="20"/>
          <w:szCs w:val="20"/>
          <w:color w:val="auto"/>
        </w:rPr>
      </w:pPr>
      <w:r>
        <w:rPr>
          <w:rFonts w:ascii="Times New Roman" w:cs="Times New Roman" w:eastAsia="Times New Roman" w:hAnsi="Times New Roman"/>
          <w:sz w:val="18"/>
          <w:szCs w:val="18"/>
          <w:color w:val="auto"/>
        </w:rPr>
        <w:t>each specific and relevant EU member state, similar to regulating the specific regulatory requirements for the approval of clinical trials at an EU member</w:t>
      </w:r>
    </w:p>
    <w:p>
      <w:pPr>
        <w:spacing w:after="0" w:line="211" w:lineRule="auto"/>
        <w:rPr>
          <w:sz w:val="20"/>
          <w:szCs w:val="20"/>
          <w:color w:val="auto"/>
        </w:rPr>
      </w:pPr>
      <w:r>
        <w:rPr>
          <w:rFonts w:ascii="Times New Roman" w:cs="Times New Roman" w:eastAsia="Times New Roman" w:hAnsi="Times New Roman"/>
          <w:sz w:val="18"/>
          <w:szCs w:val="18"/>
          <w:color w:val="auto"/>
        </w:rPr>
        <w:t>state level. It is noteworthy to mention that the EU is</w:t>
      </w:r>
    </w:p>
    <w:p>
      <w:pPr>
        <w:spacing w:after="0"/>
        <w:rPr>
          <w:sz w:val="20"/>
          <w:szCs w:val="20"/>
          <w:color w:val="auto"/>
        </w:rPr>
      </w:pPr>
      <w:r>
        <w:rPr>
          <w:rFonts w:ascii="Times New Roman" w:cs="Times New Roman" w:eastAsia="Times New Roman" w:hAnsi="Times New Roman"/>
          <w:sz w:val="18"/>
          <w:szCs w:val="18"/>
          <w:color w:val="auto"/>
        </w:rPr>
        <w:t>planning to adopt a pharmaceutical legislation package.</w:t>
      </w:r>
    </w:p>
    <w:p>
      <w:pPr>
        <w:spacing w:after="0" w:line="17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key legislation in the UK includes MDA (as defined herein), and the MDR (as defined herein), and, if a product is a “medicinal product”, by the the Human Medicines Regulations 2012. In the UK, substances like psilocin and its esters, including psilocybin, are classified as Class A drugs under the MDA and Schedule 1 drugs under the MDR, meaning they are considered highly dangerous and subject to the strictest controls and penalties. Their legal manufacture, production, possession, and supply require a special licence from the UK Home Office. DMT is similarly classified as a Class A and Schedule 1 drug under these regulations. The manufacturing and marketing of “medicinal products” requires additional authorisation and licences from the MHRA (as defined herein).</w:t>
      </w:r>
    </w:p>
    <w:p>
      <w:pPr>
        <w:spacing w:after="0" w:line="1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See “</w:t>
      </w:r>
      <w:r>
        <w:rPr>
          <w:rFonts w:ascii="Times New Roman" w:cs="Times New Roman" w:eastAsia="Times New Roman" w:hAnsi="Times New Roman"/>
          <w:sz w:val="18"/>
          <w:szCs w:val="18"/>
          <w:i w:val="1"/>
          <w:iCs w:val="1"/>
          <w:color w:val="auto"/>
        </w:rPr>
        <w:t>Compliance Program</w:t>
      </w:r>
      <w:r>
        <w:rPr>
          <w:rFonts w:ascii="Times New Roman" w:cs="Times New Roman" w:eastAsia="Times New Roman" w:hAnsi="Times New Roman"/>
          <w:sz w:val="18"/>
          <w:szCs w:val="18"/>
          <w:color w:val="auto"/>
        </w:rPr>
        <w:t>”. Additionally, the Company has received legal opinions or advice in each jurisdiction where it currently operates regarding (a) compliance with applicable regulatory frameworks and (b) potential exposure and implications arising from applicable laws in jurisdictions where the Company has operations or intends to operate.</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these reasons, the Company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Company.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U.S. Food and Drug Administration, Health Canada or other similar regulatory authorities have not evaluated claims regarding psilocybin, psychedelic tryptamines, tryptamine derivatives or other psychedelic compounds. The efficacy of such products have not been confirmed by approved research. There is no assurance that the use of psilocybin, psychedelic tryptamines, tryptamine derivatives or other psychedelic compounds can diagnose, treat, cure or prevent any disease or condition. Rigorous scientific research and clinical trials are needed. If the Company cannot obtain the approvals or research necessary to commercialize its business, it may have a material adverse effect on the Company’s performance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440" w:right="319" w:bottom="1440" w:gutter="0" w:footer="0" w:header="0"/>
        </w:sectPr>
      </w:pPr>
    </w:p>
    <w:bookmarkStart w:id="76" w:name="page77"/>
    <w:bookmarkEnd w:id="76"/>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terms defined elsewhere in this AIF, the following terms, when used in this AIF, will have the following meanings (unless otherwise indicated):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ATM Program</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Distribution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 Milestones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Intercorporate Relationships.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 Transaction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ADME</w:t>
      </w:r>
      <w:r>
        <w:rPr>
          <w:rFonts w:ascii="Times New Roman" w:cs="Times New Roman" w:eastAsia="Times New Roman" w:hAnsi="Times New Roman"/>
          <w:sz w:val="18"/>
          <w:szCs w:val="18"/>
          <w:color w:val="auto"/>
        </w:rPr>
        <w:t>” means Absorption, Distribution, Metabolism, and Excretion.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company that is affiliated with another company as described below. A company is an “affiliate” of another company if:</w:t>
      </w:r>
    </w:p>
    <w:p>
      <w:pPr>
        <w:spacing w:after="0" w:line="209" w:lineRule="exact"/>
        <w:rPr>
          <w:sz w:val="20"/>
          <w:szCs w:val="20"/>
          <w:color w:val="auto"/>
        </w:rPr>
      </w:pPr>
    </w:p>
    <w:p>
      <w:pPr>
        <w:ind w:left="960" w:hanging="381"/>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them is the subsidiary of the other, or</w:t>
      </w:r>
    </w:p>
    <w:p>
      <w:pPr>
        <w:spacing w:after="0" w:line="193" w:lineRule="exact"/>
        <w:rPr>
          <w:rFonts w:ascii="Times New Roman" w:cs="Times New Roman" w:eastAsia="Times New Roman" w:hAnsi="Times New Roman"/>
          <w:sz w:val="18"/>
          <w:szCs w:val="18"/>
          <w:color w:val="auto"/>
        </w:rPr>
      </w:pPr>
    </w:p>
    <w:p>
      <w:pPr>
        <w:ind w:right="6940" w:firstLine="579"/>
        <w:spacing w:after="0" w:line="478" w:lineRule="auto"/>
        <w:tabs>
          <w:tab w:leader="none" w:pos="9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controlled by the same person. A company is “controlled” by a person if:</w:t>
      </w:r>
    </w:p>
    <w:p>
      <w:pPr>
        <w:ind w:left="960" w:hanging="38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securities of the company are held, other than by way of security only, by or for the benefit of that person, and</w:t>
      </w:r>
    </w:p>
    <w:p>
      <w:pPr>
        <w:spacing w:after="0" w:line="193"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securities, if voted, entitle the person to elect a majority of the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hanging="38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controlled by that person, or</w:t>
      </w:r>
    </w:p>
    <w:p>
      <w:pPr>
        <w:spacing w:after="0" w:line="205" w:lineRule="exact"/>
        <w:rPr>
          <w:rFonts w:ascii="Times New Roman" w:cs="Times New Roman" w:eastAsia="Times New Roman" w:hAnsi="Times New Roman"/>
          <w:sz w:val="18"/>
          <w:szCs w:val="18"/>
          <w:color w:val="auto"/>
        </w:rPr>
      </w:pPr>
    </w:p>
    <w:p>
      <w:pPr>
        <w:jc w:val="both"/>
        <w:ind w:right="4340" w:firstLine="579"/>
        <w:spacing w:after="0" w:line="551" w:lineRule="auto"/>
        <w:tabs>
          <w:tab w:leader="none" w:pos="96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affiliate of that person or an affiliate of any company controlled by that person. “</w:t>
      </w:r>
      <w:r>
        <w:rPr>
          <w:rFonts w:ascii="Times New Roman" w:cs="Times New Roman" w:eastAsia="Times New Roman" w:hAnsi="Times New Roman"/>
          <w:sz w:val="17"/>
          <w:szCs w:val="17"/>
          <w:b w:val="1"/>
          <w:bCs w:val="1"/>
          <w:color w:val="auto"/>
        </w:rPr>
        <w:t>Agents</w:t>
      </w:r>
      <w:r>
        <w:rPr>
          <w:rFonts w:ascii="Times New Roman" w:cs="Times New Roman" w:eastAsia="Times New Roman" w:hAnsi="Times New Roman"/>
          <w:sz w:val="17"/>
          <w:szCs w:val="17"/>
          <w:color w:val="auto"/>
        </w:rPr>
        <w:t xml:space="preserve">” has the meaning set out in </w:t>
      </w:r>
      <w:r>
        <w:rPr>
          <w:rFonts w:ascii="Times New Roman" w:cs="Times New Roman" w:eastAsia="Times New Roman" w:hAnsi="Times New Roman"/>
          <w:sz w:val="17"/>
          <w:szCs w:val="17"/>
          <w:i w:val="1"/>
          <w:iCs w:val="1"/>
          <w:color w:val="auto"/>
        </w:rPr>
        <w:t>General Development of the Business – Three Year History.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40"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Amalco</w:t>
      </w:r>
      <w:r>
        <w:rPr>
          <w:rFonts w:ascii="Times New Roman" w:cs="Times New Roman" w:eastAsia="Times New Roman" w:hAnsi="Times New Roman"/>
          <w:sz w:val="18"/>
          <w:szCs w:val="18"/>
          <w:color w:val="auto"/>
        </w:rPr>
        <w:t>” means the company resulting from the amalgamation of Cybin and Subco pursuant to the Amalgamation.</w:t>
      </w:r>
    </w:p>
    <w:p>
      <w:pPr>
        <w:spacing w:after="0" w:line="20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Amalgamation</w:t>
      </w:r>
      <w:r>
        <w:rPr>
          <w:rFonts w:ascii="Times New Roman" w:cs="Times New Roman" w:eastAsia="Times New Roman" w:hAnsi="Times New Roman"/>
          <w:sz w:val="18"/>
          <w:szCs w:val="18"/>
          <w:color w:val="auto"/>
        </w:rPr>
        <w:t>” means the amalgamation of Subco and Cybin pursuant to Section 174 of the OBCA on the terms and subject to the conditions of the Amalgamation Agreement, which resulted in the reverse takeover of the Company.</w:t>
      </w:r>
    </w:p>
    <w:p>
      <w:pPr>
        <w:spacing w:after="0" w:line="1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Amalgamation Agreement</w:t>
      </w:r>
      <w:r>
        <w:rPr>
          <w:rFonts w:ascii="Times New Roman" w:cs="Times New Roman" w:eastAsia="Times New Roman" w:hAnsi="Times New Roman"/>
          <w:sz w:val="18"/>
          <w:szCs w:val="18"/>
          <w:color w:val="auto"/>
        </w:rPr>
        <w:t>” means the Amalgamation Agreement dated as of June 26, 2020 among Cybin, Clarmin and Subco relating to the Amalgamation, as amended on October 21, 2020, a copy of which is available under the Company’s profile on SEDAR+ at www.sedarplus.ca.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means the pharmaceutically acceptable psychedelic agent psilocybin or psilocin or a combination thereof.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xml:space="preserve">” has the meaning set out in Section 1(1)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RSO 1990, c.S.5.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August 2023 Offering</w:t>
      </w:r>
      <w:r>
        <w:rPr>
          <w:rFonts w:ascii="Times New Roman" w:cs="Times New Roman" w:eastAsia="Times New Roman" w:hAnsi="Times New Roman"/>
          <w:sz w:val="18"/>
          <w:szCs w:val="18"/>
          <w:color w:val="auto"/>
        </w:rPr>
        <w:t xml:space="preserve">” “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August 2023 Underwriting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August 2023 Units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August 2023 Warrants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as amended.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Clarmin prior to the Transaction and the board of directors of the Company following the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3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Catalyst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Europe (Netherlands).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CIPO</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Risk Factors – Risks Related to Intellectual Property – Patent Law Reform.</w:t>
      </w:r>
    </w:p>
    <w:p>
      <w:pPr>
        <w:spacing w:after="0" w:line="20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8"/>
          <w:szCs w:val="18"/>
          <w:color w:val="auto"/>
        </w:rPr>
        <w:t>” means Clarmin Explorations Inc., as a company existing, prior to the Transaction, under the BCBCA via articles of incorporation dated October 13, 2016, and continued under the OBCA on November 4, 2020 in connection with the Transaction.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Clarmin Shares</w:t>
      </w:r>
      <w:r>
        <w:rPr>
          <w:rFonts w:ascii="Times New Roman" w:cs="Times New Roman" w:eastAsia="Times New Roman" w:hAnsi="Times New Roman"/>
          <w:sz w:val="18"/>
          <w:szCs w:val="18"/>
          <w:color w:val="auto"/>
        </w:rPr>
        <w:t>” means the authorized common shares in the capital of Clarmin, as constituted prior to the Consolidation.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Intercorporate Relationships.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Europe (Netherlands).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Risk Factors - Reliance on Contract Manufacturers.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Insider Trading Policy and Code of Ethics And Business Conduct – Code of Business Conduct.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Company.</w:t>
      </w:r>
    </w:p>
    <w:p>
      <w:pPr>
        <w:spacing w:after="0" w:line="20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Cybin Inc., a company existing under the OBCA, being Clarmin after the completion of the Transaction, on a consolidated basis which carries on the business and operations of Cybin, following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Warrants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means the Coronavirus disease 2019, an infectious disease caused by severe acute respiratory syndrome coronavirus 2 (SARS-CoV-2).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Controlled Substances Act</w:t>
      </w:r>
      <w:r>
        <w:rPr>
          <w:rFonts w:ascii="Times New Roman" w:cs="Times New Roman" w:eastAsia="Times New Roman" w:hAnsi="Times New Roman"/>
          <w:sz w:val="18"/>
          <w:szCs w:val="18"/>
          <w:color w:val="auto"/>
        </w:rPr>
        <w:t xml:space="preserve"> (21 U.S.C. § 811, et. seq.).</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CSE</w:t>
      </w:r>
      <w:r>
        <w:rPr>
          <w:rFonts w:ascii="Times New Roman" w:cs="Times New Roman" w:eastAsia="Times New Roman" w:hAnsi="Times New Roman"/>
          <w:sz w:val="18"/>
          <w:szCs w:val="18"/>
          <w:color w:val="auto"/>
        </w:rPr>
        <w:t>” means the Canadian Securities Exchange.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CTA</w:t>
      </w:r>
      <w:r>
        <w:rPr>
          <w:rFonts w:ascii="Times New Roman" w:cs="Times New Roman" w:eastAsia="Times New Roman" w:hAnsi="Times New Roman"/>
          <w:sz w:val="18"/>
          <w:szCs w:val="18"/>
          <w:color w:val="auto"/>
        </w:rPr>
        <w:t>” means a Clinical Trial Application.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CTAG</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Europe (Netherlands).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Europe (Netherlands).</w:t>
      </w:r>
    </w:p>
    <w:p>
      <w:pPr>
        <w:spacing w:after="0" w:line="20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means Cybin Corp., prior to giving effect to the Transaction, a corporation existing under the OBCA, which, pursuant to the Transaction, amalgamated with Subco to form Amalco under the name “Cybin Corp.” and became a wholly-owned subsidiary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 means Cybin IRL Limited, a corporation existing under the laws of Ireland and a wholly-owned subsidiary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 Shares</w:t>
      </w:r>
      <w:r>
        <w:rPr>
          <w:rFonts w:ascii="Times New Roman" w:cs="Times New Roman" w:eastAsia="Times New Roman" w:hAnsi="Times New Roman"/>
          <w:sz w:val="18"/>
          <w:szCs w:val="18"/>
          <w:color w:val="auto"/>
        </w:rPr>
        <w:t>” means the common shares in the capital of Cybin.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 U.S.</w:t>
      </w:r>
      <w:r>
        <w:rPr>
          <w:rFonts w:ascii="Times New Roman" w:cs="Times New Roman" w:eastAsia="Times New Roman" w:hAnsi="Times New Roman"/>
          <w:sz w:val="18"/>
          <w:szCs w:val="18"/>
          <w:color w:val="auto"/>
        </w:rPr>
        <w:t>” means Cybin U.S. Holdings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DMT</w:t>
      </w:r>
      <w:r>
        <w:rPr>
          <w:rFonts w:ascii="Times New Roman" w:cs="Times New Roman" w:eastAsia="Times New Roman" w:hAnsi="Times New Roman"/>
          <w:sz w:val="18"/>
          <w:szCs w:val="18"/>
          <w:color w:val="auto"/>
        </w:rPr>
        <w:t>” means N, N-dimethyltryptamine.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dDMT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Europe (Netherlands).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Company’s omnibus equity incentive plan adopted by the Board on November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1437"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Europe (Netherlands).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means CBOE 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States.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fNIRS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IFRS</w:t>
      </w:r>
      <w:r>
        <w:rPr>
          <w:rFonts w:ascii="Times New Roman" w:cs="Times New Roman" w:eastAsia="Times New Roman" w:hAnsi="Times New Roman"/>
          <w:sz w:val="17"/>
          <w:szCs w:val="17"/>
          <w:color w:val="auto"/>
        </w:rPr>
        <w:t>” means International Financial Reporting Standards, as adopted by the International Accounting Standards Board, as amended from time to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Europe (Netherlands)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and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each have a corresponding meaning.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Ireland.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320" w:top="1436" w:right="7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July 2021 Public Offering</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July 2021 Underwriting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Kernel Flow</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Statement</w:t>
      </w:r>
      <w:r>
        <w:rPr>
          <w:rFonts w:ascii="Times New Roman" w:cs="Times New Roman" w:eastAsia="Times New Roman" w:hAnsi="Times New Roman"/>
          <w:sz w:val="18"/>
          <w:szCs w:val="18"/>
          <w:color w:val="auto"/>
        </w:rPr>
        <w:t>” means the Exchange Form 1 Listing Statement dated November 9, 2020, as filed on SEDAR+ November 9, 2020, which has been filed as required in accordance with the policies of the Exchange.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LottoGopher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Cease Trade Orders or Bankruptcies; Penalties or Sanctions; Personal Bankruptcies.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LPC</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LPC Purchase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MADRS</w:t>
      </w:r>
      <w:r>
        <w:rPr>
          <w:rFonts w:ascii="Times New Roman" w:cs="Times New Roman" w:eastAsia="Times New Roman" w:hAnsi="Times New Roman"/>
          <w:sz w:val="18"/>
          <w:szCs w:val="18"/>
          <w:color w:val="auto"/>
        </w:rPr>
        <w:t>” means the Montgomery-Asberg Depression Rating Scale.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2024 Agency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2024 Offering</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May 2023 Prospectus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3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Natures Journey”</w:t>
      </w:r>
      <w:r>
        <w:rPr>
          <w:rFonts w:ascii="Times New Roman" w:cs="Times New Roman" w:eastAsia="Times New Roman" w:hAnsi="Times New Roman"/>
          <w:sz w:val="18"/>
          <w:szCs w:val="18"/>
          <w:color w:val="auto"/>
        </w:rPr>
        <w:t xml:space="preserve"> means Natures Journey Inc., an Ontario corporation incorporated as a wholly-owned subsidiary of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United States.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51-102</w:t>
      </w:r>
      <w:r>
        <w:rPr>
          <w:rFonts w:ascii="Times New Roman" w:cs="Times New Roman" w:eastAsia="Times New Roman" w:hAnsi="Times New Roman"/>
          <w:sz w:val="18"/>
          <w:szCs w:val="18"/>
          <w:color w:val="auto"/>
        </w:rPr>
        <w:t xml:space="preserve">” means National Instrument 51-102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of the Canadian Securities Administrators.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52-109</w:t>
      </w:r>
      <w:r>
        <w:rPr>
          <w:rFonts w:ascii="Times New Roman" w:cs="Times New Roman" w:eastAsia="Times New Roman" w:hAnsi="Times New Roman"/>
          <w:sz w:val="18"/>
          <w:szCs w:val="18"/>
          <w:color w:val="auto"/>
        </w:rPr>
        <w:t xml:space="preserve">” means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2023 Offering</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2023 Underwriting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2023 Units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2023 Warrants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 American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as amended.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option to purchase Common Shares granted pursuant to the Equity Incentive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Cease Trade Orders or Bankruptcies; Penalties or Sanctions; Personal Bankruptcies.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OTCQB</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PD</w:t>
      </w:r>
      <w:r>
        <w:rPr>
          <w:rFonts w:ascii="Times New Roman" w:cs="Times New Roman" w:eastAsia="Times New Roman" w:hAnsi="Times New Roman"/>
          <w:sz w:val="18"/>
          <w:szCs w:val="18"/>
          <w:color w:val="auto"/>
        </w:rPr>
        <w:t>” means pharmacodynamic.</w:t>
      </w:r>
    </w:p>
    <w:p>
      <w:pPr>
        <w:spacing w:after="0" w:line="20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Risk Factors - Risks Related To The Company’s Business and Industry - Early Stage of the Industry and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Risk Factors - Cybersecurity and Privacy Risk.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PK</w:t>
      </w:r>
      <w:r>
        <w:rPr>
          <w:rFonts w:ascii="Times New Roman" w:cs="Times New Roman" w:eastAsia="Times New Roman" w:hAnsi="Times New Roman"/>
          <w:sz w:val="18"/>
          <w:szCs w:val="18"/>
          <w:color w:val="auto"/>
        </w:rPr>
        <w:t>” means pharmacokinetic.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 means pulse rate.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PRV</w:t>
      </w:r>
      <w:r>
        <w:rPr>
          <w:rFonts w:ascii="Times New Roman" w:cs="Times New Roman" w:eastAsia="Times New Roman" w:hAnsi="Times New Roman"/>
          <w:sz w:val="18"/>
          <w:szCs w:val="18"/>
          <w:color w:val="auto"/>
        </w:rPr>
        <w:t>” means pulse rate variability.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3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has the meaning set out in NI 51-102.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Research and Development – Europe (Netherlands).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RxLive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Rx Debentures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Three Year History.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Serenity Life</w:t>
      </w:r>
      <w:r>
        <w:rPr>
          <w:rFonts w:ascii="Times New Roman" w:cs="Times New Roman" w:eastAsia="Times New Roman" w:hAnsi="Times New Roman"/>
          <w:sz w:val="18"/>
          <w:szCs w:val="18"/>
          <w:color w:val="auto"/>
        </w:rPr>
        <w:t>” means Serenity Life Sciences Inc., an Ontario corporation incorporated as a wholly-owned subsidiary of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Small Pharma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Small Pharma Share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Significant Acquisitions and Dispositions.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SSRIs</w:t>
      </w:r>
      <w:r>
        <w:rPr>
          <w:rFonts w:ascii="Times New Roman" w:cs="Times New Roman" w:eastAsia="Times New Roman" w:hAnsi="Times New Roman"/>
          <w:sz w:val="18"/>
          <w:szCs w:val="18"/>
          <w:color w:val="auto"/>
        </w:rPr>
        <w:t>” means selective serotonin reuptake inhibitors.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means 2762898 Ontario Inc., a wholly-owned subsidiary of Clarmin, incorporated for the purposes of effecting the Amalgamation.</w:t>
      </w:r>
    </w:p>
    <w:p>
      <w:pPr>
        <w:spacing w:after="0" w:line="1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Sublingual Film</w:t>
      </w:r>
      <w:r>
        <w:rPr>
          <w:rFonts w:ascii="Times New Roman" w:cs="Times New Roman" w:eastAsia="Times New Roman" w:hAnsi="Times New Roman"/>
          <w:sz w:val="18"/>
          <w:szCs w:val="18"/>
          <w:color w:val="auto"/>
        </w:rPr>
        <w:t>” means the pharmaceutically acceptable sublingual film formulation using oral film drug delivery technology in respect of the API psilocybin for each of the four following strengths of such API: 1, 3, 5 and 7 mg.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Governance – Intercorporate Relationships.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Canada.</w:t>
      </w:r>
    </w:p>
    <w:p>
      <w:pPr>
        <w:spacing w:after="0" w:line="20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the three-cornered amalgamation among Clarmin, Cybin and Subco pursuant to the terms of the Amalgamation Agreement, which constituted a Reverse Takeover of Clarmin by Cybin.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TSXV</w:t>
      </w:r>
      <w:r>
        <w:rPr>
          <w:rFonts w:ascii="Times New Roman" w:cs="Times New Roman" w:eastAsia="Times New Roman" w:hAnsi="Times New Roman"/>
          <w:sz w:val="18"/>
          <w:szCs w:val="18"/>
          <w:color w:val="auto"/>
        </w:rPr>
        <w:t>” means the TSX Venture Exchange.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means the United Nations.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Kingdom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means the United Kingdom of Great Britain and Northern Ireland.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USPTO</w:t>
      </w:r>
      <w:r>
        <w:rPr>
          <w:rFonts w:ascii="Times New Roman" w:cs="Times New Roman" w:eastAsia="Times New Roman" w:hAnsi="Times New Roman"/>
          <w:sz w:val="18"/>
          <w:szCs w:val="18"/>
          <w:color w:val="auto"/>
        </w:rPr>
        <w:t>” means the U.S. Patent and Trademark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1436"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 Indenture</w:t>
      </w:r>
      <w:r>
        <w:rPr>
          <w:rFonts w:ascii="Times New Roman" w:cs="Times New Roman" w:eastAsia="Times New Roman" w:hAnsi="Times New Roman"/>
          <w:sz w:val="17"/>
          <w:szCs w:val="17"/>
          <w:color w:val="auto"/>
        </w:rPr>
        <w:t xml:space="preserve">” has the meaning set out in </w:t>
      </w:r>
      <w:r>
        <w:rPr>
          <w:rFonts w:ascii="Times New Roman" w:cs="Times New Roman" w:eastAsia="Times New Roman" w:hAnsi="Times New Roman"/>
          <w:sz w:val="17"/>
          <w:szCs w:val="17"/>
          <w:i w:val="1"/>
          <w:iCs w:val="1"/>
          <w:color w:val="auto"/>
        </w:rPr>
        <w:t>General Development of the Business – Three Year History.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warrants to purchase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39"/>
          </w:cols>
          <w:pgMar w:left="320" w:top="1437" w:right="1440" w:bottom="1440" w:gutter="0" w:footer="0" w:header="0"/>
        </w:sectPr>
      </w:pPr>
    </w:p>
    <w:bookmarkStart w:id="85" w:name="page86"/>
    <w:bookmarkEnd w:id="85"/>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 Address and Incorporation</w:t>
      </w:r>
    </w:p>
    <w:p>
      <w:pPr>
        <w:spacing w:after="0" w:line="20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incorporated under the BCBCA on October 13, 2016 under the name “Clarmin Explorations Inc.”. On January 8, 2018, the Company completed its initial public offering of Common Shares, pursuant to which the Company issued 3,500,000 Common Shares at a price of $0.10 per Common Share for gross proceeds of $350,000. The Common Shares were listed on the TSXV on January 8, 2018 under the symbol “CX”.</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Subco was incorporated under the OBCA on June 26, 2020 for the purposes of effecting the Amalgamation.</w:t>
      </w:r>
    </w:p>
    <w:p>
      <w:pPr>
        <w:spacing w:after="0" w:line="20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November 2, 2020, in connection with the Transaction, Clarmin consolidated its outstanding Clarmin Shares on a 6.672 old for one (1) new basis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Upon closing of the Transaction, on November 5, 2020: (i) the Company (then Clarmin) and Cybin completed a series of transactions resulting in a reorganization of Cybin and the Company and pursuant to which the Company became the direct parent and sole shareholder of Cybin; (ii) the Company changed its year end from July 31 to March 31; and (iii) the Company was continued under the OBCA by Certificate and Articles of Continuance and changed its name to “Cybin Inc.”</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Transaction constituted a Reverse Takeover of the Company by Cybin, with Cybin as the reverse takeover acquirer and the Company as the reverse takeover acquiree, under applicable securities laws and for accounting purposes under IFRS.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Clarmin Shares were listed on the TSXV until November 5, 2020 when they were delisted from the TSXV in connection with the completion of the Transaction. The Common Shares commenced trading on the Exchange on November 10, 2020, under the symbol “CYBN”.</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On March 8, 2021, the Company announced that its Common Shares had commenced trading on the OTCQB® Venture Market (the “</w:t>
      </w:r>
      <w:r>
        <w:rPr>
          <w:rFonts w:ascii="Times New Roman" w:cs="Times New Roman" w:eastAsia="Times New Roman" w:hAnsi="Times New Roman"/>
          <w:sz w:val="18"/>
          <w:szCs w:val="18"/>
          <w:b w:val="1"/>
          <w:bCs w:val="1"/>
          <w:color w:val="auto"/>
        </w:rPr>
        <w:t>OTCQB</w:t>
      </w:r>
      <w:r>
        <w:rPr>
          <w:rFonts w:ascii="Times New Roman" w:cs="Times New Roman" w:eastAsia="Times New Roman" w:hAnsi="Times New Roman"/>
          <w:sz w:val="18"/>
          <w:szCs w:val="18"/>
          <w:color w:val="auto"/>
        </w:rPr>
        <w:t>”) under the symbol “CLXPF”.</w:t>
      </w:r>
    </w:p>
    <w:p>
      <w:pPr>
        <w:spacing w:after="0" w:line="14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On August 5, 2021, the Common Shares commenced trading on the NYSE American LLC stock exchange (the “</w:t>
      </w:r>
      <w:r>
        <w:rPr>
          <w:rFonts w:ascii="Times New Roman" w:cs="Times New Roman" w:eastAsia="Times New Roman" w:hAnsi="Times New Roman"/>
          <w:sz w:val="18"/>
          <w:szCs w:val="18"/>
          <w:b w:val="1"/>
          <w:bCs w:val="1"/>
          <w:color w:val="auto"/>
        </w:rPr>
        <w:t>NYSE American</w:t>
      </w:r>
      <w:r>
        <w:rPr>
          <w:rFonts w:ascii="Times New Roman" w:cs="Times New Roman" w:eastAsia="Times New Roman" w:hAnsi="Times New Roman"/>
          <w:sz w:val="18"/>
          <w:szCs w:val="18"/>
          <w:color w:val="auto"/>
        </w:rPr>
        <w:t>”) under the symbol “CYBN”. Concurrent with the commencement of trading on the NYSE American, the Common Shares ceased to be quoted on the OTCQB.</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acquisition by Cybin of Small Pharma Inc. (“</w:t>
      </w:r>
      <w:r>
        <w:rPr>
          <w:rFonts w:ascii="Times New Roman" w:cs="Times New Roman" w:eastAsia="Times New Roman" w:hAnsi="Times New Roman"/>
          <w:sz w:val="18"/>
          <w:szCs w:val="18"/>
          <w:b w:val="1"/>
          <w:bCs w:val="1"/>
          <w:color w:val="auto"/>
        </w:rPr>
        <w:t>Small Pharma</w:t>
      </w:r>
      <w:r>
        <w:rPr>
          <w:rFonts w:ascii="Times New Roman" w:cs="Times New Roman" w:eastAsia="Times New Roman" w:hAnsi="Times New Roman"/>
          <w:sz w:val="18"/>
          <w:szCs w:val="18"/>
          <w:color w:val="auto"/>
        </w:rPr>
        <w:t>”) by way of a statutory plan of arrangement under the provisions of the BCBCA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As a result of the Arrangement, Small Pharma became a wholly-owned subsidiary of Cybin. For further information see “</w:t>
      </w:r>
      <w:r>
        <w:rPr>
          <w:rFonts w:ascii="Times New Roman" w:cs="Times New Roman" w:eastAsia="Times New Roman" w:hAnsi="Times New Roman"/>
          <w:sz w:val="18"/>
          <w:szCs w:val="18"/>
          <w:i w:val="1"/>
          <w:iCs w:val="1"/>
          <w:color w:val="auto"/>
        </w:rPr>
        <w:t>General Development of the Business – Significant 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and head office is located at 100 King Street West, Suite 5600, Toronto, Ontario, M5X 1C9.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1440"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Intercorporate Relationships</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Cybin was incorporated under the OBCA on October 22, 2019. Pursuant to the Amalgamation, Cybin amalgamated with Subco to form Amalco under the name “Cybin Corp.”, which is a wholly-owned subsidiary of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Natures Journey, a wholly-owned, subsidiary of the Company, was formed under the OBCA on November 6, 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Serenity Life, a wholly-owned, subsidiary of the Company, was formed under the OBCA on November 6, 2019.</w:t>
      </w:r>
    </w:p>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Cybin U.S., a fully-controlled subsidiary of the Company, was formed under the law of the State of Nevada on December 4, 2020. Certain of the Company’s business operations pertaining to psilocybin research and development are conducted through Cybin U.S.</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4, 2020, the Company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Cybin U.S. and all of the shareholders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of Adelia Therapeutics Inc. (“</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whereby Cybin U.S. agreed to purchase from the Adelia Shareholders all of the issued and outstanding Adelia shares in exchange for the Class B Shares (as defined herein) (the “</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Under the Contribution Agreement, the Adelia Shareholders are entitled to Class B Shares upon the occurrence of certain milestones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 Milestones</w:t>
      </w:r>
      <w:r>
        <w:rPr>
          <w:rFonts w:ascii="Times New Roman" w:cs="Times New Roman" w:eastAsia="Times New Roman" w:hAnsi="Times New Roman"/>
          <w:sz w:val="18"/>
          <w:szCs w:val="18"/>
          <w:color w:val="auto"/>
        </w:rPr>
        <w:t>”), as set out in the Contribution Agreement. Pursuant to the Contribution Agreement and the support agreement entered into among Cybin U.S. and the Adelia Shareholders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the Adelia Shareholders received 868,833 non-voting Class B common shares in the capital of Cybin U.S. (each a “</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which are exchangeable for Common Shares, on a 10 Common Shares for 1 Class B Share basis, at the option of the holder thereof, subject to customary adjustments.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Cybin Ireland, a wholly-owned subsidiary of the Company, was formed under the Companies Act of 2014 in the country of Ireland on May 6, 2021. In connection with the formation of Cybin Ireland, the Company transferred its intellectual property assets to this entity. In addition, certain of the Company’s business operations, including European operations and research activities with various academic and clinical research organizations, are conducted through Cybin Ireland.</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acquisition by Cybin of Small Pharma by way of the Arrangement. As a result of the Arrangement, Small Pharma became a wholly-owned subsidiary of Cybin. On April 1, 2024, pursuant to the provisions of the OBCA, Small Pharma completed a horizontal amalgamation with Cybin Corp., with Cybin Corp. being the resulting entity. As a result of this amalgamation, Cybin UK Limited is now a wholly-owned subsidiary of Cybin Corp. (See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s”).</w:t>
      </w:r>
    </w:p>
    <w:p>
      <w:pPr>
        <w:spacing w:after="0" w:line="1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chart sets out all the Company’s material subsidiaries as at the date hereof, their jurisdictions of incorporation and the Company’s direct and indirect voting interest in each of these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320" w:top="1437" w:right="31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1957070</wp:posOffset>
            </wp:positionH>
            <wp:positionV relativeFrom="page">
              <wp:posOffset>928370</wp:posOffset>
            </wp:positionV>
            <wp:extent cx="3634740" cy="26568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3634740" cy="265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The Adelia Shareholders hold certain non-voting securities of Cybin U.S. For further information see “</w:t>
      </w:r>
      <w:r>
        <w:rPr>
          <w:rFonts w:ascii="Times New Roman" w:cs="Times New Roman" w:eastAsia="Times New Roman" w:hAnsi="Times New Roman"/>
          <w:sz w:val="13"/>
          <w:szCs w:val="13"/>
          <w:i w:val="1"/>
          <w:iCs w:val="1"/>
          <w:color w:val="auto"/>
        </w:rPr>
        <w:t>General Development of the Business – Three Year History</w:t>
      </w:r>
      <w:r>
        <w:rPr>
          <w:rFonts w:ascii="Times New Roman" w:cs="Times New Roman" w:eastAsia="Times New Roman" w:hAnsi="Times New Roman"/>
          <w:sz w:val="13"/>
          <w:szCs w:val="13"/>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5, 2020, Cybin completed its Reverse Takeover of Clarmin pursuant to the terms of the Amalgamation Agreement. The Transaction was completed by way of a “three-cornered” amalgamation pursuant to the provisions of the OBCA whereby Cybin amalgamated with Subco to form an amalgamated corporation and a wholly owned subsidiary of the Company. With the completion of the Transaction the Common Shares became listed for trading on the Exchange under the trading symbol “CYBN” and were delisted from the facilities of the TSXV. In connection with the completion of the Transaction:</w:t>
      </w:r>
    </w:p>
    <w:p>
      <w:pPr>
        <w:spacing w:after="0" w:line="157" w:lineRule="exact"/>
        <w:rPr>
          <w:sz w:val="20"/>
          <w:szCs w:val="20"/>
          <w:color w:val="auto"/>
        </w:rPr>
      </w:pPr>
    </w:p>
    <w:p>
      <w:pPr>
        <w:jc w:val="both"/>
        <w:ind w:left="1160" w:hanging="581"/>
        <w:spacing w:after="0" w:line="267" w:lineRule="auto"/>
        <w:tabs>
          <w:tab w:leader="none" w:pos="11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all of the common shares of Cybin from the holders thereof in exchange for the issuance of Common Shares (on a post-Consolidation basis) on a one-for-one basis, and all existing convertible securities of Cybin became convertible or exercisable into Common Shares rather than into Cybin Shares;</w:t>
      </w:r>
    </w:p>
    <w:p>
      <w:pPr>
        <w:spacing w:after="0" w:line="14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to the OBCA from the BCBCA and changed its name to “Cybin Inc.”;</w:t>
      </w:r>
    </w:p>
    <w:p>
      <w:pPr>
        <w:spacing w:after="0" w:line="20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of the Company resigned and were replaced with nominees of Cybin;</w:t>
      </w:r>
    </w:p>
    <w:p>
      <w:pPr>
        <w:spacing w:after="0" w:line="193"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year end of the Company became March 31, being the financial year end of Cybin;</w:t>
      </w:r>
    </w:p>
    <w:p>
      <w:pPr>
        <w:spacing w:after="0" w:line="20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Zeifmans LLP, being the auditor of Cybin, was appointed as the auditor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 w:lineRule="exact"/>
        <w:rPr>
          <w:sz w:val="20"/>
          <w:szCs w:val="20"/>
          <w:color w:val="auto"/>
        </w:rPr>
      </w:pPr>
    </w:p>
    <w:p>
      <w:pPr>
        <w:ind w:left="1163" w:hanging="581"/>
        <w:spacing w:after="0"/>
        <w:tabs>
          <w:tab w:leader="none" w:pos="11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Cybin became a wholly-owned subsidiary of the Company and the business of Cybin became the business of the Company.</w:t>
      </w:r>
    </w:p>
    <w:p>
      <w:pPr>
        <w:spacing w:after="0" w:line="205"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Additional details regarding the Transaction and the business of the Company can be found in the Listing Statement as filed on SEDAR+ on November 9, 2020.</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Three Year History</w:t>
      </w:r>
      <w:r>
        <w:rPr>
          <w:rFonts w:ascii="Times New Roman" w:cs="Times New Roman" w:eastAsia="Times New Roman" w:hAnsi="Times New Roman"/>
          <w:sz w:val="23"/>
          <w:szCs w:val="23"/>
          <w:b w:val="1"/>
          <w:bCs w:val="1"/>
          <w:u w:val="single" w:color="auto"/>
          <w:color w:val="auto"/>
          <w:vertAlign w:val="superscript"/>
        </w:rPr>
        <w:t>1</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Year ended March 31, 2022</w:t>
      </w:r>
    </w:p>
    <w:p>
      <w:pPr>
        <w:spacing w:after="0" w:line="195"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18"/>
          <w:szCs w:val="18"/>
          <w:color w:val="auto"/>
        </w:rPr>
        <w:t>On April 19, 2021, the Company announced the formation of its Clinical Advisory Board, with the additions of Maurizio Fava, MD, Psychiatrist-in-Chief in the Department of Psychiatry at Massachusetts General Hospital; Lynn Marie Morski, MD, Esq., President of the Psychedelic Medicine Association; and Anthony Back, MD, Professor in the Department of Medicine and Division of Oncology at the University of Washington. The Clinical Advisory Board will be chaired by Alex Belser, PhD, the Company’s Chief Clinical Officer. Subsequent to the initial announcement, the Company added Thomas Laughren, MD, to its Clinical Advisory Board.</w:t>
      </w:r>
    </w:p>
    <w:p>
      <w:pPr>
        <w:spacing w:after="0" w:line="153" w:lineRule="exact"/>
        <w:rPr>
          <w:sz w:val="20"/>
          <w:szCs w:val="20"/>
          <w:color w:val="auto"/>
        </w:rPr>
      </w:pPr>
    </w:p>
    <w:p>
      <w:pPr>
        <w:jc w:val="both"/>
        <w:ind w:left="3"/>
        <w:spacing w:after="0" w:line="259" w:lineRule="auto"/>
        <w:rPr>
          <w:sz w:val="20"/>
          <w:szCs w:val="20"/>
          <w:color w:val="auto"/>
        </w:rPr>
      </w:pPr>
      <w:r>
        <w:rPr>
          <w:rFonts w:ascii="Times New Roman" w:cs="Times New Roman" w:eastAsia="Times New Roman" w:hAnsi="Times New Roman"/>
          <w:sz w:val="18"/>
          <w:szCs w:val="18"/>
          <w:color w:val="auto"/>
        </w:rPr>
        <w:t>On April 20, 2021, the Company entered into an agreement with Catalyst Global LLC (“</w:t>
      </w:r>
      <w:r>
        <w:rPr>
          <w:rFonts w:ascii="Times New Roman" w:cs="Times New Roman" w:eastAsia="Times New Roman" w:hAnsi="Times New Roman"/>
          <w:sz w:val="18"/>
          <w:szCs w:val="18"/>
          <w:b w:val="1"/>
          <w:bCs w:val="1"/>
          <w:color w:val="auto"/>
        </w:rPr>
        <w:t>Catalyst</w:t>
      </w:r>
      <w:r>
        <w:rPr>
          <w:rFonts w:ascii="Times New Roman" w:cs="Times New Roman" w:eastAsia="Times New Roman" w:hAnsi="Times New Roman"/>
          <w:sz w:val="18"/>
          <w:szCs w:val="18"/>
          <w:color w:val="auto"/>
        </w:rPr>
        <w:t>”), pursuant to which Catalyst will provide investor relations services to the Company. In consideration for the services, the Company agreed to pay Catalyst a monthly rate of US$8,000 and grant to Catalyst options to purchase up to 36,000 Common Shares for a period of two years at an exercise price to the determined by the Company at the date of grant. The agreement was for a term of six months. The Company terminated its contract with Catalyst in February 2022.</w:t>
      </w:r>
    </w:p>
    <w:p>
      <w:pPr>
        <w:spacing w:after="0" w:line="166" w:lineRule="exact"/>
        <w:rPr>
          <w:sz w:val="20"/>
          <w:szCs w:val="20"/>
          <w:color w:val="auto"/>
        </w:rPr>
      </w:pPr>
    </w:p>
    <w:p>
      <w:pPr>
        <w:jc w:val="both"/>
        <w:ind w:left="3" w:right="20"/>
        <w:spacing w:after="0" w:line="283" w:lineRule="auto"/>
        <w:rPr>
          <w:sz w:val="20"/>
          <w:szCs w:val="20"/>
          <w:color w:val="auto"/>
        </w:rPr>
      </w:pPr>
      <w:r>
        <w:rPr>
          <w:rFonts w:ascii="Times New Roman" w:cs="Times New Roman" w:eastAsia="Times New Roman" w:hAnsi="Times New Roman"/>
          <w:sz w:val="17"/>
          <w:szCs w:val="17"/>
          <w:color w:val="auto"/>
        </w:rPr>
        <w:t>On May 13, 2021, the Company entered into a Psilocybin Zydis Feasibility study with Catalent, Inc. The study will evaluate the technical feasibility of developing the active pharmaceutical ingredient psilocybin using the proprietary Zydis Orally Disintegrating Tablet technology. Feasibility will be determined for the unit dose of 10mg and 20mg. The Company had committed to pay £114,000 for the study, which was fully paid as of the date of this AIF.</w:t>
      </w:r>
    </w:p>
    <w:p>
      <w:pPr>
        <w:spacing w:after="0" w:line="133"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8"/>
          <w:szCs w:val="18"/>
          <w:color w:val="auto"/>
        </w:rPr>
        <w:t>On June 1, 2021, the Company announced its sponsorship of Kernel’s feasibility study of its Kernel Flow technology to measure ketamine’s psychedelic effect on cerebral cortex hemodynamics.</w:t>
      </w:r>
      <w:r>
        <w:rPr>
          <w:rFonts w:ascii="Times New Roman" w:cs="Times New Roman" w:eastAsia="Times New Roman" w:hAnsi="Times New Roman"/>
          <w:sz w:val="23"/>
          <w:szCs w:val="23"/>
          <w:u w:val="single" w:color="auto"/>
          <w:color w:val="auto"/>
          <w:vertAlign w:val="superscript"/>
        </w:rPr>
        <w:t>2</w:t>
      </w:r>
    </w:p>
    <w:p>
      <w:pPr>
        <w:spacing w:after="0" w:line="61"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7"/>
          <w:szCs w:val="17"/>
          <w:color w:val="auto"/>
        </w:rPr>
        <w:t>On June 8, 2021, the Company entered into a subscription agreement with RxLive Limited (“</w:t>
      </w:r>
      <w:r>
        <w:rPr>
          <w:rFonts w:ascii="Times New Roman" w:cs="Times New Roman" w:eastAsia="Times New Roman" w:hAnsi="Times New Roman"/>
          <w:sz w:val="17"/>
          <w:szCs w:val="17"/>
          <w:b w:val="1"/>
          <w:bCs w:val="1"/>
          <w:color w:val="auto"/>
        </w:rPr>
        <w:t>RxLive</w:t>
      </w:r>
      <w:r>
        <w:rPr>
          <w:rFonts w:ascii="Times New Roman" w:cs="Times New Roman" w:eastAsia="Times New Roman" w:hAnsi="Times New Roman"/>
          <w:sz w:val="17"/>
          <w:szCs w:val="17"/>
          <w:color w:val="auto"/>
        </w:rPr>
        <w:t>”) whereby the Company purchased $250,000 of 10.0% unsecured convertible redeemable debenture (the “</w:t>
      </w:r>
      <w:r>
        <w:rPr>
          <w:rFonts w:ascii="Times New Roman" w:cs="Times New Roman" w:eastAsia="Times New Roman" w:hAnsi="Times New Roman"/>
          <w:sz w:val="17"/>
          <w:szCs w:val="17"/>
          <w:b w:val="1"/>
          <w:bCs w:val="1"/>
          <w:color w:val="auto"/>
        </w:rPr>
        <w:t>Rx Debentures</w:t>
      </w:r>
      <w:r>
        <w:rPr>
          <w:rFonts w:ascii="Times New Roman" w:cs="Times New Roman" w:eastAsia="Times New Roman" w:hAnsi="Times New Roman"/>
          <w:sz w:val="17"/>
          <w:szCs w:val="17"/>
          <w:color w:val="auto"/>
        </w:rPr>
        <w:t>”). RxLive is a UK based online platform that connects pharmacists and patients through a secure app that allows for pharmacist consultations, initial or renewal prescription fulfilment and delivery of the prescription medication. As of the date of this AIF, the Rx Debentures have not been repaid or converted into units. Cybin has written off the investment in RX Live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53987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4" w:lineRule="exact"/>
        <w:rPr>
          <w:sz w:val="20"/>
          <w:szCs w:val="20"/>
          <w:color w:val="auto"/>
        </w:rPr>
      </w:pPr>
    </w:p>
    <w:p>
      <w:pPr>
        <w:ind w:left="83" w:hanging="83"/>
        <w:spacing w:after="0"/>
        <w:tabs>
          <w:tab w:leader="none" w:pos="83"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quarter references in this section are based on calendar year-end.</w:t>
      </w:r>
    </w:p>
    <w:p>
      <w:pPr>
        <w:jc w:val="both"/>
        <w:ind w:left="3" w:hanging="3"/>
        <w:spacing w:after="0" w:line="232" w:lineRule="auto"/>
        <w:tabs>
          <w:tab w:leader="none" w:pos="95"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assumes timely delivery of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3"/>
          </w:cols>
          <w:pgMar w:left="317" w:top="1440" w:right="319" w:bottom="1440" w:gutter="0" w:footer="0" w:header="0"/>
        </w:sectPr>
      </w:pPr>
    </w:p>
    <w:bookmarkStart w:id="89" w:name="page90"/>
    <w:bookmarkEnd w:id="89"/>
    <w:p>
      <w:pPr>
        <w:spacing w:after="0" w:line="1"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8"/>
          <w:szCs w:val="18"/>
          <w:color w:val="auto"/>
        </w:rPr>
        <w:t>On June 28, 2021, Adelia completed certain Adelia Milestones for Year 1 Q2 (ii) and (v), as listed in the Contribution Agreement. Accordingly, 15,777.1 Class B Shares were issued to the Adelia Shareholders, having an aggregate value of $457,535.90 due to them upon meeting such Adelia Milestone, at a price per Class B Share of $29.00. The Class B Shares are exchangeable for a total of 157,771 Common Shares, representing an effective issue price of $2.90 per Common Share.</w:t>
      </w:r>
    </w:p>
    <w:p>
      <w:pPr>
        <w:spacing w:after="0" w:line="165"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On July 6, 2021, the Company entered into a research and development collaboration agreement with TMS NeuroHealth Centers Inc., a wholly-owned subsidiary of Greenbrook TMS Inc. (the “</w:t>
      </w:r>
      <w:r>
        <w:rPr>
          <w:rFonts w:ascii="Times New Roman" w:cs="Times New Roman" w:eastAsia="Times New Roman" w:hAnsi="Times New Roman"/>
          <w:sz w:val="18"/>
          <w:szCs w:val="18"/>
          <w:b w:val="1"/>
          <w:bCs w:val="1"/>
          <w:color w:val="auto"/>
        </w:rPr>
        <w:t>Collaboration Agreement</w:t>
      </w:r>
      <w:r>
        <w:rPr>
          <w:rFonts w:ascii="Times New Roman" w:cs="Times New Roman" w:eastAsia="Times New Roman" w:hAnsi="Times New Roman"/>
          <w:sz w:val="18"/>
          <w:szCs w:val="18"/>
          <w:color w:val="auto"/>
        </w:rPr>
        <w:t>”) to establish Mental Health Centers of Excellence for the purpose of facilitating research and development of innovative psychedelic compound-based therapeutics for patients suffering from depression.</w:t>
      </w:r>
    </w:p>
    <w:p>
      <w:pPr>
        <w:spacing w:after="0" w:line="176"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On July 8, 2021, the Company announced the scaling up of its European operations and research activities with various academic and clinical research organizations, including the transfer of its intellectual property assets to its wholly owned Ireland subsidiary, Cybin IRL Limited.</w:t>
      </w:r>
    </w:p>
    <w:p>
      <w:pPr>
        <w:spacing w:after="0" w:line="144"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18"/>
          <w:szCs w:val="18"/>
          <w:color w:val="auto"/>
        </w:rPr>
        <w:t>On July 13, 2021, the Company announced that it has commenced the next phase of the Company’s digital therapeutics platform which will better enable the evaluation of patient outcomes through a highly secure, patient entered data analytics platform for better pre- and post-psychedelic treatments11. The digital therapeutics platform, which is proprietary to Cybin and the subject of the Company’s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patent application, adds another dimension to the Company’s development programs.</w:t>
      </w:r>
      <w:r>
        <w:rPr>
          <w:rFonts w:ascii="Times New Roman" w:cs="Times New Roman" w:eastAsia="Times New Roman" w:hAnsi="Times New Roman"/>
          <w:sz w:val="23"/>
          <w:szCs w:val="23"/>
          <w:u w:val="single" w:color="auto"/>
          <w:color w:val="auto"/>
          <w:vertAlign w:val="superscript"/>
        </w:rPr>
        <w:t>3</w:t>
      </w:r>
    </w:p>
    <w:p>
      <w:pPr>
        <w:spacing w:after="0" w:line="108"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On August 3, 2021, the Company closed its overnight marketed offering of 10,147,600 Common Shares at a price of $3.40 per Common Share for aggregate gross proceeds of $34,501,840 (the “</w:t>
      </w:r>
      <w:r>
        <w:rPr>
          <w:rFonts w:ascii="Times New Roman" w:cs="Times New Roman" w:eastAsia="Times New Roman" w:hAnsi="Times New Roman"/>
          <w:sz w:val="18"/>
          <w:szCs w:val="18"/>
          <w:b w:val="1"/>
          <w:bCs w:val="1"/>
          <w:color w:val="auto"/>
        </w:rPr>
        <w:t>July 2021 Public Offering</w:t>
      </w:r>
      <w:r>
        <w:rPr>
          <w:rFonts w:ascii="Times New Roman" w:cs="Times New Roman" w:eastAsia="Times New Roman" w:hAnsi="Times New Roman"/>
          <w:sz w:val="18"/>
          <w:szCs w:val="18"/>
          <w:color w:val="auto"/>
        </w:rPr>
        <w:t>”) pursuant to a prospectus supplement, dated July 28, 2021, to the Company’s short form base shelf prospectus dated July 5, 2021. The July 2021 Public Offering was completed pursuant to an underwriting agreement (the “</w:t>
      </w:r>
      <w:r>
        <w:rPr>
          <w:rFonts w:ascii="Times New Roman" w:cs="Times New Roman" w:eastAsia="Times New Roman" w:hAnsi="Times New Roman"/>
          <w:sz w:val="18"/>
          <w:szCs w:val="18"/>
          <w:b w:val="1"/>
          <w:bCs w:val="1"/>
          <w:color w:val="auto"/>
        </w:rPr>
        <w:t>July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between the Company and a syndicate of underwriters co-led by Cantor Fitzgerald Canada Corporation and Canaccord Genuity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as joint bookrunners, as well as H.C. Wainwright &amp; Co., LLC, Roth Canada, ULC, and Stifel Nicolaus Canada Inc.. In consideration for their services, the Company paid to the underwriters a cash commission equal to $2,240,129 and issued 658,860 compensation warrants of the Company (the “</w:t>
      </w:r>
      <w:r>
        <w:rPr>
          <w:rFonts w:ascii="Times New Roman" w:cs="Times New Roman" w:eastAsia="Times New Roman" w:hAnsi="Times New Roman"/>
          <w:sz w:val="18"/>
          <w:szCs w:val="18"/>
          <w:b w:val="1"/>
          <w:bCs w:val="1"/>
          <w:color w:val="auto"/>
        </w:rPr>
        <w:t>Compensation Warrants</w:t>
      </w:r>
      <w:r>
        <w:rPr>
          <w:rFonts w:ascii="Times New Roman" w:cs="Times New Roman" w:eastAsia="Times New Roman" w:hAnsi="Times New Roman"/>
          <w:sz w:val="18"/>
          <w:szCs w:val="18"/>
          <w:color w:val="auto"/>
        </w:rPr>
        <w:t>”), with each Compensation Warrant being exercisable to acquire one Common Share at the issue price of $3.40 per Common Share for a period of 24 months from the closing date of the July 2021 Public Offering.</w:t>
      </w:r>
    </w:p>
    <w:p>
      <w:pPr>
        <w:spacing w:after="0" w:line="172"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On August 17, 2021, Adelia completed certain Adelia Milestones for Year 1 Q3 (i)-(iii) and Year 1 Q4 (i) and (iii), as contemplated by the terms of the Contribution Agreement. Accordingly, 18,788.5 Class B Shares were issued to the Adelia Shareholders, in satisfaction of $633,110.45 due to them upon meeting such Adelia Milestone, at a price per Class B Share of $33.70. The Class B Shares are exchangeable for a total of 187,885 Common Shares, representing an effective issue price of $3.37 per Common Share.</w:t>
      </w:r>
    </w:p>
    <w:p>
      <w:pPr>
        <w:spacing w:after="0" w:line="153"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On August 31, 2021, Adelia achieved certain Adelia Milestones for Year 1 Q3 (iv) (v) (vi) as contemplated by the terms of the Contribution Agreement. Accordingly, 9,392.6 Class B Shares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153987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18" w:lineRule="exact"/>
        <w:rPr>
          <w:sz w:val="20"/>
          <w:szCs w:val="20"/>
          <w:color w:val="auto"/>
        </w:rPr>
      </w:pPr>
    </w:p>
    <w:p>
      <w:pPr>
        <w:jc w:val="both"/>
        <w:ind w:left="3" w:hanging="3"/>
        <w:spacing w:after="0" w:line="235" w:lineRule="auto"/>
        <w:tabs>
          <w:tab w:leader="none" w:pos="106"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3"/>
          </w:cols>
          <w:pgMar w:left="317" w:top="1440" w:right="319" w:bottom="1440" w:gutter="0" w:footer="0" w:header="0"/>
        </w:sectPr>
      </w:pPr>
    </w:p>
    <w:bookmarkStart w:id="90" w:name="page91"/>
    <w:bookmarkEnd w:id="90"/>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aggregate value of $317,469.88 were issued to the Adelia Shareholders, at a price per Class B Share of $33.80. The Class B Shares are exchangeable for a total of 93,926 Common Shares, representing an effective issue price of $3.38 per Common Share.</w:t>
      </w:r>
    </w:p>
    <w:p>
      <w:pPr>
        <w:spacing w:after="0" w:line="14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October 1, 2021, the Company announced the appointment of Dr. Amir Inamdar as Chief Medical Officer for European Operations and Dr. Geoff Varty as the Head of Research and Development.</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October 26, 2021, the Company announced that the United States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has authorized an IND application to proceed with the Company’s sponsored feasibility study using the Kernel Flow technology to measure ketamine’s psychedelic effect on cerebral cortex hemodynamics.</w:t>
      </w:r>
    </w:p>
    <w:p>
      <w:pPr>
        <w:spacing w:after="0" w:line="14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November 4, 2021, the Company announced that it has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will allow the Company to further become a hub for innovation and drug discovery. Previously, the Company conducted much of its research and development work through globally licensed research organizations in the U.S., Canada, and the UK, and through certain in-house capabilities. With the DEA license, the Company expects to be able to expand its internal R&amp;D capabilities to support innovative drug discovery and delivery involving Schedule I compounds.</w:t>
      </w:r>
    </w:p>
    <w:p>
      <w:pPr>
        <w:spacing w:after="0" w:line="15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7"/>
          <w:szCs w:val="17"/>
          <w:color w:val="auto"/>
        </w:rPr>
        <w:t>On November 8, 2021, the Company announced positive CYB003 pre-clinical findings that demonstrate multiple potential advantages for its novel deuterated psilocybin analog over oral psilocybin for the potential treatment of mental health, including less patient variability, faster onset of action, shorter duration of effect and improved brain penetration. As a result of the positive CYB003 pre-clinical data, the Company will be prioritizing the development of this molecule, while leveraging the work that has been done to date on both the Psilocybin Program and the CYB003 Deuterated Psilocybin Analog Program.</w:t>
      </w:r>
    </w:p>
    <w:p>
      <w:pPr>
        <w:spacing w:after="0" w:line="14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November 18, 2021, an additional 28,903 Class B Shares were issued to the Adelia Shareholders due to the achievement of certain Adelia Milestones for Year 2 Q1 (i)-(iii), as contemplated by the terms of the Contribution Agreement, amounting to $706,585.86 at a price per Class B Share of $24.45. These Class B Shares are exchangeable for a total of 289,030 Common Shares, representing an effective issue price of $2.44 per Common Share.</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November 23, 2021, the Company announced it awarded a grant for the first psychedelic treatment clinic at Lenox Hill Hospital, part of Northwell Health, to serve marginalized and underserved communities on the Upper East Side of Manhattan, New York. The program aims to become one of the first hospital-based clinical sites to offer psychedelic medicine in the United States.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26, 2021, the Company announced the achievement of certain Adelia Milestones for Year 1 Q4 (ii), Year 2 Q1 (iv) and Year 2 Q1 (vii) as contemplated by the terms of the Contribution Agreement. Accordingly, on November 29, 2021, 31,721.5 Class B Shares having an aggregate value of $628,878.74 became due to be issued to the Adelia Shareholders, at a price per Class B Share of $19.83. These Class B Shares are exchangeable for a total of 317,215 Common Shares, representing an effective issue price of $1.98 per Common Share.</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December 8, 2021, the Company announced that it confirmed a scientific advice meeting with the UK Medical and Healthcare Products Regulatory Agency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The meeting was held in Q1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1440" w:right="319" w:bottom="1440" w:gutter="0" w:footer="0" w:header="0"/>
        </w:sectPr>
      </w:pPr>
    </w:p>
    <w:bookmarkStart w:id="91" w:name="page92"/>
    <w:bookmarkEnd w:id="9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program milestone brings the Company closer toward advancing into clinical development for the treatment of MDD and AUD.</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6, 2022, the Company announced the achievement of certain Adelia Milestones for Year 2 Q1 (v), as contemplated by the terms of the Contribution Agreement. Accordingly, 15,611.4 Class B Shares having an aggregate value of $235,576.03 were issued to the Adelia Shareholders, at a price per Class B Share of $15.09. These Class B Shares are exchangeable for a total of 156,114 Common Shares, representing an effective issue price of $1.51 per Common Share.</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11, 2022, the Company announced that it had received IRB approval for a Cybin-sponsored feasibility study using the Kernel Flow technology to measure psychedelic effects on the brain.</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January 27, 2022, the Company announced the achievement of certain Adelia Milestones for Y1, Q4 (iv), Y1, Q4 (v) and Y2, Q1 (vi), as contemplated by the terms of the Contribution Agreement. Accordingly, on February 14, 2022, 41,028.2 Class B Shares having an aggregate value of $551,006.04 were issued to the Adelia Shareholders at a price per Class B Share of $13.43. These Class B Shares are exchangeable for a total of 410,282 Common Shares, representing an effective issue price of $1.34 per Common Share.</w:t>
      </w:r>
    </w:p>
    <w:p>
      <w:pPr>
        <w:spacing w:after="0" w:line="16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February 9, 2022, the Company announced that the U.S. Patent and Trademark Office has granted U.S. patent number 11,242,318 to the Company’s investigational deuterated DMT compound CYB004. The allowed claims include a range of deuterated forms of DMT and 5-MeO-DMT. The patent, which is expected to expire in 2041 before consideration of any patent term extensions, covers composition of matter and protects the CYB004 drug substance, a putative new chemical entity.</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February 18, 2022, the Company announced the achievement of certain Adelia Milestones for Year 2 Q2 (iii), as contemplated by the terms of the Contribution Agreement. Accordingly, 17,239.5 Class B Shares having an aggregate value of $233,422.83 were issued to the Adelia Shareholders, at a price per Class B Share of $13.54. These Class B Shares are exchangeable for a total of 172,395 Common Shares, representing an effective issue price of $1.35 per Common Share.</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March 25, 2022, the Company announced the achievement of certain Adelia Milestones for Year 1 Q4 (vi); Year 2 Q2 (ii); Year 2 Q2 (v) and Year 2, Q3 (iii), as contemplated by the terms of the Contribution Agreement. Accordingly, 90,546 Class B Shares having an aggregate value of $904,554.54 were issued to the Adelia Shareholders, at a price per Class B Share of $9.994. These Class B Shares are exchangeable for a total of 905,460 Common Shares, representing an effective issue price of $1.00 per Common Share.</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March 29, 2022, the Company announced the completion of in vivo preclinical studies evaluating its deuterated psilocybin analog CYB003 for the potential treatment of MDD. Data from in vivo preclinical studies demonstrate that CYB003 is well-tolerated following several doses in multiple species and support the advancement toward an IND filing with the FDA for a Phase 1/2a first-in-human clinical trial in patients with MDD. The preclinical in vivo studies followed FDA protocol and were completed under Good Laboratory Practice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guidelines.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March 31, 2023</w:t>
      </w:r>
    </w:p>
    <w:p>
      <w:pPr>
        <w:spacing w:after="0" w:line="20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April 1, 2022, Adelia achieved the milestone identified as Year 2, Q2 (iv), as contemplated by the terms of the Contribution Agreement. Accordingly, 22,428.3 Class B Shares having an aggregate value of $228,768.66 were issued to the Adelia Shareholders, at a price per Class B Share of $10.20. These Class B Shares are exchangeable for a total of 224,283 Common Shares, representing an effective issue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1440" w:right="319" w:bottom="1440" w:gutter="0" w:footer="0" w:header="0"/>
        </w:sectPr>
      </w:pPr>
    </w:p>
    <w:bookmarkStart w:id="92" w:name="page93"/>
    <w:bookmarkEnd w:id="92"/>
    <w:p>
      <w:pPr>
        <w:spacing w:after="0" w:line="1"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$1.02 per Common Share. In consideration for the milestone achieved an additional amount of $4,655.29 is issuable at a price per share to be determined in accordance with the terms of the Contribution Agreement and applicable securities laws.</w:t>
      </w:r>
    </w:p>
    <w:p>
      <w:pPr>
        <w:spacing w:after="0" w:line="144"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On April 8, 2022, the Company announced that the World Intellectual Property Organization published an international patent application covering a range of inhalation delivery methods across multiple psychedelic molecules (Patent Cooperation Treaty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patent application no. PCT/EP2021/077057). The PCT application titled “Methods For Delivery Of Psychedelic Medications By Inhalation And Systems For Performing The Methods” allows the Company to pursue patent applications and seek protection for multiple inhaled forms of psychedelic molecules that are currently being researched and developed, or may be developed by the Company in the future.</w:t>
      </w:r>
    </w:p>
    <w:p>
      <w:pPr>
        <w:spacing w:after="0" w:line="158"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8"/>
          <w:szCs w:val="18"/>
          <w:color w:val="auto"/>
        </w:rPr>
        <w:t>On April 13, 2022, the Company announced positive preclinical data from a PK study evaluating its proprietary deuterated DMT molecule,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w:t>
      </w:r>
    </w:p>
    <w:p>
      <w:pPr>
        <w:spacing w:after="0" w:line="161" w:lineRule="exact"/>
        <w:rPr>
          <w:sz w:val="20"/>
          <w:szCs w:val="20"/>
          <w:color w:val="auto"/>
        </w:rPr>
      </w:pPr>
    </w:p>
    <w:p>
      <w:pPr>
        <w:jc w:val="both"/>
        <w:ind w:left="3" w:right="20"/>
        <w:spacing w:after="0" w:line="285" w:lineRule="auto"/>
        <w:rPr>
          <w:sz w:val="20"/>
          <w:szCs w:val="20"/>
          <w:color w:val="auto"/>
        </w:rPr>
      </w:pPr>
      <w:r>
        <w:rPr>
          <w:rFonts w:ascii="Times New Roman" w:cs="Times New Roman" w:eastAsia="Times New Roman" w:hAnsi="Times New Roman"/>
          <w:sz w:val="17"/>
          <w:szCs w:val="17"/>
          <w:color w:val="auto"/>
        </w:rPr>
        <w:t>On April 21, 2022, the Company announced that it has partnered with Clinilabs Drug Development Corporation (“</w:t>
      </w:r>
      <w:r>
        <w:rPr>
          <w:rFonts w:ascii="Times New Roman" w:cs="Times New Roman" w:eastAsia="Times New Roman" w:hAnsi="Times New Roman"/>
          <w:sz w:val="17"/>
          <w:szCs w:val="17"/>
          <w:b w:val="1"/>
          <w:bCs w:val="1"/>
          <w:color w:val="auto"/>
        </w:rPr>
        <w:t>Clinilabs</w:t>
      </w:r>
      <w:r>
        <w:rPr>
          <w:rFonts w:ascii="Times New Roman" w:cs="Times New Roman" w:eastAsia="Times New Roman" w:hAnsi="Times New Roman"/>
          <w:sz w:val="17"/>
          <w:szCs w:val="17"/>
          <w:color w:val="auto"/>
        </w:rPr>
        <w:t>”), a global, full-service contract research organization with expertise in central nervous system drug development, to carry out the Company’s Phase 1/2a clinical trial of CYB003, its proprietary deuterated psilocybin analog. CYB003 will be the first psilocybin analog to be evaluated in Phase 1/2a development for the treatment of MDD.</w:t>
      </w:r>
    </w:p>
    <w:p>
      <w:pPr>
        <w:spacing w:after="0" w:line="144" w:lineRule="exact"/>
        <w:rPr>
          <w:sz w:val="20"/>
          <w:szCs w:val="20"/>
          <w:color w:val="auto"/>
        </w:rPr>
      </w:pPr>
    </w:p>
    <w:p>
      <w:pPr>
        <w:jc w:val="both"/>
        <w:ind w:left="3" w:right="20"/>
        <w:spacing w:after="0" w:line="232" w:lineRule="auto"/>
        <w:rPr>
          <w:sz w:val="20"/>
          <w:szCs w:val="20"/>
          <w:color w:val="auto"/>
        </w:rPr>
      </w:pPr>
      <w:r>
        <w:rPr>
          <w:rFonts w:ascii="Times New Roman" w:cs="Times New Roman" w:eastAsia="Times New Roman" w:hAnsi="Times New Roman"/>
          <w:sz w:val="18"/>
          <w:szCs w:val="18"/>
          <w:color w:val="auto"/>
        </w:rPr>
        <w:t>On May 9, 2022, the Company and Kernel announced results from the piloting of the Kernel Flow feasibility study measuring ketamine’s effects on the brain. The preliminary data confirmed Kernel Flow’s ability to successfully measure neuro-effect of ketamine over 10 days.</w:t>
      </w:r>
      <w:r>
        <w:rPr>
          <w:rFonts w:ascii="Times New Roman" w:cs="Times New Roman" w:eastAsia="Times New Roman" w:hAnsi="Times New Roman"/>
          <w:sz w:val="23"/>
          <w:szCs w:val="23"/>
          <w:u w:val="single" w:color="auto"/>
          <w:color w:val="auto"/>
          <w:vertAlign w:val="superscript"/>
        </w:rPr>
        <w:t>4</w:t>
      </w:r>
      <w:r>
        <w:rPr>
          <w:rFonts w:ascii="Times New Roman" w:cs="Times New Roman" w:eastAsia="Times New Roman" w:hAnsi="Times New Roman"/>
          <w:sz w:val="18"/>
          <w:szCs w:val="18"/>
          <w:color w:val="auto"/>
        </w:rPr>
        <w:t xml:space="preserve"> The Company completed its feasibility study sponsorship utilizing Kernel Flow in Q3 2022.</w:t>
      </w:r>
    </w:p>
    <w:p>
      <w:pPr>
        <w:spacing w:after="0" w:line="169"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On May 31, 2022, the Company announced the submission of an IND application to the FDA for its Phase 1/2a first-in-human clinical trial evaluating CYB003, a proprietary deuterated psilocybin analog, for the treatment of MDD.</w:t>
      </w:r>
    </w:p>
    <w:p>
      <w:pPr>
        <w:spacing w:after="0" w:line="144"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On June 3, 2022, the Company announced that Adelia achieved the Milestones identified as identified as Y2, Q2 (i), (vi), Y2, Q3 (ii), Year 2 Q4 (i) and Year 3 Q1 (i), (ii), (iii), as contemplated by the terms of the Contribution Agreement. Accordingly, Class B Shares having an aggregate value of $2,033,309.79 became due to be issued to the Adelia Shareholders, at a price per share to be determined in accordance with the terms of the Contribution Agreement and applicable securities laws.</w:t>
      </w:r>
    </w:p>
    <w:p>
      <w:pPr>
        <w:spacing w:after="0" w:line="170"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On June 7, 2022, the Company announced that, through its wholly-owned subsidiary, Cybin Ireland, it entered into an agreement to acquire a Phase 1 DMT study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the Company’s proprietary deuterated DMT molecule for the potential treatment of anxiety disorders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The purchase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3987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0" w:lineRule="exact"/>
        <w:rPr>
          <w:sz w:val="20"/>
          <w:szCs w:val="20"/>
          <w:color w:val="auto"/>
        </w:rPr>
      </w:pPr>
    </w:p>
    <w:p>
      <w:pPr>
        <w:jc w:val="both"/>
        <w:ind w:left="3" w:right="20" w:hanging="3"/>
        <w:spacing w:after="0" w:line="231" w:lineRule="auto"/>
        <w:tabs>
          <w:tab w:leader="none" w:pos="93"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Kernel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Kernel Flow headset.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3"/>
          </w:cols>
          <w:pgMar w:left="317" w:top="1440" w:right="319" w:bottom="1440" w:gutter="0" w:footer="0" w:header="0"/>
        </w:sectPr>
      </w:pPr>
    </w:p>
    <w:bookmarkStart w:id="93" w:name="page94"/>
    <w:bookmarkEnd w:id="93"/>
    <w:p>
      <w:pPr>
        <w:jc w:val="both"/>
        <w:spacing w:after="0" w:line="293" w:lineRule="auto"/>
        <w:rPr>
          <w:sz w:val="20"/>
          <w:szCs w:val="20"/>
          <w:color w:val="auto"/>
        </w:rPr>
      </w:pPr>
      <w:r>
        <w:rPr>
          <w:rFonts w:ascii="Times New Roman" w:cs="Times New Roman" w:eastAsia="Times New Roman" w:hAnsi="Times New Roman"/>
          <w:sz w:val="17"/>
          <w:szCs w:val="17"/>
          <w:color w:val="auto"/>
        </w:rPr>
        <w:t>the Asset Acquisition is $1,000,000, a portion of which will be a deposit with the balance payable on closing of the Asset Acquisition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In addition, the Company may pay up to $480,000 for consulting services to be provided from Entheon over a period of up to twelve months following Closing. The Company expects the Asset Acquisition to close within 30 days, subject to the completion of certain conditions and obtaining all necessary approvals.</w:t>
      </w:r>
    </w:p>
    <w:p>
      <w:pPr>
        <w:spacing w:after="0" w:line="1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On June 9, 2022, the Company announced that it has received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to begin the first-in-human Phase 1/2a clinical trial evaluating CYB003, its proprietary deuterated psilocybin analog, for the treatment of MDD.</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27, 2022, the Company announced that it has received a “may proceed letter” and IND application clearance from the FDA for its Phase 1/2a first-in-human clinical trial evaluating CYB003. This milestone marks the industry’s first ever novel psilocybin analog to enter clinical development.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2022, the Company announced that Adelia achieved the Milestone identified as Y2, Q3 (i), as contemplated by the terms of the Adelia Contribution Agreement. Accordingly, 37,366.2 Class B Shares having an aggregate value of $280,247.14 were issued to the Adelia Shareholders, at a price per Class B Share of $7.50. These Class B Shares are exchangeable for a total of 373,662 Common Shares, representing an effective issue price of $0.75 per Common Share.</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July 11, 2022, the Company announced that the Asset Acquisition was completed. The Phase 1 study, previously identified as EBRX-101 and now named CYB004-E. Entheon acted as external consultants to the Company for approximately 10 months after the Asset Acquisition.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2022, the Company announced that its partner, Clinilabs, had begun enrollment in a Phase 1/2a clinical trial of CYB003, the first novel psilocybin analog to be evaluated in Phase 1/2a development for the treatment of MDD.</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8, 2022, the Company announced that it has established an at-the-market equity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that allows the Company to issue and sell up to US$35,000,000 of Common Shares, from time to time. Distributions of Common Shares under the ATM Program, will be made pursuant to the terms and conditions of an “at-the-market equity” distribution agreement (the “</w:t>
      </w:r>
      <w:r>
        <w:rPr>
          <w:rFonts w:ascii="Times New Roman" w:cs="Times New Roman" w:eastAsia="Times New Roman" w:hAnsi="Times New Roman"/>
          <w:sz w:val="18"/>
          <w:szCs w:val="18"/>
          <w:b w:val="1"/>
          <w:bCs w:val="1"/>
          <w:color w:val="auto"/>
        </w:rPr>
        <w:t>Distribution Agreement</w:t>
      </w:r>
      <w:r>
        <w:rPr>
          <w:rFonts w:ascii="Times New Roman" w:cs="Times New Roman" w:eastAsia="Times New Roman" w:hAnsi="Times New Roman"/>
          <w:sz w:val="18"/>
          <w:szCs w:val="18"/>
          <w:color w:val="auto"/>
        </w:rPr>
        <w:t>”) dated August 8, 2022, entered into by and among the Company, Cantor Fitzgerald Canada Corporation and Cantor Fitzgerald &amp; Co. The ATM Program will be effective until the earlier of the issuance and sale of all of the Common Shares issuable pursuant to the ATM Program and August 5, 2023, unless earlier terminated in accordance with the terms of the Distribution Agreement.</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August 17, 2022, the Company, and its partner Clinilabs, announced that the DEA has granted a Schedule I license to support the first-in-human Phase 1/2a clinical trial of CYB003, a proprietary deuterated psilocybin analog that is being developed for the treatment MDD.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30, 2022, the Company announced that the first two participants have been dosed in its Phase 1/2a trial evaluating CYB003 for the treatment of MDD.</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2022, the Company announced that Adelia has achieved the final milestone identified as Y2, Q4(ii) as contemplated by the terms of the Adelia Contribution Agreement. Accordingly, 33,190.1 Class B Shares having an aggregate value of $467,982.21 were issued to the Adelia Shareholders, at a price per Class B Share of $14.10. These Class B Shares are exchangeable for a total of 331,901 Common Shares, representing an effective issue price of $1.41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36" w:right="339" w:bottom="1440" w:gutter="0" w:footer="0" w:header="0"/>
        </w:sectPr>
      </w:pPr>
    </w:p>
    <w:bookmarkStart w:id="94" w:name="page95"/>
    <w:bookmarkEnd w:id="94"/>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US$500,000 as well as additional clinical development milestone payments of up to US$9,500,000, with the first milestone payment, in the amount of US$500,000,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DMT has completed dosing for four out of five participant cohorts and that the Safety Review Committee has confirmed no clinically significant safety or toxicity issues. The CYB004-E Phase 1 trial was acquired from Entheon in July 2022.</w:t>
      </w:r>
    </w:p>
    <w:p>
      <w:pPr>
        <w:spacing w:after="0" w:line="13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On January 12, 2023, the Company announced that it has selected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with or without MDD as the target indication for its proprietary deuterated DMT molecule, CYB004.</w:t>
      </w:r>
    </w:p>
    <w:p>
      <w:pPr>
        <w:spacing w:after="0" w:line="1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On January 18, 2023, the Company announced key highlights from the completed feasibility study conducted by its partner Kernel, evaluating Kernel Flow’s wearable technology to measure ketamine’s psychedelic effect on cerebral cortex hemodynamics. Results from this Company-sponsored study are intended to inform the future pathway for this program.</w:t>
      </w:r>
    </w:p>
    <w:p>
      <w:pPr>
        <w:spacing w:after="0" w:line="14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1, 2023, the Company announced that it has received approval from an independent ethics committee in the Netherlands to initiate first-in-human dosing of its proprietary deuterated DMT molecule CYB004 through a protocol amendment to its ongoing CYB004-E Phase 1 trial. This clinical advancement marks the first time a deuterated DMT molecule will be evaluated in humans and further reduces Cybin’s time-to-clinic with CYB004.</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February 28, 2023, the Company provided interim findings from the Company’s ongoing Phase 1/2a clinical trial evaluating CYB003. The findings demonstrated positive observations, including a rapid and short-acting psychedelic response in participants. Participants received single oral doses of CYB003 at 1 milligram (“mg”), 3mg, 8mg, and 10mg, respectively, and all doses were well-tolerated with no serious adverse events reported. Most notably, participants reported meaningful and robust psychedelic effects at the 8mg and 10mg doses, confirming a complete mystical experience was achieved. These interim findings demonstrate that CYB003 was rapid and short acting, had low variability in plasma levels,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0"/>
          </w:cols>
          <w:pgMar w:left="320" w:top="1437" w:right="319" w:bottom="1440" w:gutter="0" w:footer="0" w:header="0"/>
        </w:sectPr>
      </w:pPr>
    </w:p>
    <w:bookmarkStart w:id="95" w:name="page96"/>
    <w:bookmarkEnd w:id="95"/>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reached a psychedelic effect at low doses, while maintaining a safe and well-tolerated therapeutic profile. .</w:t>
      </w:r>
      <w:r>
        <w:rPr>
          <w:rFonts w:ascii="Times New Roman" w:cs="Times New Roman" w:eastAsia="Times New Roman" w:hAnsi="Times New Roman"/>
          <w:sz w:val="23"/>
          <w:szCs w:val="23"/>
          <w:u w:val="single" w:color="auto"/>
          <w:color w:val="auto"/>
          <w:vertAlign w:val="superscript"/>
        </w:rPr>
        <w:t>5</w:t>
      </w:r>
    </w:p>
    <w:p>
      <w:pPr>
        <w:spacing w:after="0" w:line="148"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7"/>
          <w:szCs w:val="17"/>
          <w:color w:val="auto"/>
        </w:rPr>
        <w:t>On February 28, 2023, the Company provided an update on its Phase 1 CYB004-E trial evaluating IV DMT in healthy volunteers. Per a protocol amendment to the initial trial design, the Company has established a three-part study to include Part A (IV DMT infusion), Part B (IV DMT bolus + infusion) and Part C (CYB004) in healthy volunteers, which will allow the Company to initiate first-in-human dosing of CYB004 sooner than initially planned. Data from the new Parts B and C of the trial will serve to build a more robust PK and PD model to optimize dose selection and formulation development for future clinical studies. As of February 28, 2023, Part A of the trial evaluating IV DMT in participants was complete, and IV DMT at the evaluated dose ranges was demonstrated to be safe and well-tolerated. The Phase 1 CYB004-E trial has dosed 40 participants in Part A and dosing has commenced in Part B.</w:t>
      </w:r>
    </w:p>
    <w:p>
      <w:pPr>
        <w:spacing w:after="0" w:line="200" w:lineRule="exact"/>
        <w:rPr>
          <w:sz w:val="20"/>
          <w:szCs w:val="20"/>
          <w:color w:val="auto"/>
        </w:rPr>
      </w:pPr>
    </w:p>
    <w:p>
      <w:pPr>
        <w:spacing w:after="0" w:line="3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Year ended March 31, 2024</w:t>
      </w:r>
    </w:p>
    <w:p>
      <w:pPr>
        <w:spacing w:after="0" w:line="207"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On April 12, 2023, the Company announced the launch of EMBARK Open Access, an online foundational training course that offers psychedelic facilitation training for healthcare professionals and people interested in offering psychological support.</w:t>
      </w:r>
    </w:p>
    <w:p>
      <w:pPr>
        <w:spacing w:after="0" w:line="132"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On May 9, 2023, the Company announced the completion of dosing the last subject in Part B of the Phase 1 CYB004-E trial. With the completion of Part B, the Company announced on May 24, 2023 that it initiated dosing of CYB004 in Part C which will evaluate IV bolus + infusion regimens of CYB004 in a crossover design. Results from Parts B and C are expected to provide a more robust PK and PD model to optimize dose selection and formulation development for future clinical studies. The Company expects to report top-line results from the completed Phase 1 CYB004-E clinical trial in the third quarter of calendar year 2023.</w:t>
      </w:r>
      <w:r>
        <w:rPr>
          <w:rFonts w:ascii="Times New Roman" w:cs="Times New Roman" w:eastAsia="Times New Roman" w:hAnsi="Times New Roman"/>
          <w:sz w:val="23"/>
          <w:szCs w:val="23"/>
          <w:u w:val="single" w:color="auto"/>
          <w:color w:val="auto"/>
          <w:vertAlign w:val="superscript"/>
        </w:rPr>
        <w:t>6 7</w:t>
      </w:r>
    </w:p>
    <w:p>
      <w:pPr>
        <w:spacing w:after="0" w:line="74" w:lineRule="exact"/>
        <w:rPr>
          <w:sz w:val="20"/>
          <w:szCs w:val="20"/>
          <w:color w:val="auto"/>
        </w:rPr>
      </w:pPr>
    </w:p>
    <w:p>
      <w:pPr>
        <w:jc w:val="both"/>
        <w:ind w:left="3"/>
        <w:spacing w:after="0" w:line="252" w:lineRule="auto"/>
        <w:rPr>
          <w:sz w:val="20"/>
          <w:szCs w:val="20"/>
          <w:color w:val="auto"/>
        </w:rPr>
      </w:pPr>
      <w:r>
        <w:rPr>
          <w:rFonts w:ascii="Times New Roman" w:cs="Times New Roman" w:eastAsia="Times New Roman" w:hAnsi="Times New Roman"/>
          <w:sz w:val="18"/>
          <w:szCs w:val="18"/>
          <w:color w:val="auto"/>
        </w:rPr>
        <w:t>On May 30, 2023, the Company announced that it has entered into a common share purchase agreement (the “</w:t>
      </w:r>
      <w:r>
        <w:rPr>
          <w:rFonts w:ascii="Times New Roman" w:cs="Times New Roman" w:eastAsia="Times New Roman" w:hAnsi="Times New Roman"/>
          <w:sz w:val="18"/>
          <w:szCs w:val="18"/>
          <w:b w:val="1"/>
          <w:bCs w:val="1"/>
          <w:color w:val="auto"/>
        </w:rPr>
        <w:t>LPC Purchase Agreement</w:t>
      </w:r>
      <w:r>
        <w:rPr>
          <w:rFonts w:ascii="Times New Roman" w:cs="Times New Roman" w:eastAsia="Times New Roman" w:hAnsi="Times New Roman"/>
          <w:sz w:val="18"/>
          <w:szCs w:val="18"/>
          <w:color w:val="auto"/>
        </w:rPr>
        <w:t>”) with Lincoln Park Capital Fund, LLC (“</w:t>
      </w:r>
      <w:r>
        <w:rPr>
          <w:rFonts w:ascii="Times New Roman" w:cs="Times New Roman" w:eastAsia="Times New Roman" w:hAnsi="Times New Roman"/>
          <w:sz w:val="18"/>
          <w:szCs w:val="18"/>
          <w:b w:val="1"/>
          <w:bCs w:val="1"/>
          <w:color w:val="auto"/>
        </w:rPr>
        <w:t>LPC</w:t>
      </w:r>
      <w:r>
        <w:rPr>
          <w:rFonts w:ascii="Times New Roman" w:cs="Times New Roman" w:eastAsia="Times New Roman" w:hAnsi="Times New Roman"/>
          <w:sz w:val="18"/>
          <w:szCs w:val="18"/>
          <w:color w:val="auto"/>
        </w:rPr>
        <w:t>”). Subject to the terms and conditions of the LPC Purchase Agreement, the Company has the right to sell, and LPC is obligated to purchase, up to US$30 million (approximately C$41 million) of Common Shares over a 36-month period at prices that are based on the market price at the time of each sale to LPC. The Company, in its sole discretion, controls the timing and amount of all sales of Common Shares under the LPC Purchase Agreement. The sale of Common Shares under the LPC Purchase Agreement will be made pursuant to and qualified by way of a prospectus supplement dated May 30, 2023 (the “</w:t>
      </w:r>
      <w:r>
        <w:rPr>
          <w:rFonts w:ascii="Times New Roman" w:cs="Times New Roman" w:eastAsia="Times New Roman" w:hAnsi="Times New Roman"/>
          <w:sz w:val="18"/>
          <w:szCs w:val="18"/>
          <w:b w:val="1"/>
          <w:bCs w:val="1"/>
          <w:color w:val="auto"/>
        </w:rPr>
        <w:t>May 2023 Prospectus</w:t>
      </w:r>
      <w:r>
        <w:rPr>
          <w:rFonts w:ascii="Times New Roman" w:cs="Times New Roman" w:eastAsia="Times New Roman" w:hAnsi="Times New Roman"/>
          <w:sz w:val="18"/>
          <w:szCs w:val="18"/>
          <w:color w:val="auto"/>
        </w:rPr>
        <w:t>”), to the Company’s short form base shelf prospectus dated July 5, 2021 filed with the securities commissions in each of the provinces and territories of Canada. The May 2023 Prospectus was also filed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part of a registration statement on Form F-10, which was declared effective by the SEC on October 8, 2021, in accordance with the Multijurisdictional Disclosure System established between Canada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53987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6" w:lineRule="exact"/>
        <w:rPr>
          <w:sz w:val="20"/>
          <w:szCs w:val="20"/>
          <w:color w:val="auto"/>
        </w:rPr>
      </w:pPr>
    </w:p>
    <w:p>
      <w:pPr>
        <w:jc w:val="both"/>
        <w:ind w:left="3" w:right="20" w:hanging="3"/>
        <w:spacing w:after="0" w:line="230" w:lineRule="auto"/>
        <w:tabs>
          <w:tab w:leader="none" w:pos="98"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material factors and assumption underlying this forward-looking statement are based on anticipated timelines regarding drug development which are in turn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rFonts w:ascii="Times New Roman" w:cs="Times New Roman" w:eastAsia="Times New Roman" w:hAnsi="Times New Roman"/>
          <w:sz w:val="19"/>
          <w:szCs w:val="19"/>
          <w:color w:val="auto"/>
          <w:vertAlign w:val="superscript"/>
        </w:rPr>
      </w:pPr>
    </w:p>
    <w:p>
      <w:pPr>
        <w:ind w:left="3"/>
        <w:spacing w:after="0" w:line="21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5"/>
          <w:szCs w:val="15"/>
          <w:color w:val="auto"/>
        </w:rPr>
        <w:t xml:space="preserve"> Intentionally deleted</w:t>
      </w:r>
    </w:p>
    <w:p>
      <w:pPr>
        <w:ind w:left="3"/>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5"/>
          <w:szCs w:val="15"/>
          <w:color w:val="auto"/>
        </w:rPr>
        <w:t xml:space="preserve">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3"/>
          </w:cols>
          <w:pgMar w:left="317" w:top="1440" w:right="319" w:bottom="1440" w:gutter="0" w:footer="0" w:header="0"/>
        </w:sectPr>
      </w:pPr>
    </w:p>
    <w:bookmarkStart w:id="96" w:name="page97"/>
    <w:bookmarkEnd w:id="96"/>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the Company issued 2,538,844 Common Shares to LPC as a commitment fee. The LPC Purchase Agreement provides that the Company may not issue or sell any Common Shares to LPC under the LPC Purchase Agreement which, when aggregated with all other Common Shares then beneficially owned by LPC and its affiliates (as calculated pursuant to Section 13(d)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Rule 13d-3 thereunder), would result in LPC beneficially owning more than 9.99% of the outstanding Common Shares. On July 31, 2023, the Company announced that it had suspended all sales under the LPC Purchase Agreement in connection with the August 2023 Offering. On August 23, 2023, the Company also announced the filing of a prospectus supplement to the Company’s base shelf prospectus dated August 17, 2023 (the “</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requalifying the Company’s LPC Purchase Agreement on the same terms as those entered into on May 30, 2023 with LPC.</w:t>
      </w:r>
    </w:p>
    <w:p>
      <w:pPr>
        <w:spacing w:after="0" w:line="17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June 5, 2023, the Company announced changes to its scientific management team. Following the achievement of the final milestones as contemplated by the terms of the Contribution Agreement, Michael Palfreyman Ph.D. and Brett Greene, who joined the Company following the Adelia Transaction, will leave their roles as Chief R&amp;D Officer and Chief Innovations Officer, respectively, and transition into advisory roles at the Company. Alex Nivorozhkin Ph.D., one of Adelia’s founders, will continue in his role as Chief Scientific Officer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27, 2023, the Company announced the appointment of Sanford R. Climan as a strategic advisor.</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29, 2023, the Company announced the appointment of Aaron Bartlone as Chief Operating Officer of Cybin Inc., effective July 1, 2023. Mr. Bartlone has served as Chief Operating Officer of Cybin’s U.S. subsidiary, Cybin US Holdings, Inc., since March 2021.</w:t>
      </w:r>
    </w:p>
    <w:p>
      <w:pPr>
        <w:spacing w:after="0" w:line="15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On July 12, 2023, the Company announced that it had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26, 2023, the Company announced that it had partnered with Worldwide Clinical Trials, a global, full-service contract research organization with deep expertise managing clinical trials for mental health conditions, including major depressive disorder.</w:t>
      </w:r>
    </w:p>
    <w:p>
      <w:pPr>
        <w:spacing w:after="0" w:line="1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4, 2023, the Company completed a public offering (the “</w:t>
      </w:r>
      <w:r>
        <w:rPr>
          <w:rFonts w:ascii="Times New Roman" w:cs="Times New Roman" w:eastAsia="Times New Roman" w:hAnsi="Times New Roman"/>
          <w:sz w:val="18"/>
          <w:szCs w:val="18"/>
          <w:b w:val="1"/>
          <w:bCs w:val="1"/>
          <w:color w:val="auto"/>
        </w:rPr>
        <w:t>August 2023 Offering</w:t>
      </w:r>
      <w:r>
        <w:rPr>
          <w:rFonts w:ascii="Times New Roman" w:cs="Times New Roman" w:eastAsia="Times New Roman" w:hAnsi="Times New Roman"/>
          <w:sz w:val="18"/>
          <w:szCs w:val="18"/>
          <w:color w:val="auto"/>
        </w:rPr>
        <w:t>”) of 24,264,706 units of the Company (the “</w:t>
      </w:r>
      <w:r>
        <w:rPr>
          <w:rFonts w:ascii="Times New Roman" w:cs="Times New Roman" w:eastAsia="Times New Roman" w:hAnsi="Times New Roman"/>
          <w:sz w:val="18"/>
          <w:szCs w:val="18"/>
          <w:b w:val="1"/>
          <w:bCs w:val="1"/>
          <w:color w:val="auto"/>
        </w:rPr>
        <w:t>August 2023 Units</w:t>
      </w:r>
      <w:r>
        <w:rPr>
          <w:rFonts w:ascii="Times New Roman" w:cs="Times New Roman" w:eastAsia="Times New Roman" w:hAnsi="Times New Roman"/>
          <w:sz w:val="18"/>
          <w:szCs w:val="18"/>
          <w:color w:val="auto"/>
        </w:rPr>
        <w:t>”) at a price of US$0.34 per August 2023 Unit for gross proceeds of $11,018(US$8,250) pursuant to a supplement to the Company’s short form base shelf prospectus dated July 5, 2021. Each August 2023 Unit is comprised of one Common Share and one Common Share purchase warrant (the “</w:t>
      </w:r>
      <w:r>
        <w:rPr>
          <w:rFonts w:ascii="Times New Roman" w:cs="Times New Roman" w:eastAsia="Times New Roman" w:hAnsi="Times New Roman"/>
          <w:sz w:val="18"/>
          <w:szCs w:val="18"/>
          <w:b w:val="1"/>
          <w:bCs w:val="1"/>
          <w:color w:val="auto"/>
        </w:rPr>
        <w:t>August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August 2023 Warrant is exercisable to acquire one Common Share at a price of $0.53(US$0.40) for a period of 60 months from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acceleration in certain circumstances. The August 2023 Warrants are governed by a warrant indenture dated August 4, 2023, entered into with Odyssey Trust Company, as warrant agent (the “</w:t>
      </w:r>
      <w:r>
        <w:rPr>
          <w:rFonts w:ascii="Times New Roman" w:cs="Times New Roman" w:eastAsia="Times New Roman" w:hAnsi="Times New Roman"/>
          <w:sz w:val="18"/>
          <w:szCs w:val="18"/>
          <w:b w:val="1"/>
          <w:bCs w:val="1"/>
          <w:color w:val="auto"/>
        </w:rPr>
        <w:t>Warrant Indenture</w:t>
      </w:r>
      <w:r>
        <w:rPr>
          <w:rFonts w:ascii="Times New Roman" w:cs="Times New Roman" w:eastAsia="Times New Roman" w:hAnsi="Times New Roman"/>
          <w:sz w:val="18"/>
          <w:szCs w:val="18"/>
          <w:color w:val="auto"/>
        </w:rPr>
        <w:t>”). The August 2023 Offering was completed pursuant to an underwriting agreement (the “</w:t>
      </w:r>
      <w:r>
        <w:rPr>
          <w:rFonts w:ascii="Times New Roman" w:cs="Times New Roman" w:eastAsia="Times New Roman" w:hAnsi="Times New Roman"/>
          <w:sz w:val="18"/>
          <w:szCs w:val="18"/>
          <w:b w:val="1"/>
          <w:bCs w:val="1"/>
          <w:color w:val="auto"/>
        </w:rPr>
        <w:t>August 2023 Underwriting Agreement</w:t>
      </w:r>
      <w:r>
        <w:rPr>
          <w:rFonts w:ascii="Times New Roman" w:cs="Times New Roman" w:eastAsia="Times New Roman" w:hAnsi="Times New Roman"/>
          <w:sz w:val="18"/>
          <w:szCs w:val="18"/>
          <w:color w:val="auto"/>
        </w:rPr>
        <w:t>”) among the Company, Cantor Fitzgerald &amp; Co. as the sole book-running manager, and A.G.P./Alliance Global Partners as lead manager. In connection with the August 2023 Offering, Cybin paid the underwriters a cash commission of $506(US$379) and incurred additional share issuance costs, being professional fees of $619(US$458).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0"/>
          </w:cols>
          <w:pgMar w:left="320" w:top="1440" w:right="319" w:bottom="1440" w:gutter="0" w:footer="0" w:header="0"/>
        </w:sectPr>
      </w:pPr>
    </w:p>
    <w:bookmarkStart w:id="97" w:name="page98"/>
    <w:bookmarkEnd w:id="97"/>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August 15, 2023, the Company announced that the USPTO had granted U.S. patent 11,724,985, to a deuterated psilocybin analog in the Company’s CYB003 investigational drug program. The patent, which is expected to provide exclusivity until 2041, includes composition of matter claims to deuterated tryptamines in support of the Company’s clinical-stage programs, CYB003, a proprietary deuterated psilocybin analog, and CYB004, a proprietary deuterated (“</w:t>
      </w:r>
      <w:r>
        <w:rPr>
          <w:rFonts w:ascii="Times New Roman" w:cs="Times New Roman" w:eastAsia="Times New Roman" w:hAnsi="Times New Roman"/>
          <w:sz w:val="18"/>
          <w:szCs w:val="18"/>
          <w:b w:val="1"/>
          <w:bCs w:val="1"/>
          <w:color w:val="auto"/>
        </w:rPr>
        <w:t>dDMT</w:t>
      </w:r>
      <w:r>
        <w:rPr>
          <w:rFonts w:ascii="Times New Roman" w:cs="Times New Roman" w:eastAsia="Times New Roman" w:hAnsi="Times New Roman"/>
          <w:sz w:val="18"/>
          <w:szCs w:val="18"/>
          <w:color w:val="auto"/>
        </w:rPr>
        <w:t>”), in addition to other of the Company’s pre-clinical programs, as well as claims directed towards methods of treating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and treatment-resistant depression.</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On August 23, 2023, the Company announced the filing of a prospectus supplement under the 2023 Base Shelf Prospectus to renew its previously established at-the-market equity program (the “</w:t>
      </w:r>
      <w:r>
        <w:rPr>
          <w:rFonts w:ascii="Times New Roman" w:cs="Times New Roman" w:eastAsia="Times New Roman" w:hAnsi="Times New Roman"/>
          <w:sz w:val="17"/>
          <w:szCs w:val="17"/>
          <w:b w:val="1"/>
          <w:bCs w:val="1"/>
          <w:color w:val="auto"/>
        </w:rPr>
        <w:t>2023 ATM Program</w:t>
      </w:r>
      <w:r>
        <w:rPr>
          <w:rFonts w:ascii="Times New Roman" w:cs="Times New Roman" w:eastAsia="Times New Roman" w:hAnsi="Times New Roman"/>
          <w:sz w:val="17"/>
          <w:szCs w:val="17"/>
          <w:color w:val="auto"/>
        </w:rPr>
        <w:t xml:space="preserve">”) that allows the Company to issue and sell up to US$35,000 of Common Shares from treasury to the public, from time to time. Distributions of Common Shares under the 2023 ATM Program will be made pursuant to the terms and conditions of an at-the-market equity distribution agreement (the </w:t>
      </w:r>
      <w:r>
        <w:rPr>
          <w:rFonts w:ascii="Times New Roman" w:cs="Times New Roman" w:eastAsia="Times New Roman" w:hAnsi="Times New Roman"/>
          <w:sz w:val="17"/>
          <w:szCs w:val="17"/>
          <w:b w:val="1"/>
          <w:bCs w:val="1"/>
          <w:color w:val="auto"/>
        </w:rPr>
        <w:t>“2023 Distribution Agreement”</w:t>
      </w:r>
      <w:r>
        <w:rPr>
          <w:rFonts w:ascii="Times New Roman" w:cs="Times New Roman" w:eastAsia="Times New Roman" w:hAnsi="Times New Roman"/>
          <w:sz w:val="17"/>
          <w:szCs w:val="17"/>
          <w:color w:val="auto"/>
        </w:rPr>
        <w:t>) dated August 23, 2023 among the Company, Cantor Fitzgerald Canada Corporation and Cantor Fitzgerald &amp; Co.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September 5, 2023, the Company announced that the USPTO has granted U.S. patent 11,746,088, covering composition of matter for deuterated tryptamine compounds and pharmaceutical compositions thereof, with exclusivity until 2041.</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September 26, 2023, the Company announced an agreement with Fluence, a leading continuing education organization in psychedelic therapy, to support the streamlining and scaling of Cybin’s EMBARK facilitator training program in preparation for a multi-site, global Phase 3 trial of CYB003, its proprietary deuterated psilocybin analog in development for the potential treatment of MDD.</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October 25, 2023, the Company announced that the United States Patent and Trademark Office has issued two patent grants that offer protection for its deuterated DMT program. These patents are United States patent no. 11,771,681, which provides composition of matter protection for certain deuterated analogs of DMT; and United States patent no. 11,773,062, which provides protection for the medical use and the novel, efficient and scalable synthesis of certain analogs of DMT.</w:t>
      </w:r>
    </w:p>
    <w:p>
      <w:pPr>
        <w:spacing w:after="0" w:line="15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October 26, 2023, the Company announced that the European Patent Office had granted a patent protecting Cybin’s proprietary deuterated psilocybin analog and DMT programs. EP patent no. 4,031,529 provides composition of matter protection for certain deuterated tryptamine compounds, including deuterated psilocybin analogs within the CYB003 program and deuterated analogs of DMT within Cybin’s DMT program, as well as their medical use.</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October 31, 2023, the Company announced positive Phase 2 interim results for CYB003, its proprietary deuterated psilocybin analog, demonstrating a rapid, robust and statistically significant reduction in symptoms of depression three weeks following a single 12mg dose compared to placebo. At the 3-week primary efficacy endpoint, the reduction in MDD symptoms, defined as change from baseline in MADRS total score, was superior in participants assigned to CYB003 compared to the participants who received placebo by 14.08 points (p=0.0005, Cohen’s d=2.15).</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On November 14, 2023, the Company completed a public offering (the “</w:t>
      </w:r>
      <w:r>
        <w:rPr>
          <w:rFonts w:ascii="Times New Roman" w:cs="Times New Roman" w:eastAsia="Times New Roman" w:hAnsi="Times New Roman"/>
          <w:sz w:val="18"/>
          <w:szCs w:val="18"/>
          <w:b w:val="1"/>
          <w:bCs w:val="1"/>
          <w:color w:val="auto"/>
        </w:rPr>
        <w:t>November 2023 Offering</w:t>
      </w:r>
      <w:r>
        <w:rPr>
          <w:rFonts w:ascii="Times New Roman" w:cs="Times New Roman" w:eastAsia="Times New Roman" w:hAnsi="Times New Roman"/>
          <w:sz w:val="18"/>
          <w:szCs w:val="18"/>
          <w:color w:val="auto"/>
        </w:rPr>
        <w:t>”) of 66,666,667 units of the Company (the “</w:t>
      </w:r>
      <w:r>
        <w:rPr>
          <w:rFonts w:ascii="Times New Roman" w:cs="Times New Roman" w:eastAsia="Times New Roman" w:hAnsi="Times New Roman"/>
          <w:sz w:val="18"/>
          <w:szCs w:val="18"/>
          <w:b w:val="1"/>
          <w:bCs w:val="1"/>
          <w:color w:val="auto"/>
        </w:rPr>
        <w:t>November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Units</w:t>
      </w:r>
      <w:r>
        <w:rPr>
          <w:rFonts w:ascii="Times New Roman" w:cs="Times New Roman" w:eastAsia="Times New Roman" w:hAnsi="Times New Roman"/>
          <w:sz w:val="18"/>
          <w:szCs w:val="18"/>
          <w:color w:val="auto"/>
        </w:rPr>
        <w:t>”) at a price of US$0.45 per November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1440" w:right="319" w:bottom="1440" w:gutter="0" w:footer="0" w:header="0"/>
        </w:sectPr>
      </w:pPr>
    </w:p>
    <w:bookmarkStart w:id="98" w:name="page99"/>
    <w:bookmarkEnd w:id="98"/>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2023 Unit for gross proceeds of $41,107(US$30,000) pursuant to a supplement to the Company’s short form base shelf prospectus dated August 17, 2023. Each November 2023 Unit is comprised of one Common Share and one Common Share purchase warrant (the “</w:t>
      </w:r>
      <w:r>
        <w:rPr>
          <w:rFonts w:ascii="Times New Roman" w:cs="Times New Roman" w:eastAsia="Times New Roman" w:hAnsi="Times New Roman"/>
          <w:sz w:val="18"/>
          <w:szCs w:val="18"/>
          <w:b w:val="1"/>
          <w:bCs w:val="1"/>
          <w:color w:val="auto"/>
        </w:rPr>
        <w:t>November 2023 Warrants</w:t>
      </w:r>
      <w:r>
        <w:rPr>
          <w:rFonts w:ascii="Times New Roman" w:cs="Times New Roman" w:eastAsia="Times New Roman" w:hAnsi="Times New Roman"/>
          <w:sz w:val="18"/>
          <w:szCs w:val="18"/>
          <w:color w:val="auto"/>
        </w:rPr>
        <w:t>”). Each November 2023 Warrant is exercisable to acquire one Common Share at a price of $0.70 (US$0.51) between May 14, 2024, and May 14, 2029, subject to acceleration in certain circumstances. The November 2023 Offering was completed pursuant to an underwriting agreement (the “</w:t>
      </w:r>
      <w:r>
        <w:rPr>
          <w:rFonts w:ascii="Times New Roman" w:cs="Times New Roman" w:eastAsia="Times New Roman" w:hAnsi="Times New Roman"/>
          <w:sz w:val="18"/>
          <w:szCs w:val="18"/>
          <w:b w:val="1"/>
          <w:bCs w:val="1"/>
          <w:color w:val="auto"/>
        </w:rPr>
        <w:t>November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between the Company A.G.P./Alliance Global Partners, acting as the sole book-running manager.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2023 Offering, Cybin paid the underwriter a cash commission of $2,096(US$1,530) and incurred additional share issuance costs being professional fees of $341(US$248).</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November 30, 2023, the Company announced positive Phase 2 topline safety and efficacy data for CYB003, its proprietary deuterated psilocybin analog, being developed for the treatment of MDD. At 6 weeks, incremental MADRS score reductions were seen with 79% of patients in remission from depression after just two doses of CYB003 (12mg). CYB003 demonstrated an excellent safety profile in doses tested, with all reported adverse events mild to moderate and self–limiting.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6, 2023, the Company announced that the USPTO has granted U.S. patent 11,834,410 in support of its CYB003 program.</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 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 The Phase 1 SPL028 study identified an IM dose of SPL028 that resulted in a breakthrough psychedelic experience, with a total duration ranging from 55 to 120 minutes. Both CYB004 (IV) and SPL028 (IM and IV) were well-tolerated with no serious adverse events, and the majority of adverse events were mild to moderate and self-limiting.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 study of CYB004 in GAD.</w:t>
      </w:r>
    </w:p>
    <w:p>
      <w:pPr>
        <w:spacing w:after="0" w:line="20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February 7, 2024, the Company announced that the Japan Patent Office has granted JP patents 2023-500532 and 2023-533436. The patents, which are expected to provide exclusivity until at least 2040 and 2041, respectively, include protection for a synthesis method for the preparation of DMT and dDMT and injectable formulations within the Company’s proprietary DMT program in clinical development for the treatment of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March 13, 2024, the Company announced that the FDA had granted Breakthrough Therapy Designation (“</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to its CYB003 program for the adjunctive treatment of MDD. The BTD provides an expedited review pathway, as well as increased access to FDA guidance on trial design, with the potential to reduce drug development timelines.</w:t>
      </w:r>
    </w:p>
    <w:p>
      <w:pPr>
        <w:spacing w:after="0" w:line="16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March 14, 2024, the Company announced a positive End-of-Phase 2 meeting with the FDA for CYB003, its deuterated psilocybin analog for the adjunctive treatment of MDD.</w:t>
      </w:r>
    </w:p>
    <w:p>
      <w:pPr>
        <w:spacing w:after="0" w:line="15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On March 13, 2024, the Company reported positive four-month durability data from the Phase 2a study of CYB003 in MDD. These results showed robust, sustained and statistically significant improvements in depression symptoms at four months with two doses of CYB003 (12mg or 16mg). The mean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1440" w:right="319" w:bottom="1440" w:gutter="0" w:footer="0" w:header="0"/>
        </w:sectPr>
      </w:pPr>
    </w:p>
    <w:bookmarkStart w:id="99" w:name="page100"/>
    <w:bookmarkEnd w:id="99"/>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baseline in the MADRS total score was approximately 22 points from baseline in both dosing cohorts. Additionally, 60% of patients on 12 mg and 75% on 16 mg were in remission from depression following 2 doses (MADRS score &lt;/= 10).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15, 2024, the Company announced that it had initiated a Phase 2 study of IM CYB004 in participants with moderate to severe GAD.</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19, 2024, the Company completed a private placement (the “</w:t>
      </w:r>
      <w:r>
        <w:rPr>
          <w:rFonts w:ascii="Times New Roman" w:cs="Times New Roman" w:eastAsia="Times New Roman" w:hAnsi="Times New Roman"/>
          <w:sz w:val="18"/>
          <w:szCs w:val="18"/>
          <w:b w:val="1"/>
          <w:bCs w:val="1"/>
          <w:color w:val="auto"/>
        </w:rPr>
        <w:t>March 2024 Offering</w:t>
      </w:r>
      <w:r>
        <w:rPr>
          <w:rFonts w:ascii="Times New Roman" w:cs="Times New Roman" w:eastAsia="Times New Roman" w:hAnsi="Times New Roman"/>
          <w:sz w:val="18"/>
          <w:szCs w:val="18"/>
          <w:color w:val="auto"/>
        </w:rPr>
        <w:t>”) of 348,837,210 Common Shares at a price of US$0.43 per Common Share for gross proceeds of $202,995(US$150,000). Pursuant to the terms of the March 2024 Offering, on April 8, 2024, the Company amended the 2023 Base Shelf Prospectus to provide that the securities that may be offered and issued thereunder will include distributions by various selling securityholders. Further, on April 17, 2024, the Company filed a prospectus supplement to the 2023 Base Shelf Prospectus, in order to qualify the periodic resale of 333,029,767 Common Shares issued to certain non-Canadian investors pursuant to the March 2024 Offering (See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s”). The March 2024 Offering was completed pursuant to an agency agreement (the “</w:t>
      </w:r>
      <w:r>
        <w:rPr>
          <w:rFonts w:ascii="Times New Roman" w:cs="Times New Roman" w:eastAsia="Times New Roman" w:hAnsi="Times New Roman"/>
          <w:sz w:val="18"/>
          <w:szCs w:val="18"/>
          <w:b w:val="1"/>
          <w:bCs w:val="1"/>
          <w:color w:val="auto"/>
        </w:rPr>
        <w:t>March 2024 Agency Agreement</w:t>
      </w:r>
      <w:r>
        <w:rPr>
          <w:rFonts w:ascii="Times New Roman" w:cs="Times New Roman" w:eastAsia="Times New Roman" w:hAnsi="Times New Roman"/>
          <w:sz w:val="18"/>
          <w:szCs w:val="18"/>
          <w:color w:val="auto"/>
        </w:rPr>
        <w:t>”) among the Company, Bloom Burton Securities Inc. as the lead agent, and Haywood Securities Inc. In connection with the March 2024 Offering, Cybin paid the agents a cash commission of $11,726(US$8,665) and incurred additional share issuance costs being professional fees of $169(US$125).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 2024, pursuant to the provisions of the OBCA, Small Pharma completed a horizontal amalgamation with Cybin Corp., with Cybin Corp. being the resulting entity. As a result of this amalgamation, Cybin UK Limited is now a wholly-owned subsidiary of Cybin Corp.</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5, 2024, the Company granted options to purchase up to 11,715,000 Common Shares, of which 7,250,000 were granted to officers and 4,465,000 were granted to employees. These options have an exercise price of $0.56 per Common Share. All of the options expire on April 5, 2029. The granted options are subject to different vesting schedules. 1,464,375 options vest immediately and 10,250,625 options vest over two years. The aggregate estimated grant date fair value of these options was determined to be $4,836, calculated using the Black-Scholes option pricing model.</w:t>
      </w:r>
    </w:p>
    <w:p>
      <w:pPr>
        <w:spacing w:after="0" w:line="1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8, 2024, the Company amended the 2023 Base Shelf Prospectus to provide that the securities that may be offered and issued thereunder will include distributions by various selling securityholders.</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16, 2024, the Company announced that the United States Patent and Trademark Office has granted U.S. patent 11,958,807 in support of its CYB003 program in MDD.</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17, 2024, the Company filed a prospectus supplement to the 2023 Base Shelf Prospectus, in order to qualify the periodic resale of 333,029,767 Common Shares issued to certain non-Canadian investors pursuant to the March 2024 Offering.</w:t>
      </w:r>
    </w:p>
    <w:p>
      <w:pPr>
        <w:spacing w:after="0" w:line="14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April 18, 2024, the Company announced that its research manuscript, entitled “Synthesis and Structure-Activity Relationships of 2,5-dimethoxy-4-substituted phenethylamines and the discovery of CYB210010: A potent, orally bioavailable and long-acting serotonin 5-HT2 receptor agonist,” has been published in the Journal of Medicinal Chemistry, a prestigious bi-weekly peer-reviewed publication.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the Company cancelled options to purchase up to 45,586,900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320" w:top="1440" w:right="319" w:bottom="1440" w:gutter="0" w:footer="0" w:header="0"/>
        </w:sectPr>
      </w:pPr>
    </w:p>
    <w:bookmarkStart w:id="100" w:name="page101"/>
    <w:bookmarkEnd w:id="100"/>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2024, the Company announced that Dr. Atul R. Mahableshwarkar M.D., DLFAPA, has joined the Company as Senior Vice President, Clinical Development. Dr. Mahableshwarkar will lead the development of the CYB003 program.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Acquisitions and Dispositions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Pharma Acquisition</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28, 2023, the Company entered into the Arrangement Agreement with Small Pharma pursuant to which Cybin agreed to acquire all of the issued and outstanding shares of Small Pharma (each, a “</w:t>
      </w:r>
      <w:r>
        <w:rPr>
          <w:rFonts w:ascii="Times New Roman" w:cs="Times New Roman" w:eastAsia="Times New Roman" w:hAnsi="Times New Roman"/>
          <w:sz w:val="18"/>
          <w:szCs w:val="18"/>
          <w:b w:val="1"/>
          <w:bCs w:val="1"/>
          <w:color w:val="auto"/>
        </w:rPr>
        <w:t>Small Pharma Share</w:t>
      </w:r>
      <w:r>
        <w:rPr>
          <w:rFonts w:ascii="Times New Roman" w:cs="Times New Roman" w:eastAsia="Times New Roman" w:hAnsi="Times New Roman"/>
          <w:sz w:val="18"/>
          <w:szCs w:val="18"/>
          <w:color w:val="auto"/>
        </w:rPr>
        <w:t>”) in an all-equity business combination transaction to be completed by way the Arrangement.</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September 13, 2023, Small Pharma was granted an interim order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by the Supreme Court of British Columbia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October 12, 2023, the Company held an annual and special meeting of shareholders (the “Special Meeting”)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October 23, 2023, the Company completed the Arrangement and issued 0.2409 Common Shares for every one Small Pharma Share outstanding, resulting in a total of 80,945,254 Common Shares being issued to Small Pharma shareholders. As a result of the Arrangement, Small Pharma is now a wholly-owned subsidiary of Cybin. See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filed a Form 51-102F4 - </w:t>
      </w:r>
      <w:r>
        <w:rPr>
          <w:rFonts w:ascii="Times New Roman" w:cs="Times New Roman" w:eastAsia="Times New Roman" w:hAnsi="Times New Roman"/>
          <w:sz w:val="18"/>
          <w:szCs w:val="18"/>
          <w:i w:val="1"/>
          <w:iCs w:val="1"/>
          <w:color w:val="auto"/>
        </w:rPr>
        <w:t>Business Acquisition Report</w:t>
      </w:r>
      <w:r>
        <w:rPr>
          <w:rFonts w:ascii="Times New Roman" w:cs="Times New Roman" w:eastAsia="Times New Roman" w:hAnsi="Times New Roman"/>
          <w:sz w:val="18"/>
          <w:szCs w:val="18"/>
          <w:color w:val="auto"/>
        </w:rPr>
        <w:t xml:space="preserve"> in respect of the Arrangement.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Arrangement, the Company has not completed any significant acquisitions or dispositions during the fiscal year ended March 31, 2024 for which disclosure is required under Part 8 of NI 51-102.</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8"/>
          <w:szCs w:val="18"/>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pacing w:after="0" w:line="1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Advancement of Mental Healthcare</w:t>
      </w:r>
    </w:p>
    <w:p>
      <w:pPr>
        <w:spacing w:after="0" w:line="207"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PK properties while maintaining their respective pharmacology.</w:t>
      </w:r>
    </w:p>
    <w:p>
      <w:pPr>
        <w:spacing w:after="0" w:line="164"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psychedelic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 subcutaneous</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jc w:val="both"/>
        <w:ind w:left="3" w:right="20"/>
        <w:spacing w:after="0" w:line="245"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MDD,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The Company is also developing compounds that may have the potential to address neuroinflammation, central nervous system (“</w:t>
      </w:r>
      <w:r>
        <w:rPr>
          <w:rFonts w:ascii="Times New Roman" w:cs="Times New Roman" w:eastAsia="Times New Roman" w:hAnsi="Times New Roman"/>
          <w:sz w:val="18"/>
          <w:szCs w:val="18"/>
          <w:b w:val="1"/>
          <w:bCs w:val="1"/>
          <w:color w:val="auto"/>
        </w:rPr>
        <w:t>CN”</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10</w:t>
      </w:r>
    </w:p>
    <w:p>
      <w:pPr>
        <w:spacing w:after="0" w:line="89" w:lineRule="exact"/>
        <w:rPr>
          <w:sz w:val="20"/>
          <w:szCs w:val="20"/>
          <w:color w:val="auto"/>
        </w:rPr>
      </w:pPr>
    </w:p>
    <w:p>
      <w:pPr>
        <w:jc w:val="both"/>
        <w:ind w:left="3" w:right="20"/>
        <w:spacing w:after="0" w:line="238"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new psychedelic-based compounds and novel delivery mechanisms.</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12</w:t>
      </w:r>
    </w:p>
    <w:p>
      <w:pPr>
        <w:spacing w:after="0" w:line="1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Stage of Development of Principal Products</w:t>
      </w:r>
    </w:p>
    <w:p>
      <w:pPr>
        <w:spacing w:after="0" w:line="209"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152" w:lineRule="exact"/>
        <w:rPr>
          <w:sz w:val="20"/>
          <w:szCs w:val="20"/>
          <w:color w:val="auto"/>
        </w:rPr>
      </w:pPr>
    </w:p>
    <w:p>
      <w:pPr>
        <w:jc w:val="both"/>
        <w:ind w:left="3" w:right="20"/>
        <w:spacing w:after="0" w:line="267" w:lineRule="auto"/>
        <w:rPr>
          <w:sz w:val="20"/>
          <w:szCs w:val="20"/>
          <w:color w:val="auto"/>
        </w:rPr>
      </w:pPr>
      <w:r>
        <w:rPr>
          <w:rFonts w:ascii="Times New Roman" w:cs="Times New Roman" w:eastAsia="Times New Roman" w:hAnsi="Times New Roman"/>
          <w:sz w:val="18"/>
          <w:szCs w:val="18"/>
          <w:color w:val="auto"/>
        </w:rPr>
        <w:t>In order to establish its business operations, the Company intends to leverage the extensive professional network of its management to build working partnerships with (i) existing producers of psychedelic products based in Canada, the United States, the European Union and the United Kingdom to source the psychedelic pharmaceutical products the Company intends to develop and distribute under its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5398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3" w:lineRule="exact"/>
        <w:rPr>
          <w:sz w:val="20"/>
          <w:szCs w:val="20"/>
          <w:color w:val="auto"/>
        </w:rPr>
      </w:pPr>
    </w:p>
    <w:p>
      <w:pPr>
        <w:ind w:left="83" w:hanging="83"/>
        <w:spacing w:after="0"/>
        <w:tabs>
          <w:tab w:leader="none" w:pos="83"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footnote 11.</w:t>
      </w:r>
    </w:p>
    <w:p>
      <w:pPr>
        <w:spacing w:after="0" w:line="8" w:lineRule="exact"/>
        <w:rPr>
          <w:rFonts w:ascii="Times New Roman" w:cs="Times New Roman" w:eastAsia="Times New Roman" w:hAnsi="Times New Roman"/>
          <w:sz w:val="19"/>
          <w:szCs w:val="19"/>
          <w:color w:val="auto"/>
          <w:vertAlign w:val="superscript"/>
        </w:rPr>
      </w:pPr>
    </w:p>
    <w:p>
      <w:pPr>
        <w:ind w:left="3"/>
        <w:spacing w:after="0" w:line="196"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5"/>
          <w:szCs w:val="15"/>
          <w:color w:val="auto"/>
        </w:rPr>
        <w:t xml:space="preserve"> See footnote 11.</w:t>
      </w:r>
    </w:p>
    <w:p>
      <w:pPr>
        <w:ind w:left="3"/>
        <w:spacing w:after="0" w:line="21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5"/>
          <w:szCs w:val="15"/>
          <w:color w:val="auto"/>
        </w:rPr>
        <w:t xml:space="preserve"> See footnote 11.</w:t>
      </w:r>
    </w:p>
    <w:p>
      <w:pPr>
        <w:ind w:left="3"/>
        <w:spacing w:after="0" w:line="196"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5"/>
          <w:szCs w:val="15"/>
          <w:color w:val="auto"/>
        </w:rPr>
        <w:t xml:space="preserve"> A material factor and assumption underlying this forward-looking statement is that the Company will be able to successfully negotiate strategic partnerships.</w:t>
      </w:r>
    </w:p>
    <w:p>
      <w:pPr>
        <w:jc w:val="both"/>
        <w:ind w:left="3" w:right="20"/>
        <w:spacing w:after="0" w:line="22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3"/>
          </w:cols>
          <w:pgMar w:left="317" w:top="1440" w:right="319" w:bottom="1440" w:gutter="0" w:footer="0" w:header="0"/>
        </w:sectPr>
      </w:pPr>
    </w:p>
    <w:bookmarkStart w:id="102" w:name="page103"/>
    <w:bookmarkEnd w:id="102"/>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13</w:t>
      </w:r>
    </w:p>
    <w:p>
      <w:pPr>
        <w:spacing w:after="0" w:line="144" w:lineRule="exact"/>
        <w:rPr>
          <w:sz w:val="20"/>
          <w:szCs w:val="20"/>
          <w:color w:val="auto"/>
        </w:rPr>
      </w:pPr>
    </w:p>
    <w:p>
      <w:pPr>
        <w:jc w:val="both"/>
        <w:ind w:left="3"/>
        <w:spacing w:after="0" w:line="263"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 See “</w:t>
      </w:r>
      <w:r>
        <w:rPr>
          <w:rFonts w:ascii="Times New Roman" w:cs="Times New Roman" w:eastAsia="Times New Roman" w:hAnsi="Times New Roman"/>
          <w:sz w:val="18"/>
          <w:szCs w:val="18"/>
          <w:i w:val="1"/>
          <w:iCs w:val="1"/>
          <w:color w:val="auto"/>
        </w:rPr>
        <w:t>Regulatory Environment – Canada”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FDA. See “</w:t>
      </w:r>
      <w:r>
        <w:rPr>
          <w:rFonts w:ascii="Times New Roman" w:cs="Times New Roman" w:eastAsia="Times New Roman" w:hAnsi="Times New Roman"/>
          <w:sz w:val="18"/>
          <w:szCs w:val="18"/>
          <w:i w:val="1"/>
          <w:iCs w:val="1"/>
          <w:color w:val="auto"/>
        </w:rPr>
        <w:t>Regulatory Environment – United States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On November 4, 2021, the Company announced that it has been granted a Schedule I manufacturing license from the DEA. The DEA license is for the Company’s research lab in the Boston area. The license allows the Company to further become a hub for innovation and drug discovery. Previously, the Company conducted much of its research and development work through globally licensed research organizations in the U.S., Canada, and the UK, and through certain in-house capabilities. With the DEA license, the Company expanded its internal R&amp;D capabilities to support innovative drug discovery and delivery involving Schedule I compounds.</w:t>
      </w:r>
    </w:p>
    <w:p>
      <w:pPr>
        <w:spacing w:after="0" w:line="170"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On March 13, 2024, the Company announced that it has been granted BTD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1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Non-Revenue Generating Projects</w:t>
      </w:r>
      <w:r>
        <w:rPr>
          <w:rFonts w:ascii="Times New Roman" w:cs="Times New Roman" w:eastAsia="Times New Roman" w:hAnsi="Times New Roman"/>
          <w:sz w:val="23"/>
          <w:szCs w:val="23"/>
          <w:i w:val="1"/>
          <w:iCs w:val="1"/>
          <w:color w:val="auto"/>
          <w:vertAlign w:val="superscript"/>
        </w:rPr>
        <w:t>14</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193" w:lineRule="exact"/>
        <w:rPr>
          <w:sz w:val="20"/>
          <w:szCs w:val="20"/>
          <w:color w:val="auto"/>
        </w:rPr>
      </w:pPr>
    </w:p>
    <w:p>
      <w:pPr>
        <w:ind w:left="563" w:hanging="272"/>
        <w:spacing w:after="0"/>
        <w:tabs>
          <w:tab w:leader="none" w:pos="5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Psilocybin Analog Program (CYB003)</w:t>
      </w:r>
    </w:p>
    <w:p>
      <w:pPr>
        <w:spacing w:after="0" w:line="3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 SPL028, and SPL026)</w:t>
      </w:r>
    </w:p>
    <w:p>
      <w:pPr>
        <w:spacing w:after="0" w:line="25" w:lineRule="exact"/>
        <w:rPr>
          <w:rFonts w:ascii="Times New Roman" w:cs="Times New Roman" w:eastAsia="Times New Roman" w:hAnsi="Times New Roman"/>
          <w:sz w:val="18"/>
          <w:szCs w:val="18"/>
          <w:color w:val="auto"/>
        </w:rPr>
      </w:pPr>
    </w:p>
    <w:p>
      <w:pPr>
        <w:ind w:left="563" w:hanging="272"/>
        <w:spacing w:after="0"/>
        <w:tabs>
          <w:tab w:leader="none" w:pos="5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11"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228"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The Company has developed EMBARK, a psychological support model that integrates leading clinical approaches to promote supportive healing with psychedelic medicine.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elational,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eeping Momentum) represent the broad spectrum of ways in which therapeutic benefits may arise in psychedelic treatment and the equally broad training needed to prepare therapists to support them all. The Company launched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153987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6" w:lineRule="exact"/>
        <w:rPr>
          <w:sz w:val="20"/>
          <w:szCs w:val="20"/>
          <w:color w:val="auto"/>
        </w:rPr>
      </w:pPr>
    </w:p>
    <w:p>
      <w:pPr>
        <w:ind w:left="3" w:hanging="3"/>
        <w:spacing w:after="0" w:line="225" w:lineRule="auto"/>
        <w:tabs>
          <w:tab w:leader="none" w:pos="146"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Times New Roman" w:cs="Times New Roman" w:eastAsia="Times New Roman" w:hAnsi="Times New Roman"/>
          <w:sz w:val="19"/>
          <w:szCs w:val="19"/>
          <w:color w:val="auto"/>
          <w:vertAlign w:val="superscript"/>
        </w:rPr>
      </w:pPr>
    </w:p>
    <w:p>
      <w:pPr>
        <w:ind w:left="123" w:hanging="123"/>
        <w:spacing w:after="0" w:line="201" w:lineRule="auto"/>
        <w:tabs>
          <w:tab w:leader="none" w:pos="123" w:val="left"/>
        </w:tabs>
        <w:numPr>
          <w:ilvl w:val="0"/>
          <w:numId w:val="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quarter references in this section are based on calendar year-end.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3"/>
          </w:cols>
          <w:pgMar w:left="317" w:top="1440" w:right="339" w:bottom="1440" w:gutter="0" w:footer="0" w:header="0"/>
        </w:sectPr>
      </w:pPr>
    </w:p>
    <w:bookmarkStart w:id="103" w:name="page104"/>
    <w:bookmarkEnd w:id="103"/>
    <w:p>
      <w:pPr>
        <w:spacing w:after="0" w:line="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a free online foundational training course for psychedelic facilitation. EMBARK Open Access is the first and only free massive open online course that offers foundational psychedelic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which is designed for individuals with existing knowledge, skills, and experience in psychedelic facilitation. The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following is a description of each program, including a description of the Company’s plan for such programs, the status of the objectives related to the Company’s plan for such program and anticipated expenditures to advance the program to the next stage of pipeline development.</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estimates reflected in this AIF will prove to be accurate, as actual results and future events could differ materially from those anticipated. Accordingly, investors are cautioned not to put undue reliance on the estimates reflected in this AIF.</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continuing to assess the research and development programs of Small Pharma acquired through the acquisition of Small Pharma by way of the Arrangement and will provide further information and updates upon completion of the integration of Small Pharma’s business, including the anticipated spend associated with any programs.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Deuterated Psilocybin Analog Program (CYB003)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2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7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psilocybin analog program that has been granted FDA BTD for the adjunctive treatment of MDD. CYB003 aims to address the limitations of oral psilocybin, including side effects, scalability and accessibility of treatment.</w:t>
      </w:r>
    </w:p>
    <w:p>
      <w:pPr>
        <w:spacing w:after="0" w:line="1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 moderate to severe MDD. 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1/2a clinical trial of CYB003. On August 30, 2022, the Company announced that the first two participants have been dosed in the Phase 1/2a study.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CYB003 Phase 1/2a Clinical Trial</w:t>
      </w:r>
    </w:p>
    <w:p>
      <w:pPr>
        <w:spacing w:after="0" w:line="2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psychedelic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19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study investigated the safety, tolerability, pharmacokinetics (“</w:t>
      </w:r>
      <w:r>
        <w:rPr>
          <w:rFonts w:ascii="Times New Roman" w:cs="Times New Roman" w:eastAsia="Times New Roman" w:hAnsi="Times New Roman"/>
          <w:sz w:val="18"/>
          <w:szCs w:val="18"/>
          <w:b w:val="1"/>
          <w:bCs w:val="1"/>
          <w:color w:val="auto"/>
        </w:rPr>
        <w:t>PK</w:t>
      </w:r>
      <w:r>
        <w:rPr>
          <w:rFonts w:ascii="Times New Roman" w:cs="Times New Roman" w:eastAsia="Times New Roman" w:hAnsi="Times New Roman"/>
          <w:sz w:val="18"/>
          <w:szCs w:val="18"/>
          <w:color w:val="auto"/>
        </w:rPr>
        <w:t>”) and pharmacodynamics (“</w:t>
      </w:r>
      <w:r>
        <w:rPr>
          <w:rFonts w:ascii="Times New Roman" w:cs="Times New Roman" w:eastAsia="Times New Roman" w:hAnsi="Times New Roman"/>
          <w:sz w:val="18"/>
          <w:szCs w:val="18"/>
          <w:b w:val="1"/>
          <w:bCs w:val="1"/>
          <w:color w:val="auto"/>
        </w:rPr>
        <w:t>PD</w:t>
      </w:r>
      <w:r>
        <w:rPr>
          <w:rFonts w:ascii="Times New Roman" w:cs="Times New Roman" w:eastAsia="Times New Roman" w:hAnsi="Times New Roman"/>
          <w:sz w:val="18"/>
          <w:szCs w:val="18"/>
          <w:color w:val="auto"/>
        </w:rPr>
        <w:t>”), and psychedelic effect of ascending oral doses of CYB003. In participants with MDD, the trial evaluated rapid onset of antidepressant effect on the day of dosing, using MADRS, and evaluated the incremental benefit of a second dose of CYB003 when administered at Week 3. An optional period of assessment will help determine the durability of treatment effect out to 12 months. The study is listed on ClinicalTrials.gov under Identifier: NCT05385783.</w:t>
      </w:r>
    </w:p>
    <w:p>
      <w:pPr>
        <w:spacing w:after="0" w:line="18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1440" w:right="319" w:bottom="1440" w:gutter="0" w:footer="0" w:header="0"/>
        </w:sectPr>
      </w:pPr>
    </w:p>
    <w:bookmarkStart w:id="105" w:name="page106"/>
    <w:bookmarkEnd w:id="105"/>
    <w:p>
      <w:pPr>
        <w:spacing w:after="0" w:line="25"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psychedelic effects, confirming a complete mystical experience was achieved. All doses evaluated (single oral doses of CYB003 up to 10mg) were well-tolerated with no serious adverse events reported.</w:t>
      </w:r>
    </w:p>
    <w:p>
      <w:pPr>
        <w:spacing w:after="0" w:line="1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so far of completed Cohorts 4 and 5, evaluated two 12mg doses of CYB003. On August 2, 2023, the Company announced that it had initiated dosing in Cohort 6, the final cohort of the CYB003 Phase 2a study.</w:t>
      </w:r>
    </w:p>
    <w:p>
      <w:pPr>
        <w:spacing w:after="0" w:line="17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On September 21, 2023, the Company announced that it had completed enrollment in its Phase 2a study of CYB003, its proprietary deuterated psilocybin analog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176"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7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7"/>
          <w:szCs w:val="17"/>
          <w:color w:val="auto"/>
        </w:rPr>
        <w:t xml:space="preserve">On October 31, 2023, the Company announced Phase 2a interim results for CYB003, its proprietary deuterated psilocybin analog,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w:t>
      </w:r>
      <w:r>
        <w:rPr>
          <w:rFonts w:ascii="Times New Roman" w:cs="Times New Roman" w:eastAsia="Times New Roman" w:hAnsi="Times New Roman"/>
          <w:sz w:val="18"/>
          <w:szCs w:val="18"/>
          <w:color w:val="auto"/>
        </w:rPr>
        <w:t>MADRS</w:t>
      </w:r>
      <w:r>
        <w:rPr>
          <w:rFonts w:ascii="Times New Roman" w:cs="Times New Roman" w:eastAsia="Times New Roman" w:hAnsi="Times New Roman"/>
          <w:sz w:val="17"/>
          <w:szCs w:val="17"/>
          <w:color w:val="auto"/>
        </w:rPr>
        <w:t xml:space="preserve"> total score, was superior in participants assigned to CYB003 compared to the participants who received placebo by 14.08 points (p=0.0005, Cohen’s d=2.15).</w:t>
      </w:r>
    </w:p>
    <w:p>
      <w:pPr>
        <w:spacing w:after="0" w:line="15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 These results support progression to a Phase 3 study in MDD which is expected to begin in summer of 2024.</w:t>
      </w:r>
    </w:p>
    <w:p>
      <w:pPr>
        <w:spacing w:after="0" w:line="18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1440" w:right="319" w:bottom="1440" w:gutter="0" w:footer="0" w:header="0"/>
        </w:sectPr>
      </w:pPr>
    </w:p>
    <w:bookmarkStart w:id="106" w:name="page107"/>
    <w:bookmarkEnd w:id="106"/>
    <w:p>
      <w:pPr>
        <w:spacing w:after="0" w:line="25" w:lineRule="exact"/>
        <w:rPr>
          <w:sz w:val="20"/>
          <w:szCs w:val="20"/>
          <w:color w:val="auto"/>
        </w:rPr>
      </w:pPr>
    </w:p>
    <w:p>
      <w:pPr>
        <w:ind w:left="3"/>
        <w:spacing w:after="0" w:line="288" w:lineRule="auto"/>
        <w:rPr>
          <w:sz w:val="20"/>
          <w:szCs w:val="20"/>
          <w:color w:val="auto"/>
        </w:rPr>
      </w:pPr>
      <w:r>
        <w:rPr>
          <w:rFonts w:ascii="Times New Roman" w:cs="Times New Roman" w:eastAsia="Times New Roman" w:hAnsi="Times New Roman"/>
          <w:sz w:val="18"/>
          <w:szCs w:val="18"/>
          <w:color w:val="auto"/>
        </w:rPr>
        <w:t>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ind w:left="563" w:hanging="272"/>
        <w:spacing w:after="0"/>
        <w:tabs>
          <w:tab w:leader="none" w:pos="56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mean reduction from baseline in the MADRS total score across 2 cohorts was approximately 22 points from baseline in both dosing cohorts.</w:t>
      </w:r>
    </w:p>
    <w:p>
      <w:pPr>
        <w:spacing w:after="0" w:line="47" w:lineRule="exact"/>
        <w:rPr>
          <w:rFonts w:ascii="Times New Roman" w:cs="Times New Roman" w:eastAsia="Times New Roman" w:hAnsi="Times New Roman"/>
          <w:sz w:val="17"/>
          <w:szCs w:val="17"/>
          <w:color w:val="auto"/>
        </w:rPr>
      </w:pPr>
    </w:p>
    <w:p>
      <w:pPr>
        <w:ind w:left="563" w:hanging="272"/>
        <w:spacing w:after="0"/>
        <w:tabs>
          <w:tab w:leader="none" w:pos="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patients on 12 mg and 75% on 16 mg were in remission from depression following 2 doses (MADRS score &lt;/= 10).</w:t>
      </w:r>
    </w:p>
    <w:p>
      <w:pPr>
        <w:spacing w:after="0" w:line="2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The Company spent approximately $14,525 on the Deuterated Psilocybin Analog Program during the twelve months ended </w:t>
      </w:r>
      <w:r>
        <w:rPr>
          <w:rFonts w:ascii="Times New Roman" w:cs="Times New Roman" w:eastAsia="Times New Roman" w:hAnsi="Times New Roman"/>
          <w:sz w:val="19"/>
          <w:szCs w:val="19"/>
          <w:color w:val="auto"/>
        </w:rPr>
        <w:t>March 31, 2024.</w:t>
      </w:r>
    </w:p>
    <w:p>
      <w:pPr>
        <w:spacing w:after="0" w:line="259" w:lineRule="exact"/>
        <w:rPr>
          <w:sz w:val="20"/>
          <w:szCs w:val="20"/>
          <w:color w:val="auto"/>
        </w:rPr>
      </w:pPr>
    </w:p>
    <w:p>
      <w:pPr>
        <w:ind w:left="3"/>
        <w:spacing w:after="0" w:line="296"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to its clinical development have been identified. The Company intends to:</w:t>
      </w:r>
    </w:p>
    <w:p>
      <w:pPr>
        <w:spacing w:after="0" w:line="181" w:lineRule="exact"/>
        <w:rPr>
          <w:sz w:val="20"/>
          <w:szCs w:val="20"/>
          <w:color w:val="auto"/>
        </w:rPr>
      </w:pPr>
    </w:p>
    <w:p>
      <w:pPr>
        <w:ind w:left="583" w:hanging="292"/>
        <w:spacing w:after="0" w:line="310" w:lineRule="auto"/>
        <w:tabs>
          <w:tab w:leader="none" w:pos="5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Initiate a Phase 3 study of CYB003 in MDD in summer of 2024 to further evaluate the safety and efficacy of CYB003 capsules as a potential adjunctive treatment in a larger MDD patient population </w:t>
      </w:r>
      <w:r>
        <w:rPr>
          <w:rFonts w:ascii="Times New Roman" w:cs="Times New Roman" w:eastAsia="Times New Roman" w:hAnsi="Times New Roman"/>
          <w:sz w:val="23"/>
          <w:szCs w:val="23"/>
          <w:color w:val="auto"/>
          <w:vertAlign w:val="superscript"/>
        </w:rPr>
        <w:t>15,16,17</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The Company spent approximately $2,430 to complete its FDA IND submission in Q1 2024</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8"/>
          <w:szCs w:val="18"/>
          <w:color w:val="auto"/>
        </w:rPr>
        <w:t>. The Company spent approximately $9,289 to receive its top line data readout from the Phase 1/2a study and to complete FDA submission of CYB003 Phase 1/2a data for end of phase 2 meeting in Q4 2023 of which approxima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53987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92" w:lineRule="exact"/>
        <w:rPr>
          <w:sz w:val="20"/>
          <w:szCs w:val="20"/>
          <w:color w:val="auto"/>
        </w:rPr>
      </w:pPr>
    </w:p>
    <w:p>
      <w:pPr>
        <w:jc w:val="both"/>
        <w:ind w:left="3" w:hanging="3"/>
        <w:spacing w:after="0" w:line="241" w:lineRule="auto"/>
        <w:tabs>
          <w:tab w:leader="none" w:pos="178"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183" w:hanging="183"/>
        <w:spacing w:after="0" w:line="212" w:lineRule="auto"/>
        <w:tabs>
          <w:tab w:leader="none" w:pos="183"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15</w:t>
      </w:r>
      <w:r>
        <w:rPr>
          <w:rFonts w:ascii="Times New Roman" w:cs="Times New Roman" w:eastAsia="Times New Roman" w:hAnsi="Times New Roman"/>
          <w:sz w:val="15"/>
          <w:szCs w:val="15"/>
          <w:b w:val="1"/>
          <w:bCs w:val="1"/>
          <w:color w:val="auto"/>
        </w:rPr>
        <w:t>.</w:t>
      </w:r>
    </w:p>
    <w:p>
      <w:pPr>
        <w:spacing w:after="0" w:line="90" w:lineRule="exact"/>
        <w:rPr>
          <w:rFonts w:ascii="Times New Roman" w:cs="Times New Roman" w:eastAsia="Times New Roman" w:hAnsi="Times New Roman"/>
          <w:sz w:val="25"/>
          <w:szCs w:val="25"/>
          <w:color w:val="auto"/>
          <w:vertAlign w:val="superscript"/>
        </w:rPr>
      </w:pPr>
    </w:p>
    <w:p>
      <w:pPr>
        <w:jc w:val="both"/>
        <w:ind w:left="3" w:hanging="3"/>
        <w:spacing w:after="0" w:line="228" w:lineRule="auto"/>
        <w:tabs>
          <w:tab w:leader="none" w:pos="178"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in Q2 2024. The Company now expects initiation of the Phase 3 study in summer 2024. Minor change in anticipated timing due to updates to the study. Anticipated spending and timelines regarding drug development are based on reasonable assumptions informed by current knowledge and information available to the Company. See also footnote 21.</w:t>
      </w:r>
    </w:p>
    <w:p>
      <w:pPr>
        <w:spacing w:after="0" w:line="65" w:lineRule="exact"/>
        <w:rPr>
          <w:rFonts w:ascii="Times New Roman" w:cs="Times New Roman" w:eastAsia="Times New Roman" w:hAnsi="Times New Roman"/>
          <w:sz w:val="25"/>
          <w:szCs w:val="25"/>
          <w:color w:val="auto"/>
          <w:vertAlign w:val="superscript"/>
        </w:rPr>
      </w:pPr>
    </w:p>
    <w:p>
      <w:pPr>
        <w:jc w:val="both"/>
        <w:ind w:left="3" w:hanging="3"/>
        <w:spacing w:after="0" w:line="248" w:lineRule="auto"/>
        <w:tabs>
          <w:tab w:leader="none" w:pos="178"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would be $2,300 to complete FDA IND submission.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w:t>
      </w:r>
    </w:p>
    <w:p>
      <w:pPr>
        <w:spacing w:after="0" w:line="12" w:lineRule="exact"/>
        <w:rPr>
          <w:rFonts w:ascii="Times New Roman" w:cs="Times New Roman" w:eastAsia="Times New Roman" w:hAnsi="Times New Roman"/>
          <w:sz w:val="24"/>
          <w:szCs w:val="24"/>
          <w:color w:val="auto"/>
          <w:vertAlign w:val="superscript"/>
        </w:rPr>
      </w:pPr>
    </w:p>
    <w:p>
      <w:pPr>
        <w:ind w:left="3"/>
        <w:spacing w:after="0" w:line="29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of implementation and results of such studies on timelines indicated as possible by such guidelines, other industry examples, and the Company’s development efforts to date. Reflects actual spend during the financial year ended March 31, 2024.</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3"/>
          </w:cols>
          <w:pgMar w:left="317" w:top="1440" w:right="339" w:bottom="1440" w:gutter="0" w:footer="0" w:header="0"/>
        </w:sectPr>
      </w:pPr>
    </w:p>
    <w:bookmarkStart w:id="107" w:name="page108"/>
    <w:bookmarkEnd w:id="107"/>
    <w:p>
      <w:pPr>
        <w:spacing w:after="0" w:line="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tely $7,897 was spent during the twelve months ended March 31, 2024 and approximately $1,392 was spent in the financial year ended March 31, 2023</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7"/>
          <w:szCs w:val="17"/>
          <w:color w:val="auto"/>
        </w:rPr>
        <w:t>The Company expects to spend approximately $13,276</w:t>
      </w:r>
      <w:r>
        <w:rPr>
          <w:rFonts w:ascii="Times New Roman" w:cs="Times New Roman" w:eastAsia="Times New Roman" w:hAnsi="Times New Roman"/>
          <w:sz w:val="22"/>
          <w:szCs w:val="22"/>
          <w:color w:val="auto"/>
          <w:vertAlign w:val="superscript"/>
        </w:rPr>
        <w:t>20</w:t>
      </w:r>
      <w:r>
        <w:rPr>
          <w:rFonts w:ascii="Times New Roman" w:cs="Times New Roman" w:eastAsia="Times New Roman" w:hAnsi="Times New Roman"/>
          <w:sz w:val="17"/>
          <w:szCs w:val="17"/>
          <w:color w:val="auto"/>
        </w:rPr>
        <w:t xml:space="preserve"> to initiate a Phase 3 study of CYB003 in MDD in summer 2024 , of which approximately $2,978 was spent during the twelve months ended March 31, 2024. The Company intends to continue funding the Deuterated Psilocybin Analog (CYB003) Program.</w:t>
      </w:r>
    </w:p>
    <w:p>
      <w:pPr>
        <w:spacing w:after="0" w:line="2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Deuterated Dimethyltryptamine Program</w:t>
      </w:r>
    </w:p>
    <w:p>
      <w:pPr>
        <w:spacing w:after="0" w:line="242" w:lineRule="exact"/>
        <w:rPr>
          <w:sz w:val="20"/>
          <w:szCs w:val="20"/>
          <w:color w:val="auto"/>
        </w:rPr>
      </w:pPr>
    </w:p>
    <w:p>
      <w:pPr>
        <w:jc w:val="both"/>
        <w:ind w:left="3"/>
        <w:spacing w:after="0" w:line="288" w:lineRule="auto"/>
        <w:rPr>
          <w:sz w:val="20"/>
          <w:szCs w:val="20"/>
          <w:color w:val="auto"/>
        </w:rPr>
      </w:pPr>
      <w:r>
        <w:rPr>
          <w:rFonts w:ascii="Times New Roman" w:cs="Times New Roman" w:eastAsia="Times New Roman" w:hAnsi="Times New Roman"/>
          <w:sz w:val="18"/>
          <w:szCs w:val="18"/>
          <w:color w:val="auto"/>
        </w:rPr>
        <w:t>The Company’s proprietary dDMT program CYB004 is being developed as an intermittent treatment with the potential for less invasive, more convenient and patient-friendly dosing methods for the potential treatment of GAD with or without MDD. A single intramuscular (“</w:t>
      </w:r>
      <w:r>
        <w:rPr>
          <w:rFonts w:ascii="Times New Roman" w:cs="Times New Roman" w:eastAsia="Times New Roman" w:hAnsi="Times New Roman"/>
          <w:sz w:val="18"/>
          <w:szCs w:val="18"/>
          <w:b w:val="1"/>
          <w:bCs w:val="1"/>
          <w:color w:val="auto"/>
        </w:rPr>
        <w:t>IM</w:t>
      </w:r>
      <w:r>
        <w:rPr>
          <w:rFonts w:ascii="Times New Roman" w:cs="Times New Roman" w:eastAsia="Times New Roman" w:hAnsi="Times New Roman"/>
          <w:sz w:val="18"/>
          <w:szCs w:val="18"/>
          <w:color w:val="auto"/>
        </w:rPr>
        <w:t>”) dose is expected to result in acute psychedelic effects lasting an average of 90 minutes.</w:t>
      </w:r>
    </w:p>
    <w:p>
      <w:pPr>
        <w:spacing w:after="0" w:line="18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8"/>
          <w:szCs w:val="18"/>
          <w:color w:val="auto"/>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Key findings from these completed studies are as follows:</w:t>
      </w:r>
    </w:p>
    <w:p>
      <w:pPr>
        <w:spacing w:after="0" w:line="254" w:lineRule="exact"/>
        <w:rPr>
          <w:sz w:val="20"/>
          <w:szCs w:val="20"/>
          <w:color w:val="auto"/>
        </w:rPr>
      </w:pPr>
    </w:p>
    <w:p>
      <w:pPr>
        <w:ind w:left="583" w:hanging="292"/>
        <w:spacing w:after="0" w:line="296" w:lineRule="auto"/>
        <w:tabs>
          <w:tab w:leader="none" w:pos="5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safety and efficacy data for SPL026 (IV DMT) in 34 participants with MDD, demonstrating a clinically relevant and statistically significant reduction in depression symptoms at two weeks after dosing (-7.4 point difference in MADRS between SPL026 and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53987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4" w:lineRule="exact"/>
        <w:rPr>
          <w:sz w:val="20"/>
          <w:szCs w:val="20"/>
          <w:color w:val="auto"/>
        </w:rPr>
      </w:pPr>
    </w:p>
    <w:p>
      <w:pPr>
        <w:jc w:val="both"/>
        <w:ind w:left="3" w:right="20" w:hanging="3"/>
        <w:spacing w:after="0" w:line="224" w:lineRule="auto"/>
        <w:tabs>
          <w:tab w:leader="none" w:pos="178"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both these milestones. The Company had previously estimated that its spending to provide topline data readout from the Phase 1/2a study would be $7,704 and to complete FDA submission of CYB003 Phase 1/2a data for end of phase 2 meeting would be $2,500 for a total of $10,204. Anticipated timing and spending regarding drug development is</w:t>
      </w:r>
    </w:p>
    <w:p>
      <w:pPr>
        <w:spacing w:after="0" w:line="16" w:lineRule="exact"/>
        <w:rPr>
          <w:rFonts w:ascii="Times New Roman" w:cs="Times New Roman" w:eastAsia="Times New Roman" w:hAnsi="Times New Roman"/>
          <w:sz w:val="24"/>
          <w:szCs w:val="24"/>
          <w:color w:val="auto"/>
          <w:vertAlign w:val="superscript"/>
        </w:rPr>
      </w:pPr>
    </w:p>
    <w:p>
      <w:pPr>
        <w:jc w:val="both"/>
        <w:ind w:left="3" w:right="20"/>
        <w:spacing w:after="0" w:line="2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2024, and during the period from April 1, 2023 to March 31, 2024.</w:t>
      </w:r>
    </w:p>
    <w:p>
      <w:pPr>
        <w:spacing w:after="0" w:line="56" w:lineRule="exact"/>
        <w:rPr>
          <w:rFonts w:ascii="Times New Roman" w:cs="Times New Roman" w:eastAsia="Times New Roman" w:hAnsi="Times New Roman"/>
          <w:sz w:val="24"/>
          <w:szCs w:val="24"/>
          <w:color w:val="auto"/>
          <w:vertAlign w:val="superscript"/>
        </w:rPr>
      </w:pPr>
    </w:p>
    <w:p>
      <w:pPr>
        <w:jc w:val="both"/>
        <w:ind w:left="3" w:right="20" w:hanging="3"/>
        <w:spacing w:after="0" w:line="241" w:lineRule="auto"/>
        <w:tabs>
          <w:tab w:leader="none" w:pos="178"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Refer to footnote 23. The Company had previously estimated that its spending to complete this milestone would be $17,550.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3"/>
          </w:cols>
          <w:pgMar w:left="317" w:top="1440" w:right="319" w:bottom="1440" w:gutter="0" w:footer="0" w:header="0"/>
        </w:sectPr>
      </w:pPr>
    </w:p>
    <w:bookmarkStart w:id="108" w:name="page109"/>
    <w:bookmarkEnd w:id="108"/>
    <w:p>
      <w:pPr>
        <w:spacing w:after="0" w:line="13" w:lineRule="exact"/>
        <w:rPr>
          <w:sz w:val="20"/>
          <w:szCs w:val="20"/>
          <w:color w:val="auto"/>
        </w:rPr>
      </w:pPr>
    </w:p>
    <w:p>
      <w:pPr>
        <w:ind w:left="580" w:right="20"/>
        <w:spacing w:after="0" w:line="310" w:lineRule="auto"/>
        <w:rPr>
          <w:sz w:val="20"/>
          <w:szCs w:val="20"/>
          <w:color w:val="auto"/>
        </w:rPr>
      </w:pPr>
      <w:r>
        <w:rPr>
          <w:rFonts w:ascii="Times New Roman" w:cs="Times New Roman" w:eastAsia="Times New Roman" w:hAnsi="Times New Roman"/>
          <w:sz w:val="18"/>
          <w:szCs w:val="18"/>
          <w:color w:val="auto"/>
        </w:rPr>
        <w:t>Durable antidepressant response and remission rates were observed at six months. Among participants who had achieved remission within three months with SPL026, 64% sustained remission to six months.</w:t>
      </w:r>
    </w:p>
    <w:p>
      <w:pPr>
        <w:spacing w:after="0" w:line="169" w:lineRule="exact"/>
        <w:rPr>
          <w:sz w:val="20"/>
          <w:szCs w:val="20"/>
          <w:color w:val="auto"/>
        </w:rPr>
      </w:pPr>
    </w:p>
    <w:p>
      <w:pPr>
        <w:ind w:left="580" w:right="20" w:hanging="292"/>
        <w:spacing w:after="0" w:line="324" w:lineRule="auto"/>
        <w:tabs>
          <w:tab w:leader="none" w:pos="5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study evaluating IM SPL026 supporting IM administration for patient-friendly dosing. The study demonstrated that IM DMT is well-tolerated and generates a breakthrough psychedelic experience lasting approximately 45 minutes.</w:t>
      </w:r>
    </w:p>
    <w:p>
      <w:pPr>
        <w:spacing w:after="0" w:line="156"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study evaluating IM SPL028 supporting IM administration for patient-friendly dosing. The completed Phase 1 study of IV/IM SPL028 in</w:t>
      </w:r>
    </w:p>
    <w:p>
      <w:pPr>
        <w:spacing w:after="0" w:line="47" w:lineRule="exact"/>
        <w:rPr>
          <w:rFonts w:ascii="Times New Roman" w:cs="Times New Roman" w:eastAsia="Times New Roman" w:hAnsi="Times New Roman"/>
          <w:sz w:val="18"/>
          <w:szCs w:val="18"/>
          <w:color w:val="auto"/>
        </w:rPr>
      </w:pPr>
    </w:p>
    <w:p>
      <w:pPr>
        <w:ind w:left="580" w:right="2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healthy volunteers showed that SPL028 is safe and well-tolerated, and demonstrated that IM dosing of SPL028 produced robust psychedelic effects lasting a short duration (average approximately 90 minutes) in the majority of subjects.</w:t>
      </w:r>
    </w:p>
    <w:p>
      <w:pPr>
        <w:spacing w:after="0" w:line="180" w:lineRule="exact"/>
        <w:rPr>
          <w:rFonts w:ascii="Times New Roman" w:cs="Times New Roman" w:eastAsia="Times New Roman" w:hAnsi="Times New Roman"/>
          <w:sz w:val="18"/>
          <w:szCs w:val="18"/>
          <w:color w:val="auto"/>
        </w:rPr>
      </w:pPr>
    </w:p>
    <w:p>
      <w:pPr>
        <w:jc w:val="both"/>
        <w:ind w:left="580" w:right="20" w:hanging="292"/>
        <w:spacing w:after="0" w:line="295" w:lineRule="auto"/>
        <w:tabs>
          <w:tab w:leader="none" w:pos="5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study evaluating the safety and efficacy of SPL026 in conjunction with SSRIs in 17 participants with MDD, demonstrating no relevant drug-drug interactions, a favorable safety profile and enhanced efficacy when SPL026 was administered with SSRIs, and a 92% remission rate at 4 weeks in the DMT + SSRI combination cohort (n=12).</w:t>
      </w:r>
    </w:p>
    <w:p>
      <w:pPr>
        <w:spacing w:after="0" w:line="194" w:lineRule="exact"/>
        <w:rPr>
          <w:rFonts w:ascii="Times New Roman" w:cs="Times New Roman" w:eastAsia="Times New Roman" w:hAnsi="Times New Roman"/>
          <w:sz w:val="18"/>
          <w:szCs w:val="18"/>
          <w:color w:val="auto"/>
        </w:rPr>
      </w:pPr>
    </w:p>
    <w:p>
      <w:pPr>
        <w:ind w:left="580" w:right="20" w:hanging="292"/>
        <w:spacing w:after="0" w:line="310" w:lineRule="auto"/>
        <w:tabs>
          <w:tab w:leader="none" w:pos="5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results for IV CYB004 demonstrated robust and rapid-onset psychedelic effects at lower doses compared to native DMT, suggesting potential as a short-acting, scalable treatment.</w:t>
      </w:r>
    </w:p>
    <w:p>
      <w:pPr>
        <w:spacing w:after="0" w:line="1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is currently advancing CYB004, a deuterated version of DMT, for the potential treatment of GAD. DMT has been shown to exert its psychedelic effects by activating the 5-HT2A receptor.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18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CYB004 is secured by a U.S. composition of matter patent with protection through 2041. The patent covers a range of deuteration forms of DMT and protects CYB004 as a putative new chemical entity.</w:t>
      </w:r>
    </w:p>
    <w:p>
      <w:pPr>
        <w:spacing w:after="0" w:line="15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was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1440" w:right="319" w:bottom="1440" w:gutter="0" w:footer="0" w:header="0"/>
        </w:sectPr>
      </w:pPr>
    </w:p>
    <w:bookmarkStart w:id="109" w:name="page110"/>
    <w:bookmarkEnd w:id="109"/>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in the Netherlands. Entheon acted as external consultants to the Company for approximately 10 months after the Asset Acquisition.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the Company announced that it has selected GAD as the target indication for its proprietary deuterated DMT molecule, CYB004.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CYB004-E DMT Study</w:t>
      </w:r>
    </w:p>
    <w:p>
      <w:pPr>
        <w:spacing w:after="0" w:line="2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18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6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1440" w:right="319" w:bottom="1440" w:gutter="0" w:footer="0" w:header="0"/>
        </w:sectPr>
      </w:pPr>
    </w:p>
    <w:bookmarkStart w:id="110" w:name="page111"/>
    <w:bookmarkEnd w:id="110"/>
    <w:p>
      <w:pPr>
        <w:spacing w:after="0" w:line="13"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8"/>
          <w:szCs w:val="18"/>
          <w:color w:val="auto"/>
        </w:rPr>
        <w:t>measures of subjective psychedelic experience with IV DMT. IV DMT was also well-tolerated with no safety issues and no serious adverse events within the dose range evaluated.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2023, the Company announced that it had completed dosing for the last subject in Part B of the Phase 1 CYB004-E trial.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2023, the Company announced that it had initiated first-in-human dosing of CYB004 in Part C of the Phase 1 CYB004-E trial.</w:t>
      </w:r>
    </w:p>
    <w:p>
      <w:pPr>
        <w:spacing w:after="0" w:line="24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w:t>
      </w:r>
    </w:p>
    <w:p>
      <w:pPr>
        <w:spacing w:after="0" w:line="1" w:lineRule="exact"/>
        <w:rPr>
          <w:sz w:val="20"/>
          <w:szCs w:val="20"/>
          <w:color w:val="auto"/>
        </w:rPr>
      </w:pPr>
    </w:p>
    <w:p>
      <w:pPr>
        <w:jc w:val="both"/>
        <w:ind w:left="580" w:right="20" w:hanging="292"/>
        <w:spacing w:after="0" w:line="267" w:lineRule="auto"/>
        <w:tabs>
          <w:tab w:leader="none" w:pos="56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w:t>
      </w:r>
    </w:p>
    <w:p>
      <w:pPr>
        <w:ind w:left="580" w:right="20" w:hanging="292"/>
        <w:spacing w:after="0" w:line="267" w:lineRule="auto"/>
        <w:tabs>
          <w:tab w:leader="none" w:pos="56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SPL028 study identified an IM dose of SPL028 that resulted in a breakthrough psychedelic experience, with a total duration ranging from 55 to 120 minutes.</w:t>
      </w:r>
    </w:p>
    <w:p>
      <w:pPr>
        <w:ind w:left="580" w:right="20" w:hanging="292"/>
        <w:spacing w:after="0" w:line="294" w:lineRule="auto"/>
        <w:tabs>
          <w:tab w:leader="none" w:pos="56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CYB004 (IV) and SPL028 (IM and IV) were well-tolerated with no serious adverse events, and the majority of adverse events were mild to moderate and self-limiting.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 study of CYB004 in GAD.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15, 2024, the Company announced that it had initiated a Phase 2 study of IM CYB004 in participants with moderate to severe GAD.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2 CYB004 Study in GAD</w:t>
      </w:r>
    </w:p>
    <w:p>
      <w:pPr>
        <w:spacing w:after="0" w:line="24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sub-psychedelic doses of CYB004. The primary endpoint is a change in the Hamilton Anxiety Rating Scale score from baseline at six weeks following the second dose. Other endpoints include the MADRS depression assessment, safety assessments, MEQ30 (psychedelic experience assessment) and EQ-5D-5L (quality of life assessment). Participants will be followed for up to a year. Results from this study are expected to provide proof of concept for CYB004’s efficacy in GAD, the time to onset of effects, as well as durability of effects to one year.</w:t>
      </w:r>
    </w:p>
    <w:p>
      <w:pPr>
        <w:spacing w:after="0" w:line="198" w:lineRule="exact"/>
        <w:rPr>
          <w:sz w:val="20"/>
          <w:szCs w:val="20"/>
          <w:color w:val="auto"/>
        </w:rPr>
      </w:pPr>
    </w:p>
    <w:p>
      <w:pPr>
        <w:jc w:val="both"/>
        <w:ind w:right="20"/>
        <w:spacing w:after="0" w:line="330" w:lineRule="auto"/>
        <w:rPr>
          <w:sz w:val="20"/>
          <w:szCs w:val="20"/>
          <w:color w:val="auto"/>
        </w:rPr>
      </w:pPr>
      <w:r>
        <w:rPr>
          <w:rFonts w:ascii="Times New Roman" w:cs="Times New Roman" w:eastAsia="Times New Roman" w:hAnsi="Times New Roman"/>
          <w:sz w:val="18"/>
          <w:szCs w:val="18"/>
          <w:color w:val="auto"/>
        </w:rPr>
        <w:t xml:space="preserve">The Company spent approximately $7,130 on its Deuterated Dimethyltryptamine Program during the twelve months ended </w:t>
      </w:r>
      <w:r>
        <w:rPr>
          <w:rFonts w:ascii="Times New Roman" w:cs="Times New Roman" w:eastAsia="Times New Roman" w:hAnsi="Times New Roman"/>
          <w:sz w:val="19"/>
          <w:szCs w:val="19"/>
          <w:color w:val="auto"/>
        </w:rPr>
        <w:t>March 31, 2024</w:t>
      </w:r>
      <w:r>
        <w:rPr>
          <w:rFonts w:ascii="Times New Roman" w:cs="Times New Roman" w:eastAsia="Times New Roman" w:hAnsi="Times New Roman"/>
          <w:sz w:val="18"/>
          <w:szCs w:val="18"/>
          <w:color w:val="auto"/>
        </w:rPr>
        <w:t>, related to the milestones detailed below.</w:t>
      </w:r>
    </w:p>
    <w:p>
      <w:pPr>
        <w:spacing w:after="0" w:line="123"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320" w:top="1440" w:right="319" w:bottom="1440" w:gutter="0" w:footer="0" w:header="0"/>
        </w:sectPr>
      </w:pPr>
    </w:p>
    <w:bookmarkStart w:id="111" w:name="page112"/>
    <w:bookmarkEnd w:id="111"/>
    <w:p>
      <w:pPr>
        <w:spacing w:after="0" w:line="244" w:lineRule="exact"/>
        <w:rPr>
          <w:sz w:val="20"/>
          <w:szCs w:val="20"/>
          <w:color w:val="auto"/>
        </w:rPr>
      </w:pPr>
    </w:p>
    <w:p>
      <w:pPr>
        <w:ind w:left="563" w:hanging="272"/>
        <w:spacing w:after="0"/>
        <w:tabs>
          <w:tab w:leader="none" w:pos="5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topline safety and efficacy data from Phase 2 GAD study around year end 2024</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left="3" w:right="20"/>
        <w:spacing w:after="0" w:line="229" w:lineRule="auto"/>
        <w:rPr>
          <w:sz w:val="20"/>
          <w:szCs w:val="20"/>
          <w:color w:val="auto"/>
        </w:rPr>
      </w:pPr>
      <w:r>
        <w:rPr>
          <w:rFonts w:ascii="Times New Roman" w:cs="Times New Roman" w:eastAsia="Times New Roman" w:hAnsi="Times New Roman"/>
          <w:sz w:val="18"/>
          <w:szCs w:val="18"/>
          <w:color w:val="auto"/>
        </w:rPr>
        <w:t>The Company spent approximately $1,847 to initiate a Phase 2a GAD study in Q1 2024 during the twelve months ended March 31, 2024</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The Company spent approximately $7,322</w:t>
      </w:r>
      <w:r>
        <w:rPr>
          <w:rFonts w:ascii="Times New Roman" w:cs="Times New Roman" w:eastAsia="Times New Roman" w:hAnsi="Times New Roman"/>
          <w:sz w:val="23"/>
          <w:szCs w:val="23"/>
          <w:color w:val="auto"/>
          <w:vertAlign w:val="superscript"/>
        </w:rPr>
        <w:t>23,24</w:t>
      </w:r>
      <w:r>
        <w:rPr>
          <w:rFonts w:ascii="Times New Roman" w:cs="Times New Roman" w:eastAsia="Times New Roman" w:hAnsi="Times New Roman"/>
          <w:sz w:val="18"/>
          <w:szCs w:val="18"/>
          <w:color w:val="auto"/>
        </w:rPr>
        <w:t xml:space="preserve"> to complete FDA IND submission for CYB004 in January 2024 of which approximately $2,349 was spent during the twelve months ended March 31, 2024, and approximately $4,973 was spent in the financial year ended March 31, 2023. The Company spent approximately $5,611</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xml:space="preserve"> to provide topline data from the Phase 1 CYB004-E trial in January 2024 of which approximately $2,814 was spent during the twelve months ended March 31, 2024 and approximately $2,797 was spent in the financial year ended March 31, 2023.</w:t>
      </w:r>
    </w:p>
    <w:p>
      <w:pPr>
        <w:spacing w:after="0" w:line="230" w:lineRule="exact"/>
        <w:rPr>
          <w:sz w:val="20"/>
          <w:szCs w:val="20"/>
          <w:color w:val="auto"/>
        </w:rPr>
      </w:pPr>
    </w:p>
    <w:p>
      <w:pPr>
        <w:jc w:val="both"/>
        <w:ind w:left="3" w:right="20"/>
        <w:spacing w:after="0" w:line="285" w:lineRule="auto"/>
        <w:rPr>
          <w:sz w:val="20"/>
          <w:szCs w:val="20"/>
          <w:color w:val="auto"/>
        </w:rPr>
      </w:pPr>
      <w:r>
        <w:rPr>
          <w:rFonts w:ascii="Times New Roman" w:cs="Times New Roman" w:eastAsia="Times New Roman" w:hAnsi="Times New Roman"/>
          <w:sz w:val="18"/>
          <w:szCs w:val="18"/>
          <w:color w:val="auto"/>
        </w:rPr>
        <w:t>The Company expects to spend approximately $5,521 to provide topline safety and efficacy data from Phase 2 GAD study around year end 2024 of which approximately $58 was spent during the twelve months ended March 31, 2024, resulting in an approximate remaining spend as of March 31, 2024 of $5,463 by Q4 2024</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continue funding the Deuterated Dimethyltryptamine (CYB004)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153987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83" w:hanging="183"/>
        <w:spacing w:after="0"/>
        <w:tabs>
          <w:tab w:leader="none" w:pos="183"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15.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for further information.</w:t>
      </w:r>
    </w:p>
    <w:p>
      <w:pPr>
        <w:spacing w:after="0" w:line="93" w:lineRule="exact"/>
        <w:rPr>
          <w:rFonts w:ascii="Times New Roman" w:cs="Times New Roman" w:eastAsia="Times New Roman" w:hAnsi="Times New Roman"/>
          <w:sz w:val="25"/>
          <w:szCs w:val="25"/>
          <w:color w:val="auto"/>
          <w:vertAlign w:val="superscript"/>
        </w:rPr>
      </w:pPr>
    </w:p>
    <w:p>
      <w:pPr>
        <w:jc w:val="both"/>
        <w:ind w:left="3" w:right="20" w:hanging="3"/>
        <w:spacing w:after="0"/>
        <w:tabs>
          <w:tab w:leader="none" w:pos="178"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initiate a Phase 2a GAD study would be $1,270.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w:t>
      </w:r>
    </w:p>
    <w:p>
      <w:pPr>
        <w:spacing w:after="0" w:line="16" w:lineRule="exact"/>
        <w:rPr>
          <w:rFonts w:ascii="Times New Roman" w:cs="Times New Roman" w:eastAsia="Times New Roman" w:hAnsi="Times New Roman"/>
          <w:sz w:val="24"/>
          <w:szCs w:val="24"/>
          <w:color w:val="auto"/>
          <w:vertAlign w:val="superscript"/>
        </w:rPr>
      </w:pPr>
    </w:p>
    <w:p>
      <w:pPr>
        <w:ind w:left="3" w:right="20"/>
        <w:spacing w:after="0" w:line="28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of implementation and results of such studies on timelines indicated as possible by such guidelines, other industry examples, and the Company’s development efforts to date. Reflects actual spend during the financial year ended March 31, 2024.</w:t>
      </w:r>
    </w:p>
    <w:p>
      <w:pPr>
        <w:spacing w:after="0" w:line="41" w:lineRule="exact"/>
        <w:rPr>
          <w:rFonts w:ascii="Times New Roman" w:cs="Times New Roman" w:eastAsia="Times New Roman" w:hAnsi="Times New Roman"/>
          <w:sz w:val="24"/>
          <w:szCs w:val="24"/>
          <w:color w:val="auto"/>
          <w:vertAlign w:val="superscript"/>
        </w:rPr>
      </w:pPr>
    </w:p>
    <w:p>
      <w:pPr>
        <w:jc w:val="both"/>
        <w:ind w:left="3" w:right="20" w:hanging="3"/>
        <w:spacing w:after="0" w:line="245" w:lineRule="auto"/>
        <w:tabs>
          <w:tab w:leader="none" w:pos="178"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63" w:lineRule="exact"/>
        <w:rPr>
          <w:rFonts w:ascii="Times New Roman" w:cs="Times New Roman" w:eastAsia="Times New Roman" w:hAnsi="Times New Roman"/>
          <w:sz w:val="25"/>
          <w:szCs w:val="25"/>
          <w:color w:val="auto"/>
          <w:vertAlign w:val="superscript"/>
        </w:rPr>
      </w:pPr>
    </w:p>
    <w:p>
      <w:pPr>
        <w:jc w:val="both"/>
        <w:ind w:left="3" w:right="20" w:hanging="3"/>
        <w:spacing w:after="0" w:line="224" w:lineRule="auto"/>
        <w:tabs>
          <w:tab w:leader="none" w:pos="178"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complete FDA IND submission for CYB004 would be $7,245. Anticipated timing and spending regarding drug development is based on reasonable assumptions informed by current knowledge and information available to the Company. Such statements are informed by,</w:t>
      </w:r>
    </w:p>
    <w:p>
      <w:pPr>
        <w:spacing w:after="0" w:line="16" w:lineRule="exact"/>
        <w:rPr>
          <w:rFonts w:ascii="Times New Roman" w:cs="Times New Roman" w:eastAsia="Times New Roman" w:hAnsi="Times New Roman"/>
          <w:sz w:val="24"/>
          <w:szCs w:val="24"/>
          <w:color w:val="auto"/>
          <w:vertAlign w:val="superscript"/>
        </w:rPr>
      </w:pPr>
    </w:p>
    <w:p>
      <w:pPr>
        <w:jc w:val="both"/>
        <w:ind w:left="3"/>
        <w:spacing w:after="0" w:line="278"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2024.</w:t>
      </w:r>
    </w:p>
    <w:p>
      <w:pPr>
        <w:spacing w:after="0" w:line="55" w:lineRule="exact"/>
        <w:rPr>
          <w:rFonts w:ascii="Times New Roman" w:cs="Times New Roman" w:eastAsia="Times New Roman" w:hAnsi="Times New Roman"/>
          <w:sz w:val="24"/>
          <w:szCs w:val="24"/>
          <w:color w:val="auto"/>
          <w:vertAlign w:val="superscript"/>
        </w:rPr>
      </w:pPr>
    </w:p>
    <w:p>
      <w:pPr>
        <w:jc w:val="both"/>
        <w:ind w:left="3" w:right="20" w:hanging="3"/>
        <w:spacing w:after="0" w:line="224" w:lineRule="auto"/>
        <w:tabs>
          <w:tab w:leader="none" w:pos="19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advance the Phase 1 CYB004-E trial would be $5,733. Anticipated timing and spending regarding drug development is based on reasonable assumptions informed by current knowledge and information available to the Company. Such statements are informed by, among</w:t>
      </w:r>
    </w:p>
    <w:p>
      <w:pPr>
        <w:spacing w:after="0" w:line="16" w:lineRule="exact"/>
        <w:rPr>
          <w:rFonts w:ascii="Times New Roman" w:cs="Times New Roman" w:eastAsia="Times New Roman" w:hAnsi="Times New Roman"/>
          <w:sz w:val="24"/>
          <w:szCs w:val="24"/>
          <w:color w:val="auto"/>
          <w:vertAlign w:val="superscript"/>
        </w:rPr>
      </w:pPr>
    </w:p>
    <w:p>
      <w:pPr>
        <w:jc w:val="both"/>
        <w:ind w:left="3" w:right="20"/>
        <w:spacing w:after="0" w:line="278"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2024, during the period from April 1, 2023 to March 31, 2024.</w:t>
      </w:r>
    </w:p>
    <w:p>
      <w:pPr>
        <w:ind w:left="183" w:hanging="183"/>
        <w:spacing w:after="0" w:line="212" w:lineRule="auto"/>
        <w:tabs>
          <w:tab w:leader="none" w:pos="183"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footnotes 34.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3"/>
          </w:cols>
          <w:pgMar w:left="317" w:top="1440" w:right="319" w:bottom="1440" w:gutter="0" w:footer="0" w:header="0"/>
        </w:sectPr>
      </w:pPr>
    </w:p>
    <w:bookmarkStart w:id="112" w:name="page113"/>
    <w:bookmarkEnd w:id="112"/>
    <w:p>
      <w:pPr>
        <w:spacing w:after="0" w:line="13" w:lineRule="exact"/>
        <w:rPr>
          <w:sz w:val="20"/>
          <w:szCs w:val="20"/>
          <w:color w:val="auto"/>
        </w:rPr>
      </w:pPr>
    </w:p>
    <w:p>
      <w:pPr>
        <w:ind w:left="3" w:right="800"/>
        <w:spacing w:after="0" w:line="299" w:lineRule="auto"/>
        <w:rPr>
          <w:sz w:val="20"/>
          <w:szCs w:val="20"/>
          <w:color w:val="auto"/>
        </w:rPr>
      </w:pPr>
      <w:r>
        <w:rPr>
          <w:rFonts w:ascii="Times New Roman" w:cs="Times New Roman" w:eastAsia="Times New Roman" w:hAnsi="Times New Roman"/>
          <w:sz w:val="18"/>
          <w:szCs w:val="18"/>
          <w:color w:val="auto"/>
        </w:rPr>
        <w:t>In addition, following the acquisition of Small Pharma, the Company is continuing to assess and will provide further information and updates upon completion of the integration of Small Pharma’s business, including the anticipated spend associated with the SPL028 study</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Phenethylamine Derivatives Program (CYB005)</w:t>
      </w:r>
    </w:p>
    <w:p>
      <w:pPr>
        <w:spacing w:after="0" w:line="270" w:lineRule="exact"/>
        <w:rPr>
          <w:sz w:val="20"/>
          <w:szCs w:val="20"/>
          <w:color w:val="auto"/>
        </w:rPr>
      </w:pPr>
    </w:p>
    <w:p>
      <w:pPr>
        <w:jc w:val="both"/>
        <w:ind w:left="3"/>
        <w:spacing w:after="0" w:line="293" w:lineRule="auto"/>
        <w:rPr>
          <w:sz w:val="20"/>
          <w:szCs w:val="20"/>
          <w:color w:val="auto"/>
        </w:rPr>
      </w:pPr>
      <w:r>
        <w:rPr>
          <w:rFonts w:ascii="Times New Roman" w:cs="Times New Roman" w:eastAsia="Times New Roman" w:hAnsi="Times New Roman"/>
          <w:sz w:val="18"/>
          <w:szCs w:val="18"/>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psychiatric disorders, neuroinflammation and other neurological conditions.</w:t>
      </w:r>
      <w:r>
        <w:rPr>
          <w:rFonts w:ascii="Times New Roman" w:cs="Times New Roman" w:eastAsia="Times New Roman" w:hAnsi="Times New Roman"/>
          <w:sz w:val="23"/>
          <w:szCs w:val="23"/>
          <w:color w:val="auto"/>
          <w:vertAlign w:val="superscript"/>
        </w:rPr>
        <w:t>28</w:t>
      </w:r>
    </w:p>
    <w:p>
      <w:pPr>
        <w:spacing w:after="0" w:line="124" w:lineRule="exact"/>
        <w:rPr>
          <w:sz w:val="20"/>
          <w:szCs w:val="20"/>
          <w:color w:val="auto"/>
        </w:rPr>
      </w:pPr>
    </w:p>
    <w:p>
      <w:pPr>
        <w:jc w:val="both"/>
        <w:ind w:left="3" w:right="20"/>
        <w:spacing w:after="0" w:line="289"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202"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 w:cs="Times New Roman" w:eastAsia="Times New Roman" w:hAnsi="Times New Roman"/>
          <w:sz w:val="18"/>
          <w:szCs w:val="18"/>
          <w:b w:val="1"/>
          <w:bCs w:val="1"/>
          <w:color w:val="auto"/>
        </w:rPr>
        <w:t>ADME</w:t>
      </w:r>
      <w:r>
        <w:rPr>
          <w:rFonts w:ascii="Times New Roman" w:cs="Times New Roman" w:eastAsia="Times New Roman" w:hAnsi="Times New Roman"/>
          <w:sz w:val="18"/>
          <w:szCs w:val="18"/>
          <w:color w:val="auto"/>
        </w:rPr>
        <w:t>”) profiles. Further, the Company’s licensed third party vendors will be responsible for completing a range of additional preclinical programs including, but not limited to, dose-ranging studies in multiple animal species, toxicity studies in multiple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3987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46" w:lineRule="exact"/>
        <w:rPr>
          <w:sz w:val="20"/>
          <w:szCs w:val="20"/>
          <w:color w:val="auto"/>
        </w:rPr>
      </w:pPr>
    </w:p>
    <w:p>
      <w:pPr>
        <w:ind w:left="183" w:hanging="183"/>
        <w:spacing w:after="0"/>
        <w:tabs>
          <w:tab w:leader="none" w:pos="183"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footnotes 21 and 34.</w:t>
      </w:r>
    </w:p>
    <w:p>
      <w:pPr>
        <w:spacing w:after="0" w:line="81" w:lineRule="exact"/>
        <w:rPr>
          <w:rFonts w:ascii="Times New Roman" w:cs="Times New Roman" w:eastAsia="Times New Roman" w:hAnsi="Times New Roman"/>
          <w:sz w:val="25"/>
          <w:szCs w:val="25"/>
          <w:color w:val="auto"/>
          <w:vertAlign w:val="superscript"/>
        </w:rPr>
      </w:pPr>
    </w:p>
    <w:p>
      <w:pPr>
        <w:jc w:val="both"/>
        <w:ind w:left="3" w:hanging="3"/>
        <w:spacing w:after="0" w:line="242" w:lineRule="auto"/>
        <w:tabs>
          <w:tab w:leader="none" w:pos="178"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3"/>
          </w:cols>
          <w:pgMar w:left="317" w:top="1440" w:right="319" w:bottom="1440" w:gutter="0" w:footer="0" w:header="0"/>
        </w:sectPr>
      </w:pPr>
    </w:p>
    <w:bookmarkStart w:id="113" w:name="page114"/>
    <w:bookmarkEnd w:id="113"/>
    <w:p>
      <w:pPr>
        <w:spacing w:after="0" w:line="25" w:lineRule="exact"/>
        <w:rPr>
          <w:sz w:val="20"/>
          <w:szCs w:val="20"/>
          <w:color w:val="auto"/>
        </w:rPr>
      </w:pPr>
    </w:p>
    <w:p>
      <w:pPr>
        <w:jc w:val="both"/>
        <w:ind w:left="3"/>
        <w:spacing w:after="0" w:line="324" w:lineRule="auto"/>
        <w:rPr>
          <w:sz w:val="20"/>
          <w:szCs w:val="20"/>
          <w:color w:val="auto"/>
        </w:rPr>
      </w:pPr>
      <w:r>
        <w:rPr>
          <w:rFonts w:ascii="Times New Roman" w:cs="Times New Roman" w:eastAsia="Times New Roman" w:hAnsi="Times New Roman"/>
          <w:sz w:val="18"/>
          <w:szCs w:val="18"/>
          <w:color w:val="auto"/>
        </w:rPr>
        <w:t>animal species, genotoxicity studies, along with neuropharmacological, pulmonary, and cardiovascular profiling, before the final selection of drug candidates for entry into human trials.</w:t>
      </w:r>
    </w:p>
    <w:p>
      <w:pPr>
        <w:spacing w:after="0" w:line="157" w:lineRule="exact"/>
        <w:rPr>
          <w:sz w:val="20"/>
          <w:szCs w:val="20"/>
          <w:color w:val="auto"/>
        </w:rPr>
      </w:pPr>
    </w:p>
    <w:p>
      <w:pPr>
        <w:jc w:val="both"/>
        <w:ind w:left="3"/>
        <w:spacing w:after="0" w:line="324"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$83 on its preclinical Phenethylamine Derivatives Program during the twelve months ended March 31, 2024.</w:t>
      </w:r>
    </w:p>
    <w:p>
      <w:pPr>
        <w:spacing w:after="0" w:line="266" w:lineRule="exact"/>
        <w:rPr>
          <w:sz w:val="20"/>
          <w:szCs w:val="20"/>
          <w:color w:val="auto"/>
        </w:rPr>
      </w:pPr>
    </w:p>
    <w:p>
      <w:pPr>
        <w:jc w:val="both"/>
        <w:ind w:left="3"/>
        <w:spacing w:after="0" w:line="297"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2024</w:t>
      </w:r>
      <w:r>
        <w:rPr>
          <w:rFonts w:ascii="Times New Roman" w:cs="Times New Roman" w:eastAsia="Times New Roman" w:hAnsi="Times New Roman"/>
          <w:sz w:val="23"/>
          <w:szCs w:val="23"/>
          <w:color w:val="auto"/>
          <w:vertAlign w:val="superscript"/>
        </w:rPr>
        <w:t>29</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3"/>
        <w:spacing w:after="0" w:line="262" w:lineRule="auto"/>
        <w:rPr>
          <w:sz w:val="20"/>
          <w:szCs w:val="20"/>
          <w:color w:val="auto"/>
        </w:rPr>
      </w:pPr>
      <w:r>
        <w:rPr>
          <w:rFonts w:ascii="Times New Roman" w:cs="Times New Roman" w:eastAsia="Times New Roman" w:hAnsi="Times New Roman"/>
          <w:sz w:val="18"/>
          <w:szCs w:val="18"/>
          <w:color w:val="auto"/>
        </w:rPr>
        <w:t>The Company expects to spend approximately $900</w:t>
      </w:r>
      <w:r>
        <w:rPr>
          <w:rFonts w:ascii="Times New Roman" w:cs="Times New Roman" w:eastAsia="Times New Roman" w:hAnsi="Times New Roman"/>
          <w:sz w:val="23"/>
          <w:szCs w:val="23"/>
          <w:color w:val="auto"/>
          <w:vertAlign w:val="superscript"/>
        </w:rPr>
        <w:t>30</w:t>
      </w:r>
      <w:r>
        <w:rPr>
          <w:rFonts w:ascii="Times New Roman" w:cs="Times New Roman" w:eastAsia="Times New Roman" w:hAnsi="Times New Roman"/>
          <w:sz w:val="18"/>
          <w:szCs w:val="18"/>
          <w:color w:val="auto"/>
        </w:rPr>
        <w:t xml:space="preserve"> to complete preclinical development of a phenethylamine drug candidate by 2024</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8"/>
          <w:szCs w:val="18"/>
          <w:color w:val="auto"/>
        </w:rPr>
        <w:t xml:space="preserve">, of which approximately $83 was spent during the twelve months ended </w:t>
      </w:r>
      <w:r>
        <w:rPr>
          <w:rFonts w:ascii="Times New Roman" w:cs="Times New Roman" w:eastAsia="Times New Roman" w:hAnsi="Times New Roman"/>
          <w:sz w:val="19"/>
          <w:szCs w:val="19"/>
          <w:color w:val="auto"/>
        </w:rPr>
        <w:t>March 31, 2024</w:t>
      </w:r>
      <w:r>
        <w:rPr>
          <w:rFonts w:ascii="Times New Roman" w:cs="Times New Roman" w:eastAsia="Times New Roman" w:hAnsi="Times New Roman"/>
          <w:sz w:val="18"/>
          <w:szCs w:val="18"/>
          <w:color w:val="auto"/>
        </w:rPr>
        <w:t xml:space="preserve">, and approximately $782 was spent during the financial year ended March 31, 2023 resulting in an approximate remaining spend as of </w:t>
      </w:r>
      <w:r>
        <w:rPr>
          <w:rFonts w:ascii="Times New Roman" w:cs="Times New Roman" w:eastAsia="Times New Roman" w:hAnsi="Times New Roman"/>
          <w:sz w:val="19"/>
          <w:szCs w:val="19"/>
          <w:color w:val="auto"/>
        </w:rPr>
        <w:t>March 31, 2024</w:t>
      </w:r>
      <w:r>
        <w:rPr>
          <w:rFonts w:ascii="Times New Roman" w:cs="Times New Roman" w:eastAsia="Times New Roman" w:hAnsi="Times New Roman"/>
          <w:sz w:val="18"/>
          <w:szCs w:val="18"/>
          <w:color w:val="auto"/>
        </w:rPr>
        <w:t xml:space="preserve"> of $35. The Company intends to continue funding the Phenethylamine Derivatives Program (CYB005) Program.</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Technology Programs</w:t>
      </w:r>
    </w:p>
    <w:p>
      <w:pPr>
        <w:spacing w:after="0" w:line="2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217" w:lineRule="exact"/>
        <w:rPr>
          <w:sz w:val="20"/>
          <w:szCs w:val="20"/>
          <w:color w:val="auto"/>
        </w:rPr>
      </w:pPr>
    </w:p>
    <w:p>
      <w:pPr>
        <w:jc w:val="both"/>
        <w:ind w:left="3"/>
        <w:spacing w:after="0" w:line="329"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53987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40" w:lineRule="exact"/>
        <w:rPr>
          <w:sz w:val="20"/>
          <w:szCs w:val="20"/>
          <w:color w:val="auto"/>
        </w:rPr>
      </w:pPr>
    </w:p>
    <w:p>
      <w:pPr>
        <w:ind w:left="183" w:hanging="183"/>
        <w:spacing w:after="0"/>
        <w:tabs>
          <w:tab w:leader="none" w:pos="183" w:val="left"/>
        </w:tabs>
        <w:numPr>
          <w:ilvl w:val="0"/>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9.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for further information.</w:t>
      </w:r>
    </w:p>
    <w:p>
      <w:pPr>
        <w:spacing w:after="0" w:line="68" w:lineRule="exact"/>
        <w:rPr>
          <w:rFonts w:ascii="Times New Roman" w:cs="Times New Roman" w:eastAsia="Times New Roman" w:hAnsi="Times New Roman"/>
          <w:sz w:val="25"/>
          <w:szCs w:val="25"/>
          <w:color w:val="auto"/>
          <w:vertAlign w:val="superscript"/>
        </w:rPr>
      </w:pPr>
    </w:p>
    <w:p>
      <w:pPr>
        <w:jc w:val="both"/>
        <w:ind w:left="3" w:hanging="3"/>
        <w:spacing w:after="0" w:line="230" w:lineRule="auto"/>
        <w:tabs>
          <w:tab w:leader="none" w:pos="190" w:val="left"/>
        </w:tabs>
        <w:numPr>
          <w:ilvl w:val="0"/>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Reflects actual spend during the financial year ended March 31, 2023, the twelve months ended March 31, 2024, and expected spend during the period from January 1, 2024 until the achievement of preclinical development of a phenethylamine drug candidate by December 31, 2024.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65" w:lineRule="exact"/>
        <w:rPr>
          <w:rFonts w:ascii="Times New Roman" w:cs="Times New Roman" w:eastAsia="Times New Roman" w:hAnsi="Times New Roman"/>
          <w:sz w:val="25"/>
          <w:szCs w:val="25"/>
          <w:color w:val="auto"/>
          <w:vertAlign w:val="superscript"/>
        </w:rPr>
      </w:pPr>
    </w:p>
    <w:p>
      <w:pPr>
        <w:jc w:val="both"/>
        <w:ind w:left="3" w:hanging="3"/>
        <w:spacing w:after="0" w:line="233" w:lineRule="auto"/>
        <w:tabs>
          <w:tab w:leader="none" w:pos="202" w:val="left"/>
        </w:tabs>
        <w:numPr>
          <w:ilvl w:val="0"/>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Q3 2023. The Company now expects to complete preclinical development of phenethylamine drug candidate by the end of Q4 2024.Change in anticipated timing due to the prioritization of the CYB003 Program. Anticipated spending and timelines regarding drug development are based on reasonable assumptions informed by current knowledge and information available to the Company. See also footnote 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3"/>
          </w:cols>
          <w:pgMar w:left="317" w:top="1440" w:right="339" w:bottom="1440" w:gutter="0" w:footer="0" w:header="0"/>
        </w:sectPr>
      </w:pPr>
    </w:p>
    <w:bookmarkStart w:id="114" w:name="page115"/>
    <w:bookmarkEnd w:id="114"/>
    <w:p>
      <w:pPr>
        <w:spacing w:after="0" w:line="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memorialize the learning from their treatment sessions and to assist with the integration of such learnings into the patient’s psychotherapy program.</w:t>
      </w:r>
    </w:p>
    <w:p>
      <w:pPr>
        <w:spacing w:after="0" w:line="242"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95"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66" w:lineRule="exact"/>
        <w:rPr>
          <w:sz w:val="20"/>
          <w:szCs w:val="20"/>
          <w:color w:val="auto"/>
        </w:rPr>
      </w:pPr>
    </w:p>
    <w:p>
      <w:pPr>
        <w:jc w:val="both"/>
        <w:ind w:left="3" w:right="20"/>
        <w:spacing w:after="0" w:line="315"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40" w:lineRule="exact"/>
        <w:rPr>
          <w:sz w:val="20"/>
          <w:szCs w:val="20"/>
          <w:color w:val="auto"/>
        </w:rPr>
      </w:pPr>
    </w:p>
    <w:p>
      <w:pPr>
        <w:jc w:val="both"/>
        <w:ind w:left="3" w:right="20"/>
        <w:spacing w:after="0" w:line="278" w:lineRule="auto"/>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32</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66" w:lineRule="exact"/>
        <w:rPr>
          <w:sz w:val="20"/>
          <w:szCs w:val="20"/>
          <w:color w:val="auto"/>
        </w:rPr>
      </w:pPr>
    </w:p>
    <w:p>
      <w:pPr>
        <w:jc w:val="both"/>
        <w:ind w:left="3" w:right="20"/>
        <w:spacing w:after="0" w:line="293"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PR and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222250</wp:posOffset>
            </wp:positionV>
            <wp:extent cx="153987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3" w:hanging="3"/>
        <w:spacing w:after="0" w:line="235" w:lineRule="auto"/>
        <w:tabs>
          <w:tab w:leader="none" w:pos="139" w:val="left"/>
        </w:tabs>
        <w:numPr>
          <w:ilvl w:val="0"/>
          <w:numId w:val="6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3"/>
          </w:cols>
          <w:pgMar w:left="317" w:top="1440" w:right="319" w:bottom="1440" w:gutter="0" w:footer="0" w:header="0"/>
        </w:sectPr>
      </w:pPr>
    </w:p>
    <w:bookmarkStart w:id="115" w:name="page116"/>
    <w:bookmarkEnd w:id="115"/>
    <w:p>
      <w:pPr>
        <w:spacing w:after="0" w:line="2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Times New Roman" w:cs="Times New Roman" w:eastAsia="Times New Roman" w:hAnsi="Times New Roman"/>
          <w:sz w:val="19"/>
          <w:szCs w:val="19"/>
          <w:i w:val="1"/>
          <w:iCs w:val="1"/>
          <w:color w:val="auto"/>
        </w:rPr>
        <w:t>Scientific Reports</w:t>
      </w:r>
      <w:r>
        <w:rPr>
          <w:rFonts w:ascii="Times New Roman" w:cs="Times New Roman" w:eastAsia="Times New Roman" w:hAnsi="Times New Roman"/>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Times New Roman" w:cs="Times New Roman" w:eastAsia="Times New Roman" w:hAnsi="Times New Roman"/>
          <w:sz w:val="19"/>
          <w:szCs w:val="19"/>
          <w:b w:val="1"/>
          <w:bCs w:val="1"/>
          <w:color w:val="auto"/>
        </w:rPr>
        <w:t>fNIRS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Kernel Flow Feasibility Study</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9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Relationships with Third Parties</w:t>
      </w:r>
    </w:p>
    <w:p>
      <w:pPr>
        <w:spacing w:after="0" w:line="228"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1440" w:right="319" w:bottom="1440" w:gutter="0" w:footer="0" w:header="0"/>
        </w:sectPr>
      </w:pPr>
    </w:p>
    <w:bookmarkStart w:id="116" w:name="page117"/>
    <w:bookmarkEnd w:id="116"/>
    <w:p>
      <w:pPr>
        <w:spacing w:after="0" w:line="25"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Company has licensed the use of its EMBARK psychological support model to the University of Washington for a randomized, placebo-controlled clinical trial of psilocybin for frontline clinicians experiencing COVID-19 related distress.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Greenbrook TMS</w:t>
      </w:r>
    </w:p>
    <w:p>
      <w:pPr>
        <w:spacing w:after="0" w:line="52"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40"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5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3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Clinical Trials</w:t>
      </w:r>
    </w:p>
    <w:p>
      <w:pPr>
        <w:spacing w:after="0" w:line="40"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52"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1440" w:right="319" w:bottom="1440" w:gutter="0" w:footer="0" w:header="0"/>
        </w:sectPr>
      </w:pPr>
    </w:p>
    <w:bookmarkStart w:id="117" w:name="page118"/>
    <w:bookmarkEnd w:id="117"/>
    <w:p>
      <w:pPr>
        <w:spacing w:after="0" w:line="25"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8"/>
          <w:szCs w:val="18"/>
          <w:color w:val="auto"/>
        </w:rPr>
        <w:t>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33</w:t>
      </w:r>
      <w:r>
        <w:rPr>
          <w:rFonts w:ascii="Times New Roman" w:cs="Times New Roman" w:eastAsia="Times New Roman" w:hAnsi="Times New Roman"/>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7"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57" w:lineRule="exact"/>
        <w:rPr>
          <w:sz w:val="20"/>
          <w:szCs w:val="20"/>
          <w:color w:val="auto"/>
        </w:rPr>
      </w:pPr>
    </w:p>
    <w:p>
      <w:pPr>
        <w:jc w:val="both"/>
        <w:ind w:left="3"/>
        <w:spacing w:after="0" w:line="292"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87" w:lineRule="exact"/>
        <w:rPr>
          <w:sz w:val="20"/>
          <w:szCs w:val="20"/>
          <w:color w:val="auto"/>
        </w:rPr>
      </w:pPr>
    </w:p>
    <w:p>
      <w:pPr>
        <w:jc w:val="both"/>
        <w:ind w:left="3"/>
        <w:spacing w:after="0" w:line="292"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75"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AIF or unforeseen events.</w:t>
      </w:r>
    </w:p>
    <w:p>
      <w:pPr>
        <w:spacing w:after="0" w:line="207" w:lineRule="exact"/>
        <w:rPr>
          <w:sz w:val="20"/>
          <w:szCs w:val="20"/>
          <w:color w:val="auto"/>
        </w:rPr>
      </w:pPr>
    </w:p>
    <w:p>
      <w:pPr>
        <w:jc w:val="both"/>
        <w:ind w:left="3" w:right="20"/>
        <w:spacing w:after="0" w:line="317" w:lineRule="auto"/>
        <w:rPr>
          <w:sz w:val="20"/>
          <w:szCs w:val="20"/>
          <w:color w:val="auto"/>
        </w:rPr>
      </w:pPr>
      <w:r>
        <w:rPr>
          <w:rFonts w:ascii="Times New Roman" w:cs="Times New Roman" w:eastAsia="Times New Roman" w:hAnsi="Times New Roman"/>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53987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17" w:lineRule="exact"/>
        <w:rPr>
          <w:sz w:val="20"/>
          <w:szCs w:val="20"/>
          <w:color w:val="auto"/>
        </w:rPr>
      </w:pPr>
    </w:p>
    <w:p>
      <w:pPr>
        <w:ind w:left="3" w:hanging="3"/>
        <w:spacing w:after="0" w:line="210" w:lineRule="auto"/>
        <w:tabs>
          <w:tab w:leader="none" w:pos="179"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3"/>
          </w:cols>
          <w:pgMar w:left="317" w:top="1440" w:right="319" w:bottom="1440" w:gutter="0" w:footer="0" w:header="0"/>
        </w:sectPr>
      </w:pPr>
    </w:p>
    <w:bookmarkStart w:id="118" w:name="page119"/>
    <w:bookmarkEnd w:id="118"/>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needed or that these financings will be on terms at least as favourable to the Company as those previously obtained.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2" w:lineRule="exact"/>
        <w:rPr>
          <w:sz w:val="20"/>
          <w:szCs w:val="20"/>
          <w:color w:val="auto"/>
        </w:rPr>
      </w:pPr>
    </w:p>
    <w:tbl>
      <w:tblPr>
        <w:tblLayout w:type="fixed"/>
        <w:tblInd w:w="70" w:type="dxa"/>
        <w:tblCellMar>
          <w:top w:w="0" w:type="dxa"/>
          <w:left w:w="0" w:type="dxa"/>
          <w:bottom w:w="0" w:type="dxa"/>
          <w:right w:w="0" w:type="dxa"/>
        </w:tblCellMar>
      </w:tblPr>
      <w:tr>
        <w:trPr>
          <w:trHeight w:val="158"/>
        </w:trPr>
        <w:tc>
          <w:tcPr>
            <w:tcW w:w="2900" w:type="dxa"/>
            <w:vAlign w:val="bottom"/>
            <w:tcBorders>
              <w:top w:val="single" w:sz="8" w:color="auto"/>
              <w:left w:val="single" w:sz="8" w:color="auto"/>
              <w:right w:val="single" w:sz="8" w:color="auto"/>
            </w:tcBorders>
            <w:vMerge w:val="restart"/>
          </w:tcPr>
          <w:p>
            <w:pPr>
              <w:ind w:left="880"/>
              <w:spacing w:after="0"/>
              <w:rPr>
                <w:sz w:val="20"/>
                <w:szCs w:val="20"/>
                <w:color w:val="auto"/>
              </w:rPr>
            </w:pPr>
            <w:r>
              <w:rPr>
                <w:rFonts w:ascii="Times New Roman" w:cs="Times New Roman" w:eastAsia="Times New Roman" w:hAnsi="Times New Roman"/>
                <w:sz w:val="15"/>
                <w:szCs w:val="15"/>
                <w:b w:val="1"/>
                <w:bCs w:val="1"/>
                <w:color w:val="auto"/>
              </w:rPr>
              <w:t>Business Segment</w:t>
            </w:r>
          </w:p>
        </w:tc>
        <w:tc>
          <w:tcPr>
            <w:tcW w:w="2540" w:type="dxa"/>
            <w:vAlign w:val="bottom"/>
            <w:tcBorders>
              <w:top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w w:val="96"/>
              </w:rPr>
              <w:t>Current/Proposed Location of</w:t>
            </w:r>
          </w:p>
        </w:tc>
        <w:tc>
          <w:tcPr>
            <w:tcW w:w="5600" w:type="dxa"/>
            <w:vAlign w:val="bottom"/>
            <w:tcBorders>
              <w:top w:val="single" w:sz="8" w:color="auto"/>
              <w:right w:val="single" w:sz="8" w:color="auto"/>
            </w:tcBorders>
            <w:vMerge w:val="restart"/>
          </w:tcPr>
          <w:p>
            <w:pPr>
              <w:ind w:left="1260"/>
              <w:spacing w:after="0"/>
              <w:rPr>
                <w:sz w:val="20"/>
                <w:szCs w:val="20"/>
                <w:color w:val="auto"/>
              </w:rPr>
            </w:pPr>
            <w:r>
              <w:rPr>
                <w:rFonts w:ascii="Times New Roman" w:cs="Times New Roman" w:eastAsia="Times New Roman" w:hAnsi="Times New Roman"/>
                <w:sz w:val="15"/>
                <w:szCs w:val="15"/>
                <w:b w:val="1"/>
                <w:bCs w:val="1"/>
                <w:color w:val="auto"/>
              </w:rPr>
              <w:t>Summary of Applicable Regulatory Frameworks</w:t>
            </w:r>
          </w:p>
        </w:tc>
        <w:tc>
          <w:tcPr>
            <w:tcW w:w="0" w:type="dxa"/>
            <w:vAlign w:val="bottom"/>
          </w:tcPr>
          <w:p>
            <w:pPr>
              <w:spacing w:after="0"/>
              <w:rPr>
                <w:sz w:val="1"/>
                <w:szCs w:val="1"/>
                <w:color w:val="auto"/>
              </w:rPr>
            </w:pPr>
          </w:p>
        </w:tc>
      </w:tr>
      <w:tr>
        <w:trPr>
          <w:trHeight w:val="117"/>
        </w:trPr>
        <w:tc>
          <w:tcPr>
            <w:tcW w:w="290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Operation</w:t>
            </w:r>
          </w:p>
        </w:tc>
        <w:tc>
          <w:tcPr>
            <w:tcW w:w="5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900" w:type="dxa"/>
            <w:vAlign w:val="bottom"/>
            <w:tcBorders>
              <w:left w:val="single" w:sz="8" w:color="auto"/>
              <w:bottom w:val="single" w:sz="8" w:color="auto"/>
              <w:right w:val="single" w:sz="8" w:color="auto"/>
            </w:tcBorders>
          </w:tcPr>
          <w:p>
            <w:pPr>
              <w:spacing w:after="0"/>
              <w:rPr>
                <w:sz w:val="6"/>
                <w:szCs w:val="6"/>
                <w:color w:val="auto"/>
              </w:rPr>
            </w:pPr>
          </w:p>
        </w:tc>
        <w:tc>
          <w:tcPr>
            <w:tcW w:w="2540" w:type="dxa"/>
            <w:vAlign w:val="bottom"/>
            <w:tcBorders>
              <w:bottom w:val="single" w:sz="8" w:color="auto"/>
              <w:right w:val="single" w:sz="8" w:color="auto"/>
            </w:tcBorders>
            <w:vMerge w:val="continue"/>
          </w:tcPr>
          <w:p>
            <w:pPr>
              <w:spacing w:after="0"/>
              <w:rPr>
                <w:sz w:val="6"/>
                <w:szCs w:val="6"/>
                <w:color w:val="auto"/>
              </w:rPr>
            </w:pPr>
          </w:p>
        </w:tc>
        <w:tc>
          <w:tcPr>
            <w:tcW w:w="5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90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The Canadian and United States federal governments regulate drugs through the CDSA and</w:t>
            </w:r>
          </w:p>
        </w:tc>
        <w:tc>
          <w:tcPr>
            <w:tcW w:w="0" w:type="dxa"/>
            <w:vAlign w:val="bottom"/>
          </w:tcPr>
          <w:p>
            <w:pPr>
              <w:spacing w:after="0"/>
              <w:rPr>
                <w:sz w:val="1"/>
                <w:szCs w:val="1"/>
                <w:color w:val="auto"/>
              </w:rPr>
            </w:pPr>
          </w:p>
        </w:tc>
      </w:tr>
      <w:tr>
        <w:trPr>
          <w:trHeight w:val="181"/>
        </w:trPr>
        <w:tc>
          <w:tcPr>
            <w:tcW w:w="2900" w:type="dxa"/>
            <w:vAlign w:val="bottom"/>
            <w:tcBorders>
              <w:left w:val="single" w:sz="8" w:color="auto"/>
              <w:right w:val="single" w:sz="8" w:color="auto"/>
            </w:tcBorders>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5"/>
                <w:szCs w:val="15"/>
                <w:color w:val="auto"/>
              </w:rPr>
              <w:t>the CSA, respectively, which place controlled substances in a schedule.</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5"/>
                <w:szCs w:val="15"/>
                <w:color w:val="auto"/>
              </w:rPr>
              <w:t xml:space="preserve">  The United</w:t>
            </w:r>
          </w:p>
        </w:tc>
        <w:tc>
          <w:tcPr>
            <w:tcW w:w="0" w:type="dxa"/>
            <w:vAlign w:val="bottom"/>
          </w:tcPr>
          <w:p>
            <w:pPr>
              <w:spacing w:after="0"/>
              <w:rPr>
                <w:sz w:val="1"/>
                <w:szCs w:val="1"/>
                <w:color w:val="auto"/>
              </w:rPr>
            </w:pPr>
          </w:p>
        </w:tc>
      </w:tr>
      <w:tr>
        <w:trPr>
          <w:trHeight w:val="170"/>
        </w:trPr>
        <w:tc>
          <w:tcPr>
            <w:tcW w:w="2900" w:type="dxa"/>
            <w:vAlign w:val="bottom"/>
            <w:tcBorders>
              <w:left w:val="single" w:sz="8" w:color="auto"/>
              <w:right w:val="single" w:sz="8" w:color="auto"/>
            </w:tcBorders>
          </w:tcPr>
          <w:p>
            <w:pPr>
              <w:spacing w:after="0"/>
              <w:rPr>
                <w:sz w:val="14"/>
                <w:szCs w:val="14"/>
                <w:color w:val="auto"/>
              </w:rPr>
            </w:pPr>
          </w:p>
        </w:tc>
        <w:tc>
          <w:tcPr>
            <w:tcW w:w="2540" w:type="dxa"/>
            <w:vAlign w:val="bottom"/>
            <w:tcBorders>
              <w:right w:val="single" w:sz="8" w:color="auto"/>
            </w:tcBorders>
          </w:tcPr>
          <w:p>
            <w:pPr>
              <w:spacing w:after="0"/>
              <w:rPr>
                <w:sz w:val="14"/>
                <w:szCs w:val="14"/>
                <w:color w:val="auto"/>
              </w:rPr>
            </w:pPr>
          </w:p>
        </w:tc>
        <w:tc>
          <w:tcPr>
            <w:tcW w:w="5600" w:type="dxa"/>
            <w:vAlign w:val="bottom"/>
            <w:tcBorders>
              <w:right w:val="single" w:sz="8" w:color="auto"/>
            </w:tcBorders>
          </w:tcPr>
          <w:p>
            <w:pPr>
              <w:ind w:left="60"/>
              <w:spacing w:after="0" w:line="170" w:lineRule="exact"/>
              <w:rPr>
                <w:sz w:val="20"/>
                <w:szCs w:val="20"/>
                <w:color w:val="auto"/>
              </w:rPr>
            </w:pPr>
            <w:r>
              <w:rPr>
                <w:rFonts w:ascii="Times New Roman" w:cs="Times New Roman" w:eastAsia="Times New Roman" w:hAnsi="Times New Roman"/>
                <w:sz w:val="15"/>
                <w:szCs w:val="15"/>
                <w:color w:val="auto"/>
                <w:w w:val="99"/>
              </w:rPr>
              <w:t>Kingdom regulates drugs through the MDA (through allocation of classes of risk) and MDR</w:t>
            </w:r>
          </w:p>
        </w:tc>
        <w:tc>
          <w:tcPr>
            <w:tcW w:w="0" w:type="dxa"/>
            <w:vAlign w:val="bottom"/>
          </w:tcPr>
          <w:p>
            <w:pPr>
              <w:spacing w:after="0"/>
              <w:rPr>
                <w:sz w:val="1"/>
                <w:szCs w:val="1"/>
                <w:color w:val="auto"/>
              </w:rPr>
            </w:pPr>
          </w:p>
        </w:tc>
      </w:tr>
      <w:tr>
        <w:trPr>
          <w:trHeight w:val="182"/>
        </w:trPr>
        <w:tc>
          <w:tcPr>
            <w:tcW w:w="2900" w:type="dxa"/>
            <w:vAlign w:val="bottom"/>
            <w:tcBorders>
              <w:left w:val="single" w:sz="8" w:color="auto"/>
              <w:right w:val="single" w:sz="8" w:color="auto"/>
            </w:tcBorders>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(which places controlled substances in a schedule). The Netherlands regulates drugs under</w:t>
            </w:r>
          </w:p>
        </w:tc>
        <w:tc>
          <w:tcPr>
            <w:tcW w:w="0" w:type="dxa"/>
            <w:vAlign w:val="bottom"/>
          </w:tcPr>
          <w:p>
            <w:pPr>
              <w:spacing w:after="0"/>
              <w:rPr>
                <w:sz w:val="1"/>
                <w:szCs w:val="1"/>
                <w:color w:val="auto"/>
              </w:rPr>
            </w:pPr>
          </w:p>
        </w:tc>
      </w:tr>
      <w:tr>
        <w:trPr>
          <w:trHeight w:val="190"/>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Dutch Opium Act (as defined herein).</w:t>
            </w:r>
          </w:p>
        </w:tc>
        <w:tc>
          <w:tcPr>
            <w:tcW w:w="0" w:type="dxa"/>
            <w:vAlign w:val="bottom"/>
          </w:tcPr>
          <w:p>
            <w:pPr>
              <w:spacing w:after="0"/>
              <w:rPr>
                <w:sz w:val="1"/>
                <w:szCs w:val="1"/>
                <w:color w:val="auto"/>
              </w:rPr>
            </w:pPr>
          </w:p>
        </w:tc>
      </w:tr>
      <w:tr>
        <w:trPr>
          <w:trHeight w:val="450"/>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Under the CDSA, psilocybin is currently a Schedule III drug.</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388"/>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Under the CSA, psilocybin is currently a Schedule I drug.</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Under the MDA, psilocybin is currently a Class A drug under the MDA and a Schedule 1</w:t>
            </w:r>
          </w:p>
        </w:tc>
        <w:tc>
          <w:tcPr>
            <w:tcW w:w="0" w:type="dxa"/>
            <w:vAlign w:val="bottom"/>
          </w:tcPr>
          <w:p>
            <w:pPr>
              <w:spacing w:after="0"/>
              <w:rPr>
                <w:sz w:val="1"/>
                <w:szCs w:val="1"/>
                <w:color w:val="auto"/>
              </w:rPr>
            </w:pPr>
          </w:p>
        </w:tc>
      </w:tr>
      <w:tr>
        <w:trPr>
          <w:trHeight w:val="218"/>
        </w:trPr>
        <w:tc>
          <w:tcPr>
            <w:tcW w:w="290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drug under the MDR.</w:t>
            </w:r>
            <w:r>
              <w:rPr>
                <w:rFonts w:ascii="Times New Roman" w:cs="Times New Roman" w:eastAsia="Times New Roman" w:hAnsi="Times New Roman"/>
                <w:sz w:val="18"/>
                <w:szCs w:val="18"/>
                <w:color w:val="auto"/>
                <w:vertAlign w:val="superscript"/>
              </w:rPr>
              <w:t>(4)</w:t>
            </w:r>
          </w:p>
        </w:tc>
        <w:tc>
          <w:tcPr>
            <w:tcW w:w="0" w:type="dxa"/>
            <w:vAlign w:val="bottom"/>
          </w:tcPr>
          <w:p>
            <w:pPr>
              <w:spacing w:after="0"/>
              <w:rPr>
                <w:sz w:val="1"/>
                <w:szCs w:val="1"/>
                <w:color w:val="auto"/>
              </w:rPr>
            </w:pPr>
          </w:p>
        </w:tc>
      </w:tr>
      <w:tr>
        <w:trPr>
          <w:trHeight w:val="182"/>
        </w:trPr>
        <w:tc>
          <w:tcPr>
            <w:tcW w:w="2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8"/>
              </w:rPr>
              <w:t>Research, development and commercialization</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Canada, United Kingdom, United States,</w:t>
            </w:r>
          </w:p>
        </w:tc>
        <w:tc>
          <w:tcPr>
            <w:tcW w:w="5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of psychedelic-inspired regulation medicines.</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Netherlands</w:t>
            </w: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 xml:space="preserve">Under the Dutch Opium Act, DMT is classified in the Netherlands as a List 1 Drug </w:t>
            </w:r>
            <w:r>
              <w:rPr>
                <w:rFonts w:ascii="Times New Roman" w:cs="Times New Roman" w:eastAsia="Times New Roman" w:hAnsi="Times New Roman"/>
                <w:sz w:val="18"/>
                <w:szCs w:val="18"/>
                <w:color w:val="auto"/>
                <w:vertAlign w:val="superscript"/>
              </w:rPr>
              <w:t>(5)</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p>
    <w:p>
      <w:pPr>
        <w:spacing w:after="0" w:line="59" w:lineRule="exact"/>
        <w:rPr>
          <w:sz w:val="20"/>
          <w:szCs w:val="20"/>
          <w:color w:val="auto"/>
        </w:rPr>
      </w:pPr>
    </w:p>
    <w:p>
      <w:pPr>
        <w:jc w:val="both"/>
        <w:ind w:left="580" w:right="240" w:hanging="238"/>
        <w:spacing w:after="0" w:line="272" w:lineRule="auto"/>
        <w:tabs>
          <w:tab w:leader="none" w:pos="64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Company does not directly engage in any activities that would trigger the need to comply with any federal laws related to psychedelic substances. See </w:t>
      </w:r>
      <w:r>
        <w:rPr>
          <w:rFonts w:ascii="Times New Roman" w:cs="Times New Roman" w:eastAsia="Times New Roman" w:hAnsi="Times New Roman"/>
          <w:sz w:val="12"/>
          <w:szCs w:val="12"/>
          <w:i w:val="1"/>
          <w:iCs w:val="1"/>
          <w:color w:val="auto"/>
        </w:rPr>
        <w:t>“Regulatory Environment – Research and Development”</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620" w:hanging="278"/>
        <w:spacing w:after="0"/>
        <w:tabs>
          <w:tab w:leader="none" w:pos="6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further information on the Canadian regulatory framework, see </w:t>
      </w:r>
      <w:r>
        <w:rPr>
          <w:rFonts w:ascii="Times New Roman" w:cs="Times New Roman" w:eastAsia="Times New Roman" w:hAnsi="Times New Roman"/>
          <w:sz w:val="13"/>
          <w:szCs w:val="13"/>
          <w:i w:val="1"/>
          <w:iCs w:val="1"/>
          <w:color w:val="auto"/>
        </w:rPr>
        <w:t>“Regulatory Environment – Canada”.</w:t>
      </w:r>
    </w:p>
    <w:p>
      <w:pPr>
        <w:spacing w:after="0" w:line="8" w:lineRule="exact"/>
        <w:rPr>
          <w:rFonts w:ascii="Times New Roman" w:cs="Times New Roman" w:eastAsia="Times New Roman" w:hAnsi="Times New Roman"/>
          <w:sz w:val="13"/>
          <w:szCs w:val="13"/>
          <w:color w:val="auto"/>
        </w:rPr>
      </w:pPr>
    </w:p>
    <w:p>
      <w:pPr>
        <w:ind w:left="620" w:hanging="278"/>
        <w:spacing w:after="0"/>
        <w:tabs>
          <w:tab w:leader="none" w:pos="6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further information on the United States regulatory framework, see </w:t>
      </w:r>
      <w:r>
        <w:rPr>
          <w:rFonts w:ascii="Times New Roman" w:cs="Times New Roman" w:eastAsia="Times New Roman" w:hAnsi="Times New Roman"/>
          <w:sz w:val="13"/>
          <w:szCs w:val="13"/>
          <w:i w:val="1"/>
          <w:iCs w:val="1"/>
          <w:color w:val="auto"/>
        </w:rPr>
        <w:t>“Regulatory Environment – United States”.</w:t>
      </w:r>
    </w:p>
    <w:p>
      <w:pPr>
        <w:spacing w:after="0" w:line="8" w:lineRule="exact"/>
        <w:rPr>
          <w:rFonts w:ascii="Times New Roman" w:cs="Times New Roman" w:eastAsia="Times New Roman" w:hAnsi="Times New Roman"/>
          <w:sz w:val="13"/>
          <w:szCs w:val="13"/>
          <w:color w:val="auto"/>
        </w:rPr>
      </w:pPr>
    </w:p>
    <w:p>
      <w:pPr>
        <w:ind w:left="620" w:hanging="278"/>
        <w:spacing w:after="0"/>
        <w:tabs>
          <w:tab w:leader="none" w:pos="6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further information on the United Kingdom regulatory framework, see “</w:t>
      </w:r>
      <w:r>
        <w:rPr>
          <w:rFonts w:ascii="Times New Roman" w:cs="Times New Roman" w:eastAsia="Times New Roman" w:hAnsi="Times New Roman"/>
          <w:sz w:val="13"/>
          <w:szCs w:val="13"/>
          <w:i w:val="1"/>
          <w:iCs w:val="1"/>
          <w:color w:val="auto"/>
        </w:rPr>
        <w:t>Regulatory Environment – United Kingdom</w:t>
      </w:r>
      <w:r>
        <w:rPr>
          <w:rFonts w:ascii="Times New Roman" w:cs="Times New Roman" w:eastAsia="Times New Roman" w:hAnsi="Times New Roman"/>
          <w:sz w:val="13"/>
          <w:szCs w:val="13"/>
          <w:color w:val="auto"/>
        </w:rPr>
        <w:t>”.</w:t>
      </w:r>
    </w:p>
    <w:p>
      <w:pPr>
        <w:spacing w:after="0" w:line="8" w:lineRule="exact"/>
        <w:rPr>
          <w:rFonts w:ascii="Times New Roman" w:cs="Times New Roman" w:eastAsia="Times New Roman" w:hAnsi="Times New Roman"/>
          <w:sz w:val="13"/>
          <w:szCs w:val="13"/>
          <w:color w:val="auto"/>
        </w:rPr>
      </w:pPr>
    </w:p>
    <w:p>
      <w:pPr>
        <w:ind w:left="620" w:hanging="278"/>
        <w:spacing w:after="0"/>
        <w:tabs>
          <w:tab w:leader="none" w:pos="6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further information on the Netherlands regulatory framework, see </w:t>
      </w:r>
      <w:r>
        <w:rPr>
          <w:rFonts w:ascii="Times New Roman" w:cs="Times New Roman" w:eastAsia="Times New Roman" w:hAnsi="Times New Roman"/>
          <w:sz w:val="13"/>
          <w:szCs w:val="13"/>
          <w:i w:val="1"/>
          <w:iCs w:val="1"/>
          <w:color w:val="auto"/>
        </w:rPr>
        <w:t>“Regulatory Environment – Europe (Netherlands)”.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1440" w:right="319" w:bottom="1440" w:gutter="0" w:footer="0" w:header="0"/>
        </w:sectPr>
      </w:pPr>
    </w:p>
    <w:bookmarkStart w:id="119" w:name="page120"/>
    <w:bookmarkEnd w:id="119"/>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is otherwise in the public interest. The Company has not applied for a Section 56 Exemption from Health Canada.</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 Canada’s Special Access Program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3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for additional information concerning the regulation applicable to the process required before prescription drug product candidates may be marketed in Canada.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 w:lineRule="exact"/>
        <w:rPr>
          <w:sz w:val="20"/>
          <w:szCs w:val="20"/>
          <w:color w:val="auto"/>
        </w:rPr>
      </w:pPr>
    </w:p>
    <w:p>
      <w:pPr>
        <w:jc w:val="both"/>
        <w:ind w:left="3" w:right="20"/>
        <w:spacing w:after="0" w:line="229" w:lineRule="auto"/>
        <w:rPr>
          <w:sz w:val="20"/>
          <w:szCs w:val="20"/>
          <w:color w:val="auto"/>
        </w:rPr>
      </w:pPr>
      <w:r>
        <w:rPr>
          <w:rFonts w:ascii="Times New Roman" w:cs="Times New Roman" w:eastAsia="Times New Roman" w:hAnsi="Times New Roman"/>
          <w:sz w:val="18"/>
          <w:szCs w:val="18"/>
          <w:color w:val="auto"/>
        </w:rPr>
        <w:t>development.</w:t>
      </w:r>
      <w:r>
        <w:rPr>
          <w:rFonts w:ascii="Times New Roman" w:cs="Times New Roman" w:eastAsia="Times New Roman" w:hAnsi="Times New Roman"/>
          <w:sz w:val="23"/>
          <w:szCs w:val="23"/>
          <w:color w:val="auto"/>
          <w:vertAlign w:val="superscript"/>
        </w:rPr>
        <w:t>34</w:t>
      </w:r>
      <w:r>
        <w:rPr>
          <w:rFonts w:ascii="Times New Roman" w:cs="Times New Roman" w:eastAsia="Times New Roman" w:hAnsi="Times New Roman"/>
          <w:sz w:val="18"/>
          <w:szCs w:val="18"/>
          <w:color w:val="auto"/>
        </w:rPr>
        <w:t xml:space="preserve"> Anticipated timelines related to regulatory filings are based on reasonable assumptions informed by current knowledge and information available to the Company.</w:t>
      </w:r>
    </w:p>
    <w:p>
      <w:pPr>
        <w:spacing w:after="0" w:line="181"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58" w:lineRule="exact"/>
        <w:rPr>
          <w:sz w:val="20"/>
          <w:szCs w:val="20"/>
          <w:color w:val="auto"/>
        </w:rPr>
      </w:pPr>
    </w:p>
    <w:p>
      <w:pPr>
        <w:jc w:val="both"/>
        <w:ind w:left="3" w:right="20"/>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for additional information concerning the regulation applicable to the process required before prescription drug product candidates may be marketed in the United States.</w:t>
      </w:r>
    </w:p>
    <w:p>
      <w:pPr>
        <w:spacing w:after="0" w:line="1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Europe (Netherlands)</w:t>
      </w:r>
    </w:p>
    <w:p>
      <w:pPr>
        <w:spacing w:after="0" w:line="203"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70"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53987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6" w:lineRule="exact"/>
        <w:rPr>
          <w:sz w:val="20"/>
          <w:szCs w:val="20"/>
          <w:color w:val="auto"/>
        </w:rPr>
      </w:pPr>
    </w:p>
    <w:p>
      <w:pPr>
        <w:jc w:val="both"/>
        <w:ind w:left="3" w:right="20" w:hanging="3"/>
        <w:spacing w:after="0" w:line="232" w:lineRule="auto"/>
        <w:tabs>
          <w:tab w:leader="none" w:pos="135" w:val="left"/>
        </w:tabs>
        <w:numPr>
          <w:ilvl w:val="0"/>
          <w:numId w:val="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3"/>
          </w:cols>
          <w:pgMar w:left="317" w:top="1440" w:right="319" w:bottom="1440" w:gutter="0" w:footer="0" w:header="0"/>
        </w:sectPr>
      </w:pPr>
    </w:p>
    <w:bookmarkStart w:id="121" w:name="page122"/>
    <w:bookmarkEnd w:id="121"/>
    <w:p>
      <w:pPr>
        <w:spacing w:after="0" w:line="1" w:lineRule="exact"/>
        <w:rPr>
          <w:sz w:val="20"/>
          <w:szCs w:val="20"/>
          <w:color w:val="auto"/>
        </w:rPr>
      </w:pPr>
    </w:p>
    <w:p>
      <w:pPr>
        <w:ind w:left="580" w:right="20" w:hanging="292"/>
        <w:spacing w:after="0" w:line="261" w:lineRule="auto"/>
        <w:tabs>
          <w:tab w:leader="none" w:pos="5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60" w:hanging="272"/>
        <w:spacing w:after="0"/>
        <w:tabs>
          <w:tab w:leader="none" w:pos="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5" w:lineRule="exact"/>
        <w:rPr>
          <w:rFonts w:ascii="Times New Roman" w:cs="Times New Roman" w:eastAsia="Times New Roman" w:hAnsi="Times New Roman"/>
          <w:sz w:val="18"/>
          <w:szCs w:val="18"/>
          <w:color w:val="auto"/>
        </w:rPr>
      </w:pPr>
    </w:p>
    <w:p>
      <w:pPr>
        <w:ind w:left="580" w:right="20" w:hanging="292"/>
        <w:spacing w:after="0" w:line="246" w:lineRule="auto"/>
        <w:tabs>
          <w:tab w:leader="none" w:pos="5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jc w:val="both"/>
        <w:ind w:left="580" w:right="20" w:hanging="292"/>
        <w:spacing w:after="0" w:line="256" w:lineRule="auto"/>
        <w:tabs>
          <w:tab w:leader="none" w:pos="5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17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1440" w:right="319" w:bottom="1440" w:gutter="0" w:footer="0" w:header="0"/>
        </w:sectPr>
      </w:pPr>
    </w:p>
    <w:bookmarkStart w:id="122" w:name="page123"/>
    <w:bookmarkEnd w:id="122"/>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proposals to renovate the EU pharmaceutical legislation, and a newly elected Parliament will take up the proposal following the European elections of June 6-9,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Ireland</w:t>
      </w:r>
    </w:p>
    <w:p>
      <w:pPr>
        <w:spacing w:after="0" w:line="19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Ireland, psilocin is a controlled substance under the Misuse of Drugs Act, 1977, 1984 and 2015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the Misuse of Drugs Regulations 2017 (the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6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320" w:top="1440" w:right="319" w:bottom="1440" w:gutter="0" w:footer="0" w:header="0"/>
        </w:sectPr>
      </w:pPr>
    </w:p>
    <w:bookmarkStart w:id="123" w:name="page124"/>
    <w:bookmarkEnd w:id="123"/>
    <w:p>
      <w:pPr>
        <w:spacing w:after="0" w:line="1" w:lineRule="exact"/>
        <w:rPr>
          <w:sz w:val="20"/>
          <w:szCs w:val="20"/>
          <w:color w:val="auto"/>
        </w:rPr>
      </w:pPr>
    </w:p>
    <w:p>
      <w:pPr>
        <w:jc w:val="both"/>
        <w:ind w:left="3" w:right="100"/>
        <w:spacing w:after="0" w:line="282" w:lineRule="auto"/>
        <w:rPr>
          <w:sz w:val="20"/>
          <w:szCs w:val="20"/>
          <w:color w:val="auto"/>
        </w:rPr>
      </w:pPr>
      <w:r>
        <w:rPr>
          <w:rFonts w:ascii="Times New Roman" w:cs="Times New Roman" w:eastAsia="Times New Roman" w:hAnsi="Times New Roman"/>
          <w:sz w:val="18"/>
          <w:szCs w:val="18"/>
          <w:color w:val="auto"/>
        </w:rPr>
        <w:t>lawfully manufactured, produced, possessed and supplied under a controlled drugs domestic licence issued by the UK Home Office. While exemptions do exist, none are applicable to the API. DMT is also considered a Class A drug under the MDA and as a Schedule I drug under the MDR.</w:t>
      </w:r>
    </w:p>
    <w:p>
      <w:pPr>
        <w:spacing w:after="0" w:line="144" w:lineRule="exact"/>
        <w:rPr>
          <w:sz w:val="20"/>
          <w:szCs w:val="20"/>
          <w:color w:val="auto"/>
        </w:rPr>
      </w:pPr>
    </w:p>
    <w:p>
      <w:pPr>
        <w:jc w:val="both"/>
        <w:ind w:left="3" w:right="80"/>
        <w:spacing w:after="0" w:line="253"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MHRA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reference number 1355388, issued on July 24, 2023, expiring July 23, 2024.</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05" w:lineRule="exact"/>
        <w:rPr>
          <w:sz w:val="20"/>
          <w:szCs w:val="20"/>
          <w:color w:val="auto"/>
        </w:rPr>
      </w:pPr>
    </w:p>
    <w:p>
      <w:pPr>
        <w:jc w:val="both"/>
        <w:ind w:left="3" w:right="80"/>
        <w:spacing w:after="0" w:line="280" w:lineRule="auto"/>
        <w:rPr>
          <w:sz w:val="20"/>
          <w:szCs w:val="20"/>
          <w:color w:val="auto"/>
        </w:rPr>
      </w:pPr>
      <w:r>
        <w:rPr>
          <w:rFonts w:ascii="Times New Roman" w:cs="Times New Roman" w:eastAsia="Times New Roman" w:hAnsi="Times New Roman"/>
          <w:sz w:val="17"/>
          <w:szCs w:val="17"/>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2"/>
          <w:szCs w:val="22"/>
          <w:color w:val="auto"/>
          <w:vertAlign w:val="superscript"/>
        </w:rPr>
        <w:t>35</w:t>
      </w:r>
    </w:p>
    <w:p>
      <w:pPr>
        <w:spacing w:after="0" w:line="64" w:lineRule="exact"/>
        <w:rPr>
          <w:sz w:val="20"/>
          <w:szCs w:val="20"/>
          <w:color w:val="auto"/>
        </w:rPr>
      </w:pPr>
    </w:p>
    <w:p>
      <w:pPr>
        <w:jc w:val="both"/>
        <w:ind w:left="3" w:right="80"/>
        <w:spacing w:after="0" w:line="253"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70" w:lineRule="exact"/>
        <w:rPr>
          <w:sz w:val="20"/>
          <w:szCs w:val="20"/>
          <w:color w:val="auto"/>
        </w:rPr>
      </w:pPr>
    </w:p>
    <w:p>
      <w:pPr>
        <w:jc w:val="both"/>
        <w:ind w:left="3" w:right="100"/>
        <w:spacing w:after="0" w:line="277"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36</w:t>
      </w:r>
    </w:p>
    <w:p>
      <w:pPr>
        <w:spacing w:after="0" w:line="74" w:lineRule="exact"/>
        <w:rPr>
          <w:sz w:val="20"/>
          <w:szCs w:val="20"/>
          <w:color w:val="auto"/>
        </w:rPr>
      </w:pPr>
    </w:p>
    <w:p>
      <w:pPr>
        <w:jc w:val="both"/>
        <w:ind w:left="3" w:right="100"/>
        <w:spacing w:after="0" w:line="258"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153987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1" w:lineRule="exact"/>
        <w:rPr>
          <w:sz w:val="20"/>
          <w:szCs w:val="20"/>
          <w:color w:val="auto"/>
        </w:rPr>
      </w:pPr>
    </w:p>
    <w:p>
      <w:pPr>
        <w:ind w:left="3" w:right="100" w:hanging="3"/>
        <w:spacing w:after="0" w:line="243" w:lineRule="auto"/>
        <w:tabs>
          <w:tab w:leader="none" w:pos="124" w:val="left"/>
        </w:tabs>
        <w:numPr>
          <w:ilvl w:val="0"/>
          <w:numId w:val="7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spacing w:after="0" w:line="1" w:lineRule="exact"/>
        <w:rPr>
          <w:rFonts w:ascii="Times New Roman" w:cs="Times New Roman" w:eastAsia="Times New Roman" w:hAnsi="Times New Roman"/>
          <w:sz w:val="18"/>
          <w:szCs w:val="18"/>
          <w:color w:val="auto"/>
          <w:vertAlign w:val="superscript"/>
        </w:rPr>
      </w:pPr>
    </w:p>
    <w:p>
      <w:pPr>
        <w:ind w:left="3" w:hanging="3"/>
        <w:spacing w:after="0" w:line="290" w:lineRule="auto"/>
        <w:tabs>
          <w:tab w:leader="none" w:pos="172" w:val="left"/>
        </w:tabs>
        <w:numPr>
          <w:ilvl w:val="0"/>
          <w:numId w:val="73"/>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w:t>
      </w:r>
      <w:r>
        <w:rPr>
          <w:rFonts w:ascii="Times New Roman" w:cs="Times New Roman" w:eastAsia="Times New Roman" w:hAnsi="Times New Roman"/>
          <w:sz w:val="14"/>
          <w:szCs w:val="14"/>
          <w:u w:val="single" w:color="auto"/>
          <w:color w:val="3051F2"/>
        </w:rPr>
        <w:t>;</w:t>
      </w:r>
      <w:r>
        <w:rPr>
          <w:rFonts w:ascii="Times New Roman" w:cs="Times New Roman" w:eastAsia="Times New Roman" w:hAnsi="Times New Roman"/>
          <w:sz w:val="14"/>
          <w:szCs w:val="14"/>
          <w:color w:val="auto"/>
        </w:rPr>
        <w:t xml:space="preserve"> https://assets.publishing.service.gov.uk/government/uploads/system/uploads/attachment_data/file/1125889/Security_Guidance_for_all_Businesses_and_Other_Organisations_v1.5_Nov_2022.pdf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3"/>
          </w:cols>
          <w:pgMar w:left="317" w:top="1440" w:right="239" w:bottom="1440" w:gutter="0" w:footer="0" w:header="0"/>
        </w:sectPr>
      </w:pPr>
    </w:p>
    <w:bookmarkStart w:id="124" w:name="page125"/>
    <w:bookmarkEnd w:id="124"/>
    <w:p>
      <w:pPr>
        <w:spacing w:after="0" w:line="1"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8"/>
          <w:szCs w:val="18"/>
          <w:color w:val="auto"/>
        </w:rPr>
        <w:t>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37</w:t>
      </w:r>
    </w:p>
    <w:p>
      <w:pPr>
        <w:spacing w:after="0" w:line="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Small Pharma holds the appropriate UK Home Office licence required to sponsor clinical trials using Schedule I compounds.</w:t>
      </w:r>
    </w:p>
    <w:p>
      <w:pPr>
        <w:spacing w:after="0" w:line="19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05"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70"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64"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189" w:lineRule="exact"/>
        <w:rPr>
          <w:sz w:val="20"/>
          <w:szCs w:val="20"/>
          <w:color w:val="auto"/>
        </w:rPr>
      </w:pPr>
    </w:p>
    <w:p>
      <w:pPr>
        <w:jc w:val="both"/>
        <w:ind w:left="1163" w:hanging="581"/>
        <w:spacing w:after="0" w:line="270" w:lineRule="auto"/>
        <w:tabs>
          <w:tab w:leader="none" w:pos="11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spacing w:after="0" w:line="142" w:lineRule="exact"/>
        <w:rPr>
          <w:rFonts w:ascii="Times New Roman" w:cs="Times New Roman" w:eastAsia="Times New Roman" w:hAnsi="Times New Roman"/>
          <w:sz w:val="18"/>
          <w:szCs w:val="18"/>
          <w:color w:val="auto"/>
        </w:rPr>
      </w:pPr>
    </w:p>
    <w:p>
      <w:pPr>
        <w:jc w:val="both"/>
        <w:ind w:left="1163" w:right="20" w:hanging="581"/>
        <w:spacing w:after="0" w:line="260" w:lineRule="auto"/>
        <w:tabs>
          <w:tab w:leader="none" w:pos="11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64" w:lineRule="exact"/>
        <w:rPr>
          <w:sz w:val="20"/>
          <w:szCs w:val="20"/>
          <w:color w:val="auto"/>
        </w:rPr>
      </w:pPr>
    </w:p>
    <w:p>
      <w:pPr>
        <w:jc w:val="both"/>
        <w:ind w:left="3" w:right="20"/>
        <w:spacing w:after="0" w:line="283"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53987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31" w:lineRule="exact"/>
        <w:rPr>
          <w:sz w:val="20"/>
          <w:szCs w:val="20"/>
          <w:color w:val="auto"/>
        </w:rPr>
      </w:pPr>
    </w:p>
    <w:p>
      <w:pPr>
        <w:ind w:left="3" w:right="3520" w:hanging="3"/>
        <w:spacing w:after="0" w:line="234" w:lineRule="auto"/>
        <w:tabs>
          <w:tab w:leader="none" w:pos="134" w:val="left"/>
        </w:tabs>
        <w:numPr>
          <w:ilvl w:val="0"/>
          <w:numId w:val="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Home Office guidance; Guidelines for Standard Operating Procedures (SOPs); 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3"/>
          </w:cols>
          <w:pgMar w:left="317" w:top="1440"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IV, and by way of inhalation.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32"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203" w:lineRule="exact"/>
        <w:rPr>
          <w:sz w:val="20"/>
          <w:szCs w:val="20"/>
          <w:color w:val="auto"/>
        </w:rPr>
      </w:pPr>
    </w:p>
    <w:p>
      <w:pPr>
        <w:ind w:left="580" w:hanging="292"/>
        <w:spacing w:after="0" w:line="270" w:lineRule="auto"/>
        <w:tabs>
          <w:tab w:leader="none" w:pos="5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and Biological Research </w:t>
      </w:r>
      <w:r>
        <w:rPr>
          <w:rFonts w:ascii="Times New Roman" w:cs="Times New Roman" w:eastAsia="Times New Roman" w:hAnsi="Times New Roman"/>
          <w:sz w:val="18"/>
          <w:szCs w:val="18"/>
          <w:color w:val="auto"/>
        </w:rPr>
        <w:t>- 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36" w:right="339" w:bottom="1440" w:gutter="0" w:footer="0" w:header="0"/>
        </w:sectPr>
      </w:pPr>
    </w:p>
    <w:bookmarkStart w:id="126" w:name="page127"/>
    <w:bookmarkEnd w:id="126"/>
    <w:p>
      <w:pPr>
        <w:ind w:left="580" w:right="20" w:hanging="292"/>
        <w:spacing w:after="0" w:line="284" w:lineRule="auto"/>
        <w:tabs>
          <w:tab w:leader="none" w:pos="5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40" w:lineRule="exact"/>
        <w:rPr>
          <w:rFonts w:ascii="Times New Roman" w:cs="Times New Roman" w:eastAsia="Times New Roman" w:hAnsi="Times New Roman"/>
          <w:sz w:val="18"/>
          <w:szCs w:val="18"/>
          <w:color w:val="auto"/>
        </w:rPr>
      </w:pPr>
    </w:p>
    <w:p>
      <w:pPr>
        <w:jc w:val="both"/>
        <w:ind w:left="580" w:right="20" w:hanging="292"/>
        <w:spacing w:after="0" w:line="254" w:lineRule="auto"/>
        <w:tabs>
          <w:tab w:leader="none" w:pos="5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66" w:lineRule="exact"/>
        <w:rPr>
          <w:rFonts w:ascii="Times New Roman" w:cs="Times New Roman" w:eastAsia="Times New Roman" w:hAnsi="Times New Roman"/>
          <w:sz w:val="18"/>
          <w:szCs w:val="18"/>
          <w:color w:val="auto"/>
        </w:rPr>
      </w:pPr>
    </w:p>
    <w:p>
      <w:pPr>
        <w:jc w:val="both"/>
        <w:ind w:left="580" w:right="20" w:hanging="292"/>
        <w:spacing w:after="0" w:line="261" w:lineRule="auto"/>
        <w:tabs>
          <w:tab w:leader="none" w:pos="5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2 - </w:t>
      </w:r>
      <w:r>
        <w:rPr>
          <w:rFonts w:ascii="Times New Roman" w:cs="Times New Roman" w:eastAsia="Times New Roman" w:hAnsi="Times New Roman"/>
          <w:sz w:val="18"/>
          <w:szCs w:val="18"/>
          <w:color w:val="auto"/>
        </w:rPr>
        <w:t>Phase 2 trials are carried out on people with the target condition, who are usually otherwise healthy, with no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condition. Trials carried out in Canada must be approved by the TPD. In phase 2, the objective of the trials is to continue to gather information on the safety of the drug and begin to determine its effectiveness.</w:t>
      </w:r>
    </w:p>
    <w:p>
      <w:pPr>
        <w:spacing w:after="0" w:line="161" w:lineRule="exact"/>
        <w:rPr>
          <w:rFonts w:ascii="Times New Roman" w:cs="Times New Roman" w:eastAsia="Times New Roman" w:hAnsi="Times New Roman"/>
          <w:sz w:val="18"/>
          <w:szCs w:val="18"/>
          <w:color w:val="auto"/>
        </w:rPr>
      </w:pPr>
    </w:p>
    <w:p>
      <w:pPr>
        <w:jc w:val="both"/>
        <w:ind w:left="580" w:hanging="292"/>
        <w:spacing w:after="0" w:line="254" w:lineRule="auto"/>
        <w:tabs>
          <w:tab w:leader="none" w:pos="5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2 show promise, the manufacturer provides an updated clinical trial application to the TPD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3 trials. The objectives of phase 3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64" w:lineRule="exact"/>
        <w:rPr>
          <w:rFonts w:ascii="Times New Roman" w:cs="Times New Roman" w:eastAsia="Times New Roman" w:hAnsi="Times New Roman"/>
          <w:sz w:val="18"/>
          <w:szCs w:val="18"/>
          <w:color w:val="auto"/>
        </w:rPr>
      </w:pPr>
    </w:p>
    <w:p>
      <w:pPr>
        <w:jc w:val="both"/>
        <w:ind w:left="580" w:right="20" w:hanging="292"/>
        <w:spacing w:after="0" w:line="254" w:lineRule="auto"/>
        <w:tabs>
          <w:tab w:leader="none" w:pos="5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3 continue to be favourable, the drug manufacturer can submit a new drug submission (“</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20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205" w:lineRule="exact"/>
        <w:rPr>
          <w:sz w:val="20"/>
          <w:szCs w:val="20"/>
          <w:color w:val="auto"/>
        </w:rPr>
      </w:pPr>
    </w:p>
    <w:p>
      <w:pPr>
        <w:ind w:left="580" w:right="20" w:hanging="292"/>
        <w:spacing w:after="0" w:line="257" w:lineRule="auto"/>
        <w:tabs>
          <w:tab w:leader="none" w:pos="5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GLP, Good Clinical and/or GMP regulations;</w:t>
      </w:r>
    </w:p>
    <w:p>
      <w:pPr>
        <w:spacing w:after="0" w:line="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5" w:lineRule="exact"/>
        <w:rPr>
          <w:rFonts w:ascii="Times New Roman" w:cs="Times New Roman" w:eastAsia="Times New Roman" w:hAnsi="Times New Roman"/>
          <w:sz w:val="18"/>
          <w:szCs w:val="18"/>
          <w:color w:val="auto"/>
        </w:rPr>
      </w:pPr>
    </w:p>
    <w:p>
      <w:pPr>
        <w:ind w:left="580" w:right="20" w:hanging="292"/>
        <w:spacing w:after="0" w:line="259" w:lineRule="auto"/>
        <w:tabs>
          <w:tab w:leader="none" w:pos="5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 regulations, including Good Clinical Practices,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1438" w:right="319" w:bottom="1440" w:gutter="0" w:footer="0" w:header="0"/>
        </w:sectPr>
      </w:pPr>
    </w:p>
    <w:bookmarkStart w:id="127" w:name="page128"/>
    <w:bookmarkEnd w:id="127"/>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establish the safety and efficacy of the prescription drug product candidate for each proposed indication;</w:t>
      </w:r>
    </w:p>
    <w:p>
      <w:pPr>
        <w:spacing w:after="0" w:line="25" w:lineRule="exact"/>
        <w:rPr>
          <w:sz w:val="20"/>
          <w:szCs w:val="20"/>
          <w:color w:val="auto"/>
        </w:rPr>
      </w:pPr>
    </w:p>
    <w:p>
      <w:pPr>
        <w:ind w:left="560" w:hanging="272"/>
        <w:spacing w:after="0"/>
        <w:tabs>
          <w:tab w:leader="none" w:pos="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11" w:lineRule="exact"/>
        <w:rPr>
          <w:rFonts w:ascii="Times New Roman" w:cs="Times New Roman" w:eastAsia="Times New Roman" w:hAnsi="Times New Roman"/>
          <w:sz w:val="18"/>
          <w:szCs w:val="18"/>
          <w:color w:val="auto"/>
        </w:rPr>
      </w:pPr>
    </w:p>
    <w:p>
      <w:pPr>
        <w:jc w:val="both"/>
        <w:ind w:left="580" w:right="20" w:hanging="292"/>
        <w:spacing w:after="0" w:line="246" w:lineRule="auto"/>
        <w:tabs>
          <w:tab w:leader="none" w:pos="5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ind w:left="560" w:hanging="272"/>
        <w:spacing w:after="0"/>
        <w:tabs>
          <w:tab w:leader="none" w:pos="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1440" w:right="319" w:bottom="1440" w:gutter="0" w:footer="0" w:header="0"/>
        </w:sectPr>
      </w:pPr>
    </w:p>
    <w:bookmarkStart w:id="128" w:name="page129"/>
    <w:bookmarkEnd w:id="128"/>
    <w:p>
      <w:pPr>
        <w:spacing w:after="0" w:line="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7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7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1440" w:right="319" w:bottom="1440" w:gutter="0" w:footer="0" w:header="0"/>
        </w:sectPr>
      </w:pPr>
    </w:p>
    <w:bookmarkStart w:id="129" w:name="page130"/>
    <w:bookmarkEnd w:id="129"/>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1440" w:right="319" w:bottom="1440" w:gutter="0" w:footer="0" w:header="0"/>
        </w:sectPr>
      </w:pPr>
    </w:p>
    <w:bookmarkStart w:id="130" w:name="page131"/>
    <w:bookmarkEnd w:id="130"/>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 (Netherlands)</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Regulation (EU) No 536/2014 on Clinical Trials on Medicinal Products for Human Use ( the “</w:t>
      </w:r>
      <w:r>
        <w:rPr>
          <w:rFonts w:ascii="Times New Roman" w:cs="Times New Roman" w:eastAsia="Times New Roman" w:hAnsi="Times New Roman"/>
          <w:sz w:val="17"/>
          <w:szCs w:val="17"/>
          <w:b w:val="1"/>
          <w:bCs w:val="1"/>
          <w:color w:val="auto"/>
        </w:rPr>
        <w:t>CTR</w:t>
      </w:r>
      <w:r>
        <w:rPr>
          <w:rFonts w:ascii="Times New Roman" w:cs="Times New Roman" w:eastAsia="Times New Roman" w:hAnsi="Times New Roman"/>
          <w:sz w:val="17"/>
          <w:szCs w:val="17"/>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publication for each category of clinical trial and patient population. Final implementation of these new rules is expected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 .</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8"/>
          <w:szCs w:val="18"/>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6.7) that should be read in conjunction with the quick guide and with the “Clinical Trials Information System (CTIS): online training modules” in order to gain a better understanding of the legislative changes that are effected by the CTR.</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60"/>
          </w:cols>
          <w:pgMar w:left="320" w:top="1440" w:right="319" w:bottom="1440" w:gutter="0" w:footer="0" w:header="0"/>
        </w:sectPr>
      </w:pPr>
    </w:p>
    <w:bookmarkStart w:id="132" w:name="page133"/>
    <w:bookmarkEnd w:id="132"/>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Dutch Medicines Act (Geneesmiddelenwet), “medicinal products” are defined as: a substance or a combination of substances that is</w:t>
      </w:r>
    </w:p>
    <w:p>
      <w:pPr>
        <w:spacing w:after="0" w:line="2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1440" w:right="319" w:bottom="1440" w:gutter="0" w:footer="0" w:header="0"/>
        </w:sectPr>
      </w:pPr>
    </w:p>
    <w:bookmarkStart w:id="133" w:name="page134"/>
    <w:bookmarkEnd w:id="133"/>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Authorization Regulatory Process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3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1440" w:right="319" w:bottom="1440" w:gutter="0" w:footer="0" w:header="0"/>
        </w:sectPr>
      </w:pPr>
    </w:p>
    <w:bookmarkStart w:id="134" w:name="page135"/>
    <w:bookmarkEnd w:id="134"/>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Cooperation Treaty</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3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7"/>
          <w:szCs w:val="17"/>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4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4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6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4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of the Company</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Key elements of the Company’s growth strategy include: (i) progressing its psychedelic division through the development and commercialization of key psychedelic molecules (including tryptamines and phenethylamines) and delivery mechanisms; (ii) working to develop the synthetic production of deuterated psychedelic active pharmaceutical ingredients; (iii) obtaining regulatory approval for an approved psilocybin product targeting MDD; (iv) establishing strategic partnerships to advance its scientific research and to develop patented or trade secret intellectual property for the Company’s new psychedelic chemical compounds and processes related to psychedelics; and (v) sponsoring clinical studies to determine the safety and efficacy of delivery mechanisms, chemically synthesised psychedelic compounds and screening protocols.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Raw Materials</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and non-GMP raw materials to support its development operations through licensed third-party suppliers located in Canada, the United States, the United Kingdom and Europe. Such raw materials are expected to be, in general, readily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1440" w:right="319" w:bottom="1440" w:gutter="0" w:footer="0" w:header="0"/>
        </w:sectPr>
      </w:pPr>
    </w:p>
    <w:bookmarkStart w:id="136" w:name="page137"/>
    <w:bookmarkEnd w:id="136"/>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available and in adequate supply to meet the Company’s need for development quantities, or custom manufactured on the Company’s behalf.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management is located in Canada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Ireland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United Kingdom and the United States led by others in local jurisdictions. The Company psilocybin raw materials are expected to be sourced from a supplier in the United States and are expected to be manufactured and packaged in FDA registered facilities in the United Kingdom. Such raw materials are expected to be sent directly to the Company’s partners for research and development purposes pursuant to its corresponding agreements, subject to receipt of all necessary approvals.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conducts its international operations to conform to local variations, economic realities, market customs, consumer habits and regulatory environments. The Company will modify its products (including labeling of such products) and its distribution and marketing programs in response to local and foreign legal requirements and customer preferences.</w:t>
      </w:r>
    </w:p>
    <w:p>
      <w:pPr>
        <w:spacing w:after="0" w:line="15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Company’s international operations are subject to many of the same risks that its domestic operations face. These include competition and the strength of the relevant economy. In addition, international operations are subject to certain risks inherent in conducting business abroad, including foreign regulatory restrictions, fluctuations in monetary exchange rates, import-export controls and the economic and political policies of foreign governments. Government regulations in foreign countries may prevent or delay the introduction, or require the reformulation, of certain of its products. Compliance with such foreign governmental regulations is generally the responsibility of the Company’s distributors in those countries. These distributors are independent contractors whom the Company does not control. The importance of these risks increases as the Company’s international operations grow and expand.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Segment, Market Acceptance and Geographic Areas</w:t>
      </w:r>
    </w:p>
    <w:p>
      <w:pPr>
        <w:spacing w:after="0" w:line="20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is focused on developing novel compounds and improving the bioavailability and pharmacokinetic profiles of existing compounds to target psychiatric and neurological conditions. The Company is focused on progressing its novel psychedelic compounds, delivery mechanisms and supportive treatment platforms.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Plan and Strategies</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marketing strategy will be initially driven through a digital marketing strategy composed of digital advertising and influencer marketing. The Company expects to also retain a sales force to complement its digital strategy by targeting wholesale and retail distribution.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Specialized Skills and Knowledge</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directors and officers possess a wide range of professional skills and experience relevant to pursuing and executing on the Company’s business strategy. Drawing on significant experience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1440" w:right="319" w:bottom="1440" w:gutter="0" w:footer="0" w:header="0"/>
        </w:sectPr>
      </w:pPr>
    </w:p>
    <w:bookmarkStart w:id="137" w:name="page138"/>
    <w:bookmarkEnd w:id="137"/>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industries and sectors, the Company believes its management has a demonstrated track record of bringing together all of the key components for a successful psychedelic medicine company, such as strong technical skills, expertise in planning and financial controls, ability to execute on business development opportunities, and capital markets expertise. The operational skills of the Company’s management include valuable knowledge and ability to analyze demographics and consumer purchasing habits, and tailor product brands and consumer retail experiences based on relevant demographic data.</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leveraging the strengths and experiences of its management team (i.e., individuals who possess a wealth of combined knowledge and experience necessary for the research and development, sales, marketing, and distribution of psychedelic pharmaceutical products) the Company intends to, over time, establish itself as a leader in the psychedelic pharmaceutical industry. The Company will continue to build out its team with specialists on an “as-needed” basis.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current directors, officers and key executives have significant collective experience with psychedelic molecules, medicinal chemistry, pre-clinical and clinical operations, clinical psychology, quality and regulatory affairs, in addition to a track record of growing pharmaceutical companies including aspects of commercial operations, securities and capital markets. Collectively, the Company believes that it has adequate access to the current and future skill sets required to grow and sustain its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 or Seasonality of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is not expected to be cyclical or seasonal.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the current stage of development, the Company is focused on maintaining a lean corporate structure, utilizing a highly experienced core team of senior executives and managers, while leveraging a cost-effective ecosystem of independent contractors, consultants and advisors, on an “as needed” basis. The Company employs less than 50 current full-time staff.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Cybin has title to fourteen granted US patents and fifty three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tbl>
      <w:tblPr>
        <w:tblLayout w:type="fixed"/>
        <w:tblInd w:w="10" w:type="dxa"/>
        <w:tblCellMar>
          <w:top w:w="0" w:type="dxa"/>
          <w:left w:w="0" w:type="dxa"/>
          <w:bottom w:w="0" w:type="dxa"/>
          <w:right w:w="0" w:type="dxa"/>
        </w:tblCellMar>
      </w:tblPr>
      <w:tr>
        <w:trPr>
          <w:trHeight w:val="201"/>
        </w:trPr>
        <w:tc>
          <w:tcPr>
            <w:tcW w:w="640" w:type="dxa"/>
            <w:vAlign w:val="bottom"/>
            <w:tcBorders>
              <w:top w:val="single" w:sz="8" w:color="auto"/>
              <w:left w:val="single" w:sz="8" w:color="auto"/>
              <w:bottom w:val="single" w:sz="8" w:color="auto"/>
              <w:right w:val="single" w:sz="8" w:color="auto"/>
            </w:tcBorders>
            <w:shd w:val="clear" w:color="auto" w:fill="BFBFBF"/>
          </w:tcPr>
          <w:p>
            <w:pPr>
              <w:spacing w:after="0"/>
              <w:rPr>
                <w:sz w:val="17"/>
                <w:szCs w:val="17"/>
                <w:color w:val="auto"/>
              </w:rPr>
            </w:pPr>
          </w:p>
        </w:tc>
        <w:tc>
          <w:tcPr>
            <w:tcW w:w="1320" w:type="dxa"/>
            <w:vAlign w:val="bottom"/>
            <w:tcBorders>
              <w:top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540" w:type="dxa"/>
            <w:vAlign w:val="bottom"/>
            <w:tcBorders>
              <w:top w:val="single" w:sz="8" w:color="auto"/>
              <w:bottom w:val="single" w:sz="8" w:color="auto"/>
              <w:right w:val="single" w:sz="8" w:color="auto"/>
            </w:tcBorders>
            <w:gridSpan w:val="2"/>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5340" w:type="dxa"/>
            <w:vAlign w:val="bottom"/>
            <w:tcBorders>
              <w:top w:val="single" w:sz="8" w:color="auto"/>
              <w:bottom w:val="single" w:sz="8" w:color="auto"/>
              <w:right w:val="single" w:sz="8" w:color="auto"/>
            </w:tcBorders>
            <w:shd w:val="clear" w:color="auto" w:fill="BFBFBF"/>
          </w:tcPr>
          <w:p>
            <w:pPr>
              <w:ind w:left="2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1</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11,242,318</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2</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11,724,985</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3</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11,746,088</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4</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11,834,410</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5</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11,958,807</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6</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2018311307</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7</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2020378647</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8</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2020381103</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r>
      <w:tr>
        <w:trPr>
          <w:trHeight w:val="198"/>
        </w:trPr>
        <w:tc>
          <w:tcPr>
            <w:tcW w:w="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9</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2021334933</w:t>
            </w:r>
          </w:p>
        </w:tc>
        <w:tc>
          <w:tcPr>
            <w:tcW w:w="2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620" w:type="dxa"/>
            <w:vAlign w:val="bottom"/>
            <w:tcBorders>
              <w:top w:val="single" w:sz="8" w:color="auto"/>
              <w:left w:val="single" w:sz="8" w:color="auto"/>
              <w:right w:val="single" w:sz="8" w:color="auto"/>
            </w:tcBorders>
          </w:tcPr>
          <w:p>
            <w:pPr>
              <w:spacing w:after="0"/>
              <w:rPr>
                <w:sz w:val="15"/>
                <w:szCs w:val="15"/>
                <w:color w:val="auto"/>
              </w:rPr>
            </w:pPr>
          </w:p>
        </w:tc>
        <w:tc>
          <w:tcPr>
            <w:tcW w:w="15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2021204158</w:t>
            </w:r>
          </w:p>
        </w:tc>
        <w:tc>
          <w:tcPr>
            <w:tcW w:w="8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500" w:type="dxa"/>
            <w:vAlign w:val="bottom"/>
            <w:tcBorders>
              <w:top w:val="single" w:sz="8" w:color="auto"/>
              <w:right w:val="single" w:sz="8" w:color="auto"/>
            </w:tcBorders>
          </w:tcPr>
          <w:p>
            <w:pPr>
              <w:spacing w:after="0"/>
              <w:rPr>
                <w:sz w:val="15"/>
                <w:szCs w:val="15"/>
                <w:color w:val="auto"/>
              </w:rPr>
            </w:pPr>
          </w:p>
        </w:tc>
        <w:tc>
          <w:tcPr>
            <w:tcW w:w="5340" w:type="dxa"/>
            <w:vAlign w:val="bottom"/>
            <w:tcBorders>
              <w:top w:val="single" w:sz="8" w:color="auto"/>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10</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1120220000000</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3104072</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Drug Substance Compositions Comprising N,N-Dimethyltryptamine</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3160337</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3179161</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500" w:type="dxa"/>
            <w:vAlign w:val="bottom"/>
            <w:tcBorders>
              <w:right w:val="single" w:sz="8" w:color="auto"/>
            </w:tcBorders>
          </w:tcPr>
          <w:p>
            <w:pPr>
              <w:spacing w:after="0"/>
              <w:rPr>
                <w:sz w:val="13"/>
                <w:szCs w:val="13"/>
                <w:color w:val="auto"/>
              </w:rPr>
            </w:pP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14</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3160334</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3179335</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ZL202080087091.0</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ZL202080087092.5</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19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ZL202180044031.5</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ZL202180046463.X</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500" w:type="dxa"/>
            <w:vAlign w:val="bottom"/>
            <w:tcBorders>
              <w:right w:val="single" w:sz="8" w:color="auto"/>
            </w:tcBorders>
          </w:tcPr>
          <w:p>
            <w:pPr>
              <w:spacing w:after="0"/>
              <w:rPr>
                <w:sz w:val="13"/>
                <w:szCs w:val="13"/>
                <w:color w:val="auto"/>
              </w:rPr>
            </w:pP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20</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046951</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Eurasian</w:t>
            </w:r>
          </w:p>
        </w:tc>
        <w:tc>
          <w:tcPr>
            <w:tcW w:w="50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9"/>
              </w:rPr>
              <w:t>Patent</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21</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22</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3463323</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Solid Oral Dosage Forms of 2R,6R-Hydroxynorketamine or Derivatives Thereof</w:t>
            </w:r>
          </w:p>
        </w:tc>
        <w:tc>
          <w:tcPr>
            <w:tcW w:w="0" w:type="dxa"/>
            <w:vAlign w:val="bottom"/>
          </w:tcPr>
          <w:p>
            <w:pPr>
              <w:spacing w:after="0"/>
              <w:rPr>
                <w:sz w:val="1"/>
                <w:szCs w:val="1"/>
                <w:color w:val="auto"/>
              </w:rPr>
            </w:pPr>
          </w:p>
        </w:tc>
      </w:tr>
      <w:tr>
        <w:trPr>
          <w:trHeight w:val="133"/>
        </w:trPr>
        <w:tc>
          <w:tcPr>
            <w:tcW w:w="6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500" w:type="dxa"/>
            <w:vAlign w:val="bottom"/>
            <w:tcBorders>
              <w:bottom w:val="single" w:sz="8" w:color="auto"/>
              <w:right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23</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3687515</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0" w:type="dxa"/>
            <w:vAlign w:val="bottom"/>
          </w:tcPr>
          <w:p>
            <w:pPr>
              <w:spacing w:after="0"/>
              <w:rPr>
                <w:sz w:val="1"/>
                <w:szCs w:val="1"/>
                <w:color w:val="auto"/>
              </w:rPr>
            </w:pPr>
          </w:p>
        </w:tc>
      </w:tr>
      <w:tr>
        <w:trPr>
          <w:trHeight w:val="133"/>
        </w:trPr>
        <w:tc>
          <w:tcPr>
            <w:tcW w:w="6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500" w:type="dxa"/>
            <w:vAlign w:val="bottom"/>
            <w:tcBorders>
              <w:bottom w:val="single" w:sz="8" w:color="auto"/>
              <w:right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24</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3532457</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133"/>
        </w:trPr>
        <w:tc>
          <w:tcPr>
            <w:tcW w:w="6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500" w:type="dxa"/>
            <w:vAlign w:val="bottom"/>
            <w:tcBorders>
              <w:bottom w:val="single" w:sz="8" w:color="auto"/>
              <w:right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3826632</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25</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26</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3844147</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33"/>
        </w:trPr>
        <w:tc>
          <w:tcPr>
            <w:tcW w:w="6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500" w:type="dxa"/>
            <w:vAlign w:val="bottom"/>
            <w:tcBorders>
              <w:bottom w:val="single" w:sz="8" w:color="auto"/>
              <w:right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27</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3873883</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33"/>
        </w:trPr>
        <w:tc>
          <w:tcPr>
            <w:tcW w:w="6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500" w:type="dxa"/>
            <w:vAlign w:val="bottom"/>
            <w:tcBorders>
              <w:bottom w:val="single" w:sz="8" w:color="auto"/>
              <w:right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3902541</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28</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29</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4031529</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Patent</w:t>
            </w:r>
          </w:p>
        </w:tc>
        <w:tc>
          <w:tcPr>
            <w:tcW w:w="5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133"/>
        </w:trPr>
        <w:tc>
          <w:tcPr>
            <w:tcW w:w="62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500" w:type="dxa"/>
            <w:vAlign w:val="bottom"/>
            <w:tcBorders>
              <w:bottom w:val="single" w:sz="8" w:color="auto"/>
              <w:right w:val="single" w:sz="8" w:color="auto"/>
            </w:tcBorders>
          </w:tcPr>
          <w:p>
            <w:pPr>
              <w:spacing w:after="0"/>
              <w:rPr>
                <w:sz w:val="11"/>
                <w:szCs w:val="11"/>
                <w:color w:val="auto"/>
              </w:rPr>
            </w:pPr>
          </w:p>
        </w:tc>
        <w:tc>
          <w:tcPr>
            <w:tcW w:w="5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40010285</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40042383</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40035970</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40056359</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40060666</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40065709</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right w:val="single" w:sz="8" w:color="auto"/>
            </w:tcBorders>
          </w:tcPr>
          <w:p>
            <w:pPr>
              <w:spacing w:after="0"/>
              <w:rPr>
                <w:sz w:val="13"/>
                <w:szCs w:val="13"/>
                <w:color w:val="auto"/>
              </w:rPr>
            </w:pP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35</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40064531</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40045846</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40060891</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39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40078818</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507114</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500" w:type="dxa"/>
            <w:vAlign w:val="bottom"/>
            <w:tcBorders>
              <w:right w:val="single" w:sz="8" w:color="auto"/>
            </w:tcBorders>
          </w:tcPr>
          <w:p>
            <w:pPr>
              <w:spacing w:after="0"/>
              <w:rPr>
                <w:sz w:val="13"/>
                <w:szCs w:val="13"/>
                <w:color w:val="auto"/>
              </w:rPr>
            </w:pP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40</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41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528813</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42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292753</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58"/>
        </w:trPr>
        <w:tc>
          <w:tcPr>
            <w:tcW w:w="6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7288154</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500" w:type="dxa"/>
            <w:vAlign w:val="bottom"/>
            <w:tcBorders>
              <w:right w:val="single" w:sz="8" w:color="auto"/>
            </w:tcBorders>
          </w:tcPr>
          <w:p>
            <w:pPr>
              <w:spacing w:after="0"/>
              <w:rPr>
                <w:sz w:val="13"/>
                <w:szCs w:val="13"/>
                <w:color w:val="auto"/>
              </w:rPr>
            </w:pP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right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43</w:t>
            </w:r>
          </w:p>
        </w:tc>
        <w:tc>
          <w:tcPr>
            <w:tcW w:w="1560" w:type="dxa"/>
            <w:vAlign w:val="bottom"/>
            <w:tcBorders>
              <w:right w:val="single" w:sz="8" w:color="auto"/>
            </w:tcBorders>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44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2023 500532</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0" w:type="dxa"/>
            <w:vAlign w:val="bottom"/>
          </w:tcPr>
          <w:p>
            <w:pPr>
              <w:spacing w:after="0"/>
              <w:rPr>
                <w:sz w:val="1"/>
                <w:szCs w:val="1"/>
                <w:color w:val="auto"/>
              </w:rPr>
            </w:pPr>
          </w:p>
        </w:tc>
      </w:tr>
      <w:tr>
        <w:trPr>
          <w:trHeight w:val="198"/>
        </w:trPr>
        <w:tc>
          <w:tcPr>
            <w:tcW w:w="620" w:type="dxa"/>
            <w:vAlign w:val="bottom"/>
            <w:tcBorders>
              <w:left w:val="single" w:sz="8" w:color="auto"/>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45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2022 546635</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50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139"/>
          </w:cols>
          <w:pgMar w:left="320" w:top="1440" w:right="1440" w:bottom="1440" w:gutter="0" w:footer="0" w:header="0"/>
        </w:sectPr>
      </w:pPr>
    </w:p>
    <w:bookmarkStart w:id="139" w:name="page140"/>
    <w:bookmarkEnd w:id="139"/>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40" w:type="dxa"/>
            <w:vAlign w:val="bottom"/>
            <w:tcBorders>
              <w:top w:val="single" w:sz="8" w:color="auto"/>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46</w:t>
            </w:r>
          </w:p>
        </w:tc>
        <w:tc>
          <w:tcPr>
            <w:tcW w:w="1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2023 533436</w:t>
            </w:r>
          </w:p>
        </w:tc>
        <w:tc>
          <w:tcPr>
            <w:tcW w:w="13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53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47</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404310</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r>
        <w:trPr>
          <w:trHeight w:val="158"/>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411316</w:t>
            </w: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40" w:type="dxa"/>
            <w:vAlign w:val="bottom"/>
            <w:tcBorders>
              <w:left w:val="single" w:sz="8" w:color="auto"/>
              <w:right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w w:val="99"/>
              </w:rPr>
              <w:t>48</w:t>
            </w:r>
          </w:p>
        </w:tc>
        <w:tc>
          <w:tcPr>
            <w:tcW w:w="15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412331</w:t>
            </w: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40" w:type="dxa"/>
            <w:vAlign w:val="bottom"/>
            <w:tcBorders>
              <w:left w:val="single" w:sz="8" w:color="auto"/>
              <w:right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w w:val="99"/>
              </w:rPr>
              <w:t>49</w:t>
            </w:r>
          </w:p>
        </w:tc>
        <w:tc>
          <w:tcPr>
            <w:tcW w:w="15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788543</w:t>
            </w: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Dimethyltryptamine  derivatives  and  their  use  in  psychedelic-assisted</w:t>
            </w:r>
          </w:p>
        </w:tc>
        <w:tc>
          <w:tcPr>
            <w:tcW w:w="0" w:type="dxa"/>
            <w:vAlign w:val="bottom"/>
          </w:tcPr>
          <w:p>
            <w:pPr>
              <w:spacing w:after="0"/>
              <w:rPr>
                <w:sz w:val="1"/>
                <w:szCs w:val="1"/>
                <w:color w:val="auto"/>
              </w:rPr>
            </w:pPr>
          </w:p>
        </w:tc>
      </w:tr>
      <w:tr>
        <w:trPr>
          <w:trHeight w:val="125"/>
        </w:trPr>
        <w:tc>
          <w:tcPr>
            <w:tcW w:w="640" w:type="dxa"/>
            <w:vAlign w:val="bottom"/>
            <w:tcBorders>
              <w:left w:val="single" w:sz="8" w:color="auto"/>
              <w:right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w w:val="99"/>
              </w:rPr>
              <w:t>50</w:t>
            </w:r>
          </w:p>
        </w:tc>
        <w:tc>
          <w:tcPr>
            <w:tcW w:w="15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psychotherapy</w:t>
            </w:r>
          </w:p>
        </w:tc>
        <w:tc>
          <w:tcPr>
            <w:tcW w:w="0" w:type="dxa"/>
            <w:vAlign w:val="bottom"/>
          </w:tcPr>
          <w:p>
            <w:pPr>
              <w:spacing w:after="0"/>
              <w:rPr>
                <w:sz w:val="1"/>
                <w:szCs w:val="1"/>
                <w:color w:val="auto"/>
              </w:rPr>
            </w:pPr>
          </w:p>
        </w:tc>
      </w:tr>
      <w:tr>
        <w:trPr>
          <w:trHeight w:val="85"/>
        </w:trPr>
        <w:tc>
          <w:tcPr>
            <w:tcW w:w="6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794833</w:t>
            </w: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125"/>
        </w:trPr>
        <w:tc>
          <w:tcPr>
            <w:tcW w:w="640" w:type="dxa"/>
            <w:vAlign w:val="bottom"/>
            <w:tcBorders>
              <w:left w:val="single" w:sz="8" w:color="auto"/>
              <w:right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w w:val="99"/>
              </w:rPr>
              <w:t>51</w:t>
            </w:r>
          </w:p>
        </w:tc>
        <w:tc>
          <w:tcPr>
            <w:tcW w:w="15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5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85"/>
        </w:trPr>
        <w:tc>
          <w:tcPr>
            <w:tcW w:w="6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5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4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2589605</w:t>
            </w: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Republic of Korea</w:t>
            </w:r>
          </w:p>
        </w:tc>
        <w:tc>
          <w:tcPr>
            <w:tcW w:w="534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52</w:t>
            </w:r>
          </w:p>
        </w:tc>
        <w:tc>
          <w:tcPr>
            <w:tcW w:w="154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vMerge w:val="continue"/>
          </w:tcPr>
          <w:p>
            <w:pPr>
              <w:spacing w:after="0"/>
              <w:rPr>
                <w:sz w:val="18"/>
                <w:szCs w:val="18"/>
                <w:color w:val="auto"/>
              </w:rPr>
            </w:pP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0" w:type="dxa"/>
            <w:vAlign w:val="bottom"/>
          </w:tcPr>
          <w:p>
            <w:pPr>
              <w:spacing w:after="0"/>
              <w:rPr>
                <w:sz w:val="1"/>
                <w:szCs w:val="1"/>
                <w:color w:val="auto"/>
              </w:rPr>
            </w:pPr>
          </w:p>
        </w:tc>
      </w:tr>
      <w:tr>
        <w:trPr>
          <w:trHeight w:val="199"/>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53</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2636385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Republic of Korea</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54</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2023/01086</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2585978</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2586940</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57</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2592822</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58</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2595776</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59</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11,377,416</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11,771,681</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61</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11,773,062</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Compounds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62</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11,643,390</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63</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11,471,417</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64</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11,406,619</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11,697,638</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5-Methoxy-N,N-Dimethyltryptamine Crystalline Forms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11,660,289</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0" w:type="dxa"/>
            <w:vAlign w:val="bottom"/>
          </w:tcPr>
          <w:p>
            <w:pPr>
              <w:spacing w:after="0"/>
              <w:rPr>
                <w:sz w:val="1"/>
                <w:szCs w:val="1"/>
                <w:color w:val="auto"/>
              </w:rPr>
            </w:pPr>
          </w:p>
        </w:tc>
      </w:tr>
      <w:tr>
        <w:trPr>
          <w:trHeight w:val="198"/>
        </w:trPr>
        <w:tc>
          <w:tcPr>
            <w:tcW w:w="640" w:type="dxa"/>
            <w:vAlign w:val="bottom"/>
            <w:tcBorders>
              <w:left w:val="single" w:sz="8" w:color="auto"/>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67</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11,578,039</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Cybin has title to thirteen provisional patent applications, twenty five US non-provisional patent applications, one hundred and fifty five national (non-US) patent applications, and fourteen Patent Cooperation Treaty (“PCT”) applications, including claims directed to compositions of matter and methods of use in support of its research and development and preclinical and clinical trial programs.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42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Times New Roman" w:cs="Times New Roman" w:eastAsia="Times New Roman" w:hAnsi="Times New Roman"/>
                <w:sz w:val="16"/>
                <w:szCs w:val="16"/>
                <w:b w:val="1"/>
                <w:bCs w:val="1"/>
                <w:color w:val="auto"/>
              </w:rPr>
              <w:t>Patent Application</w:t>
            </w:r>
          </w:p>
        </w:tc>
        <w:tc>
          <w:tcPr>
            <w:tcW w:w="110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Times New Roman" w:cs="Times New Roman" w:eastAsia="Times New Roman" w:hAnsi="Times New Roman"/>
                <w:sz w:val="16"/>
                <w:szCs w:val="16"/>
                <w:b w:val="1"/>
                <w:bCs w:val="1"/>
                <w:color w:val="auto"/>
              </w:rPr>
              <w:t>Jurisdiction of</w:t>
            </w:r>
          </w:p>
        </w:tc>
        <w:tc>
          <w:tcPr>
            <w:tcW w:w="126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760" w:type="dxa"/>
            <w:vAlign w:val="bottom"/>
            <w:tcBorders>
              <w:top w:val="single" w:sz="8" w:color="auto"/>
            </w:tcBorders>
            <w:shd w:val="clear" w:color="auto" w:fill="BFBFBF"/>
          </w:tcPr>
          <w:p>
            <w:pPr>
              <w:spacing w:after="0"/>
              <w:rPr>
                <w:sz w:val="14"/>
                <w:szCs w:val="14"/>
                <w:color w:val="auto"/>
              </w:rPr>
            </w:pPr>
          </w:p>
        </w:tc>
        <w:tc>
          <w:tcPr>
            <w:tcW w:w="380" w:type="dxa"/>
            <w:vAlign w:val="bottom"/>
            <w:tcBorders>
              <w:top w:val="single" w:sz="8" w:color="auto"/>
            </w:tcBorders>
            <w:shd w:val="clear" w:color="auto" w:fill="BFBFBF"/>
          </w:tcPr>
          <w:p>
            <w:pPr>
              <w:spacing w:after="0"/>
              <w:rPr>
                <w:sz w:val="14"/>
                <w:szCs w:val="14"/>
                <w:color w:val="auto"/>
              </w:rPr>
            </w:pPr>
          </w:p>
        </w:tc>
        <w:tc>
          <w:tcPr>
            <w:tcW w:w="1100" w:type="dxa"/>
            <w:vAlign w:val="bottom"/>
            <w:tcBorders>
              <w:top w:val="single" w:sz="8" w:color="auto"/>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40" w:type="dxa"/>
            <w:vAlign w:val="bottom"/>
            <w:tcBorders>
              <w:top w:val="single" w:sz="8" w:color="auto"/>
            </w:tcBorders>
            <w:shd w:val="clear" w:color="auto" w:fill="BFBFBF"/>
          </w:tcPr>
          <w:p>
            <w:pPr>
              <w:spacing w:after="0"/>
              <w:rPr>
                <w:sz w:val="14"/>
                <w:szCs w:val="14"/>
                <w:color w:val="auto"/>
              </w:rPr>
            </w:pPr>
          </w:p>
        </w:tc>
        <w:tc>
          <w:tcPr>
            <w:tcW w:w="320" w:type="dxa"/>
            <w:vAlign w:val="bottom"/>
            <w:tcBorders>
              <w:top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shd w:val="clear" w:color="auto" w:fill="BFBFBF"/>
          </w:tcPr>
          <w:p>
            <w:pPr>
              <w:spacing w:after="0"/>
              <w:rPr>
                <w:sz w:val="11"/>
                <w:szCs w:val="11"/>
                <w:color w:val="auto"/>
              </w:rPr>
            </w:pPr>
          </w:p>
        </w:tc>
        <w:tc>
          <w:tcPr>
            <w:tcW w:w="1420" w:type="dxa"/>
            <w:vAlign w:val="bottom"/>
            <w:tcBorders>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00" w:type="dxa"/>
            <w:vAlign w:val="bottom"/>
            <w:tcBorders>
              <w:right w:val="single" w:sz="8" w:color="auto"/>
            </w:tcBorders>
            <w:vMerge w:val="restart"/>
            <w:shd w:val="clear" w:color="auto" w:fill="BFBFBF"/>
          </w:tcPr>
          <w:p>
            <w:pPr>
              <w:ind w:left="34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260" w:type="dxa"/>
            <w:vAlign w:val="bottom"/>
            <w:tcBorders>
              <w:right w:val="single" w:sz="8" w:color="auto"/>
            </w:tcBorders>
            <w:vMerge w:val="continue"/>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380" w:type="dxa"/>
            <w:vAlign w:val="bottom"/>
            <w:shd w:val="clear" w:color="auto" w:fill="BFBFBF"/>
          </w:tcPr>
          <w:p>
            <w:pPr>
              <w:spacing w:after="0"/>
              <w:rPr>
                <w:sz w:val="11"/>
                <w:szCs w:val="11"/>
                <w:color w:val="auto"/>
              </w:rPr>
            </w:pPr>
          </w:p>
        </w:tc>
        <w:tc>
          <w:tcPr>
            <w:tcW w:w="1100" w:type="dxa"/>
            <w:vAlign w:val="bottom"/>
            <w:gridSpan w:val="2"/>
            <w:vMerge w:val="continue"/>
            <w:shd w:val="clear" w:color="auto" w:fill="BFBFBF"/>
          </w:tcPr>
          <w:p>
            <w:pPr>
              <w:spacing w:after="0"/>
              <w:rPr>
                <w:sz w:val="11"/>
                <w:szCs w:val="11"/>
                <w:color w:val="auto"/>
              </w:rPr>
            </w:pPr>
          </w:p>
        </w:tc>
        <w:tc>
          <w:tcPr>
            <w:tcW w:w="640" w:type="dxa"/>
            <w:vAlign w:val="bottom"/>
            <w:shd w:val="clear" w:color="auto" w:fill="BFBFBF"/>
          </w:tcPr>
          <w:p>
            <w:pPr>
              <w:spacing w:after="0"/>
              <w:rPr>
                <w:sz w:val="11"/>
                <w:szCs w:val="11"/>
                <w:color w:val="auto"/>
              </w:rPr>
            </w:pPr>
          </w:p>
        </w:tc>
        <w:tc>
          <w:tcPr>
            <w:tcW w:w="32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8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42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10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260" w:type="dxa"/>
            <w:vAlign w:val="bottom"/>
            <w:tcBorders>
              <w:bottom w:val="single" w:sz="8" w:color="auto"/>
              <w:right w:val="single" w:sz="8" w:color="auto"/>
            </w:tcBorders>
            <w:shd w:val="clear" w:color="auto" w:fill="BFBFBF"/>
          </w:tcPr>
          <w:p>
            <w:pPr>
              <w:spacing w:after="0"/>
              <w:rPr>
                <w:sz w:val="7"/>
                <w:szCs w:val="7"/>
                <w:color w:val="auto"/>
              </w:rPr>
            </w:pPr>
          </w:p>
        </w:tc>
        <w:tc>
          <w:tcPr>
            <w:tcW w:w="760" w:type="dxa"/>
            <w:vAlign w:val="bottom"/>
            <w:tcBorders>
              <w:bottom w:val="single" w:sz="8" w:color="auto"/>
            </w:tcBorders>
            <w:shd w:val="clear" w:color="auto" w:fill="BFBFBF"/>
          </w:tcPr>
          <w:p>
            <w:pPr>
              <w:spacing w:after="0"/>
              <w:rPr>
                <w:sz w:val="7"/>
                <w:szCs w:val="7"/>
                <w:color w:val="auto"/>
              </w:rPr>
            </w:pPr>
          </w:p>
        </w:tc>
        <w:tc>
          <w:tcPr>
            <w:tcW w:w="380" w:type="dxa"/>
            <w:vAlign w:val="bottom"/>
            <w:tcBorders>
              <w:bottom w:val="single" w:sz="8" w:color="auto"/>
            </w:tcBorders>
            <w:shd w:val="clear" w:color="auto" w:fill="BFBFBF"/>
          </w:tcPr>
          <w:p>
            <w:pPr>
              <w:spacing w:after="0"/>
              <w:rPr>
                <w:sz w:val="7"/>
                <w:szCs w:val="7"/>
                <w:color w:val="auto"/>
              </w:rPr>
            </w:pPr>
          </w:p>
        </w:tc>
        <w:tc>
          <w:tcPr>
            <w:tcW w:w="760" w:type="dxa"/>
            <w:vAlign w:val="bottom"/>
            <w:tcBorders>
              <w:bottom w:val="single" w:sz="8" w:color="auto"/>
            </w:tcBorders>
            <w:shd w:val="clear" w:color="auto" w:fill="BFBFBF"/>
          </w:tcPr>
          <w:p>
            <w:pPr>
              <w:spacing w:after="0"/>
              <w:rPr>
                <w:sz w:val="7"/>
                <w:szCs w:val="7"/>
                <w:color w:val="auto"/>
              </w:rPr>
            </w:pPr>
          </w:p>
        </w:tc>
        <w:tc>
          <w:tcPr>
            <w:tcW w:w="340" w:type="dxa"/>
            <w:vAlign w:val="bottom"/>
            <w:tcBorders>
              <w:bottom w:val="single" w:sz="8" w:color="auto"/>
            </w:tcBorders>
            <w:shd w:val="clear" w:color="auto" w:fill="BFBFBF"/>
          </w:tcPr>
          <w:p>
            <w:pPr>
              <w:spacing w:after="0"/>
              <w:rPr>
                <w:sz w:val="7"/>
                <w:szCs w:val="7"/>
                <w:color w:val="auto"/>
              </w:rPr>
            </w:pPr>
          </w:p>
        </w:tc>
        <w:tc>
          <w:tcPr>
            <w:tcW w:w="640" w:type="dxa"/>
            <w:vAlign w:val="bottom"/>
            <w:tcBorders>
              <w:bottom w:val="single" w:sz="8" w:color="auto"/>
            </w:tcBorders>
            <w:shd w:val="clear" w:color="auto" w:fill="BFBFBF"/>
          </w:tcPr>
          <w:p>
            <w:pPr>
              <w:spacing w:after="0"/>
              <w:rPr>
                <w:sz w:val="7"/>
                <w:szCs w:val="7"/>
                <w:color w:val="auto"/>
              </w:rPr>
            </w:pPr>
          </w:p>
        </w:tc>
        <w:tc>
          <w:tcPr>
            <w:tcW w:w="3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18/056,958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Deuterated</w:t>
            </w:r>
          </w:p>
        </w:tc>
        <w:tc>
          <w:tcPr>
            <w:tcW w:w="114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6"/>
                <w:szCs w:val="16"/>
                <w:color w:val="auto"/>
              </w:rPr>
              <w:t>Derivatives</w:t>
            </w:r>
          </w:p>
        </w:tc>
        <w:tc>
          <w:tcPr>
            <w:tcW w:w="320" w:type="dxa"/>
            <w:vAlign w:val="bottom"/>
            <w:tcBorders>
              <w:right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17/999,310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1140" w:type="dxa"/>
            <w:vAlign w:val="bottom"/>
            <w:gridSpan w:val="2"/>
          </w:tcPr>
          <w:p>
            <w:pPr>
              <w:ind w:left="2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2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PCT/EP2023/050702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PCT/EP2023/053744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6"/>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PCT/EP2023/053752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6"/>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6"/>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18/041,728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6"/>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18/027,810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8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For</w:t>
            </w:r>
          </w:p>
        </w:tc>
        <w:tc>
          <w:tcPr>
            <w:tcW w:w="7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14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64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color w:val="auto"/>
              </w:rPr>
              <w:t>Systems</w:t>
            </w:r>
          </w:p>
        </w:tc>
        <w:tc>
          <w:tcPr>
            <w:tcW w:w="32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PCT/EP2023/057939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38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For</w:t>
            </w:r>
          </w:p>
        </w:tc>
        <w:tc>
          <w:tcPr>
            <w:tcW w:w="76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14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w:t>
            </w: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64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color w:val="auto"/>
              </w:rPr>
              <w:t>Systems</w:t>
            </w:r>
          </w:p>
        </w:tc>
        <w:tc>
          <w:tcPr>
            <w:tcW w:w="32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0" w:type="dxa"/>
            <w:vAlign w:val="bottom"/>
            <w:tcBorders>
              <w:top w:val="single" w:sz="8" w:color="auto"/>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10</w:t>
            </w:r>
          </w:p>
        </w:tc>
        <w:tc>
          <w:tcPr>
            <w:tcW w:w="14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PCT/EP2023/058107</w:t>
            </w: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5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63/507,059</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12</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63/507,062</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PCT/EP2023/066900</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14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63/510,089</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Processes</w:t>
            </w:r>
          </w:p>
        </w:tc>
        <w:tc>
          <w:tcPr>
            <w:tcW w:w="30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w w:val="96"/>
              </w:rPr>
              <w:t>for</w:t>
            </w:r>
          </w:p>
        </w:tc>
        <w:tc>
          <w:tcPr>
            <w:tcW w:w="102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color w:val="auto"/>
              </w:rPr>
              <w:t>Preparing</w:t>
            </w:r>
          </w:p>
        </w:tc>
        <w:tc>
          <w:tcPr>
            <w:tcW w:w="1100" w:type="dxa"/>
            <w:vAlign w:val="bottom"/>
            <w:tcBorders>
              <w:right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6"/>
                <w:szCs w:val="16"/>
                <w:color w:val="auto"/>
              </w:rPr>
              <w:t>Phenethylamine</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Compounds</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15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63/512,466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16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18/353,492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17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63/519,992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18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18/547,100</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7"/>
          </w:tcPr>
          <w:p>
            <w:pPr>
              <w:spacing w:after="0" w:line="158" w:lineRule="exact"/>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19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PCT/EP2023/073122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w w:val="99"/>
              </w:rPr>
              <w:t>Tryptamine</w:t>
            </w:r>
          </w:p>
        </w:tc>
        <w:tc>
          <w:tcPr>
            <w:tcW w:w="10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color w:val="auto"/>
              </w:rPr>
              <w:t>Compounds,</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PCT/EP2023/080027</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0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Phenethylamine</w:t>
            </w:r>
          </w:p>
        </w:tc>
        <w:tc>
          <w:tcPr>
            <w:tcW w:w="10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color w:val="auto"/>
              </w:rPr>
              <w:t>Compounds,</w:t>
            </w:r>
          </w:p>
        </w:tc>
        <w:tc>
          <w:tcPr>
            <w:tcW w:w="1100" w:type="dxa"/>
            <w:vAlign w:val="bottom"/>
            <w:tcBorders>
              <w:right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and Methods of Use</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63/599,483</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22</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18/561,152</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23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63/600,179</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63/602,888</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63/603,262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63/603,886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18/576,487</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7"/>
          </w:tcPr>
          <w:p>
            <w:pPr>
              <w:spacing w:after="0" w:line="158" w:lineRule="exact"/>
              <w:rPr>
                <w:sz w:val="20"/>
                <w:szCs w:val="20"/>
                <w:color w:val="auto"/>
              </w:rPr>
            </w:pPr>
            <w:r>
              <w:rPr>
                <w:rFonts w:ascii="Times New Roman" w:cs="Times New Roman" w:eastAsia="Times New Roman" w:hAnsi="Times New Roman"/>
                <w:sz w:val="16"/>
                <w:szCs w:val="16"/>
                <w:color w:val="auto"/>
              </w:rPr>
              <w:t>Integrated Data Collection Devices for Use in</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16"/>
                <w:szCs w:val="16"/>
                <w:color w:val="auto"/>
              </w:rPr>
              <w:t>Various Therapeutic and Wellness Applications</w:t>
            </w: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63/553,321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18/588,132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PCT/EP2024/054897</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w w:val="99"/>
              </w:rPr>
              <w:t>Treating</w:t>
            </w:r>
          </w:p>
        </w:tc>
        <w:tc>
          <w:tcPr>
            <w:tcW w:w="8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Disorders</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with</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Psilocybin Analog</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18/688,125</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18/600,018</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PCT/EP2024/062406</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18/707,825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7"/>
          </w:tcPr>
          <w:p>
            <w:pPr>
              <w:spacing w:after="0" w:line="158" w:lineRule="exact"/>
              <w:rPr>
                <w:sz w:val="20"/>
                <w:szCs w:val="20"/>
                <w:color w:val="auto"/>
              </w:rPr>
            </w:pPr>
            <w:r>
              <w:rPr>
                <w:rFonts w:ascii="Times New Roman" w:cs="Times New Roman" w:eastAsia="Times New Roman" w:hAnsi="Times New Roman"/>
                <w:sz w:val="16"/>
                <w:szCs w:val="16"/>
                <w:color w:val="auto"/>
              </w:rPr>
              <w:t>Formulations  Of  Psilocybin  Analogs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35</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18/720,922</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793553</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297492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312785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3177454</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NC2022/0016662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Colombia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MX/a/2022/014605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202203191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43</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10-2022-7040243</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Korea</w:t>
            </w:r>
          </w:p>
        </w:tc>
        <w:tc>
          <w:tcPr>
            <w:tcW w:w="2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Methods of Use</w:t>
            </w: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44</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10-2024-7019118</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Korea</w:t>
            </w:r>
          </w:p>
        </w:tc>
        <w:tc>
          <w:tcPr>
            <w:tcW w:w="2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Methods of Use</w:t>
            </w: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EP21808464.8</w:t>
            </w:r>
          </w:p>
        </w:tc>
        <w:tc>
          <w:tcPr>
            <w:tcW w:w="9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24175524.8</w:t>
            </w:r>
          </w:p>
        </w:tc>
        <w:tc>
          <w:tcPr>
            <w:tcW w:w="9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202180036163.3</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46"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46"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1120220235658</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2021276656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2024203974</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color w:val="auto"/>
              </w:rPr>
              <w:t>Tryptamine</w:t>
            </w:r>
          </w:p>
        </w:tc>
        <w:tc>
          <w:tcPr>
            <w:tcW w:w="11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ectPr>
          <w:pgSz w:w="11900" w:h="16898" w:orient="portrait"/>
          <w:cols w:equalWidth="0" w:num="1">
            <w:col w:w="10139"/>
          </w:cols>
          <w:pgMar w:left="320" w:top="1440" w:right="1440" w:bottom="0"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80" w:type="dxa"/>
            <w:vAlign w:val="bottom"/>
            <w:tcBorders>
              <w:top w:val="single" w:sz="8" w:color="auto"/>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51</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11202254530T</w:t>
            </w:r>
          </w:p>
        </w:tc>
        <w:tc>
          <w:tcPr>
            <w:tcW w:w="11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Singapore</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top w:val="single" w:sz="8" w:color="auto"/>
              <w:right w:val="single" w:sz="8" w:color="auto"/>
            </w:tcBorders>
            <w:gridSpan w:val="5"/>
          </w:tcPr>
          <w:p>
            <w:pPr>
              <w:ind w:left="20"/>
              <w:spacing w:after="0" w:line="17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202213256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2201007493</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Thailand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1-2022-553135</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Philippines</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202227065770</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2022-571175</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2024-080101</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62023078320.6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Deuterated Tryptamine Derivatives and Methods</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of Use</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3186357</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10-2023-7003815</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2021327136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2023-512063</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21766581.9</w:t>
            </w:r>
          </w:p>
        </w:tc>
        <w:tc>
          <w:tcPr>
            <w:tcW w:w="110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62023079716.4</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3186359</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10-2023-7006128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2021328671</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2023-512107</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21763068.0</w:t>
            </w:r>
          </w:p>
        </w:tc>
        <w:tc>
          <w:tcPr>
            <w:tcW w:w="110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62023079718.0</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21786852.0</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73"/>
        </w:trPr>
        <w:tc>
          <w:tcPr>
            <w:tcW w:w="28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7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89"/>
        </w:trPr>
        <w:tc>
          <w:tcPr>
            <w:tcW w:w="280" w:type="dxa"/>
            <w:vAlign w:val="bottom"/>
            <w:tcBorders>
              <w:left w:val="single" w:sz="8" w:color="auto"/>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80" w:type="dxa"/>
            <w:vAlign w:val="bottom"/>
            <w:tcBorders>
              <w:left w:val="single" w:sz="8" w:color="auto"/>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10-2023-7007858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2"/>
        </w:trPr>
        <w:tc>
          <w:tcPr>
            <w:tcW w:w="28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06"/>
        </w:trPr>
        <w:tc>
          <w:tcPr>
            <w:tcW w:w="28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2021354006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2"/>
        </w:trPr>
        <w:tc>
          <w:tcPr>
            <w:tcW w:w="28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06"/>
        </w:trPr>
        <w:tc>
          <w:tcPr>
            <w:tcW w:w="28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2023-519831</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2"/>
        </w:trPr>
        <w:tc>
          <w:tcPr>
            <w:tcW w:w="28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06"/>
        </w:trPr>
        <w:tc>
          <w:tcPr>
            <w:tcW w:w="28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3194558</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2"/>
        </w:trPr>
        <w:tc>
          <w:tcPr>
            <w:tcW w:w="28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06"/>
        </w:trPr>
        <w:tc>
          <w:tcPr>
            <w:tcW w:w="28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62023079720.6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Methods</w:t>
            </w:r>
          </w:p>
        </w:tc>
        <w:tc>
          <w:tcPr>
            <w:tcW w:w="3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w:t>
            </w: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Delivery</w:t>
            </w:r>
          </w:p>
        </w:tc>
        <w:tc>
          <w:tcPr>
            <w:tcW w:w="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2"/>
        </w:trPr>
        <w:tc>
          <w:tcPr>
            <w:tcW w:w="28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w w:val="98"/>
              </w:rPr>
              <w:t>Medications</w:t>
            </w:r>
          </w:p>
        </w:tc>
        <w:tc>
          <w:tcPr>
            <w:tcW w:w="3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Inhalation</w:t>
            </w:r>
          </w:p>
        </w:tc>
        <w:tc>
          <w:tcPr>
            <w:tcW w:w="3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96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Systems  For</w:t>
            </w:r>
          </w:p>
        </w:tc>
        <w:tc>
          <w:tcPr>
            <w:tcW w:w="0" w:type="dxa"/>
            <w:vAlign w:val="bottom"/>
          </w:tcPr>
          <w:p>
            <w:pPr>
              <w:spacing w:after="0"/>
              <w:rPr>
                <w:sz w:val="1"/>
                <w:szCs w:val="1"/>
                <w:color w:val="auto"/>
              </w:rPr>
            </w:pPr>
          </w:p>
        </w:tc>
      </w:tr>
      <w:tr>
        <w:trPr>
          <w:trHeight w:val="206"/>
        </w:trPr>
        <w:tc>
          <w:tcPr>
            <w:tcW w:w="28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802136</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305457</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3212563</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80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NC2023/0013714</w:t>
            </w:r>
          </w:p>
        </w:tc>
        <w:tc>
          <w:tcPr>
            <w:tcW w:w="1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Columbia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40" w:type="dxa"/>
            <w:vAlign w:val="bottom"/>
            <w:tcBorders>
              <w:right w:val="single" w:sz="8" w:color="auto"/>
            </w:tcBorders>
            <w:gridSpan w:val="5"/>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139"/>
          </w:cols>
          <w:pgMar w:left="320" w:top="1440" w:right="1440" w:bottom="1440" w:gutter="0" w:footer="0" w:header="0"/>
        </w:sectPr>
      </w:pPr>
    </w:p>
    <w:bookmarkStart w:id="143" w:name="page144"/>
    <w:bookmarkEnd w:id="143"/>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81</w:t>
            </w:r>
          </w:p>
        </w:tc>
        <w:tc>
          <w:tcPr>
            <w:tcW w:w="13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MX/a/2023/010843</w:t>
            </w:r>
          </w:p>
        </w:tc>
        <w:tc>
          <w:tcPr>
            <w:tcW w:w="11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tcBorders>
              <w:top w:val="single" w:sz="8" w:color="auto"/>
            </w:tcBorders>
            <w:gridSpan w:val="2"/>
          </w:tcPr>
          <w:p>
            <w:pPr>
              <w:ind w:left="20"/>
              <w:spacing w:after="0" w:line="17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Borders>
              <w:top w:val="single" w:sz="8" w:color="auto"/>
            </w:tcBorders>
          </w:tcPr>
          <w:p>
            <w:pPr>
              <w:ind w:left="80"/>
              <w:spacing w:after="0" w:line="17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Borders>
              <w:top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top w:val="single" w:sz="8" w:color="auto"/>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202302731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10-2023-7032581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22716857.2</w:t>
            </w:r>
          </w:p>
        </w:tc>
        <w:tc>
          <w:tcPr>
            <w:tcW w:w="110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202280022029.2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1120230188946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2022239825</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11202305618U</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202309486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2301005753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1-2023-552572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202327063524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2023-556906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62024086011.9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3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Psilocybin Analogs,</w:t>
            </w:r>
          </w:p>
        </w:tc>
        <w:tc>
          <w:tcPr>
            <w:tcW w:w="5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95</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2022277515</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3216799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22729558.1</w:t>
            </w:r>
          </w:p>
        </w:tc>
        <w:tc>
          <w:tcPr>
            <w:tcW w:w="110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202327074210</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99</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2023-571283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10-2023-7041239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62024089505.7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2022342266</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3231021</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22716971.1</w:t>
            </w:r>
          </w:p>
        </w:tc>
        <w:tc>
          <w:tcPr>
            <w:tcW w:w="110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2024-515026</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10-2024-7008355</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2022381220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9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4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76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Analogs</w:t>
            </w:r>
          </w:p>
        </w:tc>
        <w:tc>
          <w:tcPr>
            <w:tcW w:w="320" w:type="dxa"/>
            <w:vAlign w:val="bottom"/>
            <w:tcBorders>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1120240088332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960" w:type="dxa"/>
            <w:vAlign w:val="bottom"/>
          </w:tcPr>
          <w:p>
            <w:pPr>
              <w:ind w:left="20"/>
              <w:spacing w:after="0" w:line="170" w:lineRule="exact"/>
              <w:rPr>
                <w:sz w:val="20"/>
                <w:szCs w:val="20"/>
                <w:color w:val="auto"/>
              </w:rPr>
            </w:pPr>
            <w:r>
              <w:rPr>
                <w:rFonts w:ascii="Times New Roman" w:cs="Times New Roman" w:eastAsia="Times New Roman" w:hAnsi="Times New Roman"/>
                <w:sz w:val="16"/>
                <w:szCs w:val="16"/>
                <w:color w:val="auto"/>
              </w:rPr>
              <w:t>Formulations</w:t>
            </w:r>
          </w:p>
        </w:tc>
        <w:tc>
          <w:tcPr>
            <w:tcW w:w="420" w:type="dxa"/>
            <w:vAlign w:val="bottom"/>
          </w:tcPr>
          <w:p>
            <w:pPr>
              <w:ind w:left="80"/>
              <w:spacing w:after="0" w:line="170" w:lineRule="exact"/>
              <w:rPr>
                <w:sz w:val="20"/>
                <w:szCs w:val="20"/>
                <w:color w:val="auto"/>
              </w:rPr>
            </w:pPr>
            <w:r>
              <w:rPr>
                <w:rFonts w:ascii="Times New Roman" w:cs="Times New Roman" w:eastAsia="Times New Roman" w:hAnsi="Times New Roman"/>
                <w:sz w:val="16"/>
                <w:szCs w:val="16"/>
                <w:color w:val="auto"/>
              </w:rPr>
              <w:t>Of</w:t>
            </w:r>
          </w:p>
        </w:tc>
        <w:tc>
          <w:tcPr>
            <w:tcW w:w="76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Psilocybin</w:t>
            </w:r>
          </w:p>
        </w:tc>
        <w:tc>
          <w:tcPr>
            <w:tcW w:w="760" w:type="dxa"/>
            <w:vAlign w:val="bottom"/>
          </w:tcPr>
          <w:p>
            <w:pPr>
              <w:ind w:left="100"/>
              <w:spacing w:after="0" w:line="170" w:lineRule="exact"/>
              <w:rPr>
                <w:sz w:val="20"/>
                <w:szCs w:val="20"/>
                <w:color w:val="auto"/>
              </w:rPr>
            </w:pPr>
            <w:r>
              <w:rPr>
                <w:rFonts w:ascii="Times New Roman" w:cs="Times New Roman" w:eastAsia="Times New Roman" w:hAnsi="Times New Roman"/>
                <w:sz w:val="16"/>
                <w:szCs w:val="16"/>
                <w:color w:val="auto"/>
              </w:rPr>
              <w:t>Analogs</w:t>
            </w:r>
          </w:p>
        </w:tc>
        <w:tc>
          <w:tcPr>
            <w:tcW w:w="320" w:type="dxa"/>
            <w:vAlign w:val="bottom"/>
            <w:tcBorders>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3236624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9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4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7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76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Analogs</w:t>
            </w:r>
          </w:p>
        </w:tc>
        <w:tc>
          <w:tcPr>
            <w:tcW w:w="320" w:type="dxa"/>
            <w:vAlign w:val="bottom"/>
            <w:tcBorders>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139"/>
          </w:cols>
          <w:pgMar w:left="320" w:top="1440" w:right="1440" w:bottom="1440" w:gutter="0" w:footer="0" w:header="0"/>
        </w:sectPr>
      </w:pPr>
    </w:p>
    <w:bookmarkStart w:id="144" w:name="page145"/>
    <w:bookmarkEnd w:id="144"/>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110</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202280073355.6</w:t>
            </w:r>
          </w:p>
        </w:tc>
        <w:tc>
          <w:tcPr>
            <w:tcW w:w="6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top w:val="single" w:sz="8" w:color="auto"/>
              <w:right w:val="single" w:sz="8" w:color="auto"/>
            </w:tcBorders>
          </w:tcPr>
          <w:p>
            <w:pPr>
              <w:spacing w:after="0"/>
              <w:rPr>
                <w:sz w:val="15"/>
                <w:szCs w:val="15"/>
                <w:color w:val="auto"/>
              </w:rPr>
            </w:pP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Borders>
              <w:top w:val="single" w:sz="8" w:color="auto"/>
            </w:tcBorders>
          </w:tcPr>
          <w:p>
            <w:pPr>
              <w:ind w:left="160"/>
              <w:spacing w:after="0" w:line="178"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tcBorders>
              <w:top w:val="single" w:sz="8" w:color="auto"/>
            </w:tcBorders>
            <w:gridSpan w:val="2"/>
          </w:tcPr>
          <w:p>
            <w:pPr>
              <w:ind w:left="180"/>
              <w:spacing w:after="0" w:line="178"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Borders>
              <w:top w:val="single" w:sz="8" w:color="auto"/>
            </w:tcBorders>
          </w:tcPr>
          <w:p>
            <w:pPr>
              <w:ind w:left="80"/>
              <w:spacing w:after="0" w:line="178"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top w:val="single" w:sz="8" w:color="auto"/>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22783493.4</w:t>
            </w:r>
          </w:p>
        </w:tc>
        <w:tc>
          <w:tcPr>
            <w:tcW w:w="6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8"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gridSpan w:val="2"/>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202417038272</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8"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2024-526529</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8"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10-2024-7017594</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8"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810005</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8"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1120242311</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Saudi Arabia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8"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202411034735</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2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Processes   For</w:t>
            </w:r>
          </w:p>
        </w:tc>
        <w:tc>
          <w:tcPr>
            <w:tcW w:w="74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Preparing</w:t>
            </w:r>
          </w:p>
        </w:tc>
        <w:tc>
          <w:tcPr>
            <w:tcW w:w="200" w:type="dxa"/>
            <w:vAlign w:val="bottom"/>
          </w:tcPr>
          <w:p>
            <w:pPr>
              <w:spacing w:after="0"/>
              <w:rPr>
                <w:sz w:val="13"/>
                <w:szCs w:val="13"/>
                <w:color w:val="auto"/>
              </w:rPr>
            </w:pPr>
          </w:p>
        </w:tc>
        <w:tc>
          <w:tcPr>
            <w:tcW w:w="1080" w:type="dxa"/>
            <w:vAlign w:val="bottom"/>
            <w:tcBorders>
              <w:right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w w:val="98"/>
              </w:rPr>
              <w:t>Phenethylamine</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PI2024003160</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Malaysia</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119</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811765</w:t>
            </w:r>
          </w:p>
        </w:tc>
        <w:tc>
          <w:tcPr>
            <w:tcW w:w="1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1120220089198</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121</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202291378</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Eurasian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Organization</w:t>
            </w:r>
          </w:p>
        </w:tc>
        <w:tc>
          <w:tcPr>
            <w:tcW w:w="12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202217028822</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Compounds,</w:t>
            </w:r>
          </w:p>
        </w:tc>
        <w:tc>
          <w:tcPr>
            <w:tcW w:w="188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6"/>
                <w:szCs w:val="16"/>
                <w:color w:val="auto"/>
              </w:rPr>
              <w:t>Compositions Comprising</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6"/>
          </w:tcPr>
          <w:p>
            <w:pPr>
              <w:spacing w:after="0" w:line="162" w:lineRule="exact"/>
              <w:rPr>
                <w:sz w:val="20"/>
                <w:szCs w:val="20"/>
                <w:color w:val="auto"/>
              </w:rPr>
            </w:pPr>
            <w:r>
              <w:rPr>
                <w:rFonts w:ascii="Times New Roman" w:cs="Times New Roman" w:eastAsia="Times New Roman" w:hAnsi="Times New Roman"/>
                <w:sz w:val="16"/>
                <w:szCs w:val="16"/>
                <w:color w:val="auto"/>
              </w:rPr>
              <w:t>and Uses Thereof in the Treatment of Psychiatric</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or Neurological Disorders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123</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2023-202672</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10-2023-7033500</w:t>
            </w:r>
          </w:p>
        </w:tc>
        <w:tc>
          <w:tcPr>
            <w:tcW w:w="6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Republic</w:t>
            </w:r>
          </w:p>
        </w:tc>
        <w:tc>
          <w:tcPr>
            <w:tcW w:w="460" w:type="dxa"/>
            <w:vAlign w:val="bottom"/>
            <w:tcBorders>
              <w:right w:val="single" w:sz="8" w:color="auto"/>
            </w:tcBorders>
          </w:tcPr>
          <w:p>
            <w:pPr>
              <w:ind w:left="28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w:t>
            </w:r>
          </w:p>
        </w:tc>
        <w:tc>
          <w:tcPr>
            <w:tcW w:w="4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125</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18/152,465</w:t>
            </w:r>
          </w:p>
        </w:tc>
        <w:tc>
          <w:tcPr>
            <w:tcW w:w="1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126</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110143066</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Taiwan</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Deuterated Compounds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2021391581</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3203020</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202180090269.1</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23198784.3</w:t>
            </w:r>
          </w:p>
        </w:tc>
        <w:tc>
          <w:tcPr>
            <w:tcW w:w="6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gridSpan w:val="2"/>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40078818</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202317043169</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303288</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2023-533243</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800961</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7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136</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18/163,388</w:t>
            </w:r>
          </w:p>
        </w:tc>
        <w:tc>
          <w:tcPr>
            <w:tcW w:w="1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gridSpan w:val="4"/>
          </w:tcPr>
          <w:p>
            <w:pPr>
              <w:spacing w:after="0" w:line="133" w:lineRule="exact"/>
              <w:rPr>
                <w:sz w:val="20"/>
                <w:szCs w:val="20"/>
                <w:color w:val="auto"/>
              </w:rPr>
            </w:pPr>
            <w:r>
              <w:rPr>
                <w:rFonts w:ascii="Times New Roman" w:cs="Times New Roman" w:eastAsia="Times New Roman" w:hAnsi="Times New Roman"/>
                <w:sz w:val="15"/>
                <w:szCs w:val="15"/>
                <w:color w:val="auto"/>
              </w:rPr>
              <w:t>Dimethyltryptamine Compounds</w:t>
            </w: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139"/>
          </w:cols>
          <w:pgMar w:left="320" w:top="1440" w:right="1440" w:bottom="1440" w:gutter="0" w:footer="0" w:header="0"/>
        </w:sectPr>
      </w:pPr>
    </w:p>
    <w:bookmarkStart w:id="145" w:name="page146"/>
    <w:bookmarkEnd w:id="145"/>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340" w:type="dxa"/>
            <w:vAlign w:val="bottom"/>
            <w:tcBorders>
              <w:top w:val="single" w:sz="8" w:color="auto"/>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137</w:t>
            </w:r>
          </w:p>
        </w:tc>
        <w:tc>
          <w:tcPr>
            <w:tcW w:w="14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21 816489.5</w:t>
            </w:r>
          </w:p>
        </w:tc>
        <w:tc>
          <w:tcPr>
            <w:tcW w:w="1080" w:type="dxa"/>
            <w:vAlign w:val="bottom"/>
            <w:tcBorders>
              <w:top w:val="single" w:sz="8" w:color="auto"/>
              <w:right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125"/>
        </w:trPr>
        <w:tc>
          <w:tcPr>
            <w:tcW w:w="3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138</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18/252,949</w:t>
            </w:r>
          </w:p>
        </w:tc>
        <w:tc>
          <w:tcPr>
            <w:tcW w:w="1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139</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18/056,771</w:t>
            </w:r>
          </w:p>
        </w:tc>
        <w:tc>
          <w:tcPr>
            <w:tcW w:w="1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PCT/EP2022/082486</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WIPO</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2022393234</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5"/>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142</w:t>
            </w:r>
          </w:p>
        </w:tc>
        <w:tc>
          <w:tcPr>
            <w:tcW w:w="1420" w:type="dxa"/>
            <w:vAlign w:val="bottom"/>
            <w:tcBorders>
              <w:right w:val="single" w:sz="8" w:color="auto"/>
            </w:tcBorders>
          </w:tcPr>
          <w:p>
            <w:pPr>
              <w:spacing w:after="0" w:line="210" w:lineRule="exact"/>
              <w:rPr>
                <w:sz w:val="20"/>
                <w:szCs w:val="20"/>
                <w:color w:val="auto"/>
              </w:rPr>
            </w:pPr>
            <w:r>
              <w:rPr>
                <w:rFonts w:ascii="Calibri" w:cs="Calibri" w:eastAsia="Calibri" w:hAnsi="Calibri"/>
                <w:sz w:val="18"/>
                <w:szCs w:val="18"/>
                <w:color w:val="auto"/>
              </w:rPr>
              <w:t>11 2024 009571 1</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143</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3238583</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58"/>
        </w:trPr>
        <w:tc>
          <w:tcPr>
            <w:tcW w:w="34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22 818741.5</w:t>
            </w:r>
          </w:p>
        </w:tc>
        <w:tc>
          <w:tcPr>
            <w:tcW w:w="108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25"/>
        </w:trPr>
        <w:tc>
          <w:tcPr>
            <w:tcW w:w="3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3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145</w:t>
            </w: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202417045861</w:t>
            </w: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0"/>
        </w:trPr>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146 312859</w:t>
            </w: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9"/>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147</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To be provided</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148</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10-2024-7020007</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149</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MX/a/2024/005955</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150</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811102</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11202403174T</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152</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2024/03906</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 2024002791</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Malaysia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154</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1120242659</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Saudi Arabia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202401452</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Chile</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156</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2401003192</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157</w:t>
            </w:r>
          </w:p>
        </w:tc>
        <w:tc>
          <w:tcPr>
            <w:tcW w:w="1420" w:type="dxa"/>
            <w:vAlign w:val="bottom"/>
            <w:tcBorders>
              <w:right w:val="single" w:sz="8" w:color="auto"/>
            </w:tcBorders>
          </w:tcPr>
          <w:p>
            <w:pPr>
              <w:spacing w:after="0" w:line="211" w:lineRule="exact"/>
              <w:rPr>
                <w:sz w:val="20"/>
                <w:szCs w:val="20"/>
                <w:color w:val="auto"/>
              </w:rPr>
            </w:pPr>
            <w:r>
              <w:rPr>
                <w:rFonts w:ascii="Calibri" w:cs="Calibri" w:eastAsia="Calibri" w:hAnsi="Calibri"/>
                <w:sz w:val="18"/>
                <w:szCs w:val="18"/>
                <w:color w:val="auto"/>
              </w:rPr>
              <w:t>12024551165</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Philippines</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158</w:t>
            </w: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18/711,130</w:t>
            </w:r>
          </w:p>
        </w:tc>
        <w:tc>
          <w:tcPr>
            <w:tcW w:w="1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159</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NC2024/0007518</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Colombia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160</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To be provided</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35"/>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161</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202390295</w:t>
            </w:r>
          </w:p>
        </w:tc>
        <w:tc>
          <w:tcPr>
            <w:tcW w:w="1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Organization</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21769080.9</w:t>
            </w:r>
          </w:p>
        </w:tc>
        <w:tc>
          <w:tcPr>
            <w:tcW w:w="108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25"/>
        </w:trPr>
        <w:tc>
          <w:tcPr>
            <w:tcW w:w="340" w:type="dxa"/>
            <w:vAlign w:val="bottom"/>
            <w:tcBorders>
              <w:left w:val="single" w:sz="8" w:color="auto"/>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62023077767.9</w:t>
            </w:r>
          </w:p>
        </w:tc>
        <w:tc>
          <w:tcPr>
            <w:tcW w:w="1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139"/>
          </w:cols>
          <w:pgMar w:left="320" w:top="1440" w:right="1440" w:bottom="1440" w:gutter="0" w:footer="0" w:header="0"/>
        </w:sectPr>
      </w:pPr>
    </w:p>
    <w:bookmarkStart w:id="146" w:name="page147"/>
    <w:bookmarkEnd w:id="146"/>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164</w:t>
            </w:r>
          </w:p>
        </w:tc>
        <w:tc>
          <w:tcPr>
            <w:tcW w:w="14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298129</w:t>
            </w: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165</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 2023000584</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Malaysia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166</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MX/a/2022/014128</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167</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793361</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168</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11202300697X</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169</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17/806,526</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170</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63/513,140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63/585,000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172</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18/619,547</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PCT/EP2024/058587</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174</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PCT/EP2023/078480</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5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Method</w:t>
            </w:r>
          </w:p>
        </w:tc>
        <w:tc>
          <w:tcPr>
            <w:tcW w:w="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10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color w:val="auto"/>
              </w:rPr>
              <w:t>Administration</w:t>
            </w:r>
          </w:p>
        </w:tc>
        <w:tc>
          <w:tcPr>
            <w:tcW w:w="32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a  Parenteral</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16"/>
                <w:szCs w:val="16"/>
                <w:color w:val="auto"/>
              </w:rPr>
              <w:t>Formulation Comprising a Psychedelic Agent</w:t>
            </w: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3180" w:type="dxa"/>
            <w:vAlign w:val="bottom"/>
            <w:tcBorders>
              <w:right w:val="single" w:sz="8" w:color="auto"/>
            </w:tcBorders>
            <w:gridSpan w:val="7"/>
          </w:tcPr>
          <w:p>
            <w:pPr>
              <w:spacing w:after="0" w:line="158" w:lineRule="exact"/>
              <w:rPr>
                <w:sz w:val="20"/>
                <w:szCs w:val="20"/>
                <w:color w:val="auto"/>
              </w:rPr>
            </w:pPr>
            <w:r>
              <w:rPr>
                <w:rFonts w:ascii="Times New Roman" w:cs="Times New Roman" w:eastAsia="Times New Roman" w:hAnsi="Times New Roman"/>
                <w:sz w:val="16"/>
                <w:szCs w:val="16"/>
                <w:color w:val="auto"/>
              </w:rPr>
              <w:t>Treatment  of  Psychiatric  or  Neurological</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175</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PCT/EP2024/051569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Disorders by Parenteral</w:t>
            </w:r>
          </w:p>
        </w:tc>
        <w:tc>
          <w:tcPr>
            <w:tcW w:w="1460" w:type="dxa"/>
            <w:vAlign w:val="bottom"/>
            <w:tcBorders>
              <w:right w:val="single" w:sz="8" w:color="auto"/>
            </w:tcBorders>
            <w:gridSpan w:val="4"/>
          </w:tcPr>
          <w:p>
            <w:pPr>
              <w:jc w:val="right"/>
              <w:spacing w:after="0" w:line="162" w:lineRule="exact"/>
              <w:rPr>
                <w:sz w:val="20"/>
                <w:szCs w:val="20"/>
                <w:color w:val="auto"/>
              </w:rPr>
            </w:pPr>
            <w:r>
              <w:rPr>
                <w:rFonts w:ascii="Times New Roman" w:cs="Times New Roman" w:eastAsia="Times New Roman" w:hAnsi="Times New Roman"/>
                <w:sz w:val="16"/>
                <w:szCs w:val="16"/>
                <w:color w:val="auto"/>
              </w:rPr>
              <w:t>Administration of a</w:t>
            </w:r>
          </w:p>
        </w:tc>
        <w:tc>
          <w:tcPr>
            <w:tcW w:w="0" w:type="dxa"/>
            <w:vAlign w:val="bottom"/>
          </w:tcPr>
          <w:p>
            <w:pPr>
              <w:spacing w:after="0"/>
              <w:rPr>
                <w:sz w:val="1"/>
                <w:szCs w:val="1"/>
                <w:color w:val="auto"/>
              </w:rPr>
            </w:pPr>
          </w:p>
        </w:tc>
      </w:tr>
      <w:tr>
        <w:trPr>
          <w:trHeight w:val="121"/>
        </w:trPr>
        <w:tc>
          <w:tcPr>
            <w:tcW w:w="32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gridSpan w:val="7"/>
            <w:vMerge w:val="restart"/>
          </w:tcPr>
          <w:p>
            <w:pPr>
              <w:spacing w:after="0" w:line="158" w:lineRule="exact"/>
              <w:rPr>
                <w:sz w:val="20"/>
                <w:szCs w:val="20"/>
                <w:color w:val="auto"/>
              </w:rPr>
            </w:pPr>
            <w:r>
              <w:rPr>
                <w:rFonts w:ascii="Times New Roman" w:cs="Times New Roman" w:eastAsia="Times New Roman" w:hAnsi="Times New Roman"/>
                <w:sz w:val="16"/>
                <w:szCs w:val="16"/>
                <w:color w:val="auto"/>
              </w:rPr>
              <w:t>Single, Effective Parenteral Dose of A Short-</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3180" w:type="dxa"/>
            <w:vAlign w:val="bottom"/>
            <w:tcBorders>
              <w:right w:val="single" w:sz="8" w:color="auto"/>
            </w:tcBorders>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Acting Psychedelic Agent</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176</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22214748</w:t>
            </w:r>
          </w:p>
        </w:tc>
        <w:tc>
          <w:tcPr>
            <w:tcW w:w="6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177</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202217028688</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178</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292754</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179</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21203394.8</w:t>
            </w:r>
          </w:p>
        </w:tc>
        <w:tc>
          <w:tcPr>
            <w:tcW w:w="6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5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Solid</w:t>
            </w:r>
          </w:p>
        </w:tc>
        <w:tc>
          <w:tcPr>
            <w:tcW w:w="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Oral</w:t>
            </w:r>
          </w:p>
        </w:tc>
        <w:tc>
          <w:tcPr>
            <w:tcW w:w="860" w:type="dxa"/>
            <w:vAlign w:val="bottom"/>
          </w:tcPr>
          <w:p>
            <w:pPr>
              <w:ind w:left="160"/>
              <w:spacing w:after="0" w:line="158" w:lineRule="exact"/>
              <w:rPr>
                <w:sz w:val="20"/>
                <w:szCs w:val="20"/>
                <w:color w:val="auto"/>
              </w:rPr>
            </w:pPr>
            <w:r>
              <w:rPr>
                <w:rFonts w:ascii="Times New Roman" w:cs="Times New Roman" w:eastAsia="Times New Roman" w:hAnsi="Times New Roman"/>
                <w:sz w:val="16"/>
                <w:szCs w:val="16"/>
                <w:color w:val="auto"/>
              </w:rPr>
              <w:t>Dosage</w:t>
            </w:r>
          </w:p>
        </w:tc>
        <w:tc>
          <w:tcPr>
            <w:tcW w:w="5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Forms</w:t>
            </w:r>
          </w:p>
        </w:tc>
        <w:tc>
          <w:tcPr>
            <w:tcW w:w="42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of</w:t>
            </w:r>
          </w:p>
        </w:tc>
        <w:tc>
          <w:tcPr>
            <w:tcW w:w="54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2R,6R-</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16"/>
                <w:szCs w:val="16"/>
                <w:color w:val="auto"/>
              </w:rPr>
              <w:t>Hydroxynorketamine or Derivatives Thereof</w:t>
            </w: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180</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18/193,866</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Synthesis  of  N,N-Dimethyltryptamine-Type</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gridSpan w:val="5"/>
          </w:tcPr>
          <w:p>
            <w:pPr>
              <w:spacing w:after="0" w:line="133" w:lineRule="exact"/>
              <w:rPr>
                <w:sz w:val="20"/>
                <w:szCs w:val="20"/>
                <w:color w:val="auto"/>
              </w:rPr>
            </w:pPr>
            <w:r>
              <w:rPr>
                <w:rFonts w:ascii="Times New Roman" w:cs="Times New Roman" w:eastAsia="Times New Roman" w:hAnsi="Times New Roman"/>
                <w:sz w:val="15"/>
                <w:szCs w:val="15"/>
                <w:color w:val="auto"/>
              </w:rPr>
              <w:t>Compounds, Methods, and Uses</w:t>
            </w: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18/602,171</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7"/>
          </w:tcPr>
          <w:p>
            <w:pPr>
              <w:ind w:left="260"/>
              <w:spacing w:after="0"/>
              <w:rPr>
                <w:sz w:val="20"/>
                <w:szCs w:val="20"/>
                <w:color w:val="auto"/>
              </w:rPr>
            </w:pPr>
            <w:r>
              <w:rPr>
                <w:rFonts w:ascii="Times New Roman" w:cs="Times New Roman" w:eastAsia="Times New Roman" w:hAnsi="Times New Roman"/>
                <w:sz w:val="16"/>
                <w:szCs w:val="16"/>
                <w:color w:val="auto"/>
              </w:rPr>
              <w:t>Synthesis of N,N-Dimethyltryptamine-Type</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gridSpan w:val="5"/>
          </w:tcPr>
          <w:p>
            <w:pPr>
              <w:spacing w:after="0" w:line="133" w:lineRule="exact"/>
              <w:rPr>
                <w:sz w:val="20"/>
                <w:szCs w:val="20"/>
                <w:color w:val="auto"/>
              </w:rPr>
            </w:pPr>
            <w:r>
              <w:rPr>
                <w:rFonts w:ascii="Times New Roman" w:cs="Times New Roman" w:eastAsia="Times New Roman" w:hAnsi="Times New Roman"/>
                <w:sz w:val="15"/>
                <w:szCs w:val="15"/>
                <w:color w:val="auto"/>
              </w:rPr>
              <w:t>Compounds, Methods, and Uses</w:t>
            </w: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182</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110119792</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Taiwan</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183</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1120220245661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1360" w:type="dxa"/>
            <w:vAlign w:val="bottom"/>
            <w:gridSpan w:val="3"/>
          </w:tcPr>
          <w:p>
            <w:pPr>
              <w:ind w:left="2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60" w:type="dxa"/>
            <w:vAlign w:val="bottom"/>
            <w:tcBorders>
              <w:right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180" w:type="dxa"/>
            <w:vAlign w:val="bottom"/>
            <w:tcBorders>
              <w:right w:val="single" w:sz="8" w:color="auto"/>
            </w:tcBorders>
            <w:gridSpan w:val="7"/>
          </w:tcPr>
          <w:p>
            <w:pPr>
              <w:spacing w:after="0" w:line="162"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184</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202180046463.X</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1360" w:type="dxa"/>
            <w:vAlign w:val="bottom"/>
            <w:gridSpan w:val="3"/>
          </w:tcPr>
          <w:p>
            <w:pPr>
              <w:ind w:left="2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60" w:type="dxa"/>
            <w:vAlign w:val="bottom"/>
            <w:tcBorders>
              <w:right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180" w:type="dxa"/>
            <w:vAlign w:val="bottom"/>
            <w:tcBorders>
              <w:right w:val="single" w:sz="8" w:color="auto"/>
            </w:tcBorders>
            <w:gridSpan w:val="7"/>
          </w:tcPr>
          <w:p>
            <w:pPr>
              <w:spacing w:after="0" w:line="162"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185</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202293451</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1360" w:type="dxa"/>
            <w:vAlign w:val="bottom"/>
            <w:gridSpan w:val="3"/>
          </w:tcPr>
          <w:p>
            <w:pPr>
              <w:ind w:left="2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60" w:type="dxa"/>
            <w:vAlign w:val="bottom"/>
            <w:tcBorders>
              <w:right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gridSpan w:val="2"/>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1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or  Partially</w:t>
            </w:r>
          </w:p>
        </w:tc>
        <w:tc>
          <w:tcPr>
            <w:tcW w:w="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gridSpan w:val="2"/>
          </w:tcPr>
          <w:p>
            <w:pPr>
              <w:spacing w:after="0" w:line="158" w:lineRule="exact"/>
              <w:rPr>
                <w:sz w:val="20"/>
                <w:szCs w:val="20"/>
                <w:color w:val="auto"/>
              </w:rPr>
            </w:pPr>
            <w:r>
              <w:rPr>
                <w:rFonts w:ascii="Times New Roman" w:cs="Times New Roman" w:eastAsia="Times New Roman" w:hAnsi="Times New Roman"/>
                <w:sz w:val="16"/>
                <w:szCs w:val="16"/>
                <w:color w:val="auto"/>
              </w:rPr>
              <w:t>Organization</w:t>
            </w:r>
          </w:p>
        </w:tc>
        <w:tc>
          <w:tcPr>
            <w:tcW w:w="1260" w:type="dxa"/>
            <w:vAlign w:val="bottom"/>
            <w:tcBorders>
              <w:right w:val="single" w:sz="8" w:color="auto"/>
            </w:tcBorders>
          </w:tcPr>
          <w:p>
            <w:pPr>
              <w:spacing w:after="0"/>
              <w:rPr>
                <w:sz w:val="13"/>
                <w:szCs w:val="13"/>
                <w:color w:val="auto"/>
              </w:rPr>
            </w:pPr>
          </w:p>
        </w:tc>
        <w:tc>
          <w:tcPr>
            <w:tcW w:w="22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5"/>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186</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42023070531.1</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1360" w:type="dxa"/>
            <w:vAlign w:val="bottom"/>
            <w:gridSpan w:val="3"/>
          </w:tcPr>
          <w:p>
            <w:pPr>
              <w:ind w:left="2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60" w:type="dxa"/>
            <w:vAlign w:val="bottom"/>
            <w:tcBorders>
              <w:right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gridSpan w:val="2"/>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180" w:type="dxa"/>
            <w:vAlign w:val="bottom"/>
            <w:tcBorders>
              <w:right w:val="single" w:sz="8" w:color="auto"/>
            </w:tcBorders>
            <w:gridSpan w:val="7"/>
          </w:tcPr>
          <w:p>
            <w:pPr>
              <w:spacing w:after="0" w:line="162"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187</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202217076779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1360" w:type="dxa"/>
            <w:vAlign w:val="bottom"/>
            <w:gridSpan w:val="3"/>
          </w:tcPr>
          <w:p>
            <w:pPr>
              <w:ind w:left="2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60" w:type="dxa"/>
            <w:vAlign w:val="bottom"/>
            <w:tcBorders>
              <w:right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180" w:type="dxa"/>
            <w:vAlign w:val="bottom"/>
            <w:tcBorders>
              <w:right w:val="single" w:sz="8" w:color="auto"/>
            </w:tcBorders>
            <w:gridSpan w:val="7"/>
          </w:tcPr>
          <w:p>
            <w:pPr>
              <w:spacing w:after="0" w:line="162"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139"/>
          </w:cols>
          <w:pgMar w:left="320" w:top="1440" w:right="1440" w:bottom="1440" w:gutter="0" w:footer="0" w:header="0"/>
        </w:sectPr>
      </w:pPr>
    </w:p>
    <w:bookmarkStart w:id="147" w:name="page148"/>
    <w:bookmarkEnd w:id="147"/>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320" w:type="dxa"/>
            <w:vAlign w:val="bottom"/>
            <w:tcBorders>
              <w:top w:val="single" w:sz="8" w:color="auto"/>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188</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298541</w:t>
            </w:r>
          </w:p>
        </w:tc>
        <w:tc>
          <w:tcPr>
            <w:tcW w:w="8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top w:val="single" w:sz="8" w:color="auto"/>
              <w:right w:val="single" w:sz="8" w:color="auto"/>
            </w:tcBorders>
          </w:tcPr>
          <w:p>
            <w:pPr>
              <w:spacing w:after="0"/>
              <w:rPr>
                <w:sz w:val="15"/>
                <w:szCs w:val="15"/>
                <w:color w:val="auto"/>
              </w:rPr>
            </w:pPr>
          </w:p>
        </w:tc>
        <w:tc>
          <w:tcPr>
            <w:tcW w:w="13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60"/>
              <w:spacing w:after="0" w:line="17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top w:val="single" w:sz="8" w:color="auto"/>
              <w:right w:val="single" w:sz="8" w:color="auto"/>
            </w:tcBorders>
            <w:gridSpan w:val="2"/>
          </w:tcPr>
          <w:p>
            <w:pPr>
              <w:ind w:left="140"/>
              <w:spacing w:after="0" w:line="17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2020286709</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1120210243330</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Brazil</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3142290</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202080050439.9</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22173907.1</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73"/>
        </w:trPr>
        <w:tc>
          <w:tcPr>
            <w:tcW w:w="32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840" w:type="dxa"/>
            <w:vAlign w:val="bottom"/>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restart"/>
          </w:tcPr>
          <w:p>
            <w:pPr>
              <w:ind w:left="60"/>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780" w:type="dxa"/>
            <w:vAlign w:val="bottom"/>
            <w:vMerge w:val="restart"/>
          </w:tcPr>
          <w:p>
            <w:pPr>
              <w:ind w:left="140"/>
              <w:spacing w:after="0" w:line="162" w:lineRule="exact"/>
              <w:rPr>
                <w:sz w:val="20"/>
                <w:szCs w:val="20"/>
                <w:color w:val="auto"/>
              </w:rPr>
            </w:pPr>
            <w:r>
              <w:rPr>
                <w:rFonts w:ascii="Times New Roman" w:cs="Times New Roman" w:eastAsia="Times New Roman" w:hAnsi="Times New Roman"/>
                <w:sz w:val="16"/>
                <w:szCs w:val="16"/>
                <w:color w:val="auto"/>
              </w:rPr>
              <w:t>Partially</w:t>
            </w:r>
          </w:p>
        </w:tc>
        <w:tc>
          <w:tcPr>
            <w:tcW w:w="88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480" w:type="dxa"/>
            <w:vAlign w:val="bottom"/>
            <w:tcBorders>
              <w:right w:val="single" w:sz="8" w:color="auto"/>
            </w:tcBorders>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89"/>
        </w:trPr>
        <w:tc>
          <w:tcPr>
            <w:tcW w:w="320" w:type="dxa"/>
            <w:vAlign w:val="bottom"/>
            <w:tcBorders>
              <w:left w:val="single" w:sz="8" w:color="auto"/>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20" w:type="dxa"/>
            <w:vAlign w:val="bottom"/>
            <w:tcBorders>
              <w:left w:val="single" w:sz="8" w:color="auto"/>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22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gridSpan w:val="4"/>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288617</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2021-571882</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783166</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10-2021-7043410</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73"/>
        </w:trPr>
        <w:tc>
          <w:tcPr>
            <w:tcW w:w="32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00" w:type="dxa"/>
            <w:vAlign w:val="bottom"/>
            <w:tcBorders>
              <w:right w:val="single" w:sz="8" w:color="auto"/>
            </w:tcBorders>
            <w:vMerge w:val="continue"/>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840" w:type="dxa"/>
            <w:vAlign w:val="bottom"/>
            <w:vMerge w:val="restart"/>
          </w:tcPr>
          <w:p>
            <w:pPr>
              <w:spacing w:after="0" w:line="176"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5"/>
            <w:vMerge w:val="restart"/>
          </w:tcPr>
          <w:p>
            <w:pPr>
              <w:ind w:left="60"/>
              <w:spacing w:after="0" w:line="176"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103"/>
        </w:trPr>
        <w:tc>
          <w:tcPr>
            <w:tcW w:w="32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88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Korea</w:t>
            </w:r>
          </w:p>
        </w:tc>
        <w:tc>
          <w:tcPr>
            <w:tcW w:w="2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38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20" w:type="dxa"/>
            <w:vAlign w:val="bottom"/>
            <w:tcBorders>
              <w:left w:val="single" w:sz="8" w:color="auto"/>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17/616,345</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w:t>
            </w:r>
          </w:p>
        </w:tc>
        <w:tc>
          <w:tcPr>
            <w:tcW w:w="240" w:type="dxa"/>
            <w:vAlign w:val="bottom"/>
          </w:tcPr>
          <w:p>
            <w:pPr>
              <w:spacing w:after="0"/>
              <w:rPr>
                <w:sz w:val="13"/>
                <w:szCs w:val="13"/>
                <w:color w:val="auto"/>
              </w:rPr>
            </w:pPr>
          </w:p>
        </w:tc>
        <w:tc>
          <w:tcPr>
            <w:tcW w:w="12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gridSpan w:val="2"/>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or</w:t>
            </w:r>
          </w:p>
        </w:tc>
        <w:tc>
          <w:tcPr>
            <w:tcW w:w="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Partially</w:t>
            </w:r>
          </w:p>
        </w:tc>
        <w:tc>
          <w:tcPr>
            <w:tcW w:w="8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Deuterated</w:t>
            </w:r>
          </w:p>
        </w:tc>
        <w:tc>
          <w:tcPr>
            <w:tcW w:w="48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America</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2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gridSpan w:val="4"/>
            <w:vMerge w:val="continue"/>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199</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2021284861</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200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21725377.2</w:t>
            </w:r>
          </w:p>
        </w:tc>
        <w:tc>
          <w:tcPr>
            <w:tcW w:w="8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4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228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201</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202217076899</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202</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298542</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203</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2022-574098</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204</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794813</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205</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3118556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206</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202180046533.1</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207</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17/320,155</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4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20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safety profiles without altering their receptor binding. The patent applications also cover novel synthetic routes, pharmaceutical formulations, methods of use, and methods of administration.</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also filed applications for registration of twenty-six trademarks, including Changing Minds®, Cybin®, Embark®It’s not magic. It’s mushrooms™, It’s not magic, its science™, Journey™, Mushroom &amp; Friends™, Psilotonin™, Psychedelics to Therapeutics®, MindClef™, CYB™, and Revolutionizing Mental Healthcare™. The Company has registered the CYBIN trademark in the EU (reg. 18495520), the UK (reg. UK00003656496), and the US (reg. 6,852,975) the mark PSYCHEDELICS TO THERAPEUTICS in the UK (reg. UK00003717706), the mark CHANGING MINDS in Canada (TMA1195700), and the mark EMBARK in Canada (TMA1196747).</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 result of the Arrangement, the Company has registered trademarks with the United Kingdom Intellectual Property Office (registration no. UK00003244617), and the European Union Intellectual Property Office (registration no. 018396486), and has filed an application for registration with the USPTO (application no. 90523956) and the Canadian Intellectual Property Office (application no 2084387).</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Protections</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is committed to minimizing any environmental impact of its operations and operating its business in a way that will foster sustainable use of the world’s natural resources. At this time, the Company’s business does not materially impact environmental conditions. However, prior to commencing any operations that the Company expects to impact environmental conditions, the Company will establish internal policies to comply with all applicable environmental protection laws and regulations.</w:t>
      </w:r>
    </w:p>
    <w:p>
      <w:pPr>
        <w:spacing w:after="0" w:line="18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 does not expect that there will be any financial or operational effects as a result of environmental protection requirements on its capital expenditures, profit or loss, or its competitive positions in the current fiscal year or in future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yellow"/>
        </w:rPr>
        <w:t>Competitive Conditions</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proposed development of psychoactive compounds for use in medical research will compete with other entities that are developing or supplying psychoactive compounds for use in medical research, including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320" w:top="1440" w:right="319" w:bottom="1440" w:gutter="0" w:footer="0" w:header="0"/>
        </w:sectPr>
      </w:pPr>
    </w:p>
    <w:bookmarkStart w:id="149" w:name="page150"/>
    <w:bookmarkEnd w:id="149"/>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industry within which the Company intends to operate will become intensely competitive in all its phases, and the Company will face intense competition from other companies, some of which can be expected to have more financial resources and retail, formulation, research, processing, and marketing experience than the Company. Although the Company has access to capital, a management team with specialized skills and knowledge, and an IP portfolio that positions it well among its competitors, there can be no assurance that potential competitors of the Company, which may have greater financial, formulation, research,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Operating Cash Flow</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Since inception, the Company has had negative operating cash flow and incurred losses. The Company’s negative operating cash flow and losses may continue for the foreseeable future. The Company cannot predict when it will reach positive operating cash flow, if ever. Due to the expected continuation of negative operating cash flow, the Company will be reliant on future financings in order to meet its cash needs. There is no assurance that such future financings will be available on acceptable terms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9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There are various risk factors that could cause the Company’s future results to differ materially from those described in this AIF. The risks and uncertainties described below are those the Company currently believes to be material, but they are not the only ones it faces. If any of the following risks, or any other risks and uncertainties that the Company has not yet identified or that it currently considers not to be material, actually occur or become material risks, the Company’s business, financial condition, results of operations and cash flows, and consequently the price of the Common Shares, could be materially and adversely affected. The risks discussed below also include forward-looking statements and the Company’s actual results may differ substantially from those discussed in these forward-looking statements. See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in this AIF.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INDUSTRY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post-Transaction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1440" w:right="319" w:bottom="1440" w:gutter="0" w:footer="0" w:header="0"/>
        </w:sectPr>
      </w:pPr>
    </w:p>
    <w:bookmarkStart w:id="150" w:name="page151"/>
    <w:bookmarkEnd w:id="150"/>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Achieving Publicly Announced Milestones</w:t>
      </w:r>
    </w:p>
    <w:p>
      <w:pPr>
        <w:spacing w:after="0" w:line="20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w:t>
      </w:r>
      <w:r>
        <w:rPr>
          <w:rFonts w:ascii="Times New Roman" w:cs="Times New Roman" w:eastAsia="Times New Roman" w:hAnsi="Times New Roman"/>
          <w:sz w:val="18"/>
          <w:szCs w:val="18"/>
          <w:i w:val="1"/>
          <w:iCs w:val="1"/>
          <w:color w:val="auto"/>
        </w:rPr>
        <w:t>Commercial Scale Product Manufacturing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Safety and Efficacy of Products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Clinical Testing and Commercializing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Candidates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Completion of Clinical Trials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Nature of Regulatory Approvals</w:t>
      </w:r>
      <w:r>
        <w:rPr>
          <w:rFonts w:ascii="Times New Roman" w:cs="Times New Roman" w:eastAsia="Times New Roman" w:hAnsi="Times New Roman"/>
          <w:sz w:val="18"/>
          <w:szCs w:val="18"/>
          <w:color w:val="auto"/>
        </w:rPr>
        <w:t>” as discussed under this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risks and events that may affect the timing of certain events the Company may announce.</w:t>
      </w:r>
    </w:p>
    <w:p>
      <w:pPr>
        <w:spacing w:after="0" w:line="17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Speculative Nature of Investment Risk</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Stage of the Industry and Product Development</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60"/>
          </w:cols>
          <w:pgMar w:left="320" w:top="1440" w:right="319" w:bottom="1440" w:gutter="0" w:footer="0" w:header="0"/>
        </w:sectPr>
      </w:pPr>
    </w:p>
    <w:bookmarkStart w:id="151" w:name="page152"/>
    <w:bookmarkEnd w:id="151"/>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7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60"/>
          </w:cols>
          <w:pgMar w:left="320" w:top="1440" w:right="319" w:bottom="1440" w:gutter="0" w:footer="0" w:header="0"/>
        </w:sectPr>
      </w:pPr>
    </w:p>
    <w:bookmarkStart w:id="152" w:name="page153"/>
    <w:bookmarkEnd w:id="152"/>
    <w:p>
      <w:pPr>
        <w:spacing w:after="0" w:line="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 xml:space="preserve">The Company’s business relies on its ability to access, develop, and sell psilocybin, DMT-based compounds and other psychedelic compounds. Psilocybin, DMT-based compounds and other psychedelic compounds are controlled substances in many jurisdictions, including in Canada under Schedule III of the </w:t>
      </w:r>
      <w:r>
        <w:rPr>
          <w:rFonts w:ascii="Times New Roman" w:cs="Times New Roman" w:eastAsia="Times New Roman" w:hAnsi="Times New Roman"/>
          <w:sz w:val="17"/>
          <w:szCs w:val="17"/>
          <w:i w:val="1"/>
          <w:iCs w:val="1"/>
          <w:color w:val="auto"/>
        </w:rPr>
        <w:t xml:space="preserve">Controlled Drugs and Substances Act </w:t>
      </w:r>
      <w:r>
        <w:rPr>
          <w:rFonts w:ascii="Times New Roman" w:cs="Times New Roman" w:eastAsia="Times New Roman" w:hAnsi="Times New Roman"/>
          <w:sz w:val="17"/>
          <w:szCs w:val="17"/>
          <w:color w:val="auto"/>
        </w:rPr>
        <w:t>and in the United States. The Company may face difficulty accessing the public capital markets in Canada as a result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 and Uncertainties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20" w:top="1440" w:right="319" w:bottom="1440" w:gutter="0" w:footer="0" w:header="0"/>
        </w:sectPr>
      </w:pPr>
    </w:p>
    <w:bookmarkStart w:id="153" w:name="page154"/>
    <w:bookmarkEnd w:id="15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6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of Operating in European Countries</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 Under the U.S. Securities Laws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60"/>
          </w:cols>
          <w:pgMar w:left="320" w:top="1440" w:right="319" w:bottom="1440" w:gutter="0" w:footer="0" w:header="0"/>
        </w:sectPr>
      </w:pPr>
    </w:p>
    <w:bookmarkStart w:id="154" w:name="page155"/>
    <w:bookmarkEnd w:id="154"/>
    <w:p>
      <w:pPr>
        <w:spacing w:after="0" w:line="21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Company is a “foreign private issuer”, under applicable U.S. federal securities laws, and is, therefore, not subject to the same requirements that are imposed upon U.S. domestic issuers by the SEC.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Plans for Growth</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Products</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320" w:top="1440" w:right="319" w:bottom="1440" w:gutter="0" w:footer="0" w:header="0"/>
        </w:sectPr>
      </w:pPr>
    </w:p>
    <w:bookmarkStart w:id="155" w:name="page156"/>
    <w:bookmarkEnd w:id="155"/>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Marketing and Sales Capabilities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Assurance of Commercial Success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Profits or Significant Revenues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Third Parties for Clinical Development Activities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Risks Related to Third Party Relationships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Contract Manufacturers</w:t>
      </w:r>
    </w:p>
    <w:p>
      <w:pPr>
        <w:spacing w:after="0" w:line="20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the MHRA the EMA, 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60"/>
          </w:cols>
          <w:pgMar w:left="320" w:top="1437"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Safety and Efficacy of Products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major risk the Company faces is the possibility that none of its prescription drug product candidates under development will successfully gain market approval from Health Canada, the FDA, the MHRA, the EMA, the PDD or other regulatory authorities, resulting in the Company being unable to derive any commercial revenue from them after investing significant amounts of capital in their development.</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Testing and Commercializing Products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37" w:right="339" w:bottom="1440" w:gutter="0" w:footer="0" w:header="0"/>
        </w:sectPr>
      </w:pPr>
    </w:p>
    <w:bookmarkStart w:id="158" w:name="page159"/>
    <w:bookmarkEnd w:id="158"/>
    <w:p>
      <w:pPr>
        <w:spacing w:after="0" w:line="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32" w:lineRule="exact"/>
        <w:rPr>
          <w:sz w:val="20"/>
          <w:szCs w:val="20"/>
          <w:color w:val="auto"/>
        </w:rPr>
      </w:pPr>
    </w:p>
    <w:p>
      <w:pPr>
        <w:ind w:left="1160" w:hanging="581"/>
        <w:spacing w:after="0"/>
        <w:tabs>
          <w:tab w:leader="none" w:pos="11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25" w:lineRule="exact"/>
        <w:rPr>
          <w:rFonts w:ascii="Times New Roman" w:cs="Times New Roman" w:eastAsia="Times New Roman" w:hAnsi="Times New Roman"/>
          <w:sz w:val="18"/>
          <w:szCs w:val="18"/>
          <w:color w:val="auto"/>
        </w:rPr>
      </w:pPr>
    </w:p>
    <w:p>
      <w:pPr>
        <w:ind w:left="1160" w:right="20" w:hanging="581"/>
        <w:spacing w:after="0" w:line="246" w:lineRule="auto"/>
        <w:tabs>
          <w:tab w:leader="none" w:pos="11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ind w:left="1160" w:right="20" w:hanging="581"/>
        <w:spacing w:after="0" w:line="249" w:lineRule="auto"/>
        <w:tabs>
          <w:tab w:leader="none" w:pos="11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ind w:left="1160" w:right="20" w:hanging="581"/>
        <w:spacing w:after="0" w:line="246" w:lineRule="auto"/>
        <w:tabs>
          <w:tab w:leader="none" w:pos="11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1160" w:hanging="581"/>
        <w:spacing w:after="0" w:line="248" w:lineRule="auto"/>
        <w:tabs>
          <w:tab w:leader="none" w:pos="11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5" w:lineRule="exact"/>
        <w:rPr>
          <w:rFonts w:ascii="Times New Roman" w:cs="Times New Roman" w:eastAsia="Times New Roman" w:hAnsi="Times New Roman"/>
          <w:sz w:val="18"/>
          <w:szCs w:val="18"/>
          <w:color w:val="auto"/>
        </w:rPr>
      </w:pPr>
    </w:p>
    <w:p>
      <w:pPr>
        <w:ind w:left="1160" w:right="20" w:hanging="581"/>
        <w:spacing w:after="0" w:line="249" w:lineRule="auto"/>
        <w:tabs>
          <w:tab w:leader="none" w:pos="11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1" w:lineRule="exact"/>
        <w:rPr>
          <w:rFonts w:ascii="Times New Roman" w:cs="Times New Roman" w:eastAsia="Times New Roman" w:hAnsi="Times New Roman"/>
          <w:sz w:val="18"/>
          <w:szCs w:val="18"/>
          <w:color w:val="auto"/>
        </w:rPr>
      </w:pPr>
    </w:p>
    <w:p>
      <w:pPr>
        <w:ind w:left="1160" w:right="20" w:hanging="581"/>
        <w:spacing w:after="0" w:line="246" w:lineRule="auto"/>
        <w:tabs>
          <w:tab w:leader="none" w:pos="11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1160" w:hanging="581"/>
        <w:spacing w:after="0"/>
        <w:tabs>
          <w:tab w:leader="none" w:pos="11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60"/>
          </w:cols>
          <w:pgMar w:left="320" w:top="1440" w:right="319" w:bottom="1440" w:gutter="0" w:footer="0" w:header="0"/>
        </w:sectPr>
      </w:pPr>
    </w:p>
    <w:bookmarkStart w:id="159" w:name="page160"/>
    <w:bookmarkEnd w:id="159"/>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successful completion of that trial. Delays or increased product development costs may have a material adverse effect on the Company’s business, financial condition and prospects.</w:t>
      </w:r>
    </w:p>
    <w:p>
      <w:pPr>
        <w:spacing w:after="0" w:line="14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9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Clinical Trials</w:t>
      </w:r>
    </w:p>
    <w:p>
      <w:pPr>
        <w:spacing w:after="0" w:line="19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Grade Product Manufacturing</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60"/>
          </w:cols>
          <w:pgMar w:left="320" w:top="1440"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Nature of Regulatory Approvals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6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7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 the PDD or other regulatory authorities may impose a risk evaluation and mitigation strategy, thereby imposing certain restrictions on the sale and marketability of such products.</w:t>
      </w:r>
    </w:p>
    <w:p>
      <w:pPr>
        <w:spacing w:after="0" w:line="17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60"/>
          </w:cols>
          <w:pgMar w:left="320" w:top="1436" w:right="319" w:bottom="1440" w:gutter="0" w:footer="0" w:header="0"/>
        </w:sectPr>
      </w:pPr>
    </w:p>
    <w:bookmarkStart w:id="161" w:name="page162"/>
    <w:bookmarkEnd w:id="16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to comply with regulatory requirements, which could materially adversely affect its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Access and Acceptance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197" w:lineRule="exact"/>
        <w:rPr>
          <w:sz w:val="20"/>
          <w:szCs w:val="20"/>
          <w:color w:val="auto"/>
        </w:rPr>
      </w:pPr>
    </w:p>
    <w:p>
      <w:pPr>
        <w:ind w:left="620" w:hanging="332"/>
        <w:spacing w:after="0"/>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healthcare professionals, patients and healthcare payors of each product as safe, effective and cost-effective;</w:t>
      </w:r>
    </w:p>
    <w:p>
      <w:pPr>
        <w:spacing w:after="0" w:line="144"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product;</w:t>
      </w:r>
    </w:p>
    <w:p>
      <w:pPr>
        <w:spacing w:after="0" w:line="144"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44"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44"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relative convenience, ease of use, ease of administration and other perceived advantages over alternatives;</w:t>
      </w:r>
    </w:p>
    <w:p>
      <w:pPr>
        <w:spacing w:after="0" w:line="144"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or publicity;</w:t>
      </w:r>
    </w:p>
    <w:p>
      <w:pPr>
        <w:spacing w:after="0" w:line="144" w:lineRule="exact"/>
        <w:rPr>
          <w:rFonts w:ascii="Times New Roman" w:cs="Times New Roman" w:eastAsia="Times New Roman" w:hAnsi="Times New Roman"/>
          <w:sz w:val="18"/>
          <w:szCs w:val="18"/>
          <w:color w:val="auto"/>
        </w:rPr>
      </w:pPr>
    </w:p>
    <w:p>
      <w:pPr>
        <w:ind w:left="580" w:right="20" w:hanging="292"/>
        <w:spacing w:after="0" w:line="282" w:lineRule="auto"/>
        <w:tabs>
          <w:tab w:leader="none" w:pos="5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precautions or warnings listed in the summary of product characteristics, patient information leaflet, package labeling or instructions for use;</w:t>
      </w:r>
    </w:p>
    <w:p>
      <w:pPr>
        <w:spacing w:after="0" w:line="83"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with the Company’s product in relation to alternatives;</w:t>
      </w:r>
    </w:p>
    <w:p>
      <w:pPr>
        <w:spacing w:after="0" w:line="144"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that prescribers and dispensers must take, as well as the perceived risks based upon its controlled substance status;</w:t>
      </w:r>
    </w:p>
    <w:p>
      <w:pPr>
        <w:spacing w:after="0" w:line="144"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the Company’s product in sufficient quantities and yields with adequate purity;</w:t>
      </w:r>
    </w:p>
    <w:p>
      <w:pPr>
        <w:spacing w:after="0" w:line="144" w:lineRule="exact"/>
        <w:rPr>
          <w:rFonts w:ascii="Times New Roman" w:cs="Times New Roman" w:eastAsia="Times New Roman" w:hAnsi="Times New Roman"/>
          <w:sz w:val="18"/>
          <w:szCs w:val="18"/>
          <w:color w:val="auto"/>
        </w:rPr>
      </w:pPr>
    </w:p>
    <w:p>
      <w:pPr>
        <w:ind w:left="580" w:right="20" w:hanging="292"/>
        <w:spacing w:after="0" w:line="282" w:lineRule="auto"/>
        <w:tabs>
          <w:tab w:leader="none" w:pos="5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coverage and reimbursement from healthcare payors, and the willingness of patients to pay out of pocket in the absence of healthcare payor coverage or adequate reimbursement;</w:t>
      </w:r>
    </w:p>
    <w:p>
      <w:pPr>
        <w:spacing w:after="0" w:line="83"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healthcare professionals to prescribe,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60"/>
          </w:cols>
          <w:pgMar w:left="320" w:top="1440" w:right="319" w:bottom="1440" w:gutter="0" w:footer="0" w:header="0"/>
        </w:sectPr>
      </w:pPr>
    </w:p>
    <w:bookmarkStart w:id="162" w:name="page163"/>
    <w:bookmarkEnd w:id="162"/>
    <w:p>
      <w:pPr>
        <w:spacing w:after="0" w:line="13" w:lineRule="exact"/>
        <w:rPr>
          <w:sz w:val="20"/>
          <w:szCs w:val="20"/>
          <w:color w:val="auto"/>
        </w:rPr>
      </w:pPr>
    </w:p>
    <w:p>
      <w:pPr>
        <w:ind w:left="580" w:right="20" w:hanging="292"/>
        <w:spacing w:after="0" w:line="296" w:lineRule="auto"/>
        <w:tabs>
          <w:tab w:leader="none" w:pos="5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unfavorable publicity, including negative publicity associated with recreational use or abuse of psilocybin, DMT-based compounds and other psychedelic compounds; and</w:t>
      </w:r>
    </w:p>
    <w:p>
      <w:pPr>
        <w:spacing w:after="0" w:line="7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sale or distribution of the Company’s future products.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17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Unfavourable Publicity or Consumer Perception</w:t>
      </w:r>
    </w:p>
    <w:p>
      <w:pPr>
        <w:spacing w:after="0" w:line="23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7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DMT or isolated constituents, regulatory proceedings, litigation, media attention or other research findings or publicity will be favourable to the industry or the Company or any particular product, or consistent with earlier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60"/>
          </w:cols>
          <w:pgMar w:left="320" w:top="1440"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Social Media</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Biotechnology and Pharmaceutical Market Competition</w:t>
      </w:r>
    </w:p>
    <w:p>
      <w:pPr>
        <w:spacing w:after="0" w:line="19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53" w:lineRule="exact"/>
        <w:rPr>
          <w:sz w:val="20"/>
          <w:szCs w:val="20"/>
          <w:color w:val="auto"/>
        </w:rPr>
      </w:pPr>
    </w:p>
    <w:p>
      <w:pPr>
        <w:ind w:left="1160" w:right="20" w:hanging="581"/>
        <w:spacing w:after="0" w:line="261" w:lineRule="auto"/>
        <w:tabs>
          <w:tab w:leader="none" w:pos="11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ind w:left="1140" w:hanging="561"/>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5" w:lineRule="exact"/>
        <w:rPr>
          <w:rFonts w:ascii="Times New Roman" w:cs="Times New Roman" w:eastAsia="Times New Roman" w:hAnsi="Times New Roman"/>
          <w:sz w:val="18"/>
          <w:szCs w:val="18"/>
          <w:color w:val="auto"/>
        </w:rPr>
      </w:pPr>
    </w:p>
    <w:p>
      <w:pPr>
        <w:ind w:left="1140" w:hanging="561"/>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5" w:lineRule="exact"/>
        <w:rPr>
          <w:rFonts w:ascii="Times New Roman" w:cs="Times New Roman" w:eastAsia="Times New Roman" w:hAnsi="Times New Roman"/>
          <w:sz w:val="18"/>
          <w:szCs w:val="18"/>
          <w:color w:val="auto"/>
        </w:rPr>
      </w:pPr>
    </w:p>
    <w:p>
      <w:pPr>
        <w:ind w:left="1140" w:hanging="561"/>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5" w:lineRule="exact"/>
        <w:rPr>
          <w:rFonts w:ascii="Times New Roman" w:cs="Times New Roman" w:eastAsia="Times New Roman" w:hAnsi="Times New Roman"/>
          <w:sz w:val="18"/>
          <w:szCs w:val="18"/>
          <w:color w:val="auto"/>
        </w:rPr>
      </w:pPr>
    </w:p>
    <w:p>
      <w:pPr>
        <w:ind w:left="1140" w:hanging="561"/>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5" w:lineRule="exact"/>
        <w:rPr>
          <w:rFonts w:ascii="Times New Roman" w:cs="Times New Roman" w:eastAsia="Times New Roman" w:hAnsi="Times New Roman"/>
          <w:sz w:val="18"/>
          <w:szCs w:val="18"/>
          <w:color w:val="auto"/>
        </w:rPr>
      </w:pPr>
    </w:p>
    <w:p>
      <w:pPr>
        <w:ind w:left="1140" w:hanging="561"/>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11" w:lineRule="exact"/>
        <w:rPr>
          <w:rFonts w:ascii="Times New Roman" w:cs="Times New Roman" w:eastAsia="Times New Roman" w:hAnsi="Times New Roman"/>
          <w:sz w:val="18"/>
          <w:szCs w:val="18"/>
          <w:color w:val="auto"/>
        </w:rPr>
      </w:pPr>
    </w:p>
    <w:p>
      <w:pPr>
        <w:ind w:left="1160" w:right="20" w:hanging="581"/>
        <w:spacing w:after="0" w:line="252" w:lineRule="auto"/>
        <w:tabs>
          <w:tab w:leader="none" w:pos="11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60"/>
          </w:cols>
          <w:pgMar w:left="320" w:top="1436" w:right="319" w:bottom="1440" w:gutter="0" w:footer="0" w:header="0"/>
        </w:sectPr>
      </w:pPr>
    </w:p>
    <w:bookmarkStart w:id="164" w:name="page165"/>
    <w:bookmarkEnd w:id="16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prescription drug product candidates, including its ability to obtain the necessary regulatory approvals for the conduct of such clinical trials.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may further negatively impact the Company’s ability to generate future product development programs using psychedelic based compounds.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Key Executives and Scientists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Misconduct</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Expansion and Growth</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5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Results of External Clinical Trials or Studies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60"/>
          </w:cols>
          <w:pgMar w:left="320" w:top="1440" w:right="319" w:bottom="1440" w:gutter="0" w:footer="0" w:header="0"/>
        </w:sectPr>
      </w:pPr>
    </w:p>
    <w:bookmarkStart w:id="166" w:name="page167"/>
    <w:bookmarkEnd w:id="166"/>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6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Enforcing Contracts</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order to manage its contracts with contractors, the Company will ensure that such contractors are appropriately licensed. Were such contractors to operate outside the terms of these licenses, the Company may experience an adverse effect on its business, including the pace of development of its product.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Material Recalls</w:t>
      </w:r>
    </w:p>
    <w:p>
      <w:pPr>
        <w:spacing w:after="0" w:line="23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0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Supply Chain Interruption</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the U.S., Canada, the EU, the UK and other jurisdictions will be largely accomplished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60"/>
          </w:cols>
          <w:pgMar w:left="320" w:top="1440" w:right="319" w:bottom="1440" w:gutter="0" w:footer="0" w:header="0"/>
        </w:sectPr>
      </w:pPr>
    </w:p>
    <w:bookmarkStart w:id="167" w:name="page168"/>
    <w:bookmarkEnd w:id="167"/>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Difficulty to Forecast</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Promoting the Brand</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Viability</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 of Quality Control Systems</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60"/>
          </w:cols>
          <w:pgMar w:left="320" w:top="1440"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Reliance on Key Inputs</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Arising from Fraudulent or Illegal Activity</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Risk and Insurance Coverage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60"/>
          </w:cols>
          <w:pgMar w:left="320" w:top="1437"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Costs of Operating as Public Company</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Growth</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46" w:lineRule="exact"/>
        <w:rPr>
          <w:sz w:val="20"/>
          <w:szCs w:val="20"/>
          <w:color w:val="auto"/>
        </w:rPr>
      </w:pPr>
    </w:p>
    <w:p>
      <w:pPr>
        <w:ind w:left="560" w:hanging="272"/>
        <w:spacing w:after="0"/>
        <w:tabs>
          <w:tab w:leader="none" w:pos="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regulatory requirements for drug approvals;</w:t>
      </w:r>
    </w:p>
    <w:p>
      <w:pPr>
        <w:spacing w:after="0" w:line="2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requirements for securing, maintaining or obtaining freedom to operate;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60"/>
          </w:cols>
          <w:pgMar w:left="320" w:top="1436" w:right="319" w:bottom="1440" w:gutter="0" w:footer="0" w:header="0"/>
        </w:sectPr>
      </w:pPr>
    </w:p>
    <w:bookmarkStart w:id="170" w:name="page171"/>
    <w:bookmarkEnd w:id="170"/>
    <w:p>
      <w:pPr>
        <w:spacing w:after="0" w:line="1" w:lineRule="exact"/>
        <w:rPr>
          <w:sz w:val="20"/>
          <w:szCs w:val="20"/>
          <w:color w:val="auto"/>
        </w:rPr>
      </w:pPr>
    </w:p>
    <w:p>
      <w:pPr>
        <w:ind w:left="560" w:hanging="272"/>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reduced protection for intellectual property rights;</w:t>
      </w:r>
    </w:p>
    <w:p>
      <w:pPr>
        <w:spacing w:after="0" w:line="2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compliance to different regulations and court systems of multiple jurisdictions and</w:t>
      </w:r>
    </w:p>
    <w:p>
      <w:pPr>
        <w:spacing w:after="0" w:line="1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foreign laws, treaties and regulations;</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relations that create challenges with staffing and managing international operations; and</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on manufacturing capabilities leading to production shortages.</w:t>
      </w:r>
    </w:p>
    <w:p>
      <w:pPr>
        <w:spacing w:after="0" w:line="18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Fluctuations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Privacy Risk</w:t>
      </w:r>
    </w:p>
    <w:p>
      <w:pPr>
        <w:spacing w:after="0" w:line="20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60"/>
          </w:cols>
          <w:pgMar w:left="320" w:top="1440" w:right="319" w:bottom="1440" w:gutter="0" w:footer="0" w:header="0"/>
        </w:sectPr>
      </w:pPr>
    </w:p>
    <w:bookmarkStart w:id="171" w:name="page172"/>
    <w:bookmarkEnd w:id="171"/>
    <w:p>
      <w:pPr>
        <w:spacing w:after="0" w:line="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7"/>
          <w:szCs w:val="17"/>
          <w:color w:val="auto"/>
        </w:rPr>
        <w:t>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2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5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 and Risks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6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60"/>
          </w:cols>
          <w:pgMar w:left="320" w:top="1440"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Decriminalization of Psychedelics</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DMT and potentially other psychotropic compounds in the future may also impact commercial sales for the Company due to a reduced barrier to entry leading to a risk of increasing competition.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may prove to be inaccurate</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Economic Conditions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64" w:lineRule="exact"/>
        <w:rPr>
          <w:sz w:val="20"/>
          <w:szCs w:val="20"/>
          <w:color w:val="auto"/>
        </w:rPr>
      </w:pPr>
    </w:p>
    <w:p>
      <w:pPr>
        <w:ind w:left="560" w:hanging="272"/>
        <w:spacing w:after="0"/>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19"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1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monetary policies;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60"/>
          </w:cols>
          <w:pgMar w:left="320" w:top="1437" w:right="319" w:bottom="1440" w:gutter="0" w:footer="0" w:header="0"/>
        </w:sectPr>
      </w:pPr>
    </w:p>
    <w:bookmarkStart w:id="173" w:name="page174"/>
    <w:bookmarkEnd w:id="173"/>
    <w:p>
      <w:pPr>
        <w:spacing w:after="0" w:line="1" w:lineRule="exact"/>
        <w:rPr>
          <w:sz w:val="20"/>
          <w:szCs w:val="20"/>
          <w:color w:val="auto"/>
        </w:rPr>
      </w:pPr>
    </w:p>
    <w:p>
      <w:pPr>
        <w:ind w:left="560" w:hanging="272"/>
        <w:spacing w:after="0"/>
        <w:tabs>
          <w:tab w:leader="none" w:pos="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controls;</w:t>
      </w:r>
    </w:p>
    <w:p>
      <w:pPr>
        <w:spacing w:after="0" w:line="2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1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policies; and</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and Interpretation of Tax Laws</w:t>
      </w:r>
    </w:p>
    <w:p>
      <w:pPr>
        <w:spacing w:after="0" w:line="19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0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60"/>
          </w:cols>
          <w:pgMar w:left="320" w:top="1440" w:right="319" w:bottom="1440" w:gutter="0" w:footer="0" w:header="0"/>
        </w:sectPr>
      </w:pPr>
    </w:p>
    <w:bookmarkStart w:id="174" w:name="page175"/>
    <w:bookmarkEnd w:id="174"/>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Pandemics, Epidemics and Other Health Risks</w:t>
      </w:r>
    </w:p>
    <w:p>
      <w:pPr>
        <w:spacing w:after="0" w:line="20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Pandemics, epidemics and other health risks could have an adverse effect on the economy and financial markets, resulting in a decline of commercial activity.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have an adverse effect on the Company’s business and financial performance.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Protection</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20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Law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60"/>
          </w:cols>
          <w:pgMar w:left="320" w:top="1440" w:right="319" w:bottom="1440" w:gutter="0" w:footer="0" w:header="0"/>
        </w:sectPr>
      </w:pPr>
    </w:p>
    <w:bookmarkStart w:id="175" w:name="page176"/>
    <w:bookmarkEnd w:id="175"/>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19"/>
          <w:szCs w:val="19"/>
          <w:b w:val="1"/>
          <w:bCs w:val="1"/>
          <w:color w:val="auto"/>
        </w:rPr>
        <w:t>CIPO</w:t>
      </w:r>
      <w:r>
        <w:rPr>
          <w:rFonts w:ascii="Times New Roman" w:cs="Times New Roman" w:eastAsia="Times New Roman" w:hAnsi="Times New Roman"/>
          <w:sz w:val="19"/>
          <w:szCs w:val="19"/>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60"/>
          </w:cols>
          <w:pgMar w:left="320" w:top="1440" w:right="319" w:bottom="1440" w:gutter="0" w:footer="0" w:header="0"/>
        </w:sectPr>
      </w:pPr>
    </w:p>
    <w:bookmarkStart w:id="176" w:name="page177"/>
    <w:bookmarkEnd w:id="176"/>
    <w:p>
      <w:pPr>
        <w:spacing w:after="0" w:line="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15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60"/>
          </w:cols>
          <w:pgMar w:left="320" w:top="1440" w:right="319" w:bottom="1440" w:gutter="0" w:footer="0" w:header="0"/>
        </w:sectPr>
      </w:pPr>
    </w:p>
    <w:bookmarkStart w:id="177" w:name="page178"/>
    <w:bookmarkEnd w:id="177"/>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00" w:lineRule="exact"/>
        <w:rPr>
          <w:sz w:val="20"/>
          <w:szCs w:val="20"/>
          <w:color w:val="auto"/>
        </w:rPr>
      </w:pPr>
    </w:p>
    <w:p>
      <w:pPr>
        <w:spacing w:after="0" w:line="36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60"/>
          </w:cols>
          <w:pgMar w:left="320" w:top="1440"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Patent Litigation and Intellectual Property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disclosed under </w:t>
      </w:r>
      <w:r>
        <w:rPr>
          <w:rFonts w:ascii="Times New Roman" w:cs="Times New Roman" w:eastAsia="Times New Roman" w:hAnsi="Times New Roman"/>
          <w:sz w:val="18"/>
          <w:szCs w:val="18"/>
          <w:i w:val="1"/>
          <w:iCs w:val="1"/>
          <w:color w:val="auto"/>
        </w:rPr>
        <w:t>Description of the Business - Intellectual Property</w:t>
      </w:r>
      <w:r>
        <w:rPr>
          <w:rFonts w:ascii="Times New Roman" w:cs="Times New Roman" w:eastAsia="Times New Roman" w:hAnsi="Times New Roman"/>
          <w:sz w:val="18"/>
          <w:szCs w:val="18"/>
          <w:color w:val="auto"/>
        </w:rPr>
        <w:t>, 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7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7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60"/>
          </w:cols>
          <w:pgMar w:left="320" w:top="1437" w:right="319" w:bottom="1440" w:gutter="0" w:footer="0" w:header="0"/>
        </w:sectPr>
      </w:pPr>
    </w:p>
    <w:bookmarkStart w:id="179" w:name="page180"/>
    <w:bookmarkEnd w:id="179"/>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Intellectual Property</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60"/>
          </w:cols>
          <w:pgMar w:left="320" w:top="1440" w:right="319" w:bottom="1440" w:gutter="0" w:footer="0" w:header="0"/>
        </w:sectPr>
      </w:pPr>
    </w:p>
    <w:bookmarkStart w:id="180" w:name="page181"/>
    <w:bookmarkEnd w:id="180"/>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Licences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5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60"/>
          </w:cols>
          <w:pgMar w:left="320" w:top="1440" w:right="319" w:bottom="1440" w:gutter="0" w:footer="0" w:header="0"/>
        </w:sectPr>
      </w:pPr>
    </w:p>
    <w:bookmarkStart w:id="181" w:name="page182"/>
    <w:bookmarkEnd w:id="181"/>
    <w:p>
      <w:pPr>
        <w:spacing w:after="0" w:line="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37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Number of Authorized but Unissued Common Shares</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Cash Flow from Operating Activities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Capital Requirements</w:t>
      </w: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60"/>
          </w:cols>
          <w:pgMar w:left="320" w:top="1440" w:right="319" w:bottom="1440" w:gutter="0" w:footer="0" w:header="0"/>
        </w:sectPr>
      </w:pPr>
    </w:p>
    <w:bookmarkStart w:id="182" w:name="page183"/>
    <w:bookmarkEnd w:id="182"/>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15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Significant Product Revenue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or Judgments Relating to Critical Accounting Policies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Inadequate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60"/>
          </w:cols>
          <w:pgMar w:left="320" w:top="1440" w:right="319" w:bottom="1440" w:gutter="0" w:footer="0" w:header="0"/>
        </w:sectPr>
      </w:pPr>
    </w:p>
    <w:bookmarkStart w:id="183" w:name="page184"/>
    <w:bookmarkEnd w:id="183"/>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COMMON SHARES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Common Shares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Sales of the Common Shares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Volatile Market Price for the Common Shares</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60"/>
          </w:cols>
          <w:pgMar w:left="320" w:top="1440" w:right="319" w:bottom="1440" w:gutter="0" w:footer="0" w:header="0"/>
        </w:sectPr>
      </w:pPr>
    </w:p>
    <w:bookmarkStart w:id="184" w:name="page185"/>
    <w:bookmarkEnd w:id="184"/>
    <w:p>
      <w:pPr>
        <w:spacing w:after="0" w:line="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Issues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Dividends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AND DISTRIBUTIONS</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does not currently intend to declare any dividends payable to the holders of the Common Shares. The Company has no restrictions on paying dividends, but if the Company generates earnings in the foreseeable future, it expects that they will be retained to finance growth. The Board will determine if and when dividends should be declared and paid in the future based upon the Company’s financial position at the relevant time.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STRUCTURE</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As of the date of this AIF, the authorized share capital of the Company consists of an unlimited number of Common Shares of which 759,692,495 are issued and outstanding, and an unlimited number of preferred shares, issuable in series, none of which are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60"/>
          </w:cols>
          <w:pgMar w:left="320" w:top="1440" w:right="319" w:bottom="1440" w:gutter="0" w:footer="0" w:header="0"/>
        </w:sectPr>
      </w:pPr>
    </w:p>
    <w:bookmarkStart w:id="185" w:name="page186"/>
    <w:bookmarkEnd w:id="185"/>
    <w:p>
      <w:pPr>
        <w:spacing w:after="0" w:line="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In addition, the Company has agreed to issue Common Shares in connection with the Adelia Transaction. The Common Shares are issuable upon exchange of Class B Shares in the capital of Cybin U.S. on the basis of 10 Common Shares for 1 Class B Share, subject to customary adjustments. The Adelia Shareholders are also entitled to Class B Shares upon the occurrence of certain milestones. No Class B Shares were exchangeable prior to the first anniversary of closing of the Adelia Transaction, and not more than: (i) 33 1/3% of the Class B Shares were exchangeable prior to the second anniversary of the Adelia Transaction; and (ii) 66 2/3% of the Class B Shares were exchangeable prior to the third anniversary of the Adelia Transaction. Currently, 100% of the Class B Shares are exchangeable. As at March 31, 2024, 36,084.7 Class B Shares were outstanding and are exchangeable for a total of 360,847 Common Shares. As of the date of this AIF, all of the milestones have been completed and 1,591,625.3 Class B Shares, have been issued to the Adelia Shareholders, with 1,555,540.6 of the Class B Shares having been exchanged into Common Shares. For further information see “</w:t>
      </w:r>
      <w:r>
        <w:rPr>
          <w:rFonts w:ascii="Times New Roman" w:cs="Times New Roman" w:eastAsia="Times New Roman" w:hAnsi="Times New Roman"/>
          <w:sz w:val="18"/>
          <w:szCs w:val="18"/>
          <w:i w:val="1"/>
          <w:iCs w:val="1"/>
          <w:color w:val="auto"/>
        </w:rPr>
        <w:t>General Development of the 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Three Year History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“Prior Sales – Exchangeable Securities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Common Shares are entitled to one vote for each Common Share held at all meetings of shareholders of the Company, to receive dividends if, as and when declared by the Board, and to participate ratably in any distribution of property or assets upon the liquidation, winding-up or other dissolution of the Company. The Common Shares carry no pre-emptive rights, conversion or exchange rights, or redemption, retraction, repurchase, sinking fund or purchase fund provisions. There are no provisions requiring a holder of Common Shares to contribute additional capital, and no restrictions on the issuance of additional securities by the Company. There are no restrictions on the repurchase or redemption of Common Shares by the Company except to the extent that any such repurchase or redemption would render the Company insolvent.</w:t>
      </w:r>
    </w:p>
    <w:p>
      <w:pPr>
        <w:spacing w:after="0" w:line="15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aim of the Equity Incentive Plan is to attract and retain employees, directors and consultants, and to ensure that interests of key persons are aligned with the success of the Company and its affiliates. The maximum number of options to purchase Common Shares reserved for issuance under the Equity Incentive Plan pursuant to options not intended as incentive stock options shall be 20% of the issued and outstanding Common Shares from time to time, on a non-diluted basis. The maximum number of Common Shares reserved for issuance under the Equity Incentive Plan pursuant to incentive stock options is 22,266,002, representing 10% of the issued and outstanding Common Shares as the date of adoption of the Equity Incentive Plan. For the avoidance of doubt, long-term incentive options are excluded from the Equity Incentive Plan maximum. Common Shares in respect of Options that have been exercised, cancelled, surrendered, or terminated or that expire without being exercised shall again be available for issuance under the Equity Incentive Plan.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 Price and Volume</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Prior to the closing of the Transaction on November 5, 2020, the Common Shares were listed for trading on the TSXV. Trading on the TSXV was halted on June 29, 2020, in connection with the announcement of the Transaction. The Common Shares commenced trading on the Exchange following the completion of the Transaction on a post-Consolidation basis under the stock symbol “CYBN” on November 10, 2020, and were voluntarily de-listed from the TSXV. The following table sets forth, for the periods indicated, the reported high and low prices and the trading volume of the Common Shares on the Exchange and the NYSE American: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60"/>
          </w:cols>
          <w:pgMar w:left="320" w:top="1440" w:right="319" w:bottom="1440" w:gutter="0" w:footer="0" w:header="0"/>
        </w:sectPr>
      </w:pPr>
    </w:p>
    <w:bookmarkStart w:id="186" w:name="page187"/>
    <w:bookmarkEnd w:id="186"/>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gridSpan w:val="3"/>
          </w:tcPr>
          <w:p>
            <w:pPr>
              <w:ind w:left="1300"/>
              <w:spacing w:after="0"/>
              <w:rPr>
                <w:sz w:val="20"/>
                <w:szCs w:val="20"/>
                <w:color w:val="auto"/>
              </w:rPr>
            </w:pPr>
            <w:r>
              <w:rPr>
                <w:rFonts w:ascii="Times New Roman" w:cs="Times New Roman" w:eastAsia="Times New Roman" w:hAnsi="Times New Roman"/>
                <w:sz w:val="16"/>
                <w:szCs w:val="16"/>
                <w:b w:val="1"/>
                <w:bCs w:val="1"/>
                <w:color w:val="auto"/>
              </w:rPr>
              <w:t>CBOE Exchange Price Range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64"/>
        </w:trPr>
        <w:tc>
          <w:tcPr>
            <w:tcW w:w="29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Month</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High </w:t>
            </w: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w w:val="98"/>
              </w:rPr>
              <w:t xml:space="preserve">Low </w:t>
            </w:r>
            <w:r>
              <w:rPr>
                <w:rFonts w:ascii="Times New Roman" w:cs="Times New Roman" w:eastAsia="Times New Roman" w:hAnsi="Times New Roman"/>
                <w:sz w:val="16"/>
                <w:szCs w:val="16"/>
                <w:color w:val="auto"/>
                <w:w w:val="98"/>
              </w:rPr>
              <w:t>($)</w:t>
            </w:r>
          </w:p>
        </w:tc>
        <w:tc>
          <w:tcPr>
            <w:tcW w:w="400" w:type="dxa"/>
            <w:vAlign w:val="bottom"/>
          </w:tcPr>
          <w:p>
            <w:pPr>
              <w:spacing w:after="0"/>
              <w:rPr>
                <w:sz w:val="24"/>
                <w:szCs w:val="24"/>
                <w:color w:val="auto"/>
              </w:rPr>
            </w:pPr>
          </w:p>
        </w:tc>
        <w:tc>
          <w:tcPr>
            <w:tcW w:w="24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Volume</w:t>
            </w:r>
          </w:p>
        </w:tc>
      </w:tr>
      <w:tr>
        <w:trPr>
          <w:trHeight w:val="50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0.55</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0.40</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2,193,616</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0.46</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0.35</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1,899,880</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0.52</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0.30</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3,778,524</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0.70</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0.49</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4,373,988</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0.48</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0.36</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2,902,686</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0.95</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0.41</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9,786,623</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0.98</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0.58</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7,844,981</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0.91</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0.55</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8,461,375</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0.63</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0.50</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4,986,483</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0.60</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0.45</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5,534,287</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0.54</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0.37</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6,138,864</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0.72</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w w:val="99"/>
              </w:rPr>
              <w:t>0.42</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12,145,967</w:t>
            </w:r>
          </w:p>
        </w:tc>
      </w:tr>
    </w:tbl>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Note</w:t>
      </w:r>
      <w:r>
        <w:rPr>
          <w:rFonts w:ascii="Times New Roman" w:cs="Times New Roman" w:eastAsia="Times New Roman" w:hAnsi="Times New Roman"/>
          <w:sz w:val="13"/>
          <w:szCs w:val="13"/>
          <w:color w:val="auto"/>
        </w:rPr>
        <w:t>:</w:t>
      </w:r>
    </w:p>
    <w:p>
      <w:pPr>
        <w:spacing w:after="0" w:line="59"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Source: CBOE Exchange trading data as of the date of this AIF.</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close of business on June 25, 2024, the date of this AIF, the price of the Common Shares as quoted by the Exchange was $0.36 per Common Share.</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40" w:type="dxa"/>
            <w:vAlign w:val="bottom"/>
            <w:gridSpan w:val="3"/>
          </w:tcPr>
          <w:p>
            <w:pPr>
              <w:ind w:left="1300"/>
              <w:spacing w:after="0"/>
              <w:rPr>
                <w:sz w:val="20"/>
                <w:szCs w:val="20"/>
                <w:color w:val="auto"/>
              </w:rPr>
            </w:pPr>
            <w:r>
              <w:rPr>
                <w:rFonts w:ascii="Times New Roman" w:cs="Times New Roman" w:eastAsia="Times New Roman" w:hAnsi="Times New Roman"/>
                <w:sz w:val="16"/>
                <w:szCs w:val="16"/>
                <w:b w:val="1"/>
                <w:bCs w:val="1"/>
                <w:color w:val="auto"/>
              </w:rPr>
              <w:t>NYSE American Price Range</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64"/>
        </w:trPr>
        <w:tc>
          <w:tcPr>
            <w:tcW w:w="29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Month</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High </w:t>
            </w:r>
            <w:r>
              <w:rPr>
                <w:rFonts w:ascii="Times New Roman" w:cs="Times New Roman" w:eastAsia="Times New Roman" w:hAnsi="Times New Roman"/>
                <w:sz w:val="16"/>
                <w:szCs w:val="16"/>
                <w:color w:val="auto"/>
              </w:rPr>
              <w:t>(US$)</w:t>
            </w:r>
          </w:p>
        </w:tc>
        <w:tc>
          <w:tcPr>
            <w:tcW w:w="4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 xml:space="preserve">Low </w:t>
            </w:r>
            <w:r>
              <w:rPr>
                <w:rFonts w:ascii="Times New Roman" w:cs="Times New Roman" w:eastAsia="Times New Roman" w:hAnsi="Times New Roman"/>
                <w:sz w:val="16"/>
                <w:szCs w:val="16"/>
                <w:color w:val="auto"/>
              </w:rPr>
              <w:t>(US$)</w:t>
            </w:r>
          </w:p>
        </w:tc>
        <w:tc>
          <w:tcPr>
            <w:tcW w:w="400" w:type="dxa"/>
            <w:vAlign w:val="bottom"/>
          </w:tcPr>
          <w:p>
            <w:pPr>
              <w:spacing w:after="0"/>
              <w:rPr>
                <w:sz w:val="24"/>
                <w:szCs w:val="24"/>
                <w:color w:val="auto"/>
              </w:rPr>
            </w:pPr>
          </w:p>
        </w:tc>
        <w:tc>
          <w:tcPr>
            <w:tcW w:w="24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Volume</w:t>
            </w:r>
          </w:p>
        </w:tc>
      </w:tr>
      <w:tr>
        <w:trPr>
          <w:trHeight w:val="50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0.40</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0.29</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18,366,468</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0.35</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0.26</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26,443,776</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0.39</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0.21</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49,472,709</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0.53</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0.37</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54,877,677</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0.37</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0.28</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68,425,653</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0.72</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0.30</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147,886,989</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0.74</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0.42</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95,997,620</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0.66</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0.40</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91,114,131</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2023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0.46</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0.38</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62,237,059</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0.45</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0.34</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75,594,426</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0.40</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0.28</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70,978,585</w:t>
            </w:r>
          </w:p>
        </w:tc>
      </w:tr>
      <w:tr>
        <w:trPr>
          <w:trHeight w:val="29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0.52</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w w:val="99"/>
              </w:rPr>
              <w:t>0.31</w:t>
            </w:r>
          </w:p>
        </w:tc>
        <w:tc>
          <w:tcPr>
            <w:tcW w:w="4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181,116,104</w:t>
            </w:r>
          </w:p>
        </w:tc>
      </w:tr>
    </w:tbl>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Notes</w:t>
      </w:r>
      <w:r>
        <w:rPr>
          <w:rFonts w:ascii="Times New Roman" w:cs="Times New Roman" w:eastAsia="Times New Roman" w:hAnsi="Times New Roman"/>
          <w:sz w:val="13"/>
          <w:szCs w:val="13"/>
          <w:color w:val="auto"/>
        </w:rPr>
        <w:t>:</w:t>
      </w:r>
    </w:p>
    <w:p>
      <w:pPr>
        <w:spacing w:after="0" w:line="59"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Source: NYSE as of the date of this AIF.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60"/>
          </w:cols>
          <w:pgMar w:left="320" w:top="1440" w:right="319" w:bottom="1440" w:gutter="0" w:footer="0" w:header="0"/>
        </w:sectPr>
      </w:pPr>
    </w:p>
    <w:bookmarkStart w:id="187" w:name="page188"/>
    <w:bookmarkEnd w:id="187"/>
    <w:p>
      <w:pPr>
        <w:spacing w:after="0" w:line="219" w:lineRule="exact"/>
        <w:rPr>
          <w:sz w:val="20"/>
          <w:szCs w:val="20"/>
          <w:color w:val="auto"/>
        </w:rPr>
      </w:pPr>
    </w:p>
    <w:p>
      <w:pPr>
        <w:ind w:left="3" w:right="640"/>
        <w:spacing w:after="0" w:line="282" w:lineRule="auto"/>
        <w:rPr>
          <w:sz w:val="20"/>
          <w:szCs w:val="20"/>
          <w:color w:val="auto"/>
        </w:rPr>
      </w:pPr>
      <w:r>
        <w:rPr>
          <w:rFonts w:ascii="Times New Roman" w:cs="Times New Roman" w:eastAsia="Times New Roman" w:hAnsi="Times New Roman"/>
          <w:sz w:val="18"/>
          <w:szCs w:val="18"/>
          <w:color w:val="auto"/>
        </w:rPr>
        <w:t>As the close of business on June 25, 2024, the date of this AIF, the price of the Common Shares as quoted by the NYSE American was US$0.264 per Common Share.</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Prior Sales</w:t>
      </w:r>
    </w:p>
    <w:p>
      <w:pPr>
        <w:spacing w:after="0" w:line="197" w:lineRule="exact"/>
        <w:rPr>
          <w:sz w:val="20"/>
          <w:szCs w:val="20"/>
          <w:color w:val="auto"/>
        </w:rPr>
      </w:pPr>
    </w:p>
    <w:p>
      <w:pPr>
        <w:ind w:left="3"/>
        <w:spacing w:after="0" w:line="282" w:lineRule="auto"/>
        <w:rPr>
          <w:sz w:val="20"/>
          <w:szCs w:val="20"/>
          <w:color w:val="auto"/>
        </w:rPr>
      </w:pPr>
      <w:r>
        <w:rPr>
          <w:rFonts w:ascii="Times New Roman" w:cs="Times New Roman" w:eastAsia="Times New Roman" w:hAnsi="Times New Roman"/>
          <w:sz w:val="18"/>
          <w:szCs w:val="18"/>
          <w:color w:val="auto"/>
        </w:rPr>
        <w:t>The following tables summarize details of the following securities that are not listed or quoted on a marketplace issued by the Company during the most recently completed financial year end:</w:t>
      </w:r>
    </w:p>
    <w:p>
      <w:pPr>
        <w:spacing w:after="0" w:line="1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32" w:lineRule="exact"/>
        <w:rPr>
          <w:sz w:val="20"/>
          <w:szCs w:val="20"/>
          <w:color w:val="auto"/>
        </w:rPr>
      </w:pPr>
    </w:p>
    <w:tbl>
      <w:tblPr>
        <w:tblLayout w:type="fixed"/>
        <w:tblInd w:w="13" w:type="dxa"/>
        <w:tblCellMar>
          <w:top w:w="0" w:type="dxa"/>
          <w:left w:w="0" w:type="dxa"/>
          <w:bottom w:w="0" w:type="dxa"/>
          <w:right w:w="0" w:type="dxa"/>
        </w:tblCellMar>
      </w:tblPr>
      <w:tr>
        <w:trPr>
          <w:trHeight w:val="260"/>
        </w:trPr>
        <w:tc>
          <w:tcPr>
            <w:tcW w:w="2900" w:type="dxa"/>
            <w:vAlign w:val="bottom"/>
            <w:tcBorders>
              <w:top w:val="single" w:sz="8" w:color="auto"/>
              <w:left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Date Granted</w:t>
            </w:r>
          </w:p>
        </w:tc>
        <w:tc>
          <w:tcPr>
            <w:tcW w:w="2740" w:type="dxa"/>
            <w:vAlign w:val="bottom"/>
            <w:tcBorders>
              <w:top w:val="single" w:sz="8" w:color="auto"/>
              <w:bottom w:val="single" w:sz="8" w:color="BFBFBF"/>
              <w:right w:val="single" w:sz="8" w:color="auto"/>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2560" w:type="dxa"/>
            <w:vAlign w:val="bottom"/>
            <w:tcBorders>
              <w:top w:val="single" w:sz="8" w:color="auto"/>
              <w:bottom w:val="single" w:sz="8" w:color="BFBFBF"/>
              <w:right w:val="single" w:sz="8" w:color="auto"/>
            </w:tcBorders>
            <w:shd w:val="clear" w:color="auto" w:fill="BFBFBF"/>
          </w:tcPr>
          <w:p>
            <w:pPr>
              <w:ind w:left="660"/>
              <w:spacing w:after="0"/>
              <w:rPr>
                <w:sz w:val="20"/>
                <w:szCs w:val="20"/>
                <w:color w:val="auto"/>
              </w:rPr>
            </w:pPr>
            <w:r>
              <w:rPr>
                <w:rFonts w:ascii="Times New Roman" w:cs="Times New Roman" w:eastAsia="Times New Roman" w:hAnsi="Times New Roman"/>
                <w:sz w:val="16"/>
                <w:szCs w:val="16"/>
                <w:b w:val="1"/>
                <w:bCs w:val="1"/>
                <w:color w:val="auto"/>
              </w:rPr>
              <w:t>Exercise Price ($)</w:t>
            </w:r>
          </w:p>
        </w:tc>
        <w:tc>
          <w:tcPr>
            <w:tcW w:w="30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r>
      <w:tr>
        <w:trPr>
          <w:trHeight w:val="295"/>
        </w:trPr>
        <w:tc>
          <w:tcPr>
            <w:tcW w:w="2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June 29, 2023</w:t>
            </w:r>
            <w:r>
              <w:rPr>
                <w:rFonts w:ascii="Times New Roman" w:cs="Times New Roman" w:eastAsia="Times New Roman" w:hAnsi="Times New Roman"/>
                <w:sz w:val="21"/>
                <w:szCs w:val="21"/>
                <w:color w:val="auto"/>
                <w:w w:val="91"/>
                <w:vertAlign w:val="superscript"/>
              </w:rPr>
              <w:t>(1) &amp; (2)</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11,615,000</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308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June 30, 2028</w:t>
            </w:r>
          </w:p>
        </w:tc>
      </w:tr>
      <w:tr>
        <w:trPr>
          <w:trHeight w:val="198"/>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September 26, 2023</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975,000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26, 2026</w:t>
            </w:r>
          </w:p>
        </w:tc>
      </w:tr>
      <w:tr>
        <w:trPr>
          <w:trHeight w:val="295"/>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September 26, 2023</w:t>
            </w:r>
            <w:r>
              <w:rPr>
                <w:rFonts w:ascii="Times New Roman" w:cs="Times New Roman" w:eastAsia="Times New Roman" w:hAnsi="Times New Roman"/>
                <w:sz w:val="21"/>
                <w:szCs w:val="21"/>
                <w:color w:val="auto"/>
                <w:w w:val="98"/>
                <w:vertAlign w:val="superscript"/>
              </w:rPr>
              <w:t>(3)</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235,000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26, 2028</w:t>
            </w:r>
          </w:p>
        </w:tc>
      </w:tr>
      <w:tr>
        <w:trPr>
          <w:trHeight w:val="198"/>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2023</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2026</w:t>
            </w:r>
          </w:p>
        </w:tc>
      </w:tr>
      <w:tr>
        <w:trPr>
          <w:trHeight w:val="295"/>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November 16, 2023</w:t>
            </w:r>
            <w:r>
              <w:rPr>
                <w:rFonts w:ascii="Times New Roman" w:cs="Times New Roman" w:eastAsia="Times New Roman" w:hAnsi="Times New Roman"/>
                <w:sz w:val="21"/>
                <w:szCs w:val="21"/>
                <w:color w:val="auto"/>
                <w:w w:val="97"/>
                <w:vertAlign w:val="superscript"/>
              </w:rPr>
              <w:t>(4)</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25,100,000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r>
      <w:tr>
        <w:trPr>
          <w:trHeight w:val="198"/>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$0.56</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20, 2029</w:t>
            </w:r>
          </w:p>
        </w:tc>
      </w:tr>
      <w:tr>
        <w:trPr>
          <w:trHeight w:val="295"/>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March 20, 2024</w:t>
            </w:r>
            <w:r>
              <w:rPr>
                <w:rFonts w:ascii="Times New Roman" w:cs="Times New Roman" w:eastAsia="Times New Roman" w:hAnsi="Times New Roman"/>
                <w:sz w:val="21"/>
                <w:szCs w:val="21"/>
                <w:color w:val="auto"/>
                <w:w w:val="98"/>
                <w:vertAlign w:val="superscript"/>
              </w:rPr>
              <w:t>(5)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67,400,000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20, 2029</w:t>
            </w:r>
          </w:p>
        </w:tc>
      </w:tr>
    </w:tbl>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ind w:left="303" w:hanging="303"/>
        <w:spacing w:after="0"/>
        <w:tabs>
          <w:tab w:leader="none" w:pos="303"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October 26, 2023, 170,000 options were terminated as a result of the optionee no longer being eligible under the Equity Incentive Plan.</w:t>
      </w:r>
    </w:p>
    <w:p>
      <w:pPr>
        <w:spacing w:after="0" w:line="17" w:lineRule="exact"/>
        <w:rPr>
          <w:rFonts w:ascii="Times New Roman" w:cs="Times New Roman" w:eastAsia="Times New Roman" w:hAnsi="Times New Roman"/>
          <w:sz w:val="13"/>
          <w:szCs w:val="13"/>
          <w:color w:val="auto"/>
        </w:rPr>
      </w:pPr>
    </w:p>
    <w:p>
      <w:pPr>
        <w:ind w:left="283" w:hanging="283"/>
        <w:spacing w:after="0"/>
        <w:tabs>
          <w:tab w:leader="none" w:pos="283"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February 8, 2024, 135,000 options were terminated as a result of the optionee no longer being eligible under the Equity Incentive Plan.</w:t>
      </w:r>
    </w:p>
    <w:p>
      <w:pPr>
        <w:spacing w:after="0" w:line="8" w:lineRule="exact"/>
        <w:rPr>
          <w:rFonts w:ascii="Times New Roman" w:cs="Times New Roman" w:eastAsia="Times New Roman" w:hAnsi="Times New Roman"/>
          <w:sz w:val="13"/>
          <w:szCs w:val="13"/>
          <w:color w:val="auto"/>
        </w:rPr>
      </w:pPr>
    </w:p>
    <w:p>
      <w:pPr>
        <w:ind w:left="583" w:right="20" w:hanging="583"/>
        <w:spacing w:after="0" w:line="253" w:lineRule="auto"/>
        <w:tabs>
          <w:tab w:leader="none" w:pos="305"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May 5, 2024, the Board determined that the grant of 135,000 of these Options did not achieve the goal of incentivizing the optionees in accordance with the Equity Incentive Plan and cancelled the options effective May 5, 2024.</w:t>
      </w:r>
    </w:p>
    <w:p>
      <w:pPr>
        <w:ind w:left="583" w:right="20" w:hanging="583"/>
        <w:spacing w:after="0" w:line="243" w:lineRule="auto"/>
        <w:tabs>
          <w:tab w:leader="none" w:pos="303"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May 5, 2024, the Board determined that the grant of these 25,100,000 Options did not achieve the goal of incentivizing the optionees in accordance with the Equity Incentive Plan and cancelled the options effective May 5, 2024.</w:t>
      </w:r>
    </w:p>
    <w:p>
      <w:pPr>
        <w:ind w:left="583" w:right="20" w:hanging="583"/>
        <w:spacing w:after="0" w:line="266" w:lineRule="auto"/>
        <w:tabs>
          <w:tab w:leader="none" w:pos="322"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grant, the Board determined that the grant of these 67,400,000 Options did not achieve their goal of incentivizing the optionees in accordance with the Equity Incentive Plan and cancelled the options effective March 20, 2024.</w:t>
      </w:r>
    </w:p>
    <w:p>
      <w:pPr>
        <w:spacing w:after="0" w:line="2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44" w:lineRule="exact"/>
        <w:rPr>
          <w:sz w:val="20"/>
          <w:szCs w:val="20"/>
          <w:color w:val="auto"/>
        </w:rPr>
      </w:pPr>
    </w:p>
    <w:tbl>
      <w:tblPr>
        <w:tblLayout w:type="fixed"/>
        <w:tblInd w:w="13" w:type="dxa"/>
        <w:tblCellMar>
          <w:top w:w="0" w:type="dxa"/>
          <w:left w:w="0" w:type="dxa"/>
          <w:bottom w:w="0" w:type="dxa"/>
          <w:right w:w="0" w:type="dxa"/>
        </w:tblCellMar>
      </w:tblPr>
      <w:tr>
        <w:trPr>
          <w:trHeight w:val="260"/>
        </w:trPr>
        <w:tc>
          <w:tcPr>
            <w:tcW w:w="2900" w:type="dxa"/>
            <w:vAlign w:val="bottom"/>
            <w:tcBorders>
              <w:top w:val="single" w:sz="8" w:color="auto"/>
              <w:left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Date Issued</w:t>
            </w:r>
          </w:p>
        </w:tc>
        <w:tc>
          <w:tcPr>
            <w:tcW w:w="274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256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Price ($)</w:t>
            </w:r>
          </w:p>
        </w:tc>
        <w:tc>
          <w:tcPr>
            <w:tcW w:w="30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r>
      <w:tr>
        <w:trPr>
          <w:trHeight w:val="295"/>
        </w:trPr>
        <w:tc>
          <w:tcPr>
            <w:tcW w:w="2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August 4, 2023</w:t>
            </w:r>
            <w:r>
              <w:rPr>
                <w:rFonts w:ascii="Times New Roman" w:cs="Times New Roman" w:eastAsia="Times New Roman" w:hAnsi="Times New Roman"/>
                <w:sz w:val="21"/>
                <w:szCs w:val="21"/>
                <w:color w:val="auto"/>
                <w:w w:val="97"/>
                <w:vertAlign w:val="superscript"/>
              </w:rPr>
              <w:t>(1)</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24,264,706</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US$0.40</w:t>
            </w:r>
          </w:p>
        </w:tc>
        <w:tc>
          <w:tcPr>
            <w:tcW w:w="3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4, 2028</w:t>
            </w:r>
          </w:p>
        </w:tc>
      </w:tr>
      <w:tr>
        <w:trPr>
          <w:trHeight w:val="198"/>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14, 2023</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66,666,667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US$0.51</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May 14, 2029</w:t>
            </w:r>
          </w:p>
        </w:tc>
      </w:tr>
    </w:tbl>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Note</w:t>
      </w:r>
      <w:r>
        <w:rPr>
          <w:rFonts w:ascii="Times New Roman" w:cs="Times New Roman" w:eastAsia="Times New Roman" w:hAnsi="Times New Roman"/>
          <w:sz w:val="13"/>
          <w:szCs w:val="13"/>
          <w:b w:val="1"/>
          <w:bCs w:val="1"/>
          <w:color w:val="auto"/>
        </w:rPr>
        <w:t>:</w:t>
      </w:r>
    </w:p>
    <w:p>
      <w:pPr>
        <w:spacing w:after="0" w:line="59" w:lineRule="exact"/>
        <w:rPr>
          <w:sz w:val="20"/>
          <w:szCs w:val="20"/>
          <w:color w:val="auto"/>
        </w:rPr>
      </w:pPr>
    </w:p>
    <w:p>
      <w:pPr>
        <w:ind w:left="303" w:hanging="303"/>
        <w:spacing w:after="0"/>
        <w:tabs>
          <w:tab w:leader="none" w:pos="303"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101,000 Common Share purchase warrants were exercised in October 2023.</w:t>
      </w:r>
    </w:p>
    <w:p>
      <w:pPr>
        <w:spacing w:after="0" w:line="22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Exchangeable Securities:</w:t>
      </w:r>
    </w:p>
    <w:p>
      <w:pPr>
        <w:spacing w:after="0" w:line="183" w:lineRule="exact"/>
        <w:rPr>
          <w:sz w:val="20"/>
          <w:szCs w:val="20"/>
          <w:color w:val="auto"/>
        </w:rPr>
      </w:pPr>
    </w:p>
    <w:p>
      <w:pPr>
        <w:ind w:left="3" w:right="20"/>
        <w:spacing w:after="0" w:line="324" w:lineRule="auto"/>
        <w:rPr>
          <w:sz w:val="20"/>
          <w:szCs w:val="20"/>
          <w:color w:val="auto"/>
        </w:rPr>
      </w:pPr>
      <w:r>
        <w:rPr>
          <w:rFonts w:ascii="Times New Roman" w:cs="Times New Roman" w:eastAsia="Times New Roman" w:hAnsi="Times New Roman"/>
          <w:sz w:val="18"/>
          <w:szCs w:val="18"/>
          <w:color w:val="auto"/>
        </w:rPr>
        <w:t>During the year ended March 31, 2024, no additional Class B shares were issued. As of March 31, 2023, all Milestones were achieved, and all eligible Class B shares were issued.</w:t>
      </w:r>
    </w:p>
    <w:p>
      <w:pPr>
        <w:spacing w:after="0" w:line="34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09" w:lineRule="exact"/>
        <w:rPr>
          <w:sz w:val="20"/>
          <w:szCs w:val="20"/>
          <w:color w:val="auto"/>
        </w:rPr>
      </w:pPr>
    </w:p>
    <w:p>
      <w:pPr>
        <w:ind w:left="3"/>
        <w:spacing w:after="0" w:line="268" w:lineRule="auto"/>
        <w:rPr>
          <w:sz w:val="20"/>
          <w:szCs w:val="20"/>
          <w:color w:val="auto"/>
        </w:rPr>
      </w:pPr>
      <w:r>
        <w:rPr>
          <w:rFonts w:ascii="Times New Roman" w:cs="Times New Roman" w:eastAsia="Times New Roman" w:hAnsi="Times New Roman"/>
          <w:sz w:val="18"/>
          <w:szCs w:val="18"/>
          <w:color w:val="auto"/>
        </w:rPr>
        <w:t>The following table lists the names, municipalities of residence of the directors and officers of the Company, their positions and offices to be held with the Company, and their principal occupations during the past five years and the number of securities of the Company that are beneficially owned,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63"/>
          </w:cols>
          <w:pgMar w:left="317" w:top="1440" w:right="319" w:bottom="1440" w:gutter="0" w:footer="0" w:header="0"/>
        </w:sectPr>
      </w:pPr>
    </w:p>
    <w:bookmarkStart w:id="188" w:name="page189"/>
    <w:bookmarkEnd w:id="188"/>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indirectly, or over which control or direction will be exercised by each. Each of the directors is elected to hold office until the next annual meeting of the shareholders of the Company or until a successor is duly elected or appointed.</w:t>
      </w:r>
    </w:p>
    <w:p>
      <w:pPr>
        <w:spacing w:after="0" w:line="200" w:lineRule="exact"/>
        <w:rPr>
          <w:sz w:val="20"/>
          <w:szCs w:val="20"/>
          <w:color w:val="auto"/>
        </w:rPr>
      </w:pPr>
    </w:p>
    <w:p>
      <w:pPr>
        <w:spacing w:after="0" w:line="382" w:lineRule="exact"/>
        <w:rPr>
          <w:sz w:val="20"/>
          <w:szCs w:val="20"/>
          <w:color w:val="auto"/>
        </w:rPr>
      </w:pPr>
    </w:p>
    <w:tbl>
      <w:tblPr>
        <w:tblLayout w:type="fixed"/>
        <w:tblInd w:w="230" w:type="dxa"/>
        <w:tblCellMar>
          <w:top w:w="0" w:type="dxa"/>
          <w:left w:w="0" w:type="dxa"/>
          <w:bottom w:w="0" w:type="dxa"/>
          <w:right w:w="0" w:type="dxa"/>
        </w:tblCellMar>
      </w:tblPr>
      <w:tr>
        <w:trPr>
          <w:trHeight w:val="170"/>
        </w:trPr>
        <w:tc>
          <w:tcPr>
            <w:tcW w:w="1920" w:type="dxa"/>
            <w:vAlign w:val="bottom"/>
            <w:tcBorders>
              <w:top w:val="single" w:sz="8" w:color="auto"/>
              <w:left w:val="single" w:sz="8" w:color="auto"/>
              <w:right w:val="single" w:sz="8" w:color="auto"/>
            </w:tcBorders>
            <w:shd w:val="clear" w:color="auto" w:fill="D9D9D9"/>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Name, Municipality of</w:t>
            </w:r>
          </w:p>
        </w:tc>
        <w:tc>
          <w:tcPr>
            <w:tcW w:w="4420" w:type="dxa"/>
            <w:vAlign w:val="bottom"/>
            <w:tcBorders>
              <w:top w:val="single" w:sz="8" w:color="auto"/>
              <w:right w:val="single" w:sz="8" w:color="auto"/>
            </w:tcBorders>
            <w:vMerge w:val="restart"/>
            <w:shd w:val="clear" w:color="auto" w:fill="D9D9D9"/>
          </w:tcPr>
          <w:p>
            <w:pPr>
              <w:ind w:left="640"/>
              <w:spacing w:after="0"/>
              <w:rPr>
                <w:sz w:val="20"/>
                <w:szCs w:val="20"/>
                <w:color w:val="auto"/>
              </w:rPr>
            </w:pPr>
            <w:r>
              <w:rPr>
                <w:rFonts w:ascii="Times New Roman" w:cs="Times New Roman" w:eastAsia="Times New Roman" w:hAnsi="Times New Roman"/>
                <w:sz w:val="16"/>
                <w:szCs w:val="16"/>
                <w:b w:val="1"/>
                <w:bCs w:val="1"/>
                <w:color w:val="auto"/>
              </w:rPr>
              <w:t>Principal Occupation for the Past Five Years</w:t>
            </w:r>
          </w:p>
        </w:tc>
        <w:tc>
          <w:tcPr>
            <w:tcW w:w="22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Appointed as of</w:t>
            </w:r>
          </w:p>
        </w:tc>
        <w:tc>
          <w:tcPr>
            <w:tcW w:w="2200" w:type="dxa"/>
            <w:vAlign w:val="bottom"/>
            <w:tcBorders>
              <w:top w:val="single" w:sz="8" w:color="auto"/>
              <w:right w:val="single" w:sz="8" w:color="auto"/>
            </w:tcBorders>
            <w:shd w:val="clear" w:color="auto" w:fill="D9D9D9"/>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Number and Percentage of</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shd w:val="clear" w:color="auto" w:fill="D9D9D9"/>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Residence and Position</w:t>
            </w:r>
          </w:p>
        </w:tc>
        <w:tc>
          <w:tcPr>
            <w:tcW w:w="4420" w:type="dxa"/>
            <w:vAlign w:val="bottom"/>
            <w:tcBorders>
              <w:right w:val="single" w:sz="8" w:color="auto"/>
            </w:tcBorders>
            <w:vMerge w:val="continue"/>
            <w:shd w:val="clear" w:color="auto" w:fill="D9D9D9"/>
          </w:tcPr>
          <w:p>
            <w:pPr>
              <w:spacing w:after="0"/>
              <w:rPr>
                <w:sz w:val="13"/>
                <w:szCs w:val="13"/>
                <w:color w:val="auto"/>
              </w:rPr>
            </w:pPr>
          </w:p>
        </w:tc>
        <w:tc>
          <w:tcPr>
            <w:tcW w:w="2200" w:type="dxa"/>
            <w:vAlign w:val="bottom"/>
            <w:tcBorders>
              <w:right w:val="single" w:sz="8" w:color="auto"/>
            </w:tcBorders>
            <w:vMerge w:val="continue"/>
            <w:shd w:val="clear" w:color="auto" w:fill="D9D9D9"/>
          </w:tcPr>
          <w:p>
            <w:pPr>
              <w:spacing w:after="0"/>
              <w:rPr>
                <w:sz w:val="13"/>
                <w:szCs w:val="13"/>
                <w:color w:val="auto"/>
              </w:rPr>
            </w:pPr>
          </w:p>
        </w:tc>
        <w:tc>
          <w:tcPr>
            <w:tcW w:w="2200" w:type="dxa"/>
            <w:vAlign w:val="bottom"/>
            <w:tcBorders>
              <w:right w:val="single" w:sz="8" w:color="auto"/>
            </w:tcBorders>
            <w:shd w:val="clear" w:color="auto" w:fill="D9D9D9"/>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Securities Beneficially Owned</w:t>
            </w: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Held</w:t>
            </w:r>
          </w:p>
        </w:tc>
        <w:tc>
          <w:tcPr>
            <w:tcW w:w="4420" w:type="dxa"/>
            <w:vAlign w:val="bottom"/>
            <w:tcBorders>
              <w:bottom w:val="single" w:sz="8" w:color="auto"/>
              <w:right w:val="single" w:sz="8" w:color="auto"/>
            </w:tcBorders>
            <w:shd w:val="clear" w:color="auto" w:fill="D9D9D9"/>
          </w:tcPr>
          <w:p>
            <w:pPr>
              <w:spacing w:after="0"/>
              <w:rPr>
                <w:sz w:val="18"/>
                <w:szCs w:val="18"/>
                <w:color w:val="auto"/>
              </w:rPr>
            </w:pPr>
          </w:p>
        </w:tc>
        <w:tc>
          <w:tcPr>
            <w:tcW w:w="2200" w:type="dxa"/>
            <w:vAlign w:val="bottom"/>
            <w:tcBorders>
              <w:bottom w:val="single" w:sz="8" w:color="auto"/>
              <w:right w:val="single" w:sz="8" w:color="auto"/>
            </w:tcBorders>
            <w:shd w:val="clear" w:color="auto" w:fill="D9D9D9"/>
          </w:tcPr>
          <w:p>
            <w:pPr>
              <w:spacing w:after="0"/>
              <w:rPr>
                <w:sz w:val="18"/>
                <w:szCs w:val="18"/>
                <w:color w:val="auto"/>
              </w:rPr>
            </w:pPr>
          </w:p>
        </w:tc>
        <w:tc>
          <w:tcPr>
            <w:tcW w:w="2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or Controlled</w:t>
            </w:r>
          </w:p>
        </w:tc>
        <w:tc>
          <w:tcPr>
            <w:tcW w:w="0" w:type="dxa"/>
            <w:vAlign w:val="bottom"/>
          </w:tcPr>
          <w:p>
            <w:pPr>
              <w:spacing w:after="0"/>
              <w:rPr>
                <w:sz w:val="1"/>
                <w:szCs w:val="1"/>
                <w:color w:val="auto"/>
              </w:rPr>
            </w:pPr>
          </w:p>
        </w:tc>
      </w:tr>
      <w:tr>
        <w:trPr>
          <w:trHeight w:val="221"/>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Douglas Drysdale,</w:t>
            </w:r>
          </w:p>
        </w:tc>
        <w:tc>
          <w:tcPr>
            <w:tcW w:w="4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Chief Executive Officer, Cybin</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16"/>
                <w:szCs w:val="16"/>
                <w:color w:val="auto"/>
                <w:w w:val="92"/>
              </w:rPr>
              <w:t>38,000</w:t>
            </w:r>
            <w:r>
              <w:rPr>
                <w:rFonts w:ascii="Times New Roman" w:cs="Times New Roman" w:eastAsia="Times New Roman" w:hAnsi="Times New Roman"/>
                <w:sz w:val="21"/>
                <w:szCs w:val="21"/>
                <w:b w:val="1"/>
                <w:bCs w:val="1"/>
                <w:color w:val="auto"/>
                <w:w w:val="92"/>
                <w:vertAlign w:val="superscript"/>
              </w:rPr>
              <w:t>(5)</w:t>
            </w:r>
          </w:p>
        </w:tc>
        <w:tc>
          <w:tcPr>
            <w:tcW w:w="0" w:type="dxa"/>
            <w:vAlign w:val="bottom"/>
          </w:tcPr>
          <w:p>
            <w:pPr>
              <w:spacing w:after="0"/>
              <w:rPr>
                <w:sz w:val="1"/>
                <w:szCs w:val="1"/>
                <w:color w:val="auto"/>
              </w:rPr>
            </w:pPr>
          </w:p>
        </w:tc>
      </w:tr>
      <w:tr>
        <w:trPr>
          <w:trHeight w:val="194"/>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Falmouth, Massachusetts,</w:t>
            </w:r>
          </w:p>
        </w:tc>
        <w:tc>
          <w:tcPr>
            <w:tcW w:w="4420" w:type="dxa"/>
            <w:vAlign w:val="bottom"/>
            <w:tcBorders>
              <w:right w:val="single" w:sz="8" w:color="auto"/>
            </w:tcBorders>
            <w:vMerge w:val="continue"/>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0" w:type="dxa"/>
            <w:vAlign w:val="bottom"/>
          </w:tcPr>
          <w:p>
            <w:pPr>
              <w:spacing w:after="0"/>
              <w:rPr>
                <w:sz w:val="1"/>
                <w:szCs w:val="1"/>
                <w:color w:val="auto"/>
              </w:rPr>
            </w:pPr>
          </w:p>
        </w:tc>
      </w:tr>
      <w:tr>
        <w:trPr>
          <w:trHeight w:val="194"/>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442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President and Chief Executive Officer, Tedor Pharma Inc.</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442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920" w:type="dxa"/>
            <w:vAlign w:val="bottom"/>
            <w:tcBorders>
              <w:left w:val="single" w:sz="8" w:color="auto"/>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Financial Officer, Cybin</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16"/>
                <w:szCs w:val="16"/>
                <w:color w:val="auto"/>
                <w:w w:val="92"/>
              </w:rPr>
              <w:t>40,000</w:t>
            </w:r>
            <w:r>
              <w:rPr>
                <w:rFonts w:ascii="Times New Roman" w:cs="Times New Roman" w:eastAsia="Times New Roman" w:hAnsi="Times New Roman"/>
                <w:sz w:val="21"/>
                <w:szCs w:val="21"/>
                <w:b w:val="1"/>
                <w:bCs w:val="1"/>
                <w:color w:val="auto"/>
                <w:w w:val="92"/>
                <w:vertAlign w:val="superscript"/>
              </w:rPr>
              <w:t>(6)</w:t>
            </w:r>
          </w:p>
        </w:tc>
        <w:tc>
          <w:tcPr>
            <w:tcW w:w="0" w:type="dxa"/>
            <w:vAlign w:val="bottom"/>
          </w:tcPr>
          <w:p>
            <w:pPr>
              <w:spacing w:after="0"/>
              <w:rPr>
                <w:sz w:val="1"/>
                <w:szCs w:val="1"/>
                <w:color w:val="auto"/>
              </w:rPr>
            </w:pPr>
          </w:p>
        </w:tc>
      </w:tr>
      <w:tr>
        <w:trPr>
          <w:trHeight w:val="218"/>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Greg Cavers,</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Toronto, Ontario, Canada</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Interim Chief Financial Officer, LottoGopher Holdings Inc.</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Director of Finance, Ontario Securities Commission</w:t>
            </w: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442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Gabriel Fahel, Ottawa,</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16"/>
                <w:szCs w:val="16"/>
                <w:color w:val="auto"/>
                <w:w w:val="93"/>
              </w:rPr>
              <w:t>287,700</w:t>
            </w:r>
            <w:r>
              <w:rPr>
                <w:rFonts w:ascii="Times New Roman" w:cs="Times New Roman" w:eastAsia="Times New Roman" w:hAnsi="Times New Roman"/>
                <w:sz w:val="21"/>
                <w:szCs w:val="21"/>
                <w:color w:val="auto"/>
                <w:w w:val="93"/>
                <w:vertAlign w:val="superscript"/>
              </w:rPr>
              <w:t>(7)</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Ontario, Canada</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Legal Officer, Cybin</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(0.04%)</w:t>
            </w:r>
          </w:p>
        </w:tc>
        <w:tc>
          <w:tcPr>
            <w:tcW w:w="0" w:type="dxa"/>
            <w:vAlign w:val="bottom"/>
          </w:tcPr>
          <w:p>
            <w:pPr>
              <w:spacing w:after="0"/>
              <w:rPr>
                <w:sz w:val="1"/>
                <w:szCs w:val="1"/>
                <w:color w:val="auto"/>
              </w:rPr>
            </w:pPr>
          </w:p>
        </w:tc>
      </w:tr>
      <w:tr>
        <w:trPr>
          <w:trHeight w:val="412"/>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Legal Officer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Legal Counsel, Government of Canada</w:t>
            </w: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442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Aaron Bartlone</w:t>
            </w:r>
          </w:p>
        </w:tc>
        <w:tc>
          <w:tcPr>
            <w:tcW w:w="4420" w:type="dxa"/>
            <w:vAlign w:val="bottom"/>
            <w:tcBorders>
              <w:right w:val="single" w:sz="8" w:color="auto"/>
            </w:tcBorders>
          </w:tcPr>
          <w:p>
            <w:pPr>
              <w:spacing w:after="0"/>
              <w:rPr>
                <w:sz w:val="22"/>
                <w:szCs w:val="22"/>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July 1, 2023</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701,070</w:t>
            </w:r>
            <w:r>
              <w:rPr>
                <w:rFonts w:ascii="Times New Roman" w:cs="Times New Roman" w:eastAsia="Times New Roman" w:hAnsi="Times New Roman"/>
                <w:sz w:val="21"/>
                <w:szCs w:val="21"/>
                <w:color w:val="auto"/>
                <w:w w:val="93"/>
                <w:vertAlign w:val="superscript"/>
              </w:rPr>
              <w:t>(8)</w:t>
            </w:r>
          </w:p>
        </w:tc>
        <w:tc>
          <w:tcPr>
            <w:tcW w:w="0" w:type="dxa"/>
            <w:vAlign w:val="bottom"/>
          </w:tcPr>
          <w:p>
            <w:pPr>
              <w:spacing w:after="0"/>
              <w:rPr>
                <w:sz w:val="1"/>
                <w:szCs w:val="1"/>
                <w:color w:val="auto"/>
              </w:rPr>
            </w:pPr>
          </w:p>
        </w:tc>
      </w:tr>
      <w:tr>
        <w:trPr>
          <w:trHeight w:val="194"/>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Atlanta, Georgia, United</w:t>
            </w:r>
          </w:p>
        </w:tc>
        <w:tc>
          <w:tcPr>
            <w:tcW w:w="442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(0.09%)</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States,</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Operating Officer, Cybin</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Operating Officer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Quality, Safety &amp; Risk Officer, UCB Inc.</w:t>
            </w: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Alex Nivorozhkin</w:t>
            </w:r>
          </w:p>
        </w:tc>
        <w:tc>
          <w:tcPr>
            <w:tcW w:w="4420" w:type="dxa"/>
            <w:vAlign w:val="bottom"/>
            <w:tcBorders>
              <w:right w:val="single" w:sz="8" w:color="auto"/>
            </w:tcBorders>
          </w:tcPr>
          <w:p>
            <w:pPr>
              <w:spacing w:after="0"/>
              <w:rPr>
                <w:sz w:val="22"/>
                <w:szCs w:val="22"/>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2020</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5,250,682</w:t>
            </w:r>
            <w:r>
              <w:rPr>
                <w:rFonts w:ascii="Times New Roman" w:cs="Times New Roman" w:eastAsia="Times New Roman" w:hAnsi="Times New Roman"/>
                <w:sz w:val="21"/>
                <w:szCs w:val="21"/>
                <w:color w:val="auto"/>
                <w:w w:val="94"/>
                <w:vertAlign w:val="superscript"/>
              </w:rPr>
              <w:t>(9)</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w:t>
            </w:r>
          </w:p>
        </w:tc>
        <w:tc>
          <w:tcPr>
            <w:tcW w:w="4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Chief Scientific Officer, Cybin</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(0.69%)</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Massachusetts, United</w:t>
            </w:r>
          </w:p>
        </w:tc>
        <w:tc>
          <w:tcPr>
            <w:tcW w:w="4420" w:type="dxa"/>
            <w:vAlign w:val="bottom"/>
            <w:tcBorders>
              <w:right w:val="single" w:sz="8" w:color="auto"/>
            </w:tcBorders>
            <w:vMerge w:val="continue"/>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20" w:type="dxa"/>
            <w:vAlign w:val="bottom"/>
            <w:tcBorders>
              <w:left w:val="single" w:sz="8" w:color="auto"/>
              <w:right w:val="single" w:sz="8" w:color="auto"/>
            </w:tcBorders>
            <w:vMerge w:val="continue"/>
          </w:tcPr>
          <w:p>
            <w:pPr>
              <w:spacing w:after="0"/>
              <w:rPr>
                <w:sz w:val="4"/>
                <w:szCs w:val="4"/>
                <w:color w:val="auto"/>
              </w:rPr>
            </w:pPr>
          </w:p>
        </w:tc>
        <w:tc>
          <w:tcPr>
            <w:tcW w:w="4420" w:type="dxa"/>
            <w:vAlign w:val="bottom"/>
            <w:tcBorders>
              <w:right w:val="single" w:sz="8" w:color="auto"/>
            </w:tcBorders>
          </w:tcPr>
          <w:p>
            <w:pPr>
              <w:spacing w:after="0"/>
              <w:rPr>
                <w:sz w:val="4"/>
                <w:szCs w:val="4"/>
                <w:color w:val="auto"/>
              </w:rPr>
            </w:pPr>
          </w:p>
        </w:tc>
        <w:tc>
          <w:tcPr>
            <w:tcW w:w="2200" w:type="dxa"/>
            <w:vAlign w:val="bottom"/>
            <w:tcBorders>
              <w:right w:val="single" w:sz="8" w:color="auto"/>
            </w:tcBorders>
          </w:tcPr>
          <w:p>
            <w:pPr>
              <w:spacing w:after="0"/>
              <w:rPr>
                <w:sz w:val="4"/>
                <w:szCs w:val="4"/>
                <w:color w:val="auto"/>
              </w:rPr>
            </w:pPr>
          </w:p>
        </w:tc>
        <w:tc>
          <w:tcPr>
            <w:tcW w:w="2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States</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Scientific Officer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Executive Officer, Adelia Therapeutics, Inc.</w:t>
            </w:r>
          </w:p>
        </w:tc>
        <w:tc>
          <w:tcPr>
            <w:tcW w:w="220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6" w:lineRule="exact"/>
        <w:rPr>
          <w:sz w:val="20"/>
          <w:szCs w:val="20"/>
          <w:color w:val="auto"/>
        </w:rPr>
      </w:pPr>
    </w:p>
    <w:tbl>
      <w:tblPr>
        <w:tblLayout w:type="fixed"/>
        <w:tblInd w:w="233" w:type="dxa"/>
        <w:tblCellMar>
          <w:top w:w="0" w:type="dxa"/>
          <w:left w:w="0" w:type="dxa"/>
          <w:bottom w:w="0" w:type="dxa"/>
          <w:right w:w="0" w:type="dxa"/>
        </w:tblCellMar>
      </w:tblPr>
      <w:tr>
        <w:trPr>
          <w:trHeight w:val="250"/>
        </w:trPr>
        <w:tc>
          <w:tcPr>
            <w:tcW w:w="1920" w:type="dxa"/>
            <w:vAlign w:val="bottom"/>
            <w:tcBorders>
              <w:top w:val="single" w:sz="8" w:color="auto"/>
              <w:left w:val="single" w:sz="8" w:color="auto"/>
              <w:right w:val="single" w:sz="8" w:color="auto"/>
            </w:tcBorders>
          </w:tcPr>
          <w:p>
            <w:pPr>
              <w:spacing w:after="0"/>
              <w:rPr>
                <w:sz w:val="21"/>
                <w:szCs w:val="21"/>
                <w:color w:val="auto"/>
              </w:rPr>
            </w:pP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Growth Officer, Cybin</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11,242,407</w:t>
            </w:r>
            <w:r>
              <w:rPr>
                <w:rFonts w:ascii="Times New Roman" w:cs="Times New Roman" w:eastAsia="Times New Roman" w:hAnsi="Times New Roman"/>
                <w:sz w:val="21"/>
                <w:szCs w:val="21"/>
                <w:color w:val="auto"/>
                <w:w w:val="94"/>
                <w:vertAlign w:val="superscript"/>
              </w:rPr>
              <w:t>(10)</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Paul Glavine, Toronto,</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(1.48%)</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tcPr>
          <w:p>
            <w:pPr>
              <w:spacing w:after="0"/>
              <w:rPr>
                <w:sz w:val="7"/>
                <w:szCs w:val="7"/>
                <w:color w:val="auto"/>
              </w:rPr>
            </w:pPr>
          </w:p>
        </w:tc>
        <w:tc>
          <w:tcPr>
            <w:tcW w:w="442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Ontario, Canada</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Former Chief Operating Officer and Chief Executive Officer,</w:t>
            </w:r>
          </w:p>
        </w:tc>
        <w:tc>
          <w:tcPr>
            <w:tcW w:w="2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Cybin</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 and Chief Growth</w:t>
            </w:r>
          </w:p>
        </w:tc>
        <w:tc>
          <w:tcPr>
            <w:tcW w:w="442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Officer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Managing director, Global Canna Labs Limited and Truverra</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442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President of Cybin</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2"/>
              </w:rPr>
              <w:t>11,572,411</w:t>
            </w:r>
            <w:r>
              <w:rPr>
                <w:rFonts w:ascii="Times New Roman" w:cs="Times New Roman" w:eastAsia="Times New Roman" w:hAnsi="Times New Roman"/>
                <w:sz w:val="21"/>
                <w:szCs w:val="21"/>
                <w:color w:val="auto"/>
                <w:w w:val="92"/>
                <w:vertAlign w:val="superscript"/>
              </w:rPr>
              <w:t>(11)</w:t>
            </w:r>
          </w:p>
        </w:tc>
        <w:tc>
          <w:tcPr>
            <w:tcW w:w="0" w:type="dxa"/>
            <w:vAlign w:val="bottom"/>
          </w:tcPr>
          <w:p>
            <w:pPr>
              <w:spacing w:after="0"/>
              <w:rPr>
                <w:sz w:val="1"/>
                <w:szCs w:val="1"/>
                <w:color w:val="auto"/>
              </w:rPr>
            </w:pPr>
          </w:p>
        </w:tc>
      </w:tr>
      <w:tr>
        <w:trPr>
          <w:trHeight w:val="218"/>
        </w:trPr>
        <w:tc>
          <w:tcPr>
            <w:tcW w:w="1920" w:type="dxa"/>
            <w:vAlign w:val="bottom"/>
            <w:tcBorders>
              <w:left w:val="single" w:sz="8" w:color="auto"/>
              <w:right w:val="single" w:sz="8" w:color="auto"/>
            </w:tcBorders>
          </w:tcPr>
          <w:p>
            <w:pPr>
              <w:ind w:left="40"/>
              <w:spacing w:after="0" w:line="218" w:lineRule="exact"/>
              <w:rPr>
                <w:sz w:val="20"/>
                <w:szCs w:val="20"/>
                <w:color w:val="auto"/>
              </w:rPr>
            </w:pPr>
            <w:r>
              <w:rPr>
                <w:rFonts w:ascii="Times New Roman" w:cs="Times New Roman" w:eastAsia="Times New Roman" w:hAnsi="Times New Roman"/>
                <w:sz w:val="16"/>
                <w:szCs w:val="16"/>
                <w:color w:val="auto"/>
              </w:rPr>
              <w:t>Eric So</w:t>
            </w:r>
            <w:r>
              <w:rPr>
                <w:rFonts w:ascii="Times New Roman" w:cs="Times New Roman" w:eastAsia="Times New Roman" w:hAnsi="Times New Roman"/>
                <w:sz w:val="21"/>
                <w:szCs w:val="21"/>
                <w:b w:val="1"/>
                <w:bCs w:val="1"/>
                <w:color w:val="auto"/>
                <w:vertAlign w:val="superscript"/>
              </w:rPr>
              <w:t>(2)(3)</w:t>
            </w:r>
            <w:r>
              <w:rPr>
                <w:rFonts w:ascii="Times New Roman" w:cs="Times New Roman" w:eastAsia="Times New Roman" w:hAnsi="Times New Roman"/>
                <w:sz w:val="16"/>
                <w:szCs w:val="16"/>
                <w:color w:val="auto"/>
              </w:rPr>
              <w:t>,</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(1.52%)</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Toronto, Ontario, Canada</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Managing Director, Trinity Venture Partners</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 and President</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President, Growpacker</w:t>
            </w: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442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16"/>
                <w:szCs w:val="16"/>
                <w:color w:val="auto"/>
              </w:rPr>
              <w:t>Theresa Firestone</w:t>
            </w:r>
            <w:r>
              <w:rPr>
                <w:rFonts w:ascii="Times New Roman" w:cs="Times New Roman" w:eastAsia="Times New Roman" w:hAnsi="Times New Roman"/>
                <w:sz w:val="21"/>
                <w:szCs w:val="21"/>
                <w:b w:val="1"/>
                <w:bCs w:val="1"/>
                <w:color w:val="auto"/>
                <w:vertAlign w:val="superscript"/>
              </w:rPr>
              <w:t>(1)(3)(4)</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Senior Vice President, Shoppers Drug Mart</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2021</w:t>
            </w:r>
          </w:p>
        </w:tc>
        <w:tc>
          <w:tcPr>
            <w:tcW w:w="220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2"/>
              </w:rPr>
              <w:t>40,250</w:t>
            </w:r>
            <w:r>
              <w:rPr>
                <w:rFonts w:ascii="Times New Roman" w:cs="Times New Roman" w:eastAsia="Times New Roman" w:hAnsi="Times New Roman"/>
                <w:sz w:val="21"/>
                <w:szCs w:val="21"/>
                <w:b w:val="1"/>
                <w:bCs w:val="1"/>
                <w:color w:val="auto"/>
                <w:w w:val="92"/>
                <w:vertAlign w:val="superscript"/>
              </w:rPr>
              <w:t>(12)</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Toronto, Ontario, Canada</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0" w:type="dxa"/>
            <w:vAlign w:val="bottom"/>
          </w:tcPr>
          <w:p>
            <w:pPr>
              <w:spacing w:after="0"/>
              <w:rPr>
                <w:sz w:val="1"/>
                <w:szCs w:val="1"/>
                <w:color w:val="auto"/>
              </w:rPr>
            </w:pPr>
          </w:p>
        </w:tc>
      </w:tr>
      <w:tr>
        <w:trPr>
          <w:trHeight w:val="412"/>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442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442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16"/>
                <w:szCs w:val="16"/>
                <w:color w:val="auto"/>
              </w:rPr>
              <w:t>Grant Froese</w:t>
            </w:r>
            <w:r>
              <w:rPr>
                <w:rFonts w:ascii="Times New Roman" w:cs="Times New Roman" w:eastAsia="Times New Roman" w:hAnsi="Times New Roman"/>
                <w:sz w:val="21"/>
                <w:szCs w:val="21"/>
                <w:b w:val="1"/>
                <w:bCs w:val="1"/>
                <w:color w:val="auto"/>
                <w:vertAlign w:val="superscript"/>
              </w:rPr>
              <w:t>(1)(2)</w:t>
            </w:r>
            <w:r>
              <w:rPr>
                <w:rFonts w:ascii="Times New Roman" w:cs="Times New Roman" w:eastAsia="Times New Roman" w:hAnsi="Times New Roman"/>
                <w:sz w:val="16"/>
                <w:szCs w:val="16"/>
                <w:color w:val="auto"/>
              </w:rPr>
              <w:t>, Toronto,</w:t>
            </w:r>
          </w:p>
        </w:tc>
        <w:tc>
          <w:tcPr>
            <w:tcW w:w="442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right w:val="single" w:sz="8" w:color="auto"/>
            </w:tcBorders>
          </w:tcPr>
          <w:p>
            <w:pPr>
              <w:ind w:left="900"/>
              <w:spacing w:after="0" w:line="230" w:lineRule="exact"/>
              <w:rPr>
                <w:sz w:val="20"/>
                <w:szCs w:val="20"/>
                <w:color w:val="auto"/>
              </w:rPr>
            </w:pPr>
            <w:r>
              <w:rPr>
                <w:rFonts w:ascii="Times New Roman" w:cs="Times New Roman" w:eastAsia="Times New Roman" w:hAnsi="Times New Roman"/>
                <w:sz w:val="26"/>
                <w:szCs w:val="26"/>
                <w:color w:val="auto"/>
                <w:vertAlign w:val="subscript"/>
              </w:rPr>
              <w:t>Nil</w:t>
            </w: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Ontario, Canada</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Director, Greywolf Management Services Inc.</w:t>
            </w: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Director and CEO Harvest One Cannabis Inc.</w:t>
            </w: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442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16"/>
                <w:szCs w:val="16"/>
                <w:color w:val="auto"/>
              </w:rPr>
              <w:t>Eric Hoskins</w:t>
            </w:r>
            <w:r>
              <w:rPr>
                <w:rFonts w:ascii="Times New Roman" w:cs="Times New Roman" w:eastAsia="Times New Roman" w:hAnsi="Times New Roman"/>
                <w:sz w:val="21"/>
                <w:szCs w:val="21"/>
                <w:b w:val="1"/>
                <w:bCs w:val="1"/>
                <w:color w:val="auto"/>
                <w:vertAlign w:val="superscript"/>
              </w:rPr>
              <w:t>(1)(3)</w:t>
            </w:r>
            <w:r>
              <w:rPr>
                <w:rFonts w:ascii="Times New Roman" w:cs="Times New Roman" w:eastAsia="Times New Roman" w:hAnsi="Times New Roman"/>
                <w:sz w:val="16"/>
                <w:szCs w:val="16"/>
                <w:color w:val="auto"/>
              </w:rPr>
              <w:t>, Toronto,</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Partner, Maverix Private Equity</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2"/>
              </w:rPr>
              <w:t>100,000</w:t>
            </w:r>
            <w:r>
              <w:rPr>
                <w:rFonts w:ascii="Times New Roman" w:cs="Times New Roman" w:eastAsia="Times New Roman" w:hAnsi="Times New Roman"/>
                <w:sz w:val="21"/>
                <w:szCs w:val="21"/>
                <w:b w:val="1"/>
                <w:bCs w:val="1"/>
                <w:color w:val="auto"/>
                <w:w w:val="92"/>
                <w:vertAlign w:val="superscript"/>
              </w:rPr>
              <w:t>(14)</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Ontario, Canada</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0" w:type="dxa"/>
            <w:vAlign w:val="bottom"/>
          </w:tcPr>
          <w:p>
            <w:pPr>
              <w:spacing w:after="0"/>
              <w:rPr>
                <w:sz w:val="1"/>
                <w:szCs w:val="1"/>
                <w:color w:val="auto"/>
              </w:rPr>
            </w:pPr>
          </w:p>
        </w:tc>
      </w:tr>
      <w:tr>
        <w:trPr>
          <w:trHeight w:val="412"/>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442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442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ind w:left="40"/>
              <w:spacing w:after="0" w:line="230" w:lineRule="exact"/>
              <w:rPr>
                <w:sz w:val="20"/>
                <w:szCs w:val="20"/>
                <w:color w:val="auto"/>
              </w:rPr>
            </w:pPr>
            <w:r>
              <w:rPr>
                <w:rFonts w:ascii="Times New Roman" w:cs="Times New Roman" w:eastAsia="Times New Roman" w:hAnsi="Times New Roman"/>
                <w:sz w:val="16"/>
                <w:szCs w:val="16"/>
                <w:color w:val="auto"/>
              </w:rPr>
              <w:t>Mark Lawson</w:t>
            </w:r>
            <w:r>
              <w:rPr>
                <w:rFonts w:ascii="Times New Roman" w:cs="Times New Roman" w:eastAsia="Times New Roman" w:hAnsi="Times New Roman"/>
                <w:sz w:val="21"/>
                <w:szCs w:val="21"/>
                <w:b w:val="1"/>
                <w:bCs w:val="1"/>
                <w:color w:val="auto"/>
                <w:vertAlign w:val="superscript"/>
              </w:rPr>
              <w:t>(1)(2)(3)</w:t>
            </w:r>
            <w:r>
              <w:rPr>
                <w:rFonts w:ascii="Times New Roman" w:cs="Times New Roman" w:eastAsia="Times New Roman" w:hAnsi="Times New Roman"/>
                <w:sz w:val="16"/>
                <w:szCs w:val="16"/>
                <w:color w:val="auto"/>
              </w:rPr>
              <w:t>,</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Managing Partner, Clermont Capital Partners Inc.</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2020</w:t>
            </w:r>
          </w:p>
        </w:tc>
        <w:tc>
          <w:tcPr>
            <w:tcW w:w="220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2"/>
              </w:rPr>
              <w:t>114,996</w:t>
            </w:r>
            <w:r>
              <w:rPr>
                <w:rFonts w:ascii="Times New Roman" w:cs="Times New Roman" w:eastAsia="Times New Roman" w:hAnsi="Times New Roman"/>
                <w:sz w:val="21"/>
                <w:szCs w:val="21"/>
                <w:color w:val="auto"/>
                <w:w w:val="92"/>
                <w:vertAlign w:val="superscript"/>
              </w:rPr>
              <w:t>(15)</w:t>
            </w:r>
          </w:p>
        </w:tc>
        <w:tc>
          <w:tcPr>
            <w:tcW w:w="0" w:type="dxa"/>
            <w:vAlign w:val="bottom"/>
          </w:tcPr>
          <w:p>
            <w:pPr>
              <w:spacing w:after="0"/>
              <w:rPr>
                <w:sz w:val="1"/>
                <w:szCs w:val="1"/>
                <w:color w:val="auto"/>
              </w:rPr>
            </w:pPr>
          </w:p>
        </w:tc>
      </w:tr>
      <w:tr>
        <w:trPr>
          <w:trHeight w:val="194"/>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Toronto, Ontario, Canada</w:t>
            </w:r>
          </w:p>
        </w:tc>
        <w:tc>
          <w:tcPr>
            <w:tcW w:w="442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(0.02%)</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442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George Tziras</w:t>
            </w:r>
          </w:p>
        </w:tc>
        <w:tc>
          <w:tcPr>
            <w:tcW w:w="4420" w:type="dxa"/>
            <w:vAlign w:val="bottom"/>
            <w:tcBorders>
              <w:right w:val="single" w:sz="8" w:color="auto"/>
            </w:tcBorders>
          </w:tcPr>
          <w:p>
            <w:pPr>
              <w:spacing w:after="0"/>
              <w:rPr>
                <w:sz w:val="23"/>
                <w:szCs w:val="23"/>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October 2023</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1,294,747</w:t>
            </w:r>
            <w:r>
              <w:rPr>
                <w:rFonts w:ascii="Times New Roman" w:cs="Times New Roman" w:eastAsia="Times New Roman" w:hAnsi="Times New Roman"/>
                <w:sz w:val="21"/>
                <w:szCs w:val="21"/>
                <w:color w:val="auto"/>
                <w:w w:val="93"/>
                <w:vertAlign w:val="superscript"/>
              </w:rPr>
              <w:t>(16)</w:t>
            </w: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London, United Kingdom</w:t>
            </w:r>
          </w:p>
        </w:tc>
        <w:tc>
          <w:tcPr>
            <w:tcW w:w="44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(0.17%)</w:t>
            </w:r>
          </w:p>
        </w:tc>
        <w:tc>
          <w:tcPr>
            <w:tcW w:w="0" w:type="dxa"/>
            <w:vAlign w:val="bottom"/>
          </w:tcPr>
          <w:p>
            <w:pPr>
              <w:spacing w:after="0"/>
              <w:rPr>
                <w:sz w:val="1"/>
                <w:szCs w:val="1"/>
                <w:color w:val="auto"/>
              </w:rPr>
            </w:pPr>
          </w:p>
        </w:tc>
      </w:tr>
      <w:tr>
        <w:trPr>
          <w:trHeight w:val="412"/>
        </w:trPr>
        <w:tc>
          <w:tcPr>
            <w:tcW w:w="19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Director and Chief</w:t>
            </w:r>
          </w:p>
        </w:tc>
        <w:tc>
          <w:tcPr>
            <w:tcW w:w="4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Business Officer, Cybin</w:t>
            </w:r>
          </w:p>
        </w:tc>
        <w:tc>
          <w:tcPr>
            <w:tcW w:w="220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1920" w:type="dxa"/>
            <w:vAlign w:val="bottom"/>
            <w:tcBorders>
              <w:left w:val="single" w:sz="8" w:color="auto"/>
              <w:right w:val="single" w:sz="8" w:color="auto"/>
            </w:tcBorders>
            <w:vMerge w:val="continue"/>
          </w:tcPr>
          <w:p>
            <w:pPr>
              <w:spacing w:after="0"/>
              <w:rPr>
                <w:sz w:val="4"/>
                <w:szCs w:val="4"/>
                <w:color w:val="auto"/>
              </w:rPr>
            </w:pPr>
          </w:p>
        </w:tc>
        <w:tc>
          <w:tcPr>
            <w:tcW w:w="4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CEO, Small Pharma Limited</w:t>
            </w:r>
          </w:p>
        </w:tc>
        <w:tc>
          <w:tcPr>
            <w:tcW w:w="2200" w:type="dxa"/>
            <w:vAlign w:val="bottom"/>
            <w:tcBorders>
              <w:right w:val="single" w:sz="8" w:color="auto"/>
            </w:tcBorders>
          </w:tcPr>
          <w:p>
            <w:pPr>
              <w:spacing w:after="0"/>
              <w:rPr>
                <w:sz w:val="4"/>
                <w:szCs w:val="4"/>
                <w:color w:val="auto"/>
              </w:rPr>
            </w:pPr>
          </w:p>
        </w:tc>
        <w:tc>
          <w:tcPr>
            <w:tcW w:w="2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Business Officer</w:t>
            </w:r>
          </w:p>
        </w:tc>
        <w:tc>
          <w:tcPr>
            <w:tcW w:w="4420" w:type="dxa"/>
            <w:vAlign w:val="bottom"/>
            <w:tcBorders>
              <w:bottom w:val="single" w:sz="8" w:color="auto"/>
              <w:right w:val="single" w:sz="8" w:color="auto"/>
            </w:tcBorders>
            <w:vMerge w:val="continue"/>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p>
    <w:p>
      <w:pPr>
        <w:spacing w:after="0" w:line="59" w:lineRule="exact"/>
        <w:rPr>
          <w:sz w:val="20"/>
          <w:szCs w:val="20"/>
          <w:color w:val="auto"/>
        </w:rPr>
      </w:pPr>
    </w:p>
    <w:p>
      <w:pPr>
        <w:ind w:left="303" w:hanging="303"/>
        <w:spacing w:after="0"/>
        <w:tabs>
          <w:tab w:leader="none" w:pos="303"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Audit Committee.</w:t>
      </w:r>
    </w:p>
    <w:p>
      <w:pPr>
        <w:spacing w:after="0" w:line="17" w:lineRule="exact"/>
        <w:rPr>
          <w:rFonts w:ascii="Times New Roman" w:cs="Times New Roman" w:eastAsia="Times New Roman" w:hAnsi="Times New Roman"/>
          <w:sz w:val="13"/>
          <w:szCs w:val="13"/>
          <w:color w:val="auto"/>
        </w:rPr>
      </w:pPr>
    </w:p>
    <w:p>
      <w:pPr>
        <w:ind w:left="283" w:hanging="283"/>
        <w:spacing w:after="0"/>
        <w:tabs>
          <w:tab w:leader="none" w:pos="283"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Compensation Committee.</w:t>
      </w:r>
    </w:p>
    <w:p>
      <w:pPr>
        <w:ind w:left="283" w:hanging="283"/>
        <w:spacing w:after="0"/>
        <w:tabs>
          <w:tab w:leader="none" w:pos="283"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Governance and Nominating Committee.</w:t>
      </w:r>
    </w:p>
    <w:p>
      <w:pPr>
        <w:spacing w:after="0" w:line="3" w:lineRule="exact"/>
        <w:rPr>
          <w:rFonts w:ascii="Times New Roman" w:cs="Times New Roman" w:eastAsia="Times New Roman" w:hAnsi="Times New Roman"/>
          <w:sz w:val="13"/>
          <w:szCs w:val="13"/>
          <w:color w:val="auto"/>
        </w:rPr>
      </w:pPr>
    </w:p>
    <w:p>
      <w:pPr>
        <w:ind w:left="283" w:hanging="283"/>
        <w:spacing w:after="0"/>
        <w:tabs>
          <w:tab w:leader="none" w:pos="283"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Lead independent director</w:t>
      </w:r>
    </w:p>
    <w:p>
      <w:pPr>
        <w:spacing w:after="0" w:line="8" w:lineRule="exact"/>
        <w:rPr>
          <w:rFonts w:ascii="Times New Roman" w:cs="Times New Roman" w:eastAsia="Times New Roman" w:hAnsi="Times New Roman"/>
          <w:sz w:val="13"/>
          <w:szCs w:val="13"/>
          <w:color w:val="auto"/>
        </w:rPr>
      </w:pPr>
    </w:p>
    <w:p>
      <w:pPr>
        <w:ind w:left="283" w:hanging="283"/>
        <w:spacing w:after="0"/>
        <w:tabs>
          <w:tab w:leader="none" w:pos="283"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2,750,000 Options to acquire 2,750,000 Common Shares.</w:t>
      </w:r>
    </w:p>
    <w:p>
      <w:pPr>
        <w:spacing w:after="0" w:line="8" w:lineRule="exact"/>
        <w:rPr>
          <w:rFonts w:ascii="Times New Roman" w:cs="Times New Roman" w:eastAsia="Times New Roman" w:hAnsi="Times New Roman"/>
          <w:sz w:val="13"/>
          <w:szCs w:val="13"/>
          <w:color w:val="auto"/>
        </w:rPr>
      </w:pPr>
    </w:p>
    <w:p>
      <w:pPr>
        <w:ind w:left="283" w:hanging="283"/>
        <w:spacing w:after="0"/>
        <w:tabs>
          <w:tab w:leader="none" w:pos="283"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1,400,000 Options to acquire 1,400,000 Common Shares.</w:t>
      </w:r>
    </w:p>
    <w:p>
      <w:pPr>
        <w:spacing w:after="0" w:line="8" w:lineRule="exact"/>
        <w:rPr>
          <w:rFonts w:ascii="Times New Roman" w:cs="Times New Roman" w:eastAsia="Times New Roman" w:hAnsi="Times New Roman"/>
          <w:sz w:val="13"/>
          <w:szCs w:val="13"/>
          <w:color w:val="auto"/>
        </w:rPr>
      </w:pPr>
    </w:p>
    <w:p>
      <w:pPr>
        <w:ind w:left="583" w:hanging="583"/>
        <w:spacing w:after="0" w:line="243" w:lineRule="auto"/>
        <w:tabs>
          <w:tab w:leader="none" w:pos="33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Fahel holds 124,000 Common Shares directly as well as 50,000 Common Shares indirectly through Imeix Inc., and holds or controls 113,700 Common Shares through registered family accounts. Excludes 1,350,000 Options to acquire 1,350,000 Common Shares.</w:t>
      </w:r>
    </w:p>
    <w:p>
      <w:pPr>
        <w:ind w:left="283" w:hanging="283"/>
        <w:spacing w:after="0"/>
        <w:tabs>
          <w:tab w:leader="none" w:pos="283"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1,200,000 Options to acquire 1,200,000 Common Shares.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3"/>
          </w:cols>
          <w:pgMar w:left="317" w:top="1440" w:right="339" w:bottom="1440" w:gutter="0" w:footer="0" w:header="0"/>
        </w:sectPr>
      </w:pPr>
    </w:p>
    <w:bookmarkStart w:id="190" w:name="page191"/>
    <w:bookmarkEnd w:id="190"/>
    <w:p>
      <w:pPr>
        <w:spacing w:after="0" w:line="2" w:lineRule="exact"/>
        <w:rPr>
          <w:sz w:val="20"/>
          <w:szCs w:val="20"/>
          <w:color w:val="auto"/>
        </w:rPr>
      </w:pPr>
    </w:p>
    <w:p>
      <w:pPr>
        <w:ind w:left="283" w:hanging="283"/>
        <w:spacing w:after="0"/>
        <w:tabs>
          <w:tab w:leader="none" w:pos="28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780,000 Options to acquire 780,000 Common Shares.</w:t>
      </w:r>
    </w:p>
    <w:p>
      <w:pPr>
        <w:spacing w:after="0" w:line="17" w:lineRule="exact"/>
        <w:rPr>
          <w:rFonts w:ascii="Times New Roman" w:cs="Times New Roman" w:eastAsia="Times New Roman" w:hAnsi="Times New Roman"/>
          <w:sz w:val="13"/>
          <w:szCs w:val="13"/>
          <w:color w:val="auto"/>
        </w:rPr>
      </w:pPr>
    </w:p>
    <w:p>
      <w:pPr>
        <w:ind w:left="583" w:hanging="583"/>
        <w:spacing w:after="0" w:line="253" w:lineRule="auto"/>
        <w:tabs>
          <w:tab w:leader="none" w:pos="356"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Glavine holds 1,716,666 Common Shares directly as well as 8,775,741 Common Shares indirectly through PLG Family Trust, and controls 750,000 Common Shares indirectly through his spouse. Excludes 4,000,000 Warrants to acquire 4,000,000 Common Shares and 480,000 Options to acquire 480,000 Common Shares.</w:t>
      </w:r>
    </w:p>
    <w:p>
      <w:pPr>
        <w:ind w:left="583" w:right="20" w:hanging="583"/>
        <w:spacing w:after="0" w:line="246" w:lineRule="auto"/>
        <w:tabs>
          <w:tab w:leader="none" w:pos="401"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So holds 1,716,666 Common Shares directly as well as 7,855,744 Common Shares indirectly through So Family Trust – 2017, and controls 2,000,000 Common Shares indirectly through his spouse. Excludes 4,000,000 Warrants to acquire 4,000,000 Common Shares and 480,000 Options to acquire 480,000 Common Shares.</w:t>
      </w:r>
    </w:p>
    <w:p>
      <w:pPr>
        <w:spacing w:after="0" w:line="1"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195,000 Options to acquire 195,000 Common Shares.</w:t>
      </w:r>
    </w:p>
    <w:p>
      <w:pPr>
        <w:spacing w:after="0" w:line="3"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195,000 Options to acquire 195,000 Common Shares and 750,000 Warrants to acquire 750,000 Common Shares.</w:t>
      </w:r>
    </w:p>
    <w:p>
      <w:pPr>
        <w:spacing w:after="0" w:line="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195,000 Options to acquire 195,000 Common Shares and 1,150,000 Warrants to acquire 1,150,000 Common Shares</w:t>
      </w:r>
    </w:p>
    <w:p>
      <w:pPr>
        <w:spacing w:after="0" w:line="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200,000 Options to acquire 200,000 Common Shares.</w:t>
      </w:r>
    </w:p>
    <w:p>
      <w:pPr>
        <w:spacing w:after="0" w:line="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750,000 Options to acquire 750,000 Common Shares.</w:t>
      </w:r>
    </w:p>
    <w:p>
      <w:pPr>
        <w:spacing w:after="0" w:line="253"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As of the date of this AIF, all promoters, directors, officers and insiders, as a group, beneficially own, directly or indirectly, an aggregate of 30,682,263 Common Shares on a non-diluted basis, representing 4.04% of the Company’s capitalization on a fully diluted basis.</w:t>
      </w:r>
    </w:p>
    <w:p>
      <w:pPr>
        <w:spacing w:after="0" w:line="1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&amp; Management</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Douglas Drysdale</w:t>
      </w:r>
      <w:r>
        <w:rPr>
          <w:rFonts w:ascii="Times New Roman" w:cs="Times New Roman" w:eastAsia="Times New Roman" w:hAnsi="Times New Roman"/>
          <w:sz w:val="18"/>
          <w:szCs w:val="18"/>
          <w:color w:val="auto"/>
        </w:rPr>
        <w:t>, Chief Executive Officer, Age 53</w:t>
      </w:r>
    </w:p>
    <w:p>
      <w:pPr>
        <w:spacing w:after="0" w:line="209" w:lineRule="exact"/>
        <w:rPr>
          <w:sz w:val="20"/>
          <w:szCs w:val="20"/>
          <w:color w:val="auto"/>
        </w:rPr>
      </w:pPr>
    </w:p>
    <w:p>
      <w:pPr>
        <w:jc w:val="both"/>
        <w:ind w:left="3" w:right="20"/>
        <w:spacing w:after="0" w:line="250" w:lineRule="auto"/>
        <w:rPr>
          <w:sz w:val="20"/>
          <w:szCs w:val="20"/>
          <w:color w:val="auto"/>
        </w:rPr>
      </w:pPr>
      <w:r>
        <w:rPr>
          <w:rFonts w:ascii="Times New Roman" w:cs="Times New Roman" w:eastAsia="Times New Roman" w:hAnsi="Times New Roman"/>
          <w:sz w:val="18"/>
          <w:szCs w:val="18"/>
          <w:color w:val="auto"/>
        </w:rPr>
        <w:t>Douglas Drysdale is the Chief Executive Officer of the Company. Mr. Drysdale has more than 30 years of experience in the health care sector. As a skillful corporate director, in early 2014, Mr. Drysdale led the recapitalization of a NASDAQ-listed pharmaceutical company, Pernix Therapeutics Inc., raising $65 million. Within the first year of taking the helm as Chairman and CEO, Mr. Drysdale rebuilt the management team and board of directors, and built a 220-person sales team, complete with supporting functions (marketing, sales training, sales operations, and analytics). Mr. Drysdale’s efforts grew the company’s enterprise value exponentially from $80 million to around $800 million. Under Mr. Drysdale’s leadership, the pharmaceutical company raised $465 million of capital. Mr. Drysdale was also the founding CEO of Alvogen in 2008, leading the company from inception through an expansion to 35 countries and revenues of approximately $500 million in 5 years.</w:t>
      </w:r>
    </w:p>
    <w:p>
      <w:pPr>
        <w:spacing w:after="0" w:line="176"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Earlier in his career, Mr. Drysdale served as Head of M&amp;A at Actavis Group, leading 15 corporate acquisitions across three continents, between 2004 and 2008, including a high-profile public hostile takeover attempt in Central Eastern Europe. Over this period, Mr. Drysdale raised approximately $3 billion of capital and managed lending syndicates, including over 25 banks, to fund its growth. Actavis was sold to Watson Pharmaceuticals in 2012 for €4.25 billion.</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Greg Cavers</w:t>
      </w:r>
      <w:r>
        <w:rPr>
          <w:rFonts w:ascii="Times New Roman" w:cs="Times New Roman" w:eastAsia="Times New Roman" w:hAnsi="Times New Roman"/>
          <w:sz w:val="18"/>
          <w:szCs w:val="18"/>
          <w:color w:val="auto"/>
        </w:rPr>
        <w:t>, Chief Financial Officer, Age 54</w:t>
      </w:r>
    </w:p>
    <w:p>
      <w:pPr>
        <w:spacing w:after="0" w:line="197"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Greg Cavers has over 20 years’ experience specializing in transforming and revitalizing corporate finance departments. Mr. Cavers has experience in service operations in varying stages of growth; leading business unit start-ups, restructuring, system implementations and merger integrations while increasing profitability, minimizing risk and dedicated to meeting financial reporting, IFRS; as well as regulatory reporting OSFI, MFDA requirements.</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Gabriel Fahel</w:t>
      </w:r>
      <w:r>
        <w:rPr>
          <w:rFonts w:ascii="Times New Roman" w:cs="Times New Roman" w:eastAsia="Times New Roman" w:hAnsi="Times New Roman"/>
          <w:sz w:val="18"/>
          <w:szCs w:val="18"/>
          <w:color w:val="auto"/>
        </w:rPr>
        <w:t>, Chief Legal Officer and Corporate Secretary, Age 49</w:t>
      </w:r>
    </w:p>
    <w:p>
      <w:pPr>
        <w:spacing w:after="0" w:line="217" w:lineRule="exact"/>
        <w:rPr>
          <w:sz w:val="20"/>
          <w:szCs w:val="20"/>
          <w:color w:val="auto"/>
        </w:rPr>
      </w:pPr>
    </w:p>
    <w:p>
      <w:pPr>
        <w:jc w:val="both"/>
        <w:ind w:left="3" w:right="20"/>
        <w:spacing w:after="0" w:line="272" w:lineRule="auto"/>
        <w:rPr>
          <w:sz w:val="20"/>
          <w:szCs w:val="20"/>
          <w:color w:val="auto"/>
        </w:rPr>
      </w:pPr>
      <w:r>
        <w:rPr>
          <w:rFonts w:ascii="Times New Roman" w:cs="Times New Roman" w:eastAsia="Times New Roman" w:hAnsi="Times New Roman"/>
          <w:sz w:val="19"/>
          <w:szCs w:val="19"/>
          <w:color w:val="auto"/>
        </w:rPr>
        <w:t>Gabe Fahel brings extensive experience in corporate commercial matters and government relations with more than 25 years as counsel with law firms, private and public companies, and government and non-governmental organizations. Gabe has a broad range of experience managing multijurisdictional and multidisciplinary teams in fast-paced and politically charged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63"/>
          </w:cols>
          <w:pgMar w:left="317" w:top="1440" w:right="319" w:bottom="1440" w:gutter="0" w:footer="0" w:header="0"/>
        </w:sectPr>
      </w:pPr>
    </w:p>
    <w:bookmarkStart w:id="191" w:name="page192"/>
    <w:bookmarkEnd w:id="191"/>
    <w:p>
      <w:pPr>
        <w:spacing w:after="0" w:line="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environments. He has been engaged in complex and intractable areas of international law and advanced novel legal issues of law before every level of court in Canada, including the Supreme Court of Canada. Gabe is also a founding board member of PsyCan (The Canadian Psychedelic Businesses Association).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Glavine</w:t>
      </w:r>
      <w:r>
        <w:rPr>
          <w:rFonts w:ascii="Times New Roman" w:cs="Times New Roman" w:eastAsia="Times New Roman" w:hAnsi="Times New Roman"/>
          <w:sz w:val="18"/>
          <w:szCs w:val="18"/>
          <w:color w:val="auto"/>
        </w:rPr>
        <w:t>, Director and Chief Growth Officer, Age 35</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Paul Glavine is a Co-founder, the Chief Growth Officer, and a Director of the Company, with extensive expertise as a serial entrepreneur and investor in the biotech and life sciences sectors. As the founding CEO of Cybin, he has been instrumental in advancing psychedelic therapeutics. Additionally, he co-founded Truverra, which focuses on cannabinoid-based therapies for pain management, which was acquired by Supreme Cannabis Company. Over the past six years, Paul has successfully raised and completed financings and mergers &amp; acquisitions totaling over $450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So</w:t>
      </w:r>
      <w:r>
        <w:rPr>
          <w:rFonts w:ascii="Times New Roman" w:cs="Times New Roman" w:eastAsia="Times New Roman" w:hAnsi="Times New Roman"/>
          <w:sz w:val="18"/>
          <w:szCs w:val="18"/>
          <w:color w:val="auto"/>
        </w:rPr>
        <w:t>, Director and President, Age 47</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Eric So is a Co-founder and President of the Company. He is a veteran owner and operator of various public and private companies over the last 15 years and has led C-level corporate strategy, development and finance at all stages of the business life cycle from start-up to high growth and multinational. He began his career practicing in the areas of corporate commercial, securities, finance and mergers and acquisitions at Torys LLP.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Bartlone</w:t>
      </w:r>
      <w:r>
        <w:rPr>
          <w:rFonts w:ascii="Times New Roman" w:cs="Times New Roman" w:eastAsia="Times New Roman" w:hAnsi="Times New Roman"/>
          <w:sz w:val="18"/>
          <w:szCs w:val="18"/>
          <w:color w:val="auto"/>
        </w:rPr>
        <w:t>, Chief Operation Officer, Age 57</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Aaron Bartlone is an accomplished and highly regarded biopharmaceutical executive with an impressive track record of driving disruptive therapies to worldwide markets. Prior to joining the Company, Aaron served UCB for 12 years as Senior Vice President of Quality Assurance, Patient Safety and Enterprise Risk Management, where he delivered functional results, clinical pipeline progression and regulatory marketing approvals for products in neurology, gastroenterology and immunology. Aaron also served as President of the US Commercial Operations where he delivered double-digit growth on a +US$2 billion P&amp;L while concurrently restructuring the business units and supporting compliance infrastructure. Before UCB, Aaron spent 14 years with Eli Lilly &amp; Company across a myriad of US and global roles spanning Quality Assurance, Regulatory Affairs and CMC Product Development, where he drove successful neurology, oncology, diabetes, and cardiovascular drug candidates and combination products through the clinical phases to global markets. Aaron holds a bachelor’s degree in Chemistry &amp; Mathematics from Youngstown State University and a master’s degree in Analytical Chemistry from the University of Notre Dame.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 Nivoroshkin</w:t>
      </w:r>
      <w:r>
        <w:rPr>
          <w:rFonts w:ascii="Times New Roman" w:cs="Times New Roman" w:eastAsia="Times New Roman" w:hAnsi="Times New Roman"/>
          <w:sz w:val="18"/>
          <w:szCs w:val="18"/>
          <w:color w:val="auto"/>
        </w:rPr>
        <w:t>, Chief Scientific Officer, Age 64</w:t>
      </w:r>
    </w:p>
    <w:p>
      <w:pPr>
        <w:spacing w:after="0" w:line="19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7"/>
          <w:szCs w:val="17"/>
          <w:color w:val="auto"/>
        </w:rPr>
        <w:t>Alex Nivorozhkin is an entrepreneur and a team builder in life sciences’ arena with vast experience and track record in early tech transfer and development. He was a co-founding member of Boston BioCom LLC, a biopharma company funded by a seed investment from Pfizer; Neo-Advent Technologies LLC, a company involved in novel drug delivery and drug formulation platforms; Amorsa Therapeutics LLC that developed new ketamine analogs and formulations for treatment of depression first in partnership with J&amp;J and later acquired by a publicly traded pharmaceutical company; and Adelia. Alex has gained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60"/>
          </w:cols>
          <w:pgMar w:left="320" w:top="1440" w:right="319" w:bottom="1440" w:gutter="0" w:footer="0" w:header="0"/>
        </w:sectPr>
      </w:pPr>
    </w:p>
    <w:bookmarkStart w:id="192" w:name="page193"/>
    <w:bookmarkEnd w:id="192"/>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substantial experience in the commercial aspects of drug discovery and development at Epix Medical and Inotek Pharmaceuticals where he served as the Head of Medicinal Chemistry. He was as a Senior Program Manager at the Center of Integration of Medicine and Innovative Technologies (CIMIT) at Massachusetts General Hospital, a consortium of the Harvard Medical School-affiliated hospitals and MIT aimed at developing new medical devices, and a Scientific Programs Officer at Adelson Medical Research Foundation. He is a lead inventor of multiple drug candidates that advanced to clinical trials in the United States, a co-author of over 60 scientific publications in different areas of chemistry, chemical biology, and material sciences, and holds more than fifty patents. Alex received a Ph.D. in Physical Organic Chemistry from Rostov University and conducted his postdoctoral research at the University Paris-Sud, France, and at the Department of Chemistry and Chemical Biology, Harvard University. He is a member of the American Chemical Society, American Association of the Pharmaceutical Sciences and served as a chair of the Formulation and Drug Delivery Committee of the Massachusetts Biotechnology Council.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Tziras</w:t>
      </w:r>
      <w:r>
        <w:rPr>
          <w:rFonts w:ascii="Times New Roman" w:cs="Times New Roman" w:eastAsia="Times New Roman" w:hAnsi="Times New Roman"/>
          <w:sz w:val="18"/>
          <w:szCs w:val="18"/>
          <w:color w:val="auto"/>
        </w:rPr>
        <w:t>, Chief Business Officer, Age 43</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Tziras has over 15 years of experience in investment banking and international capital markets having worked at a number of global financial institutions including Goldman Sachs, Credit Suisse, Nomura, Lehman Brothers and CIBC. Mr. Tziras has worked on a broad range of transactions including debt and equity financings; mergers, disposals and acquisitions; private equity buyouts and debt restructurings. He has also worked across a number of industries, including healthcare. Mr. Tziras holds a BA degree from the University of Oxford and a MA degree from Johns Hopkins. Mr. Tziras Joined Small Pharma Inc in 2021 as Chief Business Officer and on July 20, 2022, transitioned to Chief Executive Officer of Small Pharma Inc until it was acquired by the Company on October 23, 2023. Mr. Tziras has been a director of Small Pharma Ltd (now renamed to Cybin UK Ltd.) since 2015. Mr Tziras joined Cybin on October 24, 2023 as a Director and Chief Business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Theresa Firestone</w:t>
      </w:r>
      <w:r>
        <w:rPr>
          <w:rFonts w:ascii="Times New Roman" w:cs="Times New Roman" w:eastAsia="Times New Roman" w:hAnsi="Times New Roman"/>
          <w:sz w:val="18"/>
          <w:szCs w:val="18"/>
          <w:color w:val="auto"/>
        </w:rPr>
        <w:t>, Director, Age 68</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Ms. Theresa Firestone is a senior healthcare executive with over 35 years experience in pharmaceuticals, health &amp; wellness and 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(SDM), Canada’s largest retail pharmacy chain. Prior to Shoppers, Ms. Firestone was Regional President of Emerging Markets Asia with Pfizer Inc (Shanghai and HK). She was also General Manager of the Established Products Business Unit, Pfizer Canada, Country Manager, Pfizer Austria, VP Sales and VP of Government Affairs with Pfizer Canada. She currently sits on the Boards of Apotex, Orion Biotechnology and Prollenium Medical Technologies (private enterprises).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Froese</w:t>
      </w:r>
      <w:r>
        <w:rPr>
          <w:rFonts w:ascii="Times New Roman" w:cs="Times New Roman" w:eastAsia="Times New Roman" w:hAnsi="Times New Roman"/>
          <w:sz w:val="18"/>
          <w:szCs w:val="18"/>
          <w:color w:val="auto"/>
        </w:rPr>
        <w:t>, Director, Age 62</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Grant Froese completed a 38-year career with Canadian retail giant Loblaw Companies Limited where he last served as Chief Operating Officer until his retirement. During his career at Loblaw, he led operations, merchandising and had oversight of supply chain, ecommerce, and marketing functions. After retirement Grant was the CEO of Harvest One /Delivra Health Brands until 2020. Currently, Grant is the principal consultant at Grey Wolf Management Services Inc. and sits on the board of several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60"/>
          </w:cols>
          <w:pgMar w:left="320" w:top="1440"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Eric Hoskins</w:t>
      </w:r>
      <w:r>
        <w:rPr>
          <w:rFonts w:ascii="Times New Roman" w:cs="Times New Roman" w:eastAsia="Times New Roman" w:hAnsi="Times New Roman"/>
          <w:sz w:val="18"/>
          <w:szCs w:val="18"/>
          <w:color w:val="auto"/>
        </w:rPr>
        <w:t>, Director, Age 63</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Dr. Eric Hoskins is a Partner at Maverix Private Equity. He is the former Ontario Health Minister (2014-2018) responsible for one of the largest health care systems in North America. He is a former elected Member of Ontario Provincial Parliament holding Cabinet positions in Health, Economic Development and Trade, Children and Youth Services, and Immigration. Dr. Hoskins is a physician and public health specialist with more than thirty years’ experience in health care and public policy.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Lawson</w:t>
      </w:r>
      <w:r>
        <w:rPr>
          <w:rFonts w:ascii="Times New Roman" w:cs="Times New Roman" w:eastAsia="Times New Roman" w:hAnsi="Times New Roman"/>
          <w:sz w:val="18"/>
          <w:szCs w:val="18"/>
          <w:color w:val="auto"/>
        </w:rPr>
        <w:t>, Director, Age 51</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 Lawson is a private equity and investment banking executive with over 20 years of experience in Canada, the United States, and in the emerging markets. He is currently the Head of Carbon Acquisition for Invert, a company that funds global carbon reduction and removal projects. From 2008 to 2023 Mr. Lawson was the Managing Partner of Clermont Capital Partners, a Toronto based merchant bank and advisory firm focused on the technology and healthcare sectors. From 2004 to 2008 he was an investment banker with Morgan Stanley in New York, where he was involved in the execution of over $6 billion worth of mergers and acquisitions, $8 billion worth of debt offerings and $500 million of equity financings in the healthcare, technology, and telecom sectors. Mr. Lawson is also currently a director of various publicly traded companies in North America. Mr. Lawson received his Bachelor of Arts in Statistical Sciences from The University of Western Ontario, Canada and his MBA from The Richard Ivey School of Business, University of Western Ontario, Canada. Mr. Lawson is a member of the Economic Club of New York and is a Director of the Hugh and Ilene Lawson Charitable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CEASE TRADE ORDERS, BANKRUPTCIES, PENALTIES OR SANCTIONS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disclosed below, no director or executive officer of the Company is, as at the date of this AIF, or has been within the last ten years, a director, chief executive officer or chief financial officer of any company (including the Company) that:</w:t>
      </w:r>
    </w:p>
    <w:p>
      <w:pPr>
        <w:spacing w:after="0" w:line="132" w:lineRule="exact"/>
        <w:rPr>
          <w:sz w:val="20"/>
          <w:szCs w:val="20"/>
          <w:color w:val="auto"/>
        </w:rPr>
      </w:pPr>
    </w:p>
    <w:p>
      <w:pPr>
        <w:ind w:left="1160" w:right="20" w:hanging="581"/>
        <w:spacing w:after="0" w:line="258" w:lineRule="auto"/>
        <w:tabs>
          <w:tab w:leader="none" w:pos="9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 cease trade order, an order similar to a cease trade order, or an order that denied the relevant company access to any exemption under securities legislation, and which in all cases was in effect for a period of more than 30 consecutive days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which Order was issued while the director or executive officer was acting in the capacity as director, chief executive officer or chief financial officer of such company; or</w:t>
      </w:r>
    </w:p>
    <w:p>
      <w:pPr>
        <w:spacing w:after="0" w:line="165" w:lineRule="exact"/>
        <w:rPr>
          <w:rFonts w:ascii="Times New Roman" w:cs="Times New Roman" w:eastAsia="Times New Roman" w:hAnsi="Times New Roman"/>
          <w:sz w:val="18"/>
          <w:szCs w:val="18"/>
          <w:color w:val="auto"/>
        </w:rPr>
      </w:pPr>
    </w:p>
    <w:p>
      <w:pPr>
        <w:ind w:left="1160" w:right="20" w:hanging="581"/>
        <w:spacing w:after="0" w:line="260" w:lineRule="auto"/>
        <w:tabs>
          <w:tab w:leader="none" w:pos="99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1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To the knowledge of the Company, no director or executive officer of the Company or any shareholder holding a sufficient number of Common Shares to affect materially the control of the Company:</w:t>
      </w:r>
    </w:p>
    <w:p>
      <w:pPr>
        <w:spacing w:after="0" w:line="156" w:lineRule="exact"/>
        <w:rPr>
          <w:sz w:val="20"/>
          <w:szCs w:val="20"/>
          <w:color w:val="auto"/>
        </w:rPr>
      </w:pPr>
    </w:p>
    <w:p>
      <w:pPr>
        <w:ind w:left="1160" w:right="20" w:hanging="581"/>
        <w:spacing w:after="0" w:line="268" w:lineRule="auto"/>
        <w:tabs>
          <w:tab w:leader="none" w:pos="97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 at the date of this AIF, or has been within the last ten years, a director or executive officer of any company (including the Company) that, while that person was acting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60"/>
          </w:cols>
          <w:pgMar w:left="320" w:top="1437" w:right="319" w:bottom="1440" w:gutter="0" w:footer="0" w:header="0"/>
        </w:sectPr>
      </w:pPr>
    </w:p>
    <w:bookmarkStart w:id="194" w:name="page195"/>
    <w:bookmarkEnd w:id="194"/>
    <w:p>
      <w:pPr>
        <w:spacing w:after="0" w:line="1" w:lineRule="exact"/>
        <w:rPr>
          <w:sz w:val="20"/>
          <w:szCs w:val="20"/>
          <w:color w:val="auto"/>
        </w:rPr>
      </w:pPr>
    </w:p>
    <w:p>
      <w:pPr>
        <w:jc w:val="both"/>
        <w:ind w:left="1160"/>
        <w:spacing w:after="0" w:line="267" w:lineRule="auto"/>
        <w:rPr>
          <w:sz w:val="20"/>
          <w:szCs w:val="20"/>
          <w:color w:val="auto"/>
        </w:rPr>
      </w:pPr>
      <w:r>
        <w:rPr>
          <w:rFonts w:ascii="Times New Roman" w:cs="Times New Roman" w:eastAsia="Times New Roman" w:hAnsi="Times New Roman"/>
          <w:sz w:val="18"/>
          <w:szCs w:val="18"/>
          <w:color w:val="auto"/>
        </w:rPr>
        <w:t>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46" w:lineRule="exact"/>
        <w:rPr>
          <w:sz w:val="20"/>
          <w:szCs w:val="20"/>
          <w:color w:val="auto"/>
        </w:rPr>
      </w:pPr>
    </w:p>
    <w:p>
      <w:pPr>
        <w:ind w:left="1160" w:right="20" w:hanging="581"/>
        <w:spacing w:after="0" w:line="260" w:lineRule="auto"/>
        <w:tabs>
          <w:tab w:leader="none" w:pos="9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within the last ten years,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164" w:lineRule="exact"/>
        <w:rPr>
          <w:rFonts w:ascii="Times New Roman" w:cs="Times New Roman" w:eastAsia="Times New Roman" w:hAnsi="Times New Roman"/>
          <w:sz w:val="18"/>
          <w:szCs w:val="18"/>
          <w:color w:val="auto"/>
        </w:rPr>
      </w:pPr>
    </w:p>
    <w:p>
      <w:pPr>
        <w:ind w:left="1160" w:right="20" w:hanging="581"/>
        <w:spacing w:after="0" w:line="268" w:lineRule="auto"/>
        <w:tabs>
          <w:tab w:leader="none" w:pos="9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156" w:lineRule="exact"/>
        <w:rPr>
          <w:rFonts w:ascii="Times New Roman" w:cs="Times New Roman" w:eastAsia="Times New Roman" w:hAnsi="Times New Roman"/>
          <w:sz w:val="18"/>
          <w:szCs w:val="18"/>
          <w:color w:val="auto"/>
        </w:rPr>
      </w:pPr>
    </w:p>
    <w:p>
      <w:pPr>
        <w:ind w:left="1160" w:right="20" w:hanging="581"/>
        <w:spacing w:after="0" w:line="282" w:lineRule="auto"/>
        <w:tabs>
          <w:tab w:leader="none" w:pos="98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subject to any penalties or sanctions imposed by a court or regulatory body that would likely be considered important to a reasonable investor in making an investment decision regarding the Company.</w:t>
      </w:r>
    </w:p>
    <w:p>
      <w:pPr>
        <w:spacing w:after="0" w:line="1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Greg Cavers was the interim Chief Financial Officer of LottoGopher Holdings Inc. (“</w:t>
      </w:r>
      <w:r>
        <w:rPr>
          <w:rFonts w:ascii="Times New Roman" w:cs="Times New Roman" w:eastAsia="Times New Roman" w:hAnsi="Times New Roman"/>
          <w:sz w:val="18"/>
          <w:szCs w:val="18"/>
          <w:b w:val="1"/>
          <w:bCs w:val="1"/>
          <w:color w:val="auto"/>
        </w:rPr>
        <w:t>LottoGopher</w:t>
      </w:r>
      <w:r>
        <w:rPr>
          <w:rFonts w:ascii="Times New Roman" w:cs="Times New Roman" w:eastAsia="Times New Roman" w:hAnsi="Times New Roman"/>
          <w:sz w:val="18"/>
          <w:szCs w:val="18"/>
          <w:color w:val="auto"/>
        </w:rPr>
        <w:t>”), a CSE-listed company, until January 2020. Preceding his position, LottoGopher had been subject to a cease trade order on December 5, 2018 for failing to file interim financial report, management’s discussion and analysis and certification of the filings pursuant to NI 52-109.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information, not being within the knowledge of the Company, has been furnished by the respective directors and executive officers.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best of the Company’s knowledge, other than as disclosed herein, there are no known existing or potential material conflicts of interest between the Company and any directors or officers of the Company, except that certain of the directors and officers serve as directors, officers, promoters and members of management of other public companies and therefore it is possible that a conflict may arise between their duties as a director or officer of the Company and their duties as a director, officer, promoter or member of management of such other companies.</w:t>
      </w:r>
    </w:p>
    <w:p>
      <w:pPr>
        <w:spacing w:after="0" w:line="16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The directors and officers of the Company are aware of the existence of laws governing accountability of directors and officers for corporate opportunity and requiring disclosures by directors of conflicts of interest and the Company will rely upon such laws in respect of any directors and officers’ conflicts of interest or in respect of any breaches of duty by any of its directors or officers. All such conflicts will be disclosed by such directors or officers in accordance with the OBCA and they will govern themselves in respect thereof to the best of their ability in accordance with the obligations imposed upon them by law.</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 AND REGULATORY ACTIONS</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To the Company’s knowledge, there are no legal proceedings or regulatory actions material to the Company to which it is a party, or has been a party to, or of which any of its property is or was the subject matter, and no such proceedings or actions are known by the Company to be contemplated.</w:t>
      </w:r>
    </w:p>
    <w:p>
      <w:pPr>
        <w:spacing w:after="0" w:line="15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There have been no penalties or sanctions imposed against the Company by a court or regulatory authority, and the Company has not entered into any settlement agreements before any court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60"/>
          </w:cols>
          <w:pgMar w:left="320" w:top="1440" w:right="319" w:bottom="1440" w:gutter="0" w:footer="0" w:header="0"/>
        </w:sectPr>
      </w:pPr>
    </w:p>
    <w:bookmarkStart w:id="195" w:name="page196"/>
    <w:bookmarkEnd w:id="195"/>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provincial or territorial securities legislation or with any securities regulatory authority, in the three years prior to the date of this AIF.</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MANAGEMENT AND OTHERS IN MATERIAL TRANSACTIONS</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Other than as disclosed below and elsewhere in this AIF no director, executive officer or unitholder or shareholder that beneficially owns, or controls or directs, directly or indirectly, more than 10% of the voting securities of the Company, or any of their respective Associates or affiliates, has any material interest, direct or indirect, in any transaction within the three years before the date of this AIF which has materially affected or is reasonably expected to materially affect the Company or a subsidiary of the Company.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TRANSFER AGENT AND REGISTRAR</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Odyssey Trust Company, at its Calgary, Alberta office acts as the Company’s transfer agent and registrar and Zeifmans LLP, at its Toronto, Ontario office acts as the Company’s auditor.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 contracts of the Company, other than contracts entered into in the ordinary course of business, that were entered into within the last financial year or before the last financial year but is still in effect:</w:t>
      </w:r>
    </w:p>
    <w:p>
      <w:pPr>
        <w:spacing w:after="0" w:line="132" w:lineRule="exact"/>
        <w:rPr>
          <w:sz w:val="20"/>
          <w:szCs w:val="20"/>
          <w:color w:val="auto"/>
        </w:rPr>
      </w:pPr>
    </w:p>
    <w:p>
      <w:pPr>
        <w:ind w:left="960" w:hanging="381"/>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Agreement;</w:t>
      </w:r>
    </w:p>
    <w:p>
      <w:pPr>
        <w:spacing w:after="0" w:line="25" w:lineRule="exact"/>
        <w:rPr>
          <w:rFonts w:ascii="Times New Roman" w:cs="Times New Roman" w:eastAsia="Times New Roman" w:hAnsi="Times New Roman"/>
          <w:sz w:val="18"/>
          <w:szCs w:val="18"/>
          <w:color w:val="auto"/>
        </w:rPr>
      </w:pPr>
    </w:p>
    <w:p>
      <w:pPr>
        <w:ind w:left="1000" w:hanging="421"/>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Agreement;</w:t>
      </w:r>
    </w:p>
    <w:p>
      <w:pPr>
        <w:spacing w:after="0" w:line="11" w:lineRule="exact"/>
        <w:rPr>
          <w:sz w:val="20"/>
          <w:szCs w:val="20"/>
          <w:color w:val="auto"/>
        </w:rPr>
      </w:pPr>
    </w:p>
    <w:p>
      <w:pPr>
        <w:ind w:left="960" w:hanging="381"/>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Indenture;</w:t>
      </w:r>
    </w:p>
    <w:p>
      <w:pPr>
        <w:spacing w:after="0" w:line="5"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LPC Purchase Agreement;</w:t>
      </w:r>
    </w:p>
    <w:p>
      <w:pPr>
        <w:spacing w:after="0" w:line="5"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2023 Underwriting Agreement;</w:t>
      </w:r>
    </w:p>
    <w:p>
      <w:pPr>
        <w:spacing w:after="0" w:line="5"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Distribution Agreement;</w:t>
      </w:r>
    </w:p>
    <w:p>
      <w:pPr>
        <w:spacing w:after="0" w:line="5"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 Agreement;</w:t>
      </w:r>
    </w:p>
    <w:p>
      <w:pPr>
        <w:spacing w:after="0" w:line="11"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2023 Underwriting Agreement; and</w:t>
      </w:r>
    </w:p>
    <w:p>
      <w:pPr>
        <w:spacing w:after="0" w:line="5" w:lineRule="exact"/>
        <w:rPr>
          <w:rFonts w:ascii="Times New Roman" w:cs="Times New Roman" w:eastAsia="Times New Roman" w:hAnsi="Times New Roman"/>
          <w:sz w:val="18"/>
          <w:szCs w:val="18"/>
          <w:color w:val="auto"/>
        </w:rPr>
      </w:pPr>
    </w:p>
    <w:p>
      <w:pPr>
        <w:ind w:left="920" w:hanging="341"/>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2024 Agency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material contracts described above are filed under the Company’s profile on SEDAR+ at www.sedarplus.ca.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EXPERTS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person or corporation whose profession or business gives authority to a statement made by the person or corporation and who is named as having prepared or certified a part of this AIF or as having prepared or certified a report or valuation described or included in this AIF holds any beneficial interest, direct or indirect, in any securities or property of the Company or of an Associate or affiliate of the Company and no such person is expected to be elected, appointed or employed as a director, senior officer or employee of the Company or of an Associate or affiliate of the Company and no such person is a promoter of the Company or an Associate or affiliate of the Company. Zeifmans LLP is independent of the Company in accordance with the rules of professional conduct of the Institute of Chartered Professional Accountants of Ontario.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60"/>
          </w:cols>
          <w:pgMar w:left="320" w:top="1440" w:right="31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Charter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of the Company’s Audit Committee is reproduced as Exhibit “A”.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Audit Committee</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As at the date of this AIF, the Audit Committee is composed of Mark Lawson (Chair), Eric Hoskins, Theresa Firestone and Grant Froese, each of whom is a director of the Company.</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 xml:space="preserve">All of the members of the Audit Committee are “independent” as such term is defined in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The Company is of the opinion that all three members of the Audit Committee are “financially literate” as such term is defined in NI 52-110.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Education and Experience</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Company’s financial statements.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Lawson </w:t>
      </w:r>
      <w:r>
        <w:rPr>
          <w:rFonts w:ascii="Times New Roman" w:cs="Times New Roman" w:eastAsia="Times New Roman" w:hAnsi="Times New Roman"/>
          <w:sz w:val="18"/>
          <w:szCs w:val="18"/>
          <w:color w:val="auto"/>
        </w:rPr>
        <w:t>– Mr. Lawson was previously an investment banker with Morgan Stanley in New York where he was involved in the execution of over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worth of mergers and acquisitions, $8 billion worth of 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University of Western Ontario, Canada. Mr. Lawson was previously the Chief Financial Officer of a TSX Venture listed company.</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Eric Hoskins </w:t>
      </w:r>
      <w:r>
        <w:rPr>
          <w:rFonts w:ascii="Times New Roman" w:cs="Times New Roman" w:eastAsia="Times New Roman" w:hAnsi="Times New Roman"/>
          <w:sz w:val="18"/>
          <w:szCs w:val="18"/>
          <w:color w:val="auto"/>
        </w:rPr>
        <w:t>– Dr. Hoskins served as the Minister of Health for Ontario for 4 years and was responsible for creating, overseeing and administering a $55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budget. He was also a member of the Ontario government Cabinet for ten years regularly reviewing and commenting on budgets and financial statements. Dr. Hoskins was the Chief Financial Officer of War Child Canada, a $20 million charity, for 8 years. Dr Hoskins is currently on the audit committee of Canada Health Infowa. He also has a degree in Health Economics and a ICD.D (Institute for Corporate Directors) diploma from the Rotman School of Management.</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Theresa Firestone </w:t>
      </w:r>
      <w:r>
        <w:rPr>
          <w:rFonts w:ascii="Times New Roman" w:cs="Times New Roman" w:eastAsia="Times New Roman" w:hAnsi="Times New Roman"/>
          <w:sz w:val="17"/>
          <w:szCs w:val="17"/>
          <w:color w:val="auto"/>
        </w:rPr>
        <w:t>– Ms. Firestone is a senior healthcare executive with over 35 years experience in pharmaceuticals, health &amp; wellness and government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(SDM), Canada’s largest retail pharmacy chain. Ms Firestone is and has been a member of audit committees in public and private companies for a number of years and has had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responsibility for numerous complex businesses including P&amp;Ls, in Canada, Europe and Asia</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Grant Froese </w:t>
      </w:r>
      <w:r>
        <w:rPr>
          <w:rFonts w:ascii="Times New Roman" w:cs="Times New Roman" w:eastAsia="Times New Roman" w:hAnsi="Times New Roman"/>
          <w:sz w:val="18"/>
          <w:szCs w:val="18"/>
          <w:color w:val="auto"/>
        </w:rPr>
        <w:t>– Mr. Froese had a 38-year career with retail giant Loblaw Companies Limited, including 3 years as Chief Operating Officer responsible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of operations and merchandising, as well as oversight of information technology, supply chain, digital/e-commerce, marketing and industry-leading control brands. In his capacity as Chief Operating Officer, Mr. Froese was responsible for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60"/>
          </w:cols>
          <w:pgMar w:left="320" w:top="1437" w:right="319" w:bottom="1440" w:gutter="0" w:footer="0" w:header="0"/>
        </w:sectPr>
      </w:pPr>
    </w:p>
    <w:bookmarkStart w:id="197" w:name="page198"/>
    <w:bookmarkEnd w:id="197"/>
    <w:p>
      <w:pPr>
        <w:spacing w:after="0" w:line="1" w:lineRule="exact"/>
        <w:rPr>
          <w:sz w:val="20"/>
          <w:szCs w:val="20"/>
          <w:color w:val="auto"/>
        </w:rPr>
      </w:pPr>
    </w:p>
    <w:p>
      <w:pPr>
        <w:jc w:val="both"/>
        <w:ind w:left="3" w:right="20"/>
        <w:spacing w:after="0" w:line="267" w:lineRule="auto"/>
        <w:rPr>
          <w:sz w:val="20"/>
          <w:szCs w:val="20"/>
          <w:color w:val="auto"/>
        </w:rPr>
      </w:pPr>
      <w:r>
        <w:rPr>
          <w:rFonts w:ascii="Times New Roman" w:cs="Times New Roman" w:eastAsia="Times New Roman" w:hAnsi="Times New Roman"/>
          <w:sz w:val="18"/>
          <w:szCs w:val="18"/>
          <w:color w:val="auto"/>
        </w:rPr>
        <w:t>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Audit Committee Oversight</w:t>
      </w:r>
    </w:p>
    <w:p>
      <w:pPr>
        <w:spacing w:after="0" w:line="209"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At no time since the commencement of the Company’s most recently completed financial year have any recommendations by the Audit Committee respecting the nomination and/or compensation of the Company’s external auditors not been adopted by the board of directors.</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97"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the Audit Committee Charter, the Audit Committee shall pre-approve all non-audit services to be provided to the Company or its subsidiary entities by the Company’s external auditor.</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External Auditor Service Fees (By Category)</w:t>
      </w:r>
    </w:p>
    <w:p>
      <w:pPr>
        <w:spacing w:after="0" w:line="1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aggregate fees billed by the Company’s external auditors during the financial years ended March 31, 2024 and March 31, 2023 were as follows:</w:t>
      </w:r>
    </w:p>
    <w:p>
      <w:pPr>
        <w:spacing w:after="0" w:line="230" w:lineRule="exact"/>
        <w:rPr>
          <w:sz w:val="20"/>
          <w:szCs w:val="20"/>
          <w:color w:val="auto"/>
        </w:rPr>
      </w:pPr>
    </w:p>
    <w:tbl>
      <w:tblPr>
        <w:tblLayout w:type="fixed"/>
        <w:tblInd w:w="13" w:type="dxa"/>
        <w:tblCellMar>
          <w:top w:w="0" w:type="dxa"/>
          <w:left w:w="0" w:type="dxa"/>
          <w:bottom w:w="0" w:type="dxa"/>
          <w:right w:w="0" w:type="dxa"/>
        </w:tblCellMar>
      </w:tblPr>
      <w:tr>
        <w:trPr>
          <w:trHeight w:val="230"/>
        </w:trPr>
        <w:tc>
          <w:tcPr>
            <w:tcW w:w="22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Financial Period Ending</w:t>
            </w:r>
          </w:p>
        </w:tc>
        <w:tc>
          <w:tcPr>
            <w:tcW w:w="2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Audit Fees ($)</w:t>
            </w:r>
            <w:r>
              <w:rPr>
                <w:rFonts w:ascii="Times New Roman" w:cs="Times New Roman" w:eastAsia="Times New Roman" w:hAnsi="Times New Roman"/>
                <w:sz w:val="18"/>
                <w:szCs w:val="18"/>
                <w:b w:val="1"/>
                <w:bCs w:val="1"/>
                <w:color w:val="auto"/>
                <w:w w:val="94"/>
                <w:vertAlign w:val="superscript"/>
              </w:rPr>
              <w:t>(1)</w:t>
            </w:r>
          </w:p>
        </w:tc>
        <w:tc>
          <w:tcPr>
            <w:tcW w:w="26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Audit Related Fees ($)</w:t>
            </w:r>
            <w:r>
              <w:rPr>
                <w:rFonts w:ascii="Times New Roman" w:cs="Times New Roman" w:eastAsia="Times New Roman" w:hAnsi="Times New Roman"/>
                <w:sz w:val="18"/>
                <w:szCs w:val="18"/>
                <w:b w:val="1"/>
                <w:bCs w:val="1"/>
                <w:color w:val="auto"/>
                <w:w w:val="94"/>
                <w:vertAlign w:val="superscript"/>
              </w:rPr>
              <w:t>(2)</w:t>
            </w:r>
          </w:p>
        </w:tc>
        <w:tc>
          <w:tcPr>
            <w:tcW w:w="18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Tax Fees ($)</w:t>
            </w:r>
            <w:r>
              <w:rPr>
                <w:rFonts w:ascii="Times New Roman" w:cs="Times New Roman" w:eastAsia="Times New Roman" w:hAnsi="Times New Roman"/>
                <w:sz w:val="18"/>
                <w:szCs w:val="18"/>
                <w:b w:val="1"/>
                <w:bCs w:val="1"/>
                <w:color w:val="auto"/>
                <w:w w:val="93"/>
                <w:vertAlign w:val="superscript"/>
              </w:rPr>
              <w:t>(3)</w:t>
            </w:r>
          </w:p>
        </w:tc>
        <w:tc>
          <w:tcPr>
            <w:tcW w:w="2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All Other Fees ($)</w:t>
            </w:r>
            <w:r>
              <w:rPr>
                <w:rFonts w:ascii="Times New Roman" w:cs="Times New Roman" w:eastAsia="Times New Roman" w:hAnsi="Times New Roman"/>
                <w:sz w:val="18"/>
                <w:szCs w:val="18"/>
                <w:b w:val="1"/>
                <w:bCs w:val="1"/>
                <w:color w:val="auto"/>
                <w:w w:val="94"/>
                <w:vertAlign w:val="superscript"/>
              </w:rPr>
              <w:t>(4)</w:t>
            </w:r>
          </w:p>
        </w:tc>
      </w:tr>
      <w:tr>
        <w:trPr>
          <w:trHeight w:val="184"/>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2023</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$335,376</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$67,300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r>
      <w:tr>
        <w:trPr>
          <w:trHeight w:val="186"/>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2024</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$405,725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$73,746</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$10,889</w:t>
            </w:r>
          </w:p>
        </w:tc>
      </w:tr>
    </w:tbl>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Notes:</w:t>
      </w:r>
    </w:p>
    <w:p>
      <w:pPr>
        <w:spacing w:after="0" w:line="12" w:lineRule="exact"/>
        <w:rPr>
          <w:sz w:val="20"/>
          <w:szCs w:val="20"/>
          <w:color w:val="auto"/>
        </w:rPr>
      </w:pPr>
    </w:p>
    <w:p>
      <w:pPr>
        <w:ind w:left="583" w:right="20" w:hanging="583"/>
        <w:spacing w:after="0" w:line="249" w:lineRule="auto"/>
        <w:tabs>
          <w:tab w:leader="none" w:pos="342"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includes fees necessary to perform the annual audit of the Company’s financial statements. These services include reviewing interim financial statements and disclosure documents related to financings and other attest services required by legislation or regulation, such as comfort letters, consents, reviews of securities filings and statutory audits.</w:t>
      </w:r>
    </w:p>
    <w:p>
      <w:pPr>
        <w:ind w:left="283" w:hanging="283"/>
        <w:spacing w:after="0"/>
        <w:tabs>
          <w:tab w:leader="none" w:pos="283"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include services that are traditionally performed by the auditor.</w:t>
      </w:r>
    </w:p>
    <w:p>
      <w:pPr>
        <w:spacing w:after="0" w:line="8" w:lineRule="exact"/>
        <w:rPr>
          <w:rFonts w:ascii="Times New Roman" w:cs="Times New Roman" w:eastAsia="Times New Roman" w:hAnsi="Times New Roman"/>
          <w:sz w:val="13"/>
          <w:szCs w:val="13"/>
          <w:color w:val="auto"/>
        </w:rPr>
      </w:pPr>
    </w:p>
    <w:p>
      <w:pPr>
        <w:ind w:left="583" w:right="20" w:hanging="583"/>
        <w:spacing w:after="0" w:line="246" w:lineRule="auto"/>
        <w:tabs>
          <w:tab w:leader="none" w:pos="29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spacing w:after="0" w:line="1" w:lineRule="exact"/>
        <w:rPr>
          <w:rFonts w:ascii="Times New Roman" w:cs="Times New Roman" w:eastAsia="Times New Roman" w:hAnsi="Times New Roman"/>
          <w:sz w:val="13"/>
          <w:szCs w:val="13"/>
          <w:color w:val="auto"/>
        </w:rPr>
      </w:pPr>
    </w:p>
    <w:p>
      <w:pPr>
        <w:ind w:left="283" w:hanging="283"/>
        <w:spacing w:after="0"/>
        <w:tabs>
          <w:tab w:leader="none" w:pos="283"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include all other non-audit services, the aggregate fees billed for products and services, other than the services reported under notes (1), (2) and (3) above.</w:t>
      </w:r>
    </w:p>
    <w:p>
      <w:pPr>
        <w:spacing w:after="0" w:line="18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COMPLIANCE PROGRAM</w:t>
      </w:r>
    </w:p>
    <w:p>
      <w:pPr>
        <w:spacing w:after="0" w:line="209"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 regarding (a) compliance with applicable regulatory frameworks, and (b) potential exposure to, and implications arising from, applicable laws in jurisdictions where the Company has operations or intends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63"/>
          </w:cols>
          <w:pgMar w:left="317" w:top="1440" w:right="319" w:bottom="1440" w:gutter="0" w:footer="0" w:header="0"/>
        </w:sectPr>
      </w:pPr>
    </w:p>
    <w:bookmarkStart w:id="198" w:name="page199"/>
    <w:bookmarkEnd w:id="198"/>
    <w:p>
      <w:pPr>
        <w:spacing w:after="0" w:line="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in order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70"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all operations materially conform to and comply with required laws, regulations and operating procedures. The Company is currently in compliance with the laws and regulations in all jurisdictions and the related licencing framework applicable to its business activities.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6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 AND CODE OF ETHICS AND BUSINESS CONDUCT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adopted an insider trading policy to set forth basic guidelines for trading in the Company’s securities (including, without limitation, its Common Shares) to avoid any situation that might have the potential to damage the Company’s reputation or which could constitute a violation of federal or provincial securities law by the Company, its officers, directors, employees, consultants, affiliates and certain family members of such individuals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Under this policy, Insiders are prohibited from trading in Common Shares and other securities on the basis of material, non-public information relating to the Company until after the information has been disclosed to the public or during a blackout period.</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 not to trade on inside information applies not only to the Insiders, but also to persons who obtain such information from Insiders and use it to their advantage. Thus, liability may be imposed upon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60"/>
          </w:cols>
          <w:pgMar w:left="320" w:top="1440" w:right="319" w:bottom="1440" w:gutter="0" w:footer="0" w:header="0"/>
        </w:sectPr>
      </w:pPr>
    </w:p>
    <w:bookmarkStart w:id="199" w:name="page200"/>
    <w:bookmarkEnd w:id="199"/>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its Insiders and also outsiders who are the source of leaks of material information not yet disclosed to the public and the leaks coincide with purchases or sales of the Company’s securities by such insiders, outsiders or by “tippees”.</w:t>
      </w:r>
    </w:p>
    <w:p>
      <w:pPr>
        <w:spacing w:after="0" w:line="16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 order to provide a degree of certainty as to when insider trading is permissible, the policy imposes mandatory blackout periods during the period commencing on the first day following the end of each fiscal quarter or year-end and ending at the close of business on the first trading day following the dissemination by the Company of such quarterly and annual results. In addition, no Insider is permitted to trade any securities of the Company until two trading days after the issuance of any news release in which material information is released to the public. The Company may, from time to time, issue a general blackout period for a specific or indefinite period covering Insiders or specific employees or groups.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policy also outlines the Company’s reporting obligations for changes in Common Shares owned by Insiders as well as the penalties for violating such policy and applicable laws.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w:t>
      </w:r>
    </w:p>
    <w:p>
      <w:pPr>
        <w:spacing w:after="0" w:line="21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Company has adopted a Code of Business Conduct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Code sets forth standards designed to reasonably deter wrongdoing, promote honest and ethical conduct, promote prompt internal reporting of violations of the Code and promote accountability. All personnel, in discharging their duties, must comply with applicable laws and regulations, the rules of the stock exchange(s) on which the Common Shares are listed as well as the Company’s internal policies.</w:t>
      </w:r>
    </w:p>
    <w:p>
      <w:pPr>
        <w:spacing w:after="0" w:line="19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Code sets the expectation that personnel learn about laws, rules and regulations that affect what they do at the Company, and raise any questions concerning the applicability, existence or interpretation of any law or regulation or conduct with their supervisor or the legal department of the Company. The Code prohibits personnel from making or participating in making any payments designed to cause or improperly influence the decisions of an individual, a company or a governmental official to act in a way that gives the Company or its personnel an advantage or soliciting, encouraging or actually receiving any bribe or other payment, contribution, gifts or favor that could influence your or another’s decision.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Code encourages personnel to report any actual or suspected fraud or securities law violations to the Chief Compliance Officer. The Code mandates a safe work environment and a no tolerance policy towards harassment and violence in the workplace. The Code provides guidance on avoiding conflicts of interest and acting in the best interest of the Company. The Code also outlines the requirements or personnel as it relates to disclosure of Company information, confidentiality and maintaining the integrity of the Company’s books and records and intellectual property.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Additional information relating to the Company can be found under the Company’s profile on SEDAR+ at </w:t>
      </w:r>
      <w:r>
        <w:rPr>
          <w:rFonts w:ascii="Times New Roman" w:cs="Times New Roman" w:eastAsia="Times New Roman" w:hAnsi="Times New Roman"/>
          <w:sz w:val="18"/>
          <w:szCs w:val="18"/>
          <w:u w:val="single" w:color="auto"/>
          <w:color w:val="0000FF"/>
        </w:rPr>
        <w:t>www.sedarplus.ca</w:t>
      </w:r>
      <w:r>
        <w:rPr>
          <w:rFonts w:ascii="Times New Roman" w:cs="Times New Roman" w:eastAsia="Times New Roman" w:hAnsi="Times New Roman"/>
          <w:sz w:val="18"/>
          <w:szCs w:val="18"/>
          <w:color w:val="auto"/>
        </w:rPr>
        <w:t xml:space="preserve"> and on the Company’s website at </w:t>
      </w:r>
      <w:r>
        <w:rPr>
          <w:rFonts w:ascii="Times New Roman" w:cs="Times New Roman" w:eastAsia="Times New Roman" w:hAnsi="Times New Roman"/>
          <w:sz w:val="18"/>
          <w:szCs w:val="18"/>
          <w:u w:val="single" w:color="auto"/>
          <w:color w:val="0000FF"/>
        </w:rPr>
        <w:t>www.cybin.com</w:t>
      </w:r>
      <w:r>
        <w:rPr>
          <w:rFonts w:ascii="Times New Roman" w:cs="Times New Roman" w:eastAsia="Times New Roman" w:hAnsi="Times New Roman"/>
          <w:sz w:val="18"/>
          <w:szCs w:val="18"/>
          <w:color w:val="auto"/>
        </w:rPr>
        <w:t>. Additional information, including directors’ and officers’ remuneration and indebtedness, principal holders of the Company’s securities and securities authorized for issuance under equity compensation plans, will be contained in the Company’s information circular for its most recent annual meeting of shareholders. Additional financial information is provided in the Company’s consolidated financial statements for the most recently completed financial year and the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60"/>
          </w:cols>
          <w:pgMar w:left="320" w:top="1440" w:right="31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(Implemented pursuant to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7"/>
          <w:szCs w:val="17"/>
          <w:color w:val="auto"/>
        </w:rPr>
        <w:t xml:space="preserve">National Instrument 52-110 – </w:t>
      </w:r>
      <w:r>
        <w:rPr>
          <w:rFonts w:ascii="Times New Roman" w:cs="Times New Roman" w:eastAsia="Times New Roman" w:hAnsi="Times New Roman"/>
          <w:sz w:val="17"/>
          <w:szCs w:val="17"/>
          <w:i w:val="1"/>
          <w:iCs w:val="1"/>
          <w:color w:val="auto"/>
        </w:rPr>
        <w:t>Audit Committees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Instrument</w:t>
      </w:r>
      <w:r>
        <w:rPr>
          <w:rFonts w:ascii="Times New Roman" w:cs="Times New Roman" w:eastAsia="Times New Roman" w:hAnsi="Times New Roman"/>
          <w:sz w:val="17"/>
          <w:szCs w:val="17"/>
          <w:color w:val="auto"/>
        </w:rPr>
        <w:t>”) relating to the composition and function of audit committees was implemented for reporting issuers and, accordingly, applies to every CBOE Canada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Committee is to:</w:t>
      </w:r>
    </w:p>
    <w:p>
      <w:pPr>
        <w:spacing w:after="0" w:line="205" w:lineRule="exact"/>
        <w:rPr>
          <w:sz w:val="20"/>
          <w:szCs w:val="20"/>
          <w:color w:val="auto"/>
        </w:rPr>
      </w:pPr>
    </w:p>
    <w:p>
      <w:pPr>
        <w:ind w:left="960" w:hanging="381"/>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quality of the Corporation’s financial reporting;</w:t>
      </w:r>
    </w:p>
    <w:p>
      <w:pPr>
        <w:spacing w:after="0" w:line="193"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to properly and fully discharge its responsibilities;</w:t>
      </w:r>
    </w:p>
    <w:p>
      <w:pPr>
        <w:spacing w:after="0" w:line="205"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avenue of enhanced communication between the directors and external auditors;</w:t>
      </w:r>
    </w:p>
    <w:p>
      <w:pPr>
        <w:spacing w:after="0" w:line="205"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external auditor’s independence;</w:t>
      </w:r>
    </w:p>
    <w:p>
      <w:pPr>
        <w:spacing w:after="0" w:line="193" w:lineRule="exact"/>
        <w:rPr>
          <w:rFonts w:ascii="Times New Roman" w:cs="Times New Roman" w:eastAsia="Times New Roman" w:hAnsi="Times New Roman"/>
          <w:sz w:val="18"/>
          <w:szCs w:val="18"/>
          <w:color w:val="auto"/>
        </w:rPr>
      </w:pPr>
    </w:p>
    <w:p>
      <w:pPr>
        <w:ind w:left="960" w:hanging="381"/>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credibility and objectivity of financial reports; and</w:t>
      </w:r>
    </w:p>
    <w:p>
      <w:pPr>
        <w:spacing w:after="0" w:line="205" w:lineRule="exact"/>
        <w:rPr>
          <w:rFonts w:ascii="Times New Roman" w:cs="Times New Roman" w:eastAsia="Times New Roman" w:hAnsi="Times New Roman"/>
          <w:sz w:val="18"/>
          <w:szCs w:val="18"/>
          <w:color w:val="auto"/>
        </w:rPr>
      </w:pPr>
    </w:p>
    <w:p>
      <w:pPr>
        <w:ind w:left="940" w:hanging="361"/>
        <w:spacing w:after="0"/>
        <w:tabs>
          <w:tab w:leader="none" w:pos="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role of the directors by facilitating in depth discussions between directors, management and external auditors.</w:t>
      </w:r>
    </w:p>
    <w:p>
      <w:pPr>
        <w:spacing w:after="0" w:line="18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principles</w:t>
      </w:r>
      <w:r>
        <w:rPr>
          <w:rFonts w:ascii="Times New Roman" w:cs="Times New Roman" w:eastAsia="Times New Roman" w:hAnsi="Times New Roman"/>
          <w:sz w:val="18"/>
          <w:szCs w:val="18"/>
          <w:color w:val="auto"/>
        </w:rPr>
        <w:t xml:space="preserve">” has the meaning ascribed to it in National Instrument 52-107 </w:t>
      </w:r>
      <w:r>
        <w:rPr>
          <w:rFonts w:ascii="Times New Roman" w:cs="Times New Roman" w:eastAsia="Times New Roman" w:hAnsi="Times New Roman"/>
          <w:sz w:val="18"/>
          <w:szCs w:val="18"/>
          <w:i w:val="1"/>
          <w:iCs w:val="1"/>
          <w:color w:val="auto"/>
        </w:rPr>
        <w:t>Acceptable Accounting Principles and Auditing Standards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60"/>
          </w:cols>
          <w:pgMar w:left="320" w:top="1437" w:right="3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Corporation that is a subsidiary of another Corporation or companies that are controlled by the same entity;</w:t>
      </w:r>
    </w:p>
    <w:p>
      <w:pPr>
        <w:spacing w:after="0" w:line="2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services</w:t>
      </w:r>
      <w:r>
        <w:rPr>
          <w:rFonts w:ascii="Times New Roman" w:cs="Times New Roman" w:eastAsia="Times New Roman" w:hAnsi="Times New Roman"/>
          <w:sz w:val="18"/>
          <w:szCs w:val="18"/>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means this audit committee charter;</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14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 Person</w:t>
      </w:r>
      <w:r>
        <w:rPr>
          <w:rFonts w:ascii="Times New Roman" w:cs="Times New Roman" w:eastAsia="Times New Roman" w:hAnsi="Times New Roman"/>
          <w:sz w:val="17"/>
          <w:szCs w:val="17"/>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financially literate</w:t>
      </w:r>
      <w:r>
        <w:rPr>
          <w:rFonts w:ascii="Times New Roman" w:cs="Times New Roman" w:eastAsia="Times New Roman" w:hAnsi="Times New Roman"/>
          <w:sz w:val="18"/>
          <w:szCs w:val="18"/>
          <w:color w:val="auto"/>
        </w:rPr>
        <w:t>” has the meaning set forth in Section 1.2;</w:t>
      </w:r>
    </w:p>
    <w:p>
      <w:pPr>
        <w:spacing w:after="0" w:line="1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“independent” </w:t>
      </w:r>
      <w:r>
        <w:rPr>
          <w:rFonts w:ascii="Times New Roman" w:cs="Times New Roman" w:eastAsia="Times New Roman" w:hAnsi="Times New Roman"/>
          <w:sz w:val="18"/>
          <w:szCs w:val="18"/>
          <w:color w:val="auto"/>
        </w:rPr>
        <w:t>means independent only as determined by both the Instrument and the CBOE Canada Listing Manual;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xml:space="preserve">” means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has the meaning ascribed to it in National Instrument 51-102;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Committee;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Instrument 51-102</w:t>
      </w:r>
      <w:r>
        <w:rPr>
          <w:rFonts w:ascii="Times New Roman" w:cs="Times New Roman" w:eastAsia="Times New Roman" w:hAnsi="Times New Roman"/>
          <w:sz w:val="18"/>
          <w:szCs w:val="18"/>
          <w:color w:val="auto"/>
        </w:rPr>
        <w:t xml:space="preserve">” means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non-audit services</w:t>
      </w:r>
      <w:r>
        <w:rPr>
          <w:rFonts w:ascii="Times New Roman" w:cs="Times New Roman" w:eastAsia="Times New Roman" w:hAnsi="Times New Roman"/>
          <w:sz w:val="18"/>
          <w:szCs w:val="18"/>
          <w:color w:val="auto"/>
        </w:rPr>
        <w:t>” means services other than audit services.</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Meaning of Financially Literate</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2</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37" w:right="339" w:bottom="1440" w:gutter="0" w:footer="0" w:header="0"/>
        </w:sectPr>
      </w:pPr>
    </w:p>
    <w:bookmarkStart w:id="202" w:name="page203"/>
    <w:bookmarkEnd w:id="202"/>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board of directors has hereby established the Committee for, among other purposes, compliance with the Instrument.</w:t>
      </w:r>
    </w:p>
    <w:p>
      <w:pPr>
        <w:spacing w:after="0" w:line="201"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Relationship with External Auditors</w:t>
      </w:r>
    </w:p>
    <w:p>
      <w:pPr>
        <w:spacing w:after="0" w:line="20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Corporation will require its external auditor to report directly to the Committee and the Members shall ensure that such is the case.</w:t>
      </w:r>
    </w:p>
    <w:p>
      <w:pPr>
        <w:spacing w:after="0" w:line="189"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Committee Responsibilities</w:t>
      </w:r>
    </w:p>
    <w:p>
      <w:pPr>
        <w:spacing w:after="0" w:line="209" w:lineRule="exact"/>
        <w:rPr>
          <w:sz w:val="20"/>
          <w:szCs w:val="20"/>
          <w:color w:val="auto"/>
        </w:rPr>
      </w:pPr>
    </w:p>
    <w:p>
      <w:pPr>
        <w:ind w:left="583" w:hanging="583"/>
        <w:spacing w:after="0"/>
        <w:tabs>
          <w:tab w:leader="none" w:pos="5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responsible for making the following recommendations to the board of directors:</w:t>
      </w:r>
    </w:p>
    <w:p>
      <w:pPr>
        <w:spacing w:after="0" w:line="193" w:lineRule="exact"/>
        <w:rPr>
          <w:rFonts w:ascii="Times New Roman" w:cs="Times New Roman" w:eastAsia="Times New Roman" w:hAnsi="Times New Roman"/>
          <w:sz w:val="18"/>
          <w:szCs w:val="18"/>
          <w:color w:val="auto"/>
        </w:rPr>
      </w:pPr>
    </w:p>
    <w:p>
      <w:pPr>
        <w:ind w:left="1163" w:hanging="581"/>
        <w:spacing w:after="0" w:line="282" w:lineRule="auto"/>
        <w:tabs>
          <w:tab w:leader="none" w:pos="115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auditor to be nominated for the purpose of preparing or issuing an auditor’s report or performing other audit, review or attest services for the Corporation; and</w:t>
      </w:r>
    </w:p>
    <w:p>
      <w:pPr>
        <w:spacing w:after="0" w:line="132"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external auditor.</w:t>
      </w:r>
    </w:p>
    <w:p>
      <w:pPr>
        <w:spacing w:after="0" w:line="205" w:lineRule="exact"/>
        <w:rPr>
          <w:rFonts w:ascii="Times New Roman" w:cs="Times New Roman" w:eastAsia="Times New Roman" w:hAnsi="Times New Roman"/>
          <w:sz w:val="18"/>
          <w:szCs w:val="18"/>
          <w:color w:val="auto"/>
        </w:rPr>
      </w:pPr>
    </w:p>
    <w:p>
      <w:pPr>
        <w:jc w:val="both"/>
        <w:ind w:left="583" w:right="20" w:hanging="583"/>
        <w:spacing w:after="0" w:line="260" w:lineRule="auto"/>
        <w:tabs>
          <w:tab w:leader="none" w:pos="5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64"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plan with management and the external auditor;</w:t>
      </w:r>
    </w:p>
    <w:p>
      <w:pPr>
        <w:spacing w:after="0" w:line="193" w:lineRule="exact"/>
        <w:rPr>
          <w:rFonts w:ascii="Times New Roman" w:cs="Times New Roman" w:eastAsia="Times New Roman" w:hAnsi="Times New Roman"/>
          <w:sz w:val="18"/>
          <w:szCs w:val="18"/>
          <w:color w:val="auto"/>
        </w:rPr>
      </w:pPr>
    </w:p>
    <w:p>
      <w:pPr>
        <w:ind w:left="1163" w:right="20" w:hanging="581"/>
        <w:spacing w:after="0" w:line="282" w:lineRule="auto"/>
        <w:tabs>
          <w:tab w:leader="none" w:pos="115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144" w:lineRule="exact"/>
        <w:rPr>
          <w:rFonts w:ascii="Times New Roman" w:cs="Times New Roman" w:eastAsia="Times New Roman" w:hAnsi="Times New Roman"/>
          <w:sz w:val="18"/>
          <w:szCs w:val="18"/>
          <w:color w:val="auto"/>
        </w:rPr>
      </w:pPr>
    </w:p>
    <w:p>
      <w:pPr>
        <w:ind w:left="1163" w:right="20" w:hanging="581"/>
        <w:spacing w:after="0" w:line="268" w:lineRule="auto"/>
        <w:tabs>
          <w:tab w:leader="none" w:pos="115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questioning management and the external auditor regarding significant financial reporting issues discussed during the fiscal period and the method of resolution;</w:t>
      </w:r>
    </w:p>
    <w:p>
      <w:pPr>
        <w:spacing w:after="0" w:line="156" w:lineRule="exact"/>
        <w:rPr>
          <w:rFonts w:ascii="Times New Roman" w:cs="Times New Roman" w:eastAsia="Times New Roman" w:hAnsi="Times New Roman"/>
          <w:sz w:val="18"/>
          <w:szCs w:val="18"/>
          <w:color w:val="auto"/>
        </w:rPr>
      </w:pPr>
    </w:p>
    <w:p>
      <w:pPr>
        <w:ind w:left="1163" w:right="20" w:hanging="581"/>
        <w:spacing w:after="0" w:line="268" w:lineRule="auto"/>
        <w:tabs>
          <w:tab w:leader="none" w:pos="115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problems experienced by the external auditor in performing the audit, including any restrictions imposed by management or significant accounting issues on which there was a disagreement with management;</w:t>
      </w:r>
    </w:p>
    <w:p>
      <w:pPr>
        <w:spacing w:after="0" w:line="156" w:lineRule="exact"/>
        <w:rPr>
          <w:rFonts w:ascii="Times New Roman" w:cs="Times New Roman" w:eastAsia="Times New Roman" w:hAnsi="Times New Roman"/>
          <w:sz w:val="18"/>
          <w:szCs w:val="18"/>
          <w:color w:val="auto"/>
        </w:rPr>
      </w:pPr>
    </w:p>
    <w:p>
      <w:pPr>
        <w:ind w:left="1163" w:right="20" w:hanging="581"/>
        <w:spacing w:after="0" w:line="282" w:lineRule="auto"/>
        <w:tabs>
          <w:tab w:leader="none" w:pos="115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audited annual financial statements, in conjunction with the report of the external auditor, and obtaining an explanation from management of all significant variances between comparative reporting periods;</w:t>
      </w:r>
    </w:p>
    <w:p>
      <w:pPr>
        <w:spacing w:after="0" w:line="132" w:lineRule="exact"/>
        <w:rPr>
          <w:rFonts w:ascii="Times New Roman" w:cs="Times New Roman" w:eastAsia="Times New Roman" w:hAnsi="Times New Roman"/>
          <w:sz w:val="18"/>
          <w:szCs w:val="18"/>
          <w:color w:val="auto"/>
        </w:rPr>
      </w:pPr>
    </w:p>
    <w:p>
      <w:pPr>
        <w:ind w:left="1163" w:right="20" w:hanging="581"/>
        <w:spacing w:after="0" w:line="282" w:lineRule="auto"/>
        <w:tabs>
          <w:tab w:leader="none" w:pos="115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post-audit or management letter, containing the recommendations of the external auditor, and management’s response and subsequent follow up to any identified weakness;</w:t>
      </w:r>
    </w:p>
    <w:p>
      <w:pPr>
        <w:spacing w:after="0" w:line="132"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interim unaudited financial statements before release to the public;</w:t>
      </w:r>
    </w:p>
    <w:p>
      <w:pPr>
        <w:spacing w:after="0" w:line="205" w:lineRule="exact"/>
        <w:rPr>
          <w:rFonts w:ascii="Times New Roman" w:cs="Times New Roman" w:eastAsia="Times New Roman" w:hAnsi="Times New Roman"/>
          <w:sz w:val="18"/>
          <w:szCs w:val="18"/>
          <w:color w:val="auto"/>
        </w:rPr>
      </w:pPr>
    </w:p>
    <w:p>
      <w:pPr>
        <w:ind w:left="1163" w:right="20" w:hanging="581"/>
        <w:spacing w:after="0" w:line="282" w:lineRule="auto"/>
        <w:tabs>
          <w:tab w:leader="none" w:pos="115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public disclosure documents containing audited or unaudited financial information before release, including any prospectus, the annual report and 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63"/>
          </w:cols>
          <w:pgMar w:left="317" w:top="1440" w:right="319" w:bottom="1440" w:gutter="0" w:footer="0" w:header="0"/>
        </w:sectPr>
      </w:pPr>
    </w:p>
    <w:bookmarkStart w:id="203" w:name="page204"/>
    <w:bookmarkEnd w:id="203"/>
    <w:p>
      <w:pPr>
        <w:spacing w:after="0" w:line="1" w:lineRule="exact"/>
        <w:rPr>
          <w:sz w:val="20"/>
          <w:szCs w:val="20"/>
          <w:color w:val="auto"/>
        </w:rPr>
      </w:pPr>
    </w:p>
    <w:p>
      <w:pPr>
        <w:ind w:left="1163" w:hanging="581"/>
        <w:spacing w:after="0"/>
        <w:tabs>
          <w:tab w:leader="none" w:pos="11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evaluation of internal controls by the external auditor, together with management’s response;</w:t>
      </w:r>
    </w:p>
    <w:p>
      <w:pPr>
        <w:spacing w:after="0" w:line="205"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terms of reference of the internal auditor, if any;</w:t>
      </w:r>
    </w:p>
    <w:p>
      <w:pPr>
        <w:spacing w:after="0" w:line="205" w:lineRule="exact"/>
        <w:rPr>
          <w:rFonts w:ascii="Times New Roman" w:cs="Times New Roman" w:eastAsia="Times New Roman" w:hAnsi="Times New Roman"/>
          <w:sz w:val="18"/>
          <w:szCs w:val="18"/>
          <w:color w:val="auto"/>
        </w:rPr>
      </w:pPr>
    </w:p>
    <w:p>
      <w:pPr>
        <w:ind w:left="1163" w:right="20" w:hanging="581"/>
        <w:spacing w:after="0" w:line="268" w:lineRule="auto"/>
        <w:tabs>
          <w:tab w:leader="none" w:pos="115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reports issued by the internal auditor, if any, and management’s response and subsequent follow up to any identified weaknesses; and</w:t>
      </w:r>
    </w:p>
    <w:p>
      <w:pPr>
        <w:spacing w:after="0" w:line="156" w:lineRule="exact"/>
        <w:rPr>
          <w:rFonts w:ascii="Times New Roman" w:cs="Times New Roman" w:eastAsia="Times New Roman" w:hAnsi="Times New Roman"/>
          <w:sz w:val="18"/>
          <w:szCs w:val="18"/>
          <w:color w:val="auto"/>
        </w:rPr>
      </w:pPr>
    </w:p>
    <w:p>
      <w:pPr>
        <w:ind w:left="1163" w:right="20" w:hanging="581"/>
        <w:spacing w:after="0" w:line="268" w:lineRule="auto"/>
        <w:tabs>
          <w:tab w:leader="none" w:pos="116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appointments of the chief financial officer and any key financial executives involved in the financial reporting process, as applicable.</w:t>
      </w:r>
    </w:p>
    <w:p>
      <w:pPr>
        <w:spacing w:after="0" w:line="156"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pre-approve all non-audit services to be provided to the Corporation or its subsidiary entities by the issuer’s external auditor.</w:t>
      </w:r>
    </w:p>
    <w:p>
      <w:pPr>
        <w:spacing w:after="0" w:line="193" w:lineRule="exact"/>
        <w:rPr>
          <w:rFonts w:ascii="Times New Roman" w:cs="Times New Roman" w:eastAsia="Times New Roman" w:hAnsi="Times New Roman"/>
          <w:sz w:val="18"/>
          <w:szCs w:val="18"/>
          <w:color w:val="auto"/>
        </w:rPr>
      </w:pPr>
    </w:p>
    <w:p>
      <w:pPr>
        <w:ind w:left="583" w:hanging="583"/>
        <w:spacing w:after="0" w:line="282" w:lineRule="auto"/>
        <w:tabs>
          <w:tab w:leader="none" w:pos="5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the Corporation’s financial statements, MD&amp;A, and annual and interim earnings press releases before the Corporation publicly discloses this information.</w:t>
      </w:r>
    </w:p>
    <w:p>
      <w:pPr>
        <w:spacing w:after="0" w:line="144" w:lineRule="exact"/>
        <w:rPr>
          <w:rFonts w:ascii="Times New Roman" w:cs="Times New Roman" w:eastAsia="Times New Roman" w:hAnsi="Times New Roman"/>
          <w:sz w:val="18"/>
          <w:szCs w:val="18"/>
          <w:color w:val="auto"/>
        </w:rPr>
      </w:pPr>
    </w:p>
    <w:p>
      <w:pPr>
        <w:ind w:left="583" w:hanging="583"/>
        <w:spacing w:after="0" w:line="268" w:lineRule="auto"/>
        <w:tabs>
          <w:tab w:leader="none" w:pos="5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156" w:lineRule="exact"/>
        <w:rPr>
          <w:rFonts w:ascii="Times New Roman" w:cs="Times New Roman" w:eastAsia="Times New Roman" w:hAnsi="Times New Roman"/>
          <w:sz w:val="18"/>
          <w:szCs w:val="18"/>
          <w:color w:val="auto"/>
        </w:rPr>
      </w:pPr>
    </w:p>
    <w:p>
      <w:pPr>
        <w:ind w:left="583" w:right="20" w:hanging="583"/>
        <w:spacing w:after="0" w:line="268" w:lineRule="auto"/>
        <w:tabs>
          <w:tab w:leader="none" w:pos="5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156" w:lineRule="exact"/>
        <w:rPr>
          <w:rFonts w:ascii="Times New Roman" w:cs="Times New Roman" w:eastAsia="Times New Roman" w:hAnsi="Times New Roman"/>
          <w:sz w:val="18"/>
          <w:szCs w:val="18"/>
          <w:color w:val="auto"/>
        </w:rPr>
      </w:pPr>
    </w:p>
    <w:p>
      <w:pPr>
        <w:ind w:left="583" w:right="20" w:hanging="583"/>
        <w:spacing w:after="0" w:line="282" w:lineRule="auto"/>
        <w:tabs>
          <w:tab w:leader="none" w:pos="5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132"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as applicable, establish procedures for:</w:t>
      </w:r>
    </w:p>
    <w:p>
      <w:pPr>
        <w:spacing w:after="0" w:line="205" w:lineRule="exact"/>
        <w:rPr>
          <w:rFonts w:ascii="Times New Roman" w:cs="Times New Roman" w:eastAsia="Times New Roman" w:hAnsi="Times New Roman"/>
          <w:sz w:val="18"/>
          <w:szCs w:val="18"/>
          <w:color w:val="auto"/>
        </w:rPr>
      </w:pPr>
    </w:p>
    <w:p>
      <w:pPr>
        <w:ind w:left="1163" w:right="20" w:hanging="581"/>
        <w:spacing w:after="0" w:line="268" w:lineRule="auto"/>
        <w:tabs>
          <w:tab w:leader="none" w:pos="115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retention and treatment of complaints received by the issuer regarding accounting, internal accounting controls, or auditing matters; and</w:t>
      </w:r>
    </w:p>
    <w:p>
      <w:pPr>
        <w:spacing w:after="0" w:line="156"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 anonymous submission by employees of the issuer of concerns regarding questionable accounting or auditing matters.</w:t>
      </w:r>
    </w:p>
    <w:p>
      <w:pPr>
        <w:spacing w:after="0" w:line="205" w:lineRule="exact"/>
        <w:rPr>
          <w:rFonts w:ascii="Times New Roman" w:cs="Times New Roman" w:eastAsia="Times New Roman" w:hAnsi="Times New Roman"/>
          <w:sz w:val="18"/>
          <w:szCs w:val="18"/>
          <w:color w:val="auto"/>
        </w:rPr>
      </w:pPr>
    </w:p>
    <w:p>
      <w:pPr>
        <w:ind w:left="583" w:right="20" w:hanging="583"/>
        <w:spacing w:after="0" w:line="268" w:lineRule="auto"/>
        <w:tabs>
          <w:tab w:leader="none" w:pos="5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156" w:lineRule="exact"/>
        <w:rPr>
          <w:rFonts w:ascii="Times New Roman" w:cs="Times New Roman" w:eastAsia="Times New Roman" w:hAnsi="Times New Roman"/>
          <w:sz w:val="18"/>
          <w:szCs w:val="18"/>
          <w:color w:val="auto"/>
        </w:rPr>
      </w:pPr>
    </w:p>
    <w:p>
      <w:pPr>
        <w:ind w:left="583" w:right="20" w:hanging="583"/>
        <w:spacing w:after="0" w:line="268" w:lineRule="auto"/>
        <w:tabs>
          <w:tab w:leader="none" w:pos="5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outlined in this Charter are not intended to be exhaustive. Members should consider any additional areas which may require oversight when discharging their responsibilities.</w:t>
      </w:r>
    </w:p>
    <w:p>
      <w:pPr>
        <w:spacing w:after="0" w:line="152"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De Minimis Non-Audit Services</w:t>
      </w:r>
    </w:p>
    <w:p>
      <w:pPr>
        <w:spacing w:after="0" w:line="20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Committee shall satisfy the pre-approval requirement in subsection (2.3(3))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63"/>
          </w:cols>
          <w:pgMar w:left="317" w:top="1440" w:right="319" w:bottom="1440" w:gutter="0" w:footer="0" w:header="0"/>
        </w:sectPr>
      </w:pPr>
    </w:p>
    <w:bookmarkStart w:id="204" w:name="page205"/>
    <w:bookmarkEnd w:id="204"/>
    <w:p>
      <w:pPr>
        <w:spacing w:after="0" w:line="1" w:lineRule="exact"/>
        <w:rPr>
          <w:sz w:val="20"/>
          <w:szCs w:val="20"/>
          <w:color w:val="auto"/>
        </w:rPr>
      </w:pPr>
    </w:p>
    <w:p>
      <w:pPr>
        <w:jc w:val="both"/>
        <w:ind w:left="1163" w:right="20" w:hanging="581"/>
        <w:spacing w:after="0" w:line="267" w:lineRule="auto"/>
        <w:tabs>
          <w:tab w:leader="none" w:pos="11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145" w:lineRule="exact"/>
        <w:rPr>
          <w:rFonts w:ascii="Times New Roman" w:cs="Times New Roman" w:eastAsia="Times New Roman" w:hAnsi="Times New Roman"/>
          <w:sz w:val="18"/>
          <w:szCs w:val="18"/>
          <w:color w:val="auto"/>
        </w:rPr>
      </w:pPr>
    </w:p>
    <w:p>
      <w:pPr>
        <w:ind w:left="1163" w:right="20" w:hanging="581"/>
        <w:spacing w:after="0" w:line="282" w:lineRule="auto"/>
        <w:tabs>
          <w:tab w:leader="none" w:pos="11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the subsidiary of the Corporation, as the case may be, did not recognize the services as non-audit services at the time of the engagement; and</w:t>
      </w:r>
    </w:p>
    <w:p>
      <w:pPr>
        <w:spacing w:after="0" w:line="132" w:lineRule="exact"/>
        <w:rPr>
          <w:rFonts w:ascii="Times New Roman" w:cs="Times New Roman" w:eastAsia="Times New Roman" w:hAnsi="Times New Roman"/>
          <w:sz w:val="18"/>
          <w:szCs w:val="18"/>
          <w:color w:val="auto"/>
        </w:rPr>
      </w:pPr>
    </w:p>
    <w:p>
      <w:pPr>
        <w:ind w:left="1163" w:hanging="581"/>
        <w:spacing w:after="0" w:line="282" w:lineRule="auto"/>
        <w:tabs>
          <w:tab w:leader="none" w:pos="11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128"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Delegation of Pre-Approval Function</w:t>
      </w:r>
    </w:p>
    <w:p>
      <w:pPr>
        <w:spacing w:after="0" w:line="209" w:lineRule="exact"/>
        <w:rPr>
          <w:sz w:val="20"/>
          <w:szCs w:val="20"/>
          <w:color w:val="auto"/>
        </w:rPr>
      </w:pPr>
    </w:p>
    <w:p>
      <w:pPr>
        <w:ind w:left="583" w:right="20" w:hanging="583"/>
        <w:spacing w:after="0" w:line="282" w:lineRule="auto"/>
        <w:tabs>
          <w:tab w:leader="none" w:pos="58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delegate to one or more independent Members the authority to pre-approve non-audit services in satisfaction of the requirement in subsection (2.3(3)).</w:t>
      </w:r>
    </w:p>
    <w:p>
      <w:pPr>
        <w:spacing w:after="0" w:line="132" w:lineRule="exact"/>
        <w:rPr>
          <w:rFonts w:ascii="Times New Roman" w:cs="Times New Roman" w:eastAsia="Times New Roman" w:hAnsi="Times New Roman"/>
          <w:sz w:val="18"/>
          <w:szCs w:val="18"/>
          <w:color w:val="auto"/>
        </w:rPr>
      </w:pPr>
    </w:p>
    <w:p>
      <w:pPr>
        <w:ind w:left="583" w:right="20" w:hanging="583"/>
        <w:spacing w:after="0" w:line="282" w:lineRule="auto"/>
        <w:tabs>
          <w:tab w:leader="none" w:pos="58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pre-approval of non-audit services by any Member to whom authority has been delegated pursuant to subsection (2.5(1)) must be presented to the Committee at its first scheduled meeting following such pre-approval.</w:t>
      </w:r>
    </w:p>
    <w:p>
      <w:pPr>
        <w:spacing w:after="0" w:line="1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Part 3</w:t>
      </w:r>
    </w:p>
    <w:p>
      <w:pPr>
        <w:spacing w:after="0" w:line="205"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Composition</w:t>
      </w:r>
    </w:p>
    <w:p>
      <w:pPr>
        <w:spacing w:after="0" w:line="209" w:lineRule="exact"/>
        <w:rPr>
          <w:sz w:val="20"/>
          <w:szCs w:val="20"/>
          <w:color w:val="auto"/>
        </w:rPr>
      </w:pPr>
    </w:p>
    <w:p>
      <w:pPr>
        <w:ind w:left="583" w:hanging="583"/>
        <w:spacing w:after="0"/>
        <w:tabs>
          <w:tab w:leader="none" w:pos="5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composed of a minimum of three Members.</w:t>
      </w:r>
    </w:p>
    <w:p>
      <w:pPr>
        <w:spacing w:after="0" w:line="193"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shall be a director of the issuer.</w:t>
      </w:r>
    </w:p>
    <w:p>
      <w:pPr>
        <w:spacing w:after="0" w:line="205"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shall be independent.</w:t>
      </w:r>
    </w:p>
    <w:p>
      <w:pPr>
        <w:spacing w:after="0" w:line="193"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shall be financially literate.</w:t>
      </w:r>
    </w:p>
    <w:p>
      <w:pPr>
        <w:spacing w:after="0" w:line="205"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shall appoint or re-appoint the Members after each annual meeting of shareholders of the Corporation.</w:t>
      </w:r>
    </w:p>
    <w:p>
      <w:pPr>
        <w:spacing w:after="0" w:line="20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Part 4</w:t>
      </w:r>
    </w:p>
    <w:p>
      <w:pPr>
        <w:spacing w:after="0" w:line="193"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Authority</w:t>
      </w:r>
    </w:p>
    <w:p>
      <w:pPr>
        <w:spacing w:after="0" w:line="20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Until the replacement of this Charter, the Committee shall have the authority to:</w:t>
      </w:r>
    </w:p>
    <w:p>
      <w:pPr>
        <w:spacing w:after="0" w:line="193" w:lineRule="exact"/>
        <w:rPr>
          <w:sz w:val="20"/>
          <w:szCs w:val="20"/>
          <w:color w:val="auto"/>
        </w:rPr>
      </w:pPr>
    </w:p>
    <w:p>
      <w:pPr>
        <w:ind w:left="1163" w:hanging="581"/>
        <w:spacing w:after="0"/>
        <w:tabs>
          <w:tab w:leader="none" w:pos="11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independent counsel and other advisors as it determines necessary to carry out its duties;</w:t>
      </w:r>
    </w:p>
    <w:p>
      <w:pPr>
        <w:spacing w:after="0" w:line="205"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and pay the compensation for any advisors employed by the Committee;</w:t>
      </w:r>
    </w:p>
    <w:p>
      <w:pPr>
        <w:spacing w:after="0" w:line="205"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directly with the internal and external auditors; and</w:t>
      </w:r>
    </w:p>
    <w:p>
      <w:pPr>
        <w:spacing w:after="0" w:line="193" w:lineRule="exact"/>
        <w:rPr>
          <w:rFonts w:ascii="Times New Roman" w:cs="Times New Roman" w:eastAsia="Times New Roman" w:hAnsi="Times New Roman"/>
          <w:sz w:val="18"/>
          <w:szCs w:val="18"/>
          <w:color w:val="auto"/>
        </w:rPr>
      </w:pPr>
    </w:p>
    <w:p>
      <w:pPr>
        <w:ind w:left="1163" w:hanging="581"/>
        <w:spacing w:after="0"/>
        <w:tabs>
          <w:tab w:leader="none" w:pos="11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amendment or approval of audited and interim financial statements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63"/>
          </w:cols>
          <w:pgMar w:left="317" w:top="1440" w:right="319" w:bottom="1440" w:gutter="0" w:footer="0" w:header="0"/>
        </w:sectPr>
      </w:pPr>
    </w:p>
    <w:bookmarkStart w:id="205" w:name="page206"/>
    <w:bookmarkEnd w:id="205"/>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Part 5</w:t>
      </w:r>
    </w:p>
    <w:p>
      <w:pPr>
        <w:spacing w:after="0" w:line="205"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Required Disclosure</w:t>
      </w:r>
    </w:p>
    <w:p>
      <w:pPr>
        <w:spacing w:after="0" w:line="20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Corporation must include in its Annual Information Form the disclosure required by Form 52-110F1.</w:t>
      </w:r>
    </w:p>
    <w:p>
      <w:pPr>
        <w:spacing w:after="0" w:line="189"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Disclosure in Information Circular</w:t>
      </w:r>
    </w:p>
    <w:p>
      <w:pPr>
        <w:spacing w:after="0" w:line="209"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pacing w:after="0" w:line="1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Part 6</w:t>
      </w:r>
    </w:p>
    <w:p>
      <w:pPr>
        <w:spacing w:after="0" w:line="205"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Meetings</w:t>
      </w:r>
    </w:p>
    <w:p>
      <w:pPr>
        <w:spacing w:after="0" w:line="209" w:lineRule="exact"/>
        <w:rPr>
          <w:sz w:val="20"/>
          <w:szCs w:val="20"/>
          <w:color w:val="auto"/>
        </w:rPr>
      </w:pPr>
    </w:p>
    <w:p>
      <w:pPr>
        <w:ind w:left="583" w:hanging="583"/>
        <w:spacing w:after="0"/>
        <w:tabs>
          <w:tab w:leader="none" w:pos="58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the Committee shall be scheduled to take place at regular intervals and, in any event, not less frequently than quarterly.</w:t>
      </w:r>
    </w:p>
    <w:p>
      <w:pPr>
        <w:spacing w:after="0" w:line="193" w:lineRule="exact"/>
        <w:rPr>
          <w:rFonts w:ascii="Times New Roman" w:cs="Times New Roman" w:eastAsia="Times New Roman" w:hAnsi="Times New Roman"/>
          <w:sz w:val="18"/>
          <w:szCs w:val="18"/>
          <w:color w:val="auto"/>
        </w:rPr>
      </w:pPr>
    </w:p>
    <w:p>
      <w:pPr>
        <w:ind w:left="583" w:hanging="583"/>
        <w:spacing w:after="0" w:line="282" w:lineRule="auto"/>
        <w:tabs>
          <w:tab w:leader="none" w:pos="58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shall be afforded periodically to the external auditor, the internal auditor and to members of senior management to meet separately with the Members.</w:t>
      </w:r>
    </w:p>
    <w:p>
      <w:pPr>
        <w:spacing w:after="0" w:line="132"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shall be kept of all meetings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
        <w:spacing w:after="0"/>
        <w:rPr>
          <w:sz w:val="20"/>
          <w:szCs w:val="20"/>
          <w:color w:val="auto"/>
        </w:rPr>
      </w:pPr>
      <w:r>
        <w:rPr>
          <w:rFonts w:ascii="Arial" w:cs="Arial" w:eastAsia="Arial" w:hAnsi="Arial"/>
          <w:sz w:val="13"/>
          <w:szCs w:val="13"/>
          <w:color w:val="auto"/>
        </w:rPr>
        <w:t>60710978.2</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3"/>
          <w:szCs w:val="13"/>
          <w:color w:val="auto"/>
        </w:rPr>
        <w:t>60710978.4</w:t>
      </w:r>
    </w:p>
    <w:p>
      <w:pPr>
        <w:spacing w:after="0" w:line="8" w:lineRule="exact"/>
        <w:rPr>
          <w:sz w:val="20"/>
          <w:szCs w:val="20"/>
          <w:color w:val="auto"/>
        </w:rPr>
      </w:pPr>
    </w:p>
    <w:p>
      <w:pPr>
        <w:ind w:left="3"/>
        <w:spacing w:after="0"/>
        <w:rPr>
          <w:sz w:val="20"/>
          <w:szCs w:val="20"/>
          <w:color w:val="auto"/>
        </w:rPr>
      </w:pPr>
      <w:r>
        <w:rPr>
          <w:rFonts w:ascii="Arial" w:cs="Arial" w:eastAsia="Arial" w:hAnsi="Arial"/>
          <w:sz w:val="13"/>
          <w:szCs w:val="13"/>
          <w:color w:val="auto"/>
        </w:rPr>
        <w:t>60710978.9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3"/>
          </w:cols>
          <w:pgMar w:left="317" w:top="1437" w:right="339"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2591435</wp:posOffset>
            </wp:positionV>
            <wp:extent cx="1386205" cy="808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386205"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 and 2023</w:t>
      </w:r>
    </w:p>
    <w:p>
      <w:pPr>
        <w:sectPr>
          <w:pgSz w:w="11900" w:h="16838" w:orient="portrait"/>
          <w:cols w:equalWidth="0" w:num="1">
            <w:col w:w="9019"/>
          </w:cols>
          <w:pgMar w:left="1440" w:top="1440" w:right="14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 for Consolidated Financial Statements</w:t>
      </w:r>
    </w:p>
    <w:p>
      <w:pPr>
        <w:spacing w:after="0" w:line="2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Company’s management is responsible for the integrity and fairness of presentation of these consolidated financial statements. The consolidated financial statements have been prepared by management, in accordance with International Financial Reporting Standards as issued by the International Accounting Standards Board, for approval by the Board of Directors.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Where necessary, management has made judgements and estimates in preparing the consolidated financial statements and such statements have been prepared within acceptable limits of materiality. Management maintains a system of internal accounting controls to ensure, on a reasonable and cost-effective basis, that the financial information is timely reported and is accurate and reliable in all material respects and that the Company’s assets are appropriately accounted for and adequately safeguarded.</w:t>
      </w:r>
    </w:p>
    <w:p>
      <w:pPr>
        <w:spacing w:after="0" w:line="178" w:lineRule="exact"/>
        <w:rPr>
          <w:sz w:val="20"/>
          <w:szCs w:val="20"/>
          <w:color w:val="auto"/>
        </w:rPr>
      </w:pPr>
    </w:p>
    <w:p>
      <w:pPr>
        <w:jc w:val="both"/>
        <w:spacing w:after="0" w:line="343" w:lineRule="auto"/>
        <w:rPr>
          <w:sz w:val="20"/>
          <w:szCs w:val="20"/>
          <w:color w:val="auto"/>
        </w:rPr>
      </w:pPr>
      <w:r>
        <w:rPr>
          <w:rFonts w:ascii="Times New Roman" w:cs="Times New Roman" w:eastAsia="Times New Roman" w:hAnsi="Times New Roman"/>
          <w:sz w:val="17"/>
          <w:szCs w:val="17"/>
          <w:color w:val="auto"/>
        </w:rPr>
        <w:t>A firm of independent Chartered Professional Accountants, Zeifmans LLP, appointed by the shareholders, audited the consolidated financial statements in accordance with Canadian generally accepted auditing standards and provided an independent professional opinion on the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Doug Drysdale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2024</w:t>
      </w:r>
    </w:p>
    <w:p>
      <w:pPr>
        <w:sectPr>
          <w:pgSz w:w="11900" w:h="16838" w:orient="portrait"/>
          <w:cols w:equalWidth="0" w:num="1">
            <w:col w:w="11260"/>
          </w:cols>
          <w:pgMar w:left="320" w:top="1291" w:right="319"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504825</wp:posOffset>
            </wp:positionV>
            <wp:extent cx="1247775" cy="330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247775" cy="33083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INDEPENDENT AUDITORS’ REPORT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Cybin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w:t>
      </w:r>
    </w:p>
    <w:p>
      <w:pPr>
        <w:spacing w:after="0" w:line="23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We have audited the consolidated financial statements of Cybin Inc. and its subsidiaries (together, the “Company”), which comprise the consolidated statements of financial position as at March 31, 2024 and 2023, and the consolidated statements of loss and comprehensive loss, changes in shareholders’ equity and cash flows for the years then ended, and notes to the consolidated financial statements, including material accounting policy information.</w:t>
      </w:r>
    </w:p>
    <w:p>
      <w:pPr>
        <w:spacing w:after="0" w:line="17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our opinion, the accompanying consolidated financial statements present fairly, in all material respects, the consolidated financial position of the Company as at March 31, 2024 and 2023 and its consolidated financial performance and its consolidated cash flows for the years then ended in accordance with International Financial Reporting Standards (“IFRS”) as issued by the International Accounting Standards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23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We conducted our audits in accordance with Canadian generally accepted auditing standards (“GAAS”). Our responsibilities under those standards are further described in the </w:t>
      </w:r>
      <w:r>
        <w:rPr>
          <w:rFonts w:ascii="Times New Roman" w:cs="Times New Roman" w:eastAsia="Times New Roman" w:hAnsi="Times New Roman"/>
          <w:sz w:val="16"/>
          <w:szCs w:val="16"/>
          <w:i w:val="1"/>
          <w:iCs w:val="1"/>
          <w:color w:val="auto"/>
        </w:rPr>
        <w:t>Auditors’ Responsibilities for the Audits of the Consolidated Financial Statements</w:t>
      </w:r>
      <w:r>
        <w:rPr>
          <w:rFonts w:ascii="Times New Roman" w:cs="Times New Roman" w:eastAsia="Times New Roman" w:hAnsi="Times New Roman"/>
          <w:sz w:val="16"/>
          <w:szCs w:val="16"/>
          <w:color w:val="auto"/>
        </w:rPr>
        <w:t xml:space="preserve">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Key Audit Matters</w:t>
      </w:r>
    </w:p>
    <w:p>
      <w:pPr>
        <w:spacing w:after="0" w:line="23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Key audit matters are those matters that, in our professional judgment, were of most significance in our audit of the consolidated financial statements as at and for the year ended March 31, 2024. These matters were addressed in the context of our audit of the consolidated financial statements as a whole, and in forming our opinion thereon, and we do not provide a separate opinion on these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determined the matters described below to be the key audit matters to be communicated in our report.</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640" w:type="dxa"/>
            <w:vAlign w:val="bottom"/>
            <w:tcBorders>
              <w:top w:val="single" w:sz="8" w:color="auto"/>
              <w:left w:val="single" w:sz="8" w:color="auto"/>
              <w:bottom w:val="single" w:sz="8" w:color="auto"/>
              <w:right w:val="single" w:sz="8" w:color="auto"/>
            </w:tcBorders>
            <w:shd w:val="clear" w:color="auto" w:fill="FBD5B5"/>
          </w:tcPr>
          <w:p>
            <w:pPr>
              <w:ind w:left="20"/>
              <w:spacing w:after="0"/>
              <w:rPr>
                <w:sz w:val="20"/>
                <w:szCs w:val="20"/>
                <w:color w:val="auto"/>
              </w:rPr>
            </w:pPr>
            <w:r>
              <w:rPr>
                <w:rFonts w:ascii="Times New Roman" w:cs="Times New Roman" w:eastAsia="Times New Roman" w:hAnsi="Times New Roman"/>
                <w:sz w:val="16"/>
                <w:szCs w:val="16"/>
                <w:color w:val="auto"/>
              </w:rPr>
              <w:t>Key audit matter</w:t>
            </w:r>
          </w:p>
        </w:tc>
        <w:tc>
          <w:tcPr>
            <w:tcW w:w="5640" w:type="dxa"/>
            <w:vAlign w:val="bottom"/>
            <w:tcBorders>
              <w:top w:val="single" w:sz="8" w:color="auto"/>
              <w:bottom w:val="single" w:sz="8" w:color="auto"/>
              <w:right w:val="single" w:sz="8" w:color="auto"/>
            </w:tcBorders>
            <w:shd w:val="clear" w:color="auto" w:fill="FBD5B5"/>
          </w:tcPr>
          <w:p>
            <w:pPr>
              <w:ind w:left="20"/>
              <w:spacing w:after="0"/>
              <w:rPr>
                <w:sz w:val="20"/>
                <w:szCs w:val="20"/>
                <w:color w:val="auto"/>
              </w:rPr>
            </w:pPr>
            <w:r>
              <w:rPr>
                <w:rFonts w:ascii="Times New Roman" w:cs="Times New Roman" w:eastAsia="Times New Roman" w:hAnsi="Times New Roman"/>
                <w:sz w:val="16"/>
                <w:szCs w:val="16"/>
                <w:color w:val="auto"/>
              </w:rPr>
              <w:t>How are audit addressed the key audit matter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169545</wp:posOffset>
            </wp:positionV>
            <wp:extent cx="4805045" cy="4311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05045" cy="43116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504825</wp:posOffset>
            </wp:positionV>
            <wp:extent cx="1247775" cy="3308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247775"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Small Pharma Inc. (“SP”)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Refer to note 2 - Material accounting policy information and note 4 – Acquisition</w:t>
      </w:r>
    </w:p>
    <w:p>
      <w:pPr>
        <w:spacing w:after="0" w:line="2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On October 23, 2024, Cybin completed the acquisition (the “Acquisition”) of SP and its wholly-owned subsidiary Small Pharma Ltd.</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acquisition has been accounted for as a business combination using the acquisition method of accounting. The SP purchase price allocation (“PPA”) results in the recognition of intellectual property of $29.3 million and goodwill of $22.7 million.</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considered this a key audit matter due to the subjectivity and complexity in performing procedures to test the key assumptions used by management in determining the purchase price allocation, which involved significant judgment by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
        <w:spacing w:after="0" w:line="287" w:lineRule="auto"/>
        <w:rPr>
          <w:sz w:val="20"/>
          <w:szCs w:val="20"/>
          <w:color w:val="auto"/>
        </w:rPr>
      </w:pPr>
      <w:r>
        <w:rPr>
          <w:rFonts w:ascii="Times New Roman" w:cs="Times New Roman" w:eastAsia="Times New Roman" w:hAnsi="Times New Roman"/>
          <w:sz w:val="16"/>
          <w:szCs w:val="16"/>
          <w:color w:val="auto"/>
        </w:rPr>
        <w:t>Our approach to addressing the matter included the following procedures,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-291465</wp:posOffset>
            </wp:positionV>
            <wp:extent cx="7153910" cy="2179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910" cy="2179320"/>
                    </a:xfrm>
                    <a:prstGeom prst="rect">
                      <a:avLst/>
                    </a:prstGeom>
                    <a:noFill/>
                  </pic:spPr>
                </pic:pic>
              </a:graphicData>
            </a:graphic>
          </wp:anchor>
        </w:drawing>
      </w:r>
    </w:p>
    <w:p>
      <w:pPr>
        <w:spacing w:after="0" w:line="146" w:lineRule="exact"/>
        <w:rPr>
          <w:sz w:val="20"/>
          <w:szCs w:val="20"/>
          <w:color w:val="auto"/>
        </w:rPr>
      </w:pPr>
    </w:p>
    <w:p>
      <w:pPr>
        <w:ind w:left="283" w:hanging="283"/>
        <w:spacing w:after="0" w:line="263" w:lineRule="auto"/>
        <w:tabs>
          <w:tab w:leader="none" w:pos="27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analyzed the Acquisition agreements to obtain an understanding of the key terms and conditions and to identify the necessary accounting considerations;</w:t>
      </w:r>
    </w:p>
    <w:p>
      <w:pPr>
        <w:ind w:left="283" w:hanging="283"/>
        <w:spacing w:after="0" w:line="253" w:lineRule="auto"/>
        <w:tabs>
          <w:tab w:leader="none" w:pos="27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obtained an understanding of management’s internal control process as it relates to the determination of key inputs and assumptions;</w:t>
      </w:r>
    </w:p>
    <w:p>
      <w:pPr>
        <w:ind w:left="283" w:hanging="283"/>
        <w:spacing w:after="0" w:line="253" w:lineRule="auto"/>
        <w:tabs>
          <w:tab w:leader="none" w:pos="27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mathematical accuracy of management’s PPA model related to the Acquisition;</w:t>
      </w:r>
    </w:p>
    <w:p>
      <w:pPr>
        <w:ind w:left="283" w:hanging="283"/>
        <w:spacing w:after="0" w:line="253" w:lineRule="auto"/>
        <w:tabs>
          <w:tab w:leader="none" w:pos="27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a valuation specialist, we evaluated the appropriateness of the methods used and the discounted cash flow model;</w:t>
      </w:r>
    </w:p>
    <w:p>
      <w:pPr>
        <w:ind w:left="283" w:hanging="283"/>
        <w:spacing w:after="0"/>
        <w:tabs>
          <w:tab w:leader="none" w:pos="28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assessed the reasonableness of the discount rates applied;</w:t>
      </w:r>
    </w:p>
    <w:p>
      <w:pPr>
        <w:spacing w:after="0" w:line="10" w:lineRule="exact"/>
        <w:rPr>
          <w:rFonts w:ascii="Times New Roman" w:cs="Times New Roman" w:eastAsia="Times New Roman" w:hAnsi="Times New Roman"/>
          <w:sz w:val="16"/>
          <w:szCs w:val="16"/>
          <w:color w:val="auto"/>
        </w:rPr>
      </w:pPr>
    </w:p>
    <w:p>
      <w:pPr>
        <w:ind w:left="283" w:hanging="283"/>
        <w:spacing w:after="0" w:line="253" w:lineRule="auto"/>
        <w:tabs>
          <w:tab w:leader="none" w:pos="27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 sensitivity analysis of the PPA model by developing a range of independent estimates of key assumptions;</w:t>
      </w:r>
    </w:p>
    <w:p>
      <w:pPr>
        <w:spacing w:after="0" w:line="20" w:lineRule="exact"/>
        <w:rPr>
          <w:rFonts w:ascii="Times New Roman" w:cs="Times New Roman" w:eastAsia="Times New Roman" w:hAnsi="Times New Roman"/>
          <w:sz w:val="16"/>
          <w:szCs w:val="16"/>
          <w:color w:val="auto"/>
        </w:rPr>
      </w:pPr>
    </w:p>
    <w:p>
      <w:pPr>
        <w:jc w:val="both"/>
        <w:ind w:left="283" w:hanging="283"/>
        <w:spacing w:after="0" w:line="246" w:lineRule="auto"/>
        <w:tabs>
          <w:tab w:leader="none" w:pos="27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We evaluated the adequacy and completeness of the disclosure in the consolidated financial statements including the assumptions used in the PPA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191135</wp:posOffset>
            </wp:positionV>
            <wp:extent cx="4805045" cy="431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05045" cy="431165"/>
                    </a:xfrm>
                    <a:prstGeom prst="rect">
                      <a:avLst/>
                    </a:prstGeom>
                    <a:noFill/>
                  </pic:spPr>
                </pic:pic>
              </a:graphicData>
            </a:graphic>
          </wp:anchor>
        </w:drawing>
      </w:r>
    </w:p>
    <w:p>
      <w:pPr>
        <w:sectPr>
          <w:pgSz w:w="11900" w:h="16838" w:orient="portrait"/>
          <w:cols w:equalWidth="0" w:num="2">
            <w:col w:w="5500" w:space="137"/>
            <w:col w:w="5483"/>
          </w:cols>
          <w:pgMar w:left="380" w:top="1440" w:right="399"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504825</wp:posOffset>
            </wp:positionV>
            <wp:extent cx="1247775" cy="330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247775" cy="3308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Assessment of impairment of goodwill and intangible assets</w:t>
      </w:r>
    </w:p>
    <w:p>
      <w:pPr>
        <w:spacing w:after="0" w:line="228" w:lineRule="exact"/>
        <w:rPr>
          <w:sz w:val="20"/>
          <w:szCs w:val="20"/>
          <w:color w:val="auto"/>
        </w:rPr>
      </w:pPr>
    </w:p>
    <w:p>
      <w:pPr>
        <w:jc w:val="both"/>
        <w:ind w:left="60"/>
        <w:spacing w:after="0" w:line="287" w:lineRule="auto"/>
        <w:rPr>
          <w:sz w:val="20"/>
          <w:szCs w:val="20"/>
          <w:color w:val="auto"/>
        </w:rPr>
      </w:pPr>
      <w:r>
        <w:rPr>
          <w:rFonts w:ascii="Times New Roman" w:cs="Times New Roman" w:eastAsia="Times New Roman" w:hAnsi="Times New Roman"/>
          <w:sz w:val="16"/>
          <w:szCs w:val="16"/>
          <w:color w:val="auto"/>
        </w:rPr>
        <w:t>Refer to note 2 – Material accounting policy information, note 6 - Intangible assets and note 8 - Goodwill</w:t>
      </w:r>
    </w:p>
    <w:p>
      <w:pPr>
        <w:spacing w:after="0" w:line="166"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6"/>
          <w:szCs w:val="16"/>
          <w:color w:val="auto"/>
        </w:rPr>
        <w:t>In accordance with IAS 36, Impairment of Assets, management is required to test goodwill and intangible assets not yet available for use for impairment annually, or when facts and circumstances suggest they may be impaired. Goodwill arising from business combinations is allocated to each of the Company’s cash-generating units (“CGU”) that is expected to benefit from the synergies of the combination. The recoverable amount of the CGU to which the goodwill and intangible assets have been allocated is tested for impairment at the same time every year. As at March 31, 2024 the Company had goodwill of $47.5 million and intangible assets of $35.5 million before the impairment test. The annual impairment test has been performed as of March 31, 2024, and no impairment was recognized.</w:t>
      </w:r>
    </w:p>
    <w:p>
      <w:pPr>
        <w:spacing w:after="0" w:line="196"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6"/>
          <w:szCs w:val="16"/>
          <w:color w:val="auto"/>
        </w:rPr>
        <w:t>For the purpose of the impairment test, the recoverable amount of the Company’s CGU has been determined by management based on an assessment of its value in use following a discounted cash flow approach over a period of thirteen years. Management made certain assumptions in determining the cash flow projections based on its internally approved budgets and include management’s best estimates of expected market conditions. The future cash flows used in the model are inherently uncertain and could materially change over time as a result of changes to the key assumptions estimated by management including revenue growth, discount rate, terminal growth rate, costs, future tax, risk premiums applicable to the CGU’s operations and future capital expenditure.</w:t>
      </w:r>
    </w:p>
    <w:p>
      <w:pPr>
        <w:spacing w:after="0" w:line="196" w:lineRule="exact"/>
        <w:rPr>
          <w:sz w:val="20"/>
          <w:szCs w:val="20"/>
          <w:color w:val="auto"/>
        </w:rPr>
      </w:pPr>
    </w:p>
    <w:p>
      <w:pPr>
        <w:jc w:val="both"/>
        <w:ind w:left="60"/>
        <w:spacing w:after="0" w:line="264" w:lineRule="auto"/>
        <w:rPr>
          <w:sz w:val="20"/>
          <w:szCs w:val="20"/>
          <w:color w:val="auto"/>
        </w:rPr>
      </w:pPr>
      <w:r>
        <w:rPr>
          <w:rFonts w:ascii="Times New Roman" w:cs="Times New Roman" w:eastAsia="Times New Roman" w:hAnsi="Times New Roman"/>
          <w:sz w:val="16"/>
          <w:szCs w:val="16"/>
          <w:color w:val="auto"/>
        </w:rPr>
        <w:t>We considered this a key audit matter due to the subjectivity and complexity in performing procedures to test the key assumptions used by management in determining the recoverable amount of the Company’s CGU, which involved significant judgment from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
        <w:spacing w:after="0" w:line="287" w:lineRule="auto"/>
        <w:rPr>
          <w:sz w:val="20"/>
          <w:szCs w:val="20"/>
          <w:color w:val="auto"/>
        </w:rPr>
      </w:pPr>
      <w:r>
        <w:rPr>
          <w:rFonts w:ascii="Times New Roman" w:cs="Times New Roman" w:eastAsia="Times New Roman" w:hAnsi="Times New Roman"/>
          <w:sz w:val="16"/>
          <w:szCs w:val="16"/>
          <w:color w:val="auto"/>
        </w:rPr>
        <w:t>Our approach to addressing the matter included the following procedures,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-1323340</wp:posOffset>
            </wp:positionV>
            <wp:extent cx="7153910" cy="39274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910" cy="3927475"/>
                    </a:xfrm>
                    <a:prstGeom prst="rect">
                      <a:avLst/>
                    </a:prstGeom>
                    <a:noFill/>
                  </pic:spPr>
                </pic:pic>
              </a:graphicData>
            </a:graphic>
          </wp:anchor>
        </w:drawing>
      </w:r>
    </w:p>
    <w:p>
      <w:pPr>
        <w:spacing w:after="0" w:line="146" w:lineRule="exact"/>
        <w:rPr>
          <w:sz w:val="20"/>
          <w:szCs w:val="20"/>
          <w:color w:val="auto"/>
        </w:rPr>
      </w:pPr>
    </w:p>
    <w:p>
      <w:pPr>
        <w:ind w:left="283" w:hanging="283"/>
        <w:spacing w:after="0" w:line="263" w:lineRule="auto"/>
        <w:tabs>
          <w:tab w:leader="none" w:pos="27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appropriateness of the value-in-use method and discounted cash flow forecast models;</w:t>
      </w:r>
    </w:p>
    <w:p>
      <w:pPr>
        <w:jc w:val="both"/>
        <w:ind w:left="283" w:hanging="283"/>
        <w:spacing w:after="0" w:line="253" w:lineRule="auto"/>
        <w:tabs>
          <w:tab w:leader="none" w:pos="27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reviewed the controls and methodology used to develop information for assessing the recoverable amount including the risk assessment process, and the nature and extent of oversight and governance over financial reporting;</w:t>
      </w:r>
    </w:p>
    <w:p>
      <w:pPr>
        <w:jc w:val="both"/>
        <w:ind w:left="283" w:hanging="283"/>
        <w:spacing w:after="0" w:line="253" w:lineRule="auto"/>
        <w:tabs>
          <w:tab w:leader="none" w:pos="27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assumptions applied to key inputs, such as forecasted revenues, gross margin, operating expenses, long-term growth rates and discount rates used by management in the discounted cash flow projection models and value-in-use determination;</w:t>
      </w:r>
    </w:p>
    <w:p>
      <w:pPr>
        <w:jc w:val="both"/>
        <w:ind w:left="283" w:hanging="283"/>
        <w:spacing w:after="0" w:line="253" w:lineRule="auto"/>
        <w:tabs>
          <w:tab w:leader="none" w:pos="27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 retrospective review to compare management’s assumptions in the prior year’s expected future cash flows to the actual results to assess the Company’s budgeting process;</w:t>
      </w:r>
    </w:p>
    <w:p>
      <w:pPr>
        <w:ind w:left="283" w:hanging="283"/>
        <w:spacing w:after="0" w:line="253" w:lineRule="auto"/>
        <w:tabs>
          <w:tab w:leader="none" w:pos="27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mathematical accuracy of management’s impairment model and supporting calculations;</w:t>
      </w:r>
    </w:p>
    <w:p>
      <w:pPr>
        <w:jc w:val="both"/>
        <w:ind w:left="283" w:hanging="283"/>
        <w:spacing w:after="0" w:line="253" w:lineRule="auto"/>
        <w:tabs>
          <w:tab w:leader="none" w:pos="27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a valuation specialist, we evaluated the reasonableness of the Company’s impairment model and the discount rates by comparing the Company’s weighted average cost of capital against publicly available market date; and</w:t>
      </w:r>
    </w:p>
    <w:p>
      <w:pPr>
        <w:ind w:left="283" w:hanging="283"/>
        <w:spacing w:after="0" w:line="266" w:lineRule="auto"/>
        <w:tabs>
          <w:tab w:leader="none" w:pos="27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assessed the appropriateness of the disclosure of the assumptions used in the impairment assessment in the notes to the consolidated financial statements.</w:t>
      </w:r>
    </w:p>
    <w:p>
      <w:pPr>
        <w:spacing w:after="0" w:line="200" w:lineRule="exact"/>
        <w:rPr>
          <w:sz w:val="20"/>
          <w:szCs w:val="20"/>
          <w:color w:val="auto"/>
        </w:rPr>
      </w:pPr>
    </w:p>
    <w:p>
      <w:pPr>
        <w:sectPr>
          <w:pgSz w:w="11900" w:h="16838" w:orient="portrait"/>
          <w:cols w:equalWidth="0" w:num="2">
            <w:col w:w="5560" w:space="137"/>
            <w:col w:w="5483"/>
          </w:cols>
          <w:pgMar w:left="320" w:top="1440" w:right="39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133985</wp:posOffset>
            </wp:positionV>
            <wp:extent cx="4805045" cy="431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05045" cy="43116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504825</wp:posOffset>
            </wp:positionV>
            <wp:extent cx="1247775" cy="3308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247775" cy="33083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Management is responsible for the other information. The other information comprises the information included in the Management Discussion and Analysis (“MD&amp;A”) but does not include the consolidated financial statements and our auditors’ report thereon.</w:t>
      </w:r>
    </w:p>
    <w:p>
      <w:pPr>
        <w:spacing w:after="0" w:line="1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Our opinion on the consolidated financial statements does not cover the MD&amp;A and we do not express any form of assurance conclusion thereon.</w:t>
      </w:r>
    </w:p>
    <w:p>
      <w:pPr>
        <w:spacing w:after="0" w:line="228" w:lineRule="exact"/>
        <w:rPr>
          <w:sz w:val="20"/>
          <w:szCs w:val="20"/>
          <w:color w:val="auto"/>
        </w:rPr>
      </w:pPr>
    </w:p>
    <w:p>
      <w:pPr>
        <w:jc w:val="both"/>
        <w:ind w:left="3"/>
        <w:spacing w:after="0" w:line="287" w:lineRule="auto"/>
        <w:rPr>
          <w:sz w:val="20"/>
          <w:szCs w:val="20"/>
          <w:color w:val="auto"/>
        </w:rPr>
      </w:pPr>
      <w:r>
        <w:rPr>
          <w:rFonts w:ascii="Times New Roman" w:cs="Times New Roman" w:eastAsia="Times New Roman" w:hAnsi="Times New Roman"/>
          <w:sz w:val="16"/>
          <w:szCs w:val="16"/>
          <w:color w:val="auto"/>
        </w:rPr>
        <w:t>In connection with our audits of the consolidated financial statements, our responsibility is to read the MD&amp;A identified above and, in doing so, consider whether the MD&amp;A is materially inconsistent with the consolidated financial statements or our knowledge obtained in the audits, or otherwise appears to be materially misstated.</w:t>
      </w:r>
    </w:p>
    <w:p>
      <w:pPr>
        <w:spacing w:after="0" w:line="16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We obtained the MD&amp;A prior to the date of this auditors’ report. If, based on the work we have performed on this MD&amp;A, we conclude that there is a material misstatement of this MD&amp;A, we are required to report that fact in this auditors’ report. We have nothing to report in this regard.</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Responsibilities of Management and Those Charged with Governance for the Consolidated Financial Statements</w:t>
      </w:r>
    </w:p>
    <w:p>
      <w:pPr>
        <w:spacing w:after="0" w:line="230"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consolidated financial statements in accordance with IFRS, and for such internal control as management determines is necessary to enable the preparation of consolidated financial statements that are free from material misstatement, whether due to fraud or error.</w:t>
      </w:r>
    </w:p>
    <w:p>
      <w:pPr>
        <w:spacing w:after="0" w:line="166"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In preparing the consolidated financial statements, management is responsible for assessing the Company’s ability to continue as a going concern, disclosing, as applicable, matters relating to going concern and using the going concern basis of accounting unless management either intends to liquidate the Company or to cease operations, or has no realistic alternative but to do so.</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Those charged with governance are responsible for overseeing the Company’s financial reporting process.</w:t>
      </w:r>
    </w:p>
    <w:p>
      <w:pPr>
        <w:spacing w:after="0" w:line="2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Auditors’ Responsibilities for the Audits of the Consolidated Financial Statements</w:t>
      </w:r>
    </w:p>
    <w:p>
      <w:pPr>
        <w:spacing w:after="0" w:line="230"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 As part of an audit in accordance with GAAS, we exercise professional judgment and maintain professional skepticism throughout the audits. We also:</w:t>
      </w:r>
    </w:p>
    <w:p>
      <w:pPr>
        <w:spacing w:after="0" w:line="188" w:lineRule="exact"/>
        <w:rPr>
          <w:sz w:val="20"/>
          <w:szCs w:val="20"/>
          <w:color w:val="auto"/>
        </w:rPr>
      </w:pPr>
    </w:p>
    <w:p>
      <w:pPr>
        <w:jc w:val="both"/>
        <w:ind w:left="283" w:right="20" w:hanging="283"/>
        <w:spacing w:after="0" w:line="266" w:lineRule="auto"/>
        <w:tabs>
          <w:tab w:leader="none" w:pos="27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ind w:left="283" w:right="20" w:hanging="283"/>
        <w:spacing w:after="0" w:line="282" w:lineRule="auto"/>
        <w:tabs>
          <w:tab w:leader="none" w:pos="27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audits in order to design audit procedures that are appropriate in the circumstances, but not for the purposes of expressing an opinion on the effectiveness of the Company’s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102870</wp:posOffset>
            </wp:positionV>
            <wp:extent cx="4805045" cy="431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05045" cy="431165"/>
                    </a:xfrm>
                    <a:prstGeom prst="rect">
                      <a:avLst/>
                    </a:prstGeom>
                    <a:noFill/>
                  </pic:spPr>
                </pic:pic>
              </a:graphicData>
            </a:graphic>
          </wp:anchor>
        </w:drawing>
      </w:r>
    </w:p>
    <w:p>
      <w:pPr>
        <w:sectPr>
          <w:pgSz w:w="11900" w:h="16838" w:orient="portrait"/>
          <w:cols w:equalWidth="0" w:num="1">
            <w:col w:w="11263"/>
          </w:cols>
          <w:pgMar w:left="317" w:top="1440" w:right="319"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504825</wp:posOffset>
            </wp:positionV>
            <wp:extent cx="1247775" cy="3308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247775" cy="33083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83" w:hanging="283"/>
        <w:spacing w:after="0"/>
        <w:tabs>
          <w:tab w:leader="none" w:pos="28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appropriateness of accounting policies used and the reasonableness of accounting estimates and related disclosures made by management.</w:t>
      </w:r>
    </w:p>
    <w:p>
      <w:pPr>
        <w:spacing w:after="0" w:line="26" w:lineRule="exact"/>
        <w:rPr>
          <w:rFonts w:ascii="Times New Roman" w:cs="Times New Roman" w:eastAsia="Times New Roman" w:hAnsi="Times New Roman"/>
          <w:sz w:val="16"/>
          <w:szCs w:val="16"/>
          <w:color w:val="auto"/>
        </w:rPr>
      </w:pPr>
    </w:p>
    <w:p>
      <w:pPr>
        <w:jc w:val="both"/>
        <w:ind w:left="283" w:right="20" w:hanging="283"/>
        <w:spacing w:after="0" w:line="262" w:lineRule="auto"/>
        <w:tabs>
          <w:tab w:leader="none" w:pos="27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2" w:lineRule="exact"/>
        <w:rPr>
          <w:rFonts w:ascii="Times New Roman" w:cs="Times New Roman" w:eastAsia="Times New Roman" w:hAnsi="Times New Roman"/>
          <w:sz w:val="16"/>
          <w:szCs w:val="16"/>
          <w:color w:val="auto"/>
        </w:rPr>
      </w:pPr>
    </w:p>
    <w:p>
      <w:pPr>
        <w:ind w:left="283" w:right="20" w:hanging="283"/>
        <w:spacing w:after="0" w:line="268" w:lineRule="auto"/>
        <w:tabs>
          <w:tab w:leader="none" w:pos="27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1" w:lineRule="exact"/>
        <w:rPr>
          <w:rFonts w:ascii="Times New Roman" w:cs="Times New Roman" w:eastAsia="Times New Roman" w:hAnsi="Times New Roman"/>
          <w:sz w:val="16"/>
          <w:szCs w:val="16"/>
          <w:color w:val="auto"/>
        </w:rPr>
      </w:pPr>
    </w:p>
    <w:p>
      <w:pPr>
        <w:jc w:val="both"/>
        <w:ind w:left="283" w:hanging="283"/>
        <w:spacing w:after="0" w:line="261" w:lineRule="auto"/>
        <w:tabs>
          <w:tab w:leader="none" w:pos="27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audits. We remain solely responsible for our audit</w:t>
      </w:r>
    </w:p>
    <w:p>
      <w:pPr>
        <w:ind w:left="283"/>
        <w:spacing w:after="0"/>
        <w:rPr>
          <w:sz w:val="20"/>
          <w:szCs w:val="20"/>
          <w:color w:val="auto"/>
        </w:rPr>
      </w:pPr>
      <w:r>
        <w:rPr>
          <w:rFonts w:ascii="Times New Roman" w:cs="Times New Roman" w:eastAsia="Times New Roman" w:hAnsi="Times New Roman"/>
          <w:sz w:val="16"/>
          <w:szCs w:val="16"/>
          <w:color w:val="auto"/>
        </w:rPr>
        <w:t>opinion.</w:t>
      </w:r>
    </w:p>
    <w:p>
      <w:pPr>
        <w:spacing w:after="0" w:line="22" w:lineRule="exact"/>
        <w:rPr>
          <w:sz w:val="20"/>
          <w:szCs w:val="20"/>
          <w:color w:val="auto"/>
        </w:rPr>
      </w:pPr>
    </w:p>
    <w:p>
      <w:pPr>
        <w:jc w:val="both"/>
        <w:ind w:left="3"/>
        <w:spacing w:after="0" w:line="266" w:lineRule="auto"/>
        <w:rPr>
          <w:sz w:val="20"/>
          <w:szCs w:val="20"/>
          <w:color w:val="auto"/>
        </w:rPr>
      </w:pPr>
      <w:r>
        <w:rPr>
          <w:rFonts w:ascii="Times New Roman" w:cs="Times New Roman" w:eastAsia="Times New Roman" w:hAnsi="Times New Roman"/>
          <w:sz w:val="16"/>
          <w:szCs w:val="16"/>
          <w:color w:val="auto"/>
        </w:rPr>
        <w:t>We communicate with those charged with governance regarding, among other matters, the planned scope and timing of the audits and significant audit findings, including any significant deficiencies in internal control that we identify during our audits.</w:t>
      </w:r>
    </w:p>
    <w:p>
      <w:pPr>
        <w:spacing w:after="0" w:line="183"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166" w:lineRule="exact"/>
        <w:rPr>
          <w:sz w:val="20"/>
          <w:szCs w:val="20"/>
          <w:color w:val="auto"/>
        </w:rPr>
      </w:pPr>
    </w:p>
    <w:p>
      <w:pPr>
        <w:jc w:val="both"/>
        <w:ind w:left="3" w:right="20"/>
        <w:spacing w:after="0" w:line="264" w:lineRule="auto"/>
        <w:rPr>
          <w:sz w:val="20"/>
          <w:szCs w:val="20"/>
          <w:color w:val="auto"/>
        </w:rPr>
      </w:pPr>
      <w:r>
        <w:rPr>
          <w:rFonts w:ascii="Times New Roman" w:cs="Times New Roman" w:eastAsia="Times New Roman" w:hAnsi="Times New Roman"/>
          <w:sz w:val="16"/>
          <w:szCs w:val="16"/>
          <w:color w:val="auto"/>
        </w:rPr>
        <w:t>From the matters communicated with those charged with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engagement partner on the audits resulting in this independent auditors’ report is Laurence W. Zeifman, CPA,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5744845</wp:posOffset>
            </wp:positionH>
            <wp:positionV relativeFrom="paragraph">
              <wp:posOffset>294005</wp:posOffset>
            </wp:positionV>
            <wp:extent cx="1401445" cy="300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014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
        <w:spacing w:after="0"/>
        <w:tabs>
          <w:tab w:leader="none" w:pos="1263" w:val="left"/>
        </w:tabs>
        <w:rPr>
          <w:sz w:val="20"/>
          <w:szCs w:val="20"/>
          <w:color w:val="auto"/>
        </w:rPr>
      </w:pPr>
      <w:r>
        <w:rPr>
          <w:rFonts w:ascii="Times New Roman" w:cs="Times New Roman" w:eastAsia="Times New Roman" w:hAnsi="Times New Roman"/>
          <w:sz w:val="16"/>
          <w:szCs w:val="16"/>
          <w:color w:val="auto"/>
        </w:rPr>
        <w:t>Toronto, Ontario</w:t>
        <w:tab/>
        <w:t>Chartered Professional Accountants</w:t>
      </w:r>
    </w:p>
    <w:p>
      <w:pPr>
        <w:spacing w:after="0" w:line="26" w:lineRule="exact"/>
        <w:rPr>
          <w:sz w:val="20"/>
          <w:szCs w:val="20"/>
          <w:color w:val="auto"/>
        </w:rPr>
      </w:pPr>
    </w:p>
    <w:p>
      <w:pPr>
        <w:ind w:left="3"/>
        <w:spacing w:after="0"/>
        <w:tabs>
          <w:tab w:leader="none" w:pos="1083" w:val="left"/>
        </w:tabs>
        <w:rPr>
          <w:sz w:val="20"/>
          <w:szCs w:val="20"/>
          <w:color w:val="auto"/>
        </w:rPr>
      </w:pPr>
      <w:r>
        <w:rPr>
          <w:rFonts w:ascii="Times New Roman" w:cs="Times New Roman" w:eastAsia="Times New Roman" w:hAnsi="Times New Roman"/>
          <w:sz w:val="16"/>
          <w:szCs w:val="16"/>
          <w:color w:val="auto"/>
        </w:rPr>
        <w:t>June 25, 2024</w:t>
        <w:tab/>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260985</wp:posOffset>
            </wp:positionV>
            <wp:extent cx="4805045" cy="431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05045" cy="431165"/>
                    </a:xfrm>
                    <a:prstGeom prst="rect">
                      <a:avLst/>
                    </a:prstGeom>
                    <a:noFill/>
                  </pic:spPr>
                </pic:pic>
              </a:graphicData>
            </a:graphic>
          </wp:anchor>
        </w:drawing>
      </w:r>
    </w:p>
    <w:p>
      <w:pPr>
        <w:sectPr>
          <w:pgSz w:w="11900" w:h="16838" w:orient="portrait"/>
          <w:cols w:equalWidth="0" w:num="1">
            <w:col w:w="11263"/>
          </w:cols>
          <w:pgMar w:left="317" w:top="1440" w:right="319" w:bottom="1440" w:gutter="0" w:footer="0" w:header="0"/>
        </w:sectPr>
      </w:pPr>
    </w:p>
    <w:bookmarkStart w:id="213" w:name="page214"/>
    <w:bookmarkEnd w:id="213"/>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4629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As at</w:t>
            </w:r>
          </w:p>
        </w:tc>
        <w:tc>
          <w:tcPr>
            <w:tcW w:w="2480" w:type="dxa"/>
            <w:vAlign w:val="bottom"/>
          </w:tcPr>
          <w:p>
            <w:pPr>
              <w:jc w:val="center"/>
              <w:ind w:left="787"/>
              <w:spacing w:after="0"/>
              <w:rPr>
                <w:sz w:val="20"/>
                <w:szCs w:val="20"/>
                <w:color w:val="auto"/>
              </w:rPr>
            </w:pPr>
            <w:r>
              <w:rPr>
                <w:rFonts w:ascii="Times New Roman" w:cs="Times New Roman" w:eastAsia="Times New Roman" w:hAnsi="Times New Roman"/>
                <w:sz w:val="15"/>
                <w:szCs w:val="15"/>
                <w:i w:val="1"/>
                <w:iCs w:val="1"/>
                <w:color w:val="auto"/>
                <w:w w:val="99"/>
              </w:rPr>
              <w:t>Notes</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85"/>
        </w:trPr>
        <w:tc>
          <w:tcPr>
            <w:tcW w:w="52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52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5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24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24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7"/>
        </w:trPr>
        <w:tc>
          <w:tcPr>
            <w:tcW w:w="5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Cash</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208,992</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16,633</w:t>
            </w:r>
          </w:p>
        </w:tc>
        <w:tc>
          <w:tcPr>
            <w:tcW w:w="0" w:type="dxa"/>
            <w:vAlign w:val="bottom"/>
          </w:tcPr>
          <w:p>
            <w:pPr>
              <w:spacing w:after="0"/>
              <w:rPr>
                <w:sz w:val="1"/>
                <w:szCs w:val="1"/>
                <w:color w:val="auto"/>
              </w:rPr>
            </w:pPr>
          </w:p>
        </w:tc>
      </w:tr>
      <w:tr>
        <w:trPr>
          <w:trHeight w:val="315"/>
        </w:trPr>
        <w:tc>
          <w:tcPr>
            <w:tcW w:w="5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Accounts receivable</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4,476</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3,050</w:t>
            </w:r>
          </w:p>
        </w:tc>
        <w:tc>
          <w:tcPr>
            <w:tcW w:w="0" w:type="dxa"/>
            <w:vAlign w:val="bottom"/>
          </w:tcPr>
          <w:p>
            <w:pPr>
              <w:spacing w:after="0"/>
              <w:rPr>
                <w:sz w:val="1"/>
                <w:szCs w:val="1"/>
                <w:color w:val="auto"/>
              </w:rPr>
            </w:pPr>
          </w:p>
        </w:tc>
      </w:tr>
      <w:tr>
        <w:trPr>
          <w:trHeight w:val="315"/>
        </w:trPr>
        <w:tc>
          <w:tcPr>
            <w:tcW w:w="5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2,891</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w:t>
            </w:r>
          </w:p>
        </w:tc>
        <w:tc>
          <w:tcPr>
            <w:tcW w:w="0" w:type="dxa"/>
            <w:vAlign w:val="bottom"/>
          </w:tcPr>
          <w:p>
            <w:pPr>
              <w:spacing w:after="0"/>
              <w:rPr>
                <w:sz w:val="1"/>
                <w:szCs w:val="1"/>
                <w:color w:val="auto"/>
              </w:rPr>
            </w:pPr>
          </w:p>
        </w:tc>
      </w:tr>
      <w:tr>
        <w:trPr>
          <w:trHeight w:val="315"/>
        </w:trPr>
        <w:tc>
          <w:tcPr>
            <w:tcW w:w="52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Other current assets</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2,177</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4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218,536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23,185</w:t>
            </w:r>
          </w:p>
        </w:tc>
        <w:tc>
          <w:tcPr>
            <w:tcW w:w="0" w:type="dxa"/>
            <w:vAlign w:val="bottom"/>
          </w:tcPr>
          <w:p>
            <w:pPr>
              <w:spacing w:after="0"/>
              <w:rPr>
                <w:sz w:val="1"/>
                <w:szCs w:val="1"/>
                <w:color w:val="auto"/>
              </w:rPr>
            </w:pPr>
          </w:p>
        </w:tc>
      </w:tr>
      <w:tr>
        <w:trPr>
          <w:trHeight w:val="413"/>
        </w:trPr>
        <w:tc>
          <w:tcPr>
            <w:tcW w:w="524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40" w:type="dxa"/>
            <w:vAlign w:val="bottom"/>
            <w:vMerge w:val="restart"/>
          </w:tcPr>
          <w:p>
            <w:pPr>
              <w:ind w:left="500"/>
              <w:spacing w:after="0"/>
              <w:rPr>
                <w:sz w:val="20"/>
                <w:szCs w:val="20"/>
                <w:color w:val="auto"/>
              </w:rPr>
            </w:pPr>
            <w:r>
              <w:rPr>
                <w:rFonts w:ascii="Times New Roman" w:cs="Times New Roman" w:eastAsia="Times New Roman" w:hAnsi="Times New Roman"/>
                <w:sz w:val="15"/>
                <w:szCs w:val="15"/>
                <w:color w:val="auto"/>
              </w:rPr>
              <w:t>Equipment</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5</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266</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0" w:type="dxa"/>
            <w:vAlign w:val="bottom"/>
          </w:tcPr>
          <w:p>
            <w:pPr>
              <w:spacing w:after="0"/>
              <w:rPr>
                <w:sz w:val="1"/>
                <w:szCs w:val="1"/>
                <w:color w:val="auto"/>
              </w:rPr>
            </w:pPr>
          </w:p>
        </w:tc>
      </w:tr>
      <w:tr>
        <w:trPr>
          <w:trHeight w:val="85"/>
        </w:trPr>
        <w:tc>
          <w:tcPr>
            <w:tcW w:w="52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40" w:type="dxa"/>
            <w:vAlign w:val="bottom"/>
            <w:vMerge w:val="restart"/>
          </w:tcPr>
          <w:p>
            <w:pPr>
              <w:ind w:left="500"/>
              <w:spacing w:after="0"/>
              <w:rPr>
                <w:sz w:val="20"/>
                <w:szCs w:val="20"/>
                <w:color w:val="auto"/>
              </w:rPr>
            </w:pPr>
            <w:r>
              <w:rPr>
                <w:rFonts w:ascii="Times New Roman" w:cs="Times New Roman" w:eastAsia="Times New Roman" w:hAnsi="Times New Roman"/>
                <w:sz w:val="15"/>
                <w:szCs w:val="15"/>
                <w:color w:val="auto"/>
              </w:rPr>
              <w:t>Intangible assets</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6</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35,465</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5,470</w:t>
            </w:r>
          </w:p>
        </w:tc>
        <w:tc>
          <w:tcPr>
            <w:tcW w:w="0" w:type="dxa"/>
            <w:vAlign w:val="bottom"/>
          </w:tcPr>
          <w:p>
            <w:pPr>
              <w:spacing w:after="0"/>
              <w:rPr>
                <w:sz w:val="1"/>
                <w:szCs w:val="1"/>
                <w:color w:val="auto"/>
              </w:rPr>
            </w:pPr>
          </w:p>
        </w:tc>
      </w:tr>
      <w:tr>
        <w:trPr>
          <w:trHeight w:val="85"/>
        </w:trPr>
        <w:tc>
          <w:tcPr>
            <w:tcW w:w="52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40" w:type="dxa"/>
            <w:vAlign w:val="bottom"/>
            <w:vMerge w:val="restart"/>
          </w:tcPr>
          <w:p>
            <w:pPr>
              <w:ind w:left="540"/>
              <w:spacing w:after="0"/>
              <w:rPr>
                <w:sz w:val="20"/>
                <w:szCs w:val="20"/>
                <w:color w:val="auto"/>
              </w:rPr>
            </w:pPr>
            <w:r>
              <w:rPr>
                <w:rFonts w:ascii="Times New Roman" w:cs="Times New Roman" w:eastAsia="Times New Roman" w:hAnsi="Times New Roman"/>
                <w:sz w:val="15"/>
                <w:szCs w:val="15"/>
                <w:color w:val="auto"/>
              </w:rPr>
              <w:t>Right-of-use asset</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7</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281</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7"/>
        </w:trPr>
        <w:tc>
          <w:tcPr>
            <w:tcW w:w="524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240" w:type="dxa"/>
            <w:vAlign w:val="bottom"/>
            <w:vMerge w:val="restart"/>
          </w:tcPr>
          <w:p>
            <w:pPr>
              <w:ind w:left="500"/>
              <w:spacing w:after="0"/>
              <w:rPr>
                <w:sz w:val="20"/>
                <w:szCs w:val="20"/>
                <w:color w:val="auto"/>
              </w:rPr>
            </w:pPr>
            <w:r>
              <w:rPr>
                <w:rFonts w:ascii="Times New Roman" w:cs="Times New Roman" w:eastAsia="Times New Roman" w:hAnsi="Times New Roman"/>
                <w:sz w:val="15"/>
                <w:szCs w:val="15"/>
                <w:color w:val="auto"/>
              </w:rPr>
              <w:t>Goodwill</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8</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47,475</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24,792</w:t>
            </w:r>
          </w:p>
        </w:tc>
        <w:tc>
          <w:tcPr>
            <w:tcW w:w="0" w:type="dxa"/>
            <w:vAlign w:val="bottom"/>
          </w:tcPr>
          <w:p>
            <w:pPr>
              <w:spacing w:after="0"/>
              <w:rPr>
                <w:sz w:val="1"/>
                <w:szCs w:val="1"/>
                <w:color w:val="auto"/>
              </w:rPr>
            </w:pPr>
          </w:p>
        </w:tc>
      </w:tr>
      <w:tr>
        <w:trPr>
          <w:trHeight w:val="85"/>
        </w:trPr>
        <w:tc>
          <w:tcPr>
            <w:tcW w:w="52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24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83,487</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30,712</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480" w:type="dxa"/>
            <w:vAlign w:val="bottom"/>
            <w:tcBorders>
              <w:bottom w:val="single" w:sz="8" w:color="auto"/>
            </w:tcBorders>
            <w:shd w:val="clear" w:color="auto" w:fill="D9D9D9"/>
          </w:tcPr>
          <w:p>
            <w:pPr>
              <w:spacing w:after="0"/>
              <w:rPr>
                <w:sz w:val="16"/>
                <w:szCs w:val="16"/>
                <w:color w:val="auto"/>
              </w:rPr>
            </w:pPr>
          </w:p>
        </w:tc>
        <w:tc>
          <w:tcPr>
            <w:tcW w:w="2080" w:type="dxa"/>
            <w:vAlign w:val="bottom"/>
            <w:tcBorders>
              <w:bottom w:val="single" w:sz="8" w:color="auto"/>
            </w:tcBorders>
            <w:shd w:val="clear" w:color="auto" w:fill="D9D9D9"/>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302,023</w:t>
            </w:r>
          </w:p>
        </w:tc>
        <w:tc>
          <w:tcPr>
            <w:tcW w:w="14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5"/>
                <w:szCs w:val="15"/>
                <w:color w:val="auto"/>
              </w:rPr>
              <w:t>53,897</w:t>
            </w:r>
          </w:p>
        </w:tc>
        <w:tc>
          <w:tcPr>
            <w:tcW w:w="0" w:type="dxa"/>
            <w:vAlign w:val="bottom"/>
          </w:tcPr>
          <w:p>
            <w:pPr>
              <w:spacing w:after="0"/>
              <w:rPr>
                <w:sz w:val="1"/>
                <w:szCs w:val="1"/>
                <w:color w:val="auto"/>
              </w:rPr>
            </w:pPr>
          </w:p>
        </w:tc>
      </w:tr>
      <w:tr>
        <w:trPr>
          <w:trHeight w:val="219"/>
        </w:trPr>
        <w:tc>
          <w:tcPr>
            <w:tcW w:w="5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24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24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9,805</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5,663</w:t>
            </w:r>
          </w:p>
        </w:tc>
        <w:tc>
          <w:tcPr>
            <w:tcW w:w="0" w:type="dxa"/>
            <w:vAlign w:val="bottom"/>
          </w:tcPr>
          <w:p>
            <w:pPr>
              <w:spacing w:after="0"/>
              <w:rPr>
                <w:sz w:val="1"/>
                <w:szCs w:val="1"/>
                <w:color w:val="auto"/>
              </w:rPr>
            </w:pPr>
          </w:p>
        </w:tc>
      </w:tr>
      <w:tr>
        <w:trPr>
          <w:trHeight w:val="230"/>
        </w:trPr>
        <w:tc>
          <w:tcPr>
            <w:tcW w:w="5240" w:type="dxa"/>
            <w:vAlign w:val="bottom"/>
            <w:vMerge w:val="restart"/>
          </w:tcPr>
          <w:p>
            <w:pPr>
              <w:ind w:left="560"/>
              <w:spacing w:after="0"/>
              <w:rPr>
                <w:sz w:val="20"/>
                <w:szCs w:val="20"/>
                <w:color w:val="auto"/>
              </w:rPr>
            </w:pPr>
            <w:r>
              <w:rPr>
                <w:rFonts w:ascii="Times New Roman" w:cs="Times New Roman" w:eastAsia="Times New Roman" w:hAnsi="Times New Roman"/>
                <w:sz w:val="15"/>
                <w:szCs w:val="15"/>
                <w:color w:val="auto"/>
              </w:rPr>
              <w:t>Lease liabilities</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7</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291</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1"/>
        </w:trPr>
        <w:tc>
          <w:tcPr>
            <w:tcW w:w="524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4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10,096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5,663</w:t>
            </w:r>
          </w:p>
        </w:tc>
        <w:tc>
          <w:tcPr>
            <w:tcW w:w="0" w:type="dxa"/>
            <w:vAlign w:val="bottom"/>
          </w:tcPr>
          <w:p>
            <w:pPr>
              <w:spacing w:after="0"/>
              <w:rPr>
                <w:sz w:val="1"/>
                <w:szCs w:val="1"/>
                <w:color w:val="auto"/>
              </w:rPr>
            </w:pPr>
          </w:p>
        </w:tc>
      </w:tr>
      <w:tr>
        <w:trPr>
          <w:trHeight w:val="219"/>
        </w:trPr>
        <w:tc>
          <w:tcPr>
            <w:tcW w:w="5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240" w:type="dxa"/>
            <w:vAlign w:val="bottom"/>
            <w:vMerge w:val="restart"/>
          </w:tcPr>
          <w:p>
            <w:pPr>
              <w:ind w:left="500"/>
              <w:spacing w:after="0"/>
              <w:rPr>
                <w:sz w:val="20"/>
                <w:szCs w:val="20"/>
                <w:color w:val="auto"/>
              </w:rPr>
            </w:pPr>
            <w:r>
              <w:rPr>
                <w:rFonts w:ascii="Times New Roman" w:cs="Times New Roman" w:eastAsia="Times New Roman" w:hAnsi="Times New Roman"/>
                <w:sz w:val="15"/>
                <w:szCs w:val="15"/>
                <w:color w:val="auto"/>
              </w:rPr>
              <w:t>Share capital</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9</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443,877</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158,162</w:t>
            </w:r>
          </w:p>
        </w:tc>
        <w:tc>
          <w:tcPr>
            <w:tcW w:w="0" w:type="dxa"/>
            <w:vAlign w:val="bottom"/>
          </w:tcPr>
          <w:p>
            <w:pPr>
              <w:spacing w:after="0"/>
              <w:rPr>
                <w:sz w:val="1"/>
                <w:szCs w:val="1"/>
                <w:color w:val="auto"/>
              </w:rPr>
            </w:pPr>
          </w:p>
        </w:tc>
      </w:tr>
      <w:tr>
        <w:trPr>
          <w:trHeight w:val="85"/>
        </w:trPr>
        <w:tc>
          <w:tcPr>
            <w:tcW w:w="52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5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Contributed surplus</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11,750</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2,102</w:t>
            </w:r>
          </w:p>
        </w:tc>
        <w:tc>
          <w:tcPr>
            <w:tcW w:w="0" w:type="dxa"/>
            <w:vAlign w:val="bottom"/>
          </w:tcPr>
          <w:p>
            <w:pPr>
              <w:spacing w:after="0"/>
              <w:rPr>
                <w:sz w:val="1"/>
                <w:szCs w:val="1"/>
                <w:color w:val="auto"/>
              </w:rPr>
            </w:pPr>
          </w:p>
        </w:tc>
      </w:tr>
      <w:tr>
        <w:trPr>
          <w:trHeight w:val="230"/>
        </w:trPr>
        <w:tc>
          <w:tcPr>
            <w:tcW w:w="5240" w:type="dxa"/>
            <w:vAlign w:val="bottom"/>
            <w:vMerge w:val="restart"/>
          </w:tcPr>
          <w:p>
            <w:pPr>
              <w:ind w:left="500"/>
              <w:spacing w:after="0"/>
              <w:rPr>
                <w:sz w:val="20"/>
                <w:szCs w:val="20"/>
                <w:color w:val="auto"/>
              </w:rPr>
            </w:pPr>
            <w:r>
              <w:rPr>
                <w:rFonts w:ascii="Times New Roman" w:cs="Times New Roman" w:eastAsia="Times New Roman" w:hAnsi="Times New Roman"/>
                <w:sz w:val="15"/>
                <w:szCs w:val="15"/>
                <w:color w:val="auto"/>
              </w:rPr>
              <w:t>Options reserve</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9</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39,177</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27,283</w:t>
            </w:r>
          </w:p>
        </w:tc>
        <w:tc>
          <w:tcPr>
            <w:tcW w:w="0" w:type="dxa"/>
            <w:vAlign w:val="bottom"/>
          </w:tcPr>
          <w:p>
            <w:pPr>
              <w:spacing w:after="0"/>
              <w:rPr>
                <w:sz w:val="1"/>
                <w:szCs w:val="1"/>
                <w:color w:val="auto"/>
              </w:rPr>
            </w:pPr>
          </w:p>
        </w:tc>
      </w:tr>
      <w:tr>
        <w:trPr>
          <w:trHeight w:val="85"/>
        </w:trPr>
        <w:tc>
          <w:tcPr>
            <w:tcW w:w="52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240" w:type="dxa"/>
            <w:vAlign w:val="bottom"/>
            <w:vMerge w:val="restart"/>
          </w:tcPr>
          <w:p>
            <w:pPr>
              <w:ind w:left="500"/>
              <w:spacing w:after="0"/>
              <w:rPr>
                <w:sz w:val="20"/>
                <w:szCs w:val="20"/>
                <w:color w:val="auto"/>
              </w:rPr>
            </w:pPr>
            <w:r>
              <w:rPr>
                <w:rFonts w:ascii="Times New Roman" w:cs="Times New Roman" w:eastAsia="Times New Roman" w:hAnsi="Times New Roman"/>
                <w:sz w:val="15"/>
                <w:szCs w:val="15"/>
                <w:color w:val="auto"/>
              </w:rPr>
              <w:t>Warrants reserve</w:t>
            </w:r>
          </w:p>
        </w:tc>
        <w:tc>
          <w:tcPr>
            <w:tcW w:w="2480" w:type="dxa"/>
            <w:vAlign w:val="bottom"/>
          </w:tcPr>
          <w:p>
            <w:pPr>
              <w:jc w:val="center"/>
              <w:ind w:left="807"/>
              <w:spacing w:after="0"/>
              <w:rPr>
                <w:sz w:val="20"/>
                <w:szCs w:val="20"/>
                <w:color w:val="auto"/>
              </w:rPr>
            </w:pPr>
            <w:r>
              <w:rPr>
                <w:rFonts w:ascii="Times New Roman" w:cs="Times New Roman" w:eastAsia="Times New Roman" w:hAnsi="Times New Roman"/>
                <w:sz w:val="15"/>
                <w:szCs w:val="15"/>
                <w:i w:val="1"/>
                <w:iCs w:val="1"/>
                <w:color w:val="auto"/>
              </w:rPr>
              <w:t>9</w:t>
            </w:r>
          </w:p>
        </w:tc>
        <w:tc>
          <w:tcPr>
            <w:tcW w:w="2080" w:type="dxa"/>
            <w:vAlign w:val="bottom"/>
            <w:vMerge w:val="restart"/>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25,639</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10,873</w:t>
            </w:r>
          </w:p>
        </w:tc>
        <w:tc>
          <w:tcPr>
            <w:tcW w:w="0" w:type="dxa"/>
            <w:vAlign w:val="bottom"/>
          </w:tcPr>
          <w:p>
            <w:pPr>
              <w:spacing w:after="0"/>
              <w:rPr>
                <w:sz w:val="1"/>
                <w:szCs w:val="1"/>
                <w:color w:val="auto"/>
              </w:rPr>
            </w:pPr>
          </w:p>
        </w:tc>
      </w:tr>
      <w:tr>
        <w:trPr>
          <w:trHeight w:val="85"/>
        </w:trPr>
        <w:tc>
          <w:tcPr>
            <w:tcW w:w="524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5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(2,285)</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(2,035)</w:t>
            </w:r>
          </w:p>
        </w:tc>
        <w:tc>
          <w:tcPr>
            <w:tcW w:w="0" w:type="dxa"/>
            <w:vAlign w:val="bottom"/>
          </w:tcPr>
          <w:p>
            <w:pPr>
              <w:spacing w:after="0"/>
              <w:rPr>
                <w:sz w:val="1"/>
                <w:szCs w:val="1"/>
                <w:color w:val="auto"/>
              </w:rPr>
            </w:pPr>
          </w:p>
        </w:tc>
      </w:tr>
      <w:tr>
        <w:trPr>
          <w:trHeight w:val="315"/>
        </w:trPr>
        <w:tc>
          <w:tcPr>
            <w:tcW w:w="5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Deficit</w:t>
            </w:r>
          </w:p>
        </w:tc>
        <w:tc>
          <w:tcPr>
            <w:tcW w:w="2480" w:type="dxa"/>
            <w:vAlign w:val="bottom"/>
          </w:tcPr>
          <w:p>
            <w:pPr>
              <w:spacing w:after="0"/>
              <w:rPr>
                <w:sz w:val="24"/>
                <w:szCs w:val="24"/>
                <w:color w:val="auto"/>
              </w:rPr>
            </w:pPr>
          </w:p>
        </w:tc>
        <w:tc>
          <w:tcPr>
            <w:tcW w:w="208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(226,231)</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(148,151)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24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480" w:type="dxa"/>
            <w:vAlign w:val="bottom"/>
            <w:tcBorders>
              <w:bottom w:val="single" w:sz="8" w:color="auto"/>
            </w:tcBorders>
            <w:shd w:val="clear" w:color="auto" w:fill="D9D9D9"/>
          </w:tcPr>
          <w:p>
            <w:pPr>
              <w:spacing w:after="0"/>
              <w:rPr>
                <w:sz w:val="16"/>
                <w:szCs w:val="16"/>
                <w:color w:val="auto"/>
              </w:rPr>
            </w:pPr>
          </w:p>
        </w:tc>
        <w:tc>
          <w:tcPr>
            <w:tcW w:w="2080" w:type="dxa"/>
            <w:vAlign w:val="bottom"/>
            <w:tcBorders>
              <w:bottom w:val="single" w:sz="8" w:color="auto"/>
            </w:tcBorders>
            <w:shd w:val="clear" w:color="auto" w:fill="D9D9D9"/>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291,927</w:t>
            </w:r>
          </w:p>
        </w:tc>
        <w:tc>
          <w:tcPr>
            <w:tcW w:w="14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5"/>
                <w:szCs w:val="15"/>
                <w:color w:val="auto"/>
              </w:rPr>
              <w:t>48,234</w:t>
            </w:r>
          </w:p>
        </w:tc>
        <w:tc>
          <w:tcPr>
            <w:tcW w:w="0" w:type="dxa"/>
            <w:vAlign w:val="bottom"/>
          </w:tcPr>
          <w:p>
            <w:pPr>
              <w:spacing w:after="0"/>
              <w:rPr>
                <w:sz w:val="1"/>
                <w:szCs w:val="1"/>
                <w:color w:val="auto"/>
              </w:rPr>
            </w:pPr>
          </w:p>
        </w:tc>
      </w:tr>
      <w:tr>
        <w:trPr>
          <w:trHeight w:val="30"/>
        </w:trPr>
        <w:tc>
          <w:tcPr>
            <w:tcW w:w="5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2480" w:type="dxa"/>
            <w:vAlign w:val="bottom"/>
            <w:tcBorders>
              <w:bottom w:val="single" w:sz="8" w:color="auto"/>
            </w:tcBorders>
            <w:shd w:val="clear" w:color="auto" w:fill="D9D9D9"/>
          </w:tcPr>
          <w:p>
            <w:pPr>
              <w:spacing w:after="0"/>
              <w:rPr>
                <w:sz w:val="16"/>
                <w:szCs w:val="16"/>
                <w:color w:val="auto"/>
              </w:rPr>
            </w:pPr>
          </w:p>
        </w:tc>
        <w:tc>
          <w:tcPr>
            <w:tcW w:w="2080" w:type="dxa"/>
            <w:vAlign w:val="bottom"/>
            <w:tcBorders>
              <w:bottom w:val="single" w:sz="8" w:color="auto"/>
            </w:tcBorders>
            <w:shd w:val="clear" w:color="auto" w:fill="D9D9D9"/>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302,023</w:t>
            </w:r>
          </w:p>
        </w:tc>
        <w:tc>
          <w:tcPr>
            <w:tcW w:w="14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5"/>
                <w:szCs w:val="15"/>
                <w:color w:val="auto"/>
              </w:rPr>
              <w:t>53,897</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Corporate information (note 1); Contracts, commitments and contingencies (note 13) Subsequent events (note 17)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consolidated financial statements were approved for issue on June 25, 2024 by the board of directors and signed on its behalf by:</w:t>
      </w:r>
    </w:p>
    <w:p>
      <w:pPr>
        <w:spacing w:after="0" w:line="141"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6"/>
          <w:szCs w:val="16"/>
          <w:i w:val="1"/>
          <w:iCs w:val="1"/>
          <w:color w:val="auto"/>
        </w:rPr>
        <w:t xml:space="preserve">/s/ Paul Glavine </w:t>
      </w: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i w:val="1"/>
          <w:iCs w:val="1"/>
          <w:color w:val="auto"/>
        </w:rPr>
        <w:t xml:space="preserve">/s/ Eric So </w:t>
      </w:r>
      <w:r>
        <w:rPr>
          <w:rFonts w:ascii="Times New Roman" w:cs="Times New Roman" w:eastAsia="Times New Roman" w:hAnsi="Times New Roman"/>
          <w:sz w:val="16"/>
          <w:szCs w:val="16"/>
          <w:color w:val="auto"/>
        </w:rPr>
        <w:t>Director</w:t>
      </w:r>
    </w:p>
    <w:p>
      <w:pPr>
        <w:sectPr>
          <w:pgSz w:w="11900" w:h="16838" w:orient="portrait"/>
          <w:cols w:equalWidth="0" w:num="1">
            <w:col w:w="11260"/>
          </w:cols>
          <w:pgMar w:left="320" w:top="236" w:right="319" w:bottom="1440" w:gutter="0" w:footer="0" w:header="0"/>
        </w:sectPr>
      </w:pPr>
    </w:p>
    <w:bookmarkStart w:id="214" w:name="page215"/>
    <w:bookmarkEnd w:id="214"/>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4629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300" w:type="dxa"/>
            <w:vAlign w:val="bottom"/>
          </w:tcPr>
          <w:p>
            <w:pPr>
              <w:spacing w:after="0"/>
              <w:rPr>
                <w:sz w:val="18"/>
                <w:szCs w:val="18"/>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5"/>
                <w:szCs w:val="15"/>
                <w:i w:val="1"/>
                <w:iCs w:val="1"/>
                <w:color w:val="auto"/>
              </w:rPr>
              <w:t>Notes</w:t>
            </w:r>
          </w:p>
        </w:tc>
        <w:tc>
          <w:tcPr>
            <w:tcW w:w="214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53"/>
        </w:trPr>
        <w:tc>
          <w:tcPr>
            <w:tcW w:w="63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63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3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Research</w:t>
            </w:r>
          </w:p>
        </w:tc>
        <w:tc>
          <w:tcPr>
            <w:tcW w:w="1900" w:type="dxa"/>
            <w:vAlign w:val="bottom"/>
          </w:tcPr>
          <w:p>
            <w:pPr>
              <w:jc w:val="center"/>
              <w:ind w:left="1047"/>
              <w:spacing w:after="0"/>
              <w:rPr>
                <w:sz w:val="20"/>
                <w:szCs w:val="20"/>
                <w:color w:val="auto"/>
              </w:rPr>
            </w:pPr>
            <w:r>
              <w:rPr>
                <w:rFonts w:ascii="Times New Roman" w:cs="Times New Roman" w:eastAsia="Times New Roman" w:hAnsi="Times New Roman"/>
                <w:sz w:val="15"/>
                <w:szCs w:val="15"/>
                <w:i w:val="1"/>
                <w:iCs w:val="1"/>
                <w:color w:val="auto"/>
                <w:w w:val="93"/>
              </w:rPr>
              <w:t>12</w:t>
            </w:r>
          </w:p>
        </w:tc>
        <w:tc>
          <w:tcPr>
            <w:tcW w:w="2140" w:type="dxa"/>
            <w:vAlign w:val="bottom"/>
            <w:vMerge w:val="restart"/>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32,362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25,491</w:t>
            </w:r>
          </w:p>
        </w:tc>
        <w:tc>
          <w:tcPr>
            <w:tcW w:w="0" w:type="dxa"/>
            <w:vAlign w:val="bottom"/>
          </w:tcPr>
          <w:p>
            <w:pPr>
              <w:spacing w:after="0"/>
              <w:rPr>
                <w:sz w:val="1"/>
                <w:szCs w:val="1"/>
                <w:color w:val="auto"/>
              </w:rPr>
            </w:pPr>
          </w:p>
        </w:tc>
      </w:tr>
      <w:tr>
        <w:trPr>
          <w:trHeight w:val="85"/>
        </w:trPr>
        <w:tc>
          <w:tcPr>
            <w:tcW w:w="63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3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General and administrative costs</w:t>
            </w:r>
          </w:p>
        </w:tc>
        <w:tc>
          <w:tcPr>
            <w:tcW w:w="1900" w:type="dxa"/>
            <w:vAlign w:val="bottom"/>
          </w:tcPr>
          <w:p>
            <w:pPr>
              <w:jc w:val="center"/>
              <w:ind w:left="1047"/>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2140" w:type="dxa"/>
            <w:vAlign w:val="bottom"/>
            <w:vMerge w:val="restart"/>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32,588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21,341</w:t>
            </w:r>
          </w:p>
        </w:tc>
        <w:tc>
          <w:tcPr>
            <w:tcW w:w="0" w:type="dxa"/>
            <w:vAlign w:val="bottom"/>
          </w:tcPr>
          <w:p>
            <w:pPr>
              <w:spacing w:after="0"/>
              <w:rPr>
                <w:sz w:val="1"/>
                <w:szCs w:val="1"/>
                <w:color w:val="auto"/>
              </w:rPr>
            </w:pPr>
          </w:p>
        </w:tc>
      </w:tr>
      <w:tr>
        <w:trPr>
          <w:trHeight w:val="85"/>
        </w:trPr>
        <w:tc>
          <w:tcPr>
            <w:tcW w:w="63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3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1900" w:type="dxa"/>
            <w:vAlign w:val="bottom"/>
          </w:tcPr>
          <w:p>
            <w:pPr>
              <w:jc w:val="center"/>
              <w:ind w:left="1047"/>
              <w:spacing w:after="0"/>
              <w:rPr>
                <w:sz w:val="20"/>
                <w:szCs w:val="20"/>
                <w:color w:val="auto"/>
              </w:rPr>
            </w:pPr>
            <w:r>
              <w:rPr>
                <w:rFonts w:ascii="Times New Roman" w:cs="Times New Roman" w:eastAsia="Times New Roman" w:hAnsi="Times New Roman"/>
                <w:sz w:val="15"/>
                <w:szCs w:val="15"/>
                <w:i w:val="1"/>
                <w:iCs w:val="1"/>
                <w:color w:val="auto"/>
                <w:w w:val="79"/>
              </w:rPr>
              <w:t>9</w:t>
            </w:r>
          </w:p>
        </w:tc>
        <w:tc>
          <w:tcPr>
            <w:tcW w:w="2140" w:type="dxa"/>
            <w:vAlign w:val="bottom"/>
            <w:vMerge w:val="restart"/>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13,886</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0" w:type="dxa"/>
            <w:vAlign w:val="bottom"/>
          </w:tcPr>
          <w:p>
            <w:pPr>
              <w:spacing w:after="0"/>
              <w:rPr>
                <w:sz w:val="1"/>
                <w:szCs w:val="1"/>
                <w:color w:val="auto"/>
              </w:rPr>
            </w:pPr>
          </w:p>
        </w:tc>
      </w:tr>
      <w:tr>
        <w:trPr>
          <w:trHeight w:val="85"/>
        </w:trPr>
        <w:tc>
          <w:tcPr>
            <w:tcW w:w="63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9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78,836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51,518</w:t>
            </w:r>
          </w:p>
        </w:tc>
        <w:tc>
          <w:tcPr>
            <w:tcW w:w="0" w:type="dxa"/>
            <w:vAlign w:val="bottom"/>
          </w:tcPr>
          <w:p>
            <w:pPr>
              <w:spacing w:after="0"/>
              <w:rPr>
                <w:sz w:val="1"/>
                <w:szCs w:val="1"/>
                <w:color w:val="auto"/>
              </w:rPr>
            </w:pPr>
          </w:p>
        </w:tc>
      </w:tr>
      <w:tr>
        <w:trPr>
          <w:trHeight w:val="414"/>
        </w:trPr>
        <w:tc>
          <w:tcPr>
            <w:tcW w:w="63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gain (loss)</w:t>
            </w:r>
          </w:p>
        </w:tc>
        <w:tc>
          <w:tcPr>
            <w:tcW w:w="1900" w:type="dxa"/>
            <w:vAlign w:val="bottom"/>
          </w:tcPr>
          <w:p>
            <w:pPr>
              <w:spacing w:after="0"/>
              <w:rPr>
                <w:sz w:val="24"/>
                <w:szCs w:val="24"/>
                <w:color w:val="auto"/>
              </w:rPr>
            </w:pPr>
          </w:p>
        </w:tc>
        <w:tc>
          <w:tcPr>
            <w:tcW w:w="214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137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w:t>
            </w:r>
          </w:p>
        </w:tc>
        <w:tc>
          <w:tcPr>
            <w:tcW w:w="0" w:type="dxa"/>
            <w:vAlign w:val="bottom"/>
          </w:tcPr>
          <w:p>
            <w:pPr>
              <w:spacing w:after="0"/>
              <w:rPr>
                <w:sz w:val="1"/>
                <w:szCs w:val="1"/>
                <w:color w:val="auto"/>
              </w:rPr>
            </w:pPr>
          </w:p>
        </w:tc>
      </w:tr>
      <w:tr>
        <w:trPr>
          <w:trHeight w:val="315"/>
        </w:trPr>
        <w:tc>
          <w:tcPr>
            <w:tcW w:w="6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1900" w:type="dxa"/>
            <w:vAlign w:val="bottom"/>
          </w:tcPr>
          <w:p>
            <w:pPr>
              <w:spacing w:after="0"/>
              <w:rPr>
                <w:sz w:val="24"/>
                <w:szCs w:val="24"/>
                <w:color w:val="auto"/>
              </w:rPr>
            </w:pPr>
          </w:p>
        </w:tc>
        <w:tc>
          <w:tcPr>
            <w:tcW w:w="214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619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0" w:type="dxa"/>
            <w:vAlign w:val="bottom"/>
          </w:tcPr>
          <w:p>
            <w:pPr>
              <w:spacing w:after="0"/>
              <w:rPr>
                <w:sz w:val="1"/>
                <w:szCs w:val="1"/>
                <w:color w:val="auto"/>
              </w:rPr>
            </w:pP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investments measured at fair value through profit or loss</w:t>
            </w:r>
          </w:p>
        </w:tc>
        <w:tc>
          <w:tcPr>
            <w:tcW w:w="1900" w:type="dxa"/>
            <w:vAlign w:val="bottom"/>
          </w:tcPr>
          <w:p>
            <w:pPr>
              <w:spacing w:after="0"/>
              <w:rPr>
                <w:sz w:val="21"/>
                <w:szCs w:val="21"/>
                <w:color w:val="auto"/>
              </w:rPr>
            </w:pPr>
          </w:p>
        </w:tc>
        <w:tc>
          <w:tcPr>
            <w:tcW w:w="214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291"/>
        </w:trPr>
        <w:tc>
          <w:tcPr>
            <w:tcW w:w="6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Contingent consideration accretion</w:t>
            </w:r>
          </w:p>
        </w:tc>
        <w:tc>
          <w:tcPr>
            <w:tcW w:w="1900" w:type="dxa"/>
            <w:vAlign w:val="bottom"/>
          </w:tcPr>
          <w:p>
            <w:pPr>
              <w:spacing w:after="0"/>
              <w:rPr>
                <w:sz w:val="24"/>
                <w:szCs w:val="24"/>
                <w:color w:val="auto"/>
              </w:rPr>
            </w:pPr>
          </w:p>
        </w:tc>
        <w:tc>
          <w:tcPr>
            <w:tcW w:w="214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303"/>
        </w:trPr>
        <w:tc>
          <w:tcPr>
            <w:tcW w:w="6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1900" w:type="dxa"/>
            <w:vAlign w:val="bottom"/>
          </w:tcPr>
          <w:p>
            <w:pPr>
              <w:spacing w:after="0"/>
              <w:rPr>
                <w:sz w:val="24"/>
                <w:szCs w:val="24"/>
                <w:color w:val="auto"/>
              </w:rPr>
            </w:pPr>
          </w:p>
        </w:tc>
        <w:tc>
          <w:tcPr>
            <w:tcW w:w="214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296"/>
        </w:trPr>
        <w:tc>
          <w:tcPr>
            <w:tcW w:w="6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OTHER INCOME (EXPENSES)</w:t>
            </w:r>
          </w:p>
        </w:tc>
        <w:tc>
          <w:tcPr>
            <w:tcW w:w="19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756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4,028</w:t>
            </w:r>
          </w:p>
        </w:tc>
        <w:tc>
          <w:tcPr>
            <w:tcW w:w="0" w:type="dxa"/>
            <w:vAlign w:val="bottom"/>
          </w:tcPr>
          <w:p>
            <w:pPr>
              <w:spacing w:after="0"/>
              <w:rPr>
                <w:sz w:val="1"/>
                <w:szCs w:val="1"/>
                <w:color w:val="auto"/>
              </w:rPr>
            </w:pPr>
          </w:p>
        </w:tc>
      </w:tr>
      <w:tr>
        <w:trPr>
          <w:trHeight w:val="225"/>
        </w:trPr>
        <w:tc>
          <w:tcPr>
            <w:tcW w:w="6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YEAR</w:t>
            </w:r>
          </w:p>
        </w:tc>
        <w:tc>
          <w:tcPr>
            <w:tcW w:w="1900" w:type="dxa"/>
            <w:vAlign w:val="bottom"/>
            <w:tcBorders>
              <w:bottom w:val="single" w:sz="8" w:color="auto"/>
            </w:tcBorders>
            <w:shd w:val="clear" w:color="auto" w:fill="D9D9D9"/>
          </w:tcPr>
          <w:p>
            <w:pPr>
              <w:spacing w:after="0"/>
              <w:rPr>
                <w:sz w:val="23"/>
                <w:szCs w:val="23"/>
                <w:color w:val="auto"/>
              </w:rPr>
            </w:pPr>
          </w:p>
        </w:tc>
        <w:tc>
          <w:tcPr>
            <w:tcW w:w="2140" w:type="dxa"/>
            <w:vAlign w:val="bottom"/>
            <w:tcBorders>
              <w:bottom w:val="single" w:sz="8" w:color="auto"/>
            </w:tcBorders>
            <w:shd w:val="clear" w:color="auto" w:fill="DBDBDB"/>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(78,080)</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(47,490)</w:t>
            </w:r>
          </w:p>
        </w:tc>
        <w:tc>
          <w:tcPr>
            <w:tcW w:w="0" w:type="dxa"/>
            <w:vAlign w:val="bottom"/>
          </w:tcPr>
          <w:p>
            <w:pPr>
              <w:spacing w:after="0"/>
              <w:rPr>
                <w:sz w:val="1"/>
                <w:szCs w:val="1"/>
                <w:color w:val="auto"/>
              </w:rPr>
            </w:pPr>
          </w:p>
        </w:tc>
      </w:tr>
      <w:tr>
        <w:trPr>
          <w:trHeight w:val="414"/>
        </w:trPr>
        <w:tc>
          <w:tcPr>
            <w:tcW w:w="63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OTHER COMPREHENSIVE LOSS</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Foreign currency translation differences for foreign operations</w:t>
            </w:r>
          </w:p>
        </w:tc>
        <w:tc>
          <w:tcPr>
            <w:tcW w:w="1900" w:type="dxa"/>
            <w:vAlign w:val="bottom"/>
          </w:tcPr>
          <w:p>
            <w:pPr>
              <w:spacing w:after="0"/>
              <w:rPr>
                <w:sz w:val="24"/>
                <w:szCs w:val="24"/>
                <w:color w:val="auto"/>
              </w:rPr>
            </w:pPr>
          </w:p>
        </w:tc>
        <w:tc>
          <w:tcPr>
            <w:tcW w:w="2140" w:type="dxa"/>
            <w:vAlign w:val="bottom"/>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(250)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(1,669)</w:t>
            </w:r>
          </w:p>
        </w:tc>
        <w:tc>
          <w:tcPr>
            <w:tcW w:w="0" w:type="dxa"/>
            <w:vAlign w:val="bottom"/>
          </w:tcPr>
          <w:p>
            <w:pPr>
              <w:spacing w:after="0"/>
              <w:rPr>
                <w:sz w:val="1"/>
                <w:szCs w:val="1"/>
                <w:color w:val="auto"/>
              </w:rPr>
            </w:pPr>
          </w:p>
        </w:tc>
      </w:tr>
      <w:tr>
        <w:trPr>
          <w:trHeight w:val="41"/>
        </w:trPr>
        <w:tc>
          <w:tcPr>
            <w:tcW w:w="63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COMPREHENSIVE LOSS FOR THE YEAR</w:t>
            </w:r>
          </w:p>
        </w:tc>
        <w:tc>
          <w:tcPr>
            <w:tcW w:w="1900" w:type="dxa"/>
            <w:vAlign w:val="bottom"/>
            <w:tcBorders>
              <w:bottom w:val="single" w:sz="8" w:color="auto"/>
            </w:tcBorders>
            <w:shd w:val="clear" w:color="auto" w:fill="D9D9D9"/>
          </w:tcPr>
          <w:p>
            <w:pPr>
              <w:spacing w:after="0"/>
              <w:rPr>
                <w:sz w:val="23"/>
                <w:szCs w:val="23"/>
                <w:color w:val="auto"/>
              </w:rPr>
            </w:pPr>
          </w:p>
        </w:tc>
        <w:tc>
          <w:tcPr>
            <w:tcW w:w="2140" w:type="dxa"/>
            <w:vAlign w:val="bottom"/>
            <w:tcBorders>
              <w:bottom w:val="single" w:sz="8" w:color="auto"/>
            </w:tcBorders>
            <w:shd w:val="clear" w:color="auto" w:fill="DBDBDB"/>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(78,330)</w:t>
            </w: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(49,159)</w:t>
            </w:r>
          </w:p>
        </w:tc>
        <w:tc>
          <w:tcPr>
            <w:tcW w:w="0" w:type="dxa"/>
            <w:vAlign w:val="bottom"/>
          </w:tcPr>
          <w:p>
            <w:pPr>
              <w:spacing w:after="0"/>
              <w:rPr>
                <w:sz w:val="1"/>
                <w:szCs w:val="1"/>
                <w:color w:val="auto"/>
              </w:rPr>
            </w:pPr>
          </w:p>
        </w:tc>
      </w:tr>
      <w:tr>
        <w:trPr>
          <w:trHeight w:val="514"/>
        </w:trPr>
        <w:tc>
          <w:tcPr>
            <w:tcW w:w="6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Basic loss per share for the year</w:t>
            </w:r>
          </w:p>
        </w:tc>
        <w:tc>
          <w:tcPr>
            <w:tcW w:w="19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(0.25)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271"/>
        </w:trPr>
        <w:tc>
          <w:tcPr>
            <w:tcW w:w="6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 - basic</w:t>
            </w:r>
          </w:p>
        </w:tc>
        <w:tc>
          <w:tcPr>
            <w:tcW w:w="19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315,300,042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185,428,767</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140"/>
          </w:cols>
          <w:pgMar w:left="320" w:top="236" w:right="439" w:bottom="1440" w:gutter="0" w:footer="0" w:header="0"/>
        </w:sectPr>
      </w:pPr>
    </w:p>
    <w:bookmarkStart w:id="215" w:name="page216"/>
    <w:bookmarkEnd w:id="215"/>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6" w:lineRule="exact"/>
        <w:rPr>
          <w:sz w:val="20"/>
          <w:szCs w:val="20"/>
          <w:color w:val="auto"/>
        </w:rPr>
      </w:pPr>
    </w:p>
    <w:p>
      <w:pPr>
        <w:ind w:left="60" w:right="4760"/>
        <w:spacing w:after="0" w:line="288"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For the years ended March 31, 2024 and 2023</w:t>
      </w:r>
    </w:p>
    <w:p>
      <w:pPr>
        <w:ind w:left="60"/>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629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Share capital</w:t>
            </w: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90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3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Contributed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82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900" w:type="dxa"/>
            <w:vAlign w:val="bottom"/>
            <w:vMerge w:val="continue"/>
          </w:tcPr>
          <w:p>
            <w:pPr>
              <w:spacing w:after="0"/>
              <w:rPr>
                <w:sz w:val="11"/>
                <w:szCs w:val="11"/>
                <w:color w:val="auto"/>
              </w:rPr>
            </w:pPr>
          </w:p>
        </w:tc>
        <w:tc>
          <w:tcPr>
            <w:tcW w:w="86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60" w:type="dxa"/>
            <w:vAlign w:val="bottom"/>
          </w:tcPr>
          <w:p>
            <w:pPr>
              <w:spacing w:after="0"/>
              <w:rPr>
                <w:sz w:val="11"/>
                <w:szCs w:val="11"/>
                <w:color w:val="auto"/>
              </w:rPr>
            </w:pPr>
          </w:p>
        </w:tc>
        <w:tc>
          <w:tcPr>
            <w:tcW w:w="90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5"/>
        </w:trPr>
        <w:tc>
          <w:tcPr>
            <w:tcW w:w="3240" w:type="dxa"/>
            <w:vAlign w:val="bottom"/>
            <w:tcBorders>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3"/>
                <w:szCs w:val="13"/>
                <w:b w:val="1"/>
                <w:bCs w:val="1"/>
                <w:color w:val="auto"/>
              </w:rPr>
              <w:t>Balance as at March 31, 2022</w:t>
            </w:r>
          </w:p>
        </w:tc>
        <w:tc>
          <w:tcPr>
            <w:tcW w:w="600" w:type="dxa"/>
            <w:vAlign w:val="bottom"/>
            <w:tcBorders>
              <w:bottom w:val="single" w:sz="8" w:color="D9D9D9"/>
            </w:tcBorders>
            <w:shd w:val="clear" w:color="auto" w:fill="D9D9D9"/>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9D9D9"/>
            </w:tcBorders>
            <w:shd w:val="clear" w:color="auto" w:fill="D9D9D9"/>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175,111,654</w:t>
            </w:r>
          </w:p>
        </w:tc>
        <w:tc>
          <w:tcPr>
            <w:tcW w:w="820" w:type="dxa"/>
            <w:vAlign w:val="bottom"/>
            <w:tcBorders>
              <w:bottom w:val="single" w:sz="8" w:color="D9D9D9"/>
              <w:right w:val="single" w:sz="8" w:color="DBDBDB"/>
            </w:tcBorders>
            <w:shd w:val="clear" w:color="auto" w:fill="D9D9D9"/>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141,451</w:t>
            </w:r>
          </w:p>
        </w:tc>
        <w:tc>
          <w:tcPr>
            <w:tcW w:w="900" w:type="dxa"/>
            <w:vAlign w:val="bottom"/>
            <w:tcBorders>
              <w:bottom w:val="single" w:sz="8" w:color="D9D9D9"/>
            </w:tcBorders>
            <w:shd w:val="clear" w:color="auto" w:fill="D9D9D9"/>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11,423</w:t>
            </w:r>
          </w:p>
        </w:tc>
        <w:tc>
          <w:tcPr>
            <w:tcW w:w="820" w:type="dxa"/>
            <w:vAlign w:val="bottom"/>
            <w:tcBorders>
              <w:bottom w:val="single" w:sz="8" w:color="D9D9D9"/>
            </w:tcBorders>
            <w:shd w:val="clear" w:color="auto" w:fill="D9D9D9"/>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23,783</w:t>
            </w:r>
          </w:p>
        </w:tc>
        <w:tc>
          <w:tcPr>
            <w:tcW w:w="900" w:type="dxa"/>
            <w:vAlign w:val="bottom"/>
            <w:tcBorders>
              <w:bottom w:val="single" w:sz="8" w:color="D9D9D9"/>
              <w:right w:val="single" w:sz="8" w:color="DBDBDB"/>
            </w:tcBorders>
            <w:shd w:val="clear" w:color="auto" w:fill="D9D9D9"/>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525</w:t>
            </w:r>
          </w:p>
        </w:tc>
        <w:tc>
          <w:tcPr>
            <w:tcW w:w="86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(100,661)</w:t>
            </w:r>
          </w:p>
        </w:tc>
        <w:tc>
          <w:tcPr>
            <w:tcW w:w="8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(366)</w:t>
            </w:r>
          </w:p>
        </w:tc>
        <w:tc>
          <w:tcPr>
            <w:tcW w:w="60" w:type="dxa"/>
            <w:vAlign w:val="bottom"/>
          </w:tcPr>
          <w:p>
            <w:pPr>
              <w:spacing w:after="0"/>
              <w:rPr>
                <w:sz w:val="17"/>
                <w:szCs w:val="17"/>
                <w:color w:val="auto"/>
              </w:rPr>
            </w:pPr>
          </w:p>
        </w:tc>
        <w:tc>
          <w:tcPr>
            <w:tcW w:w="9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76,155</w:t>
            </w:r>
          </w:p>
        </w:tc>
        <w:tc>
          <w:tcPr>
            <w:tcW w:w="0" w:type="dxa"/>
            <w:vAlign w:val="bottom"/>
          </w:tcPr>
          <w:p>
            <w:pPr>
              <w:spacing w:after="0"/>
              <w:rPr>
                <w:sz w:val="1"/>
                <w:szCs w:val="1"/>
                <w:color w:val="auto"/>
              </w:rPr>
            </w:pPr>
          </w:p>
        </w:tc>
      </w:tr>
      <w:tr>
        <w:trPr>
          <w:trHeight w:val="164"/>
        </w:trPr>
        <w:tc>
          <w:tcPr>
            <w:tcW w:w="3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At-the-market offering - net of share issuance costs</w:t>
            </w:r>
          </w:p>
        </w:tc>
        <w:tc>
          <w:tcPr>
            <w:tcW w:w="6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20,754,120</w:t>
            </w:r>
          </w:p>
        </w:tc>
        <w:tc>
          <w:tcPr>
            <w:tcW w:w="8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13,202</w:t>
            </w:r>
          </w:p>
        </w:tc>
        <w:tc>
          <w:tcPr>
            <w:tcW w:w="9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13,202</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issued on Adelia milestones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3,603,742</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2,988</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1,164,638</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527</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(165)</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 forfeited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(1,180)</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1,180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 expired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(397)</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397</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Finders' warrants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7"/>
                <w:szCs w:val="17"/>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Share-based compensation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7"/>
                <w:szCs w:val="17"/>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4,680</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Unrealized loss on translation of foreign operations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0" w:type="dxa"/>
            <w:vAlign w:val="bottom"/>
          </w:tcPr>
          <w:p>
            <w:pPr>
              <w:spacing w:after="0"/>
              <w:rPr>
                <w:sz w:val="1"/>
                <w:szCs w:val="1"/>
                <w:color w:val="auto"/>
              </w:rPr>
            </w:pPr>
          </w:p>
        </w:tc>
      </w:tr>
      <w:tr>
        <w:trPr>
          <w:trHeight w:val="206"/>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 for the year</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(47,490)</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(47,490)</w:t>
            </w:r>
          </w:p>
        </w:tc>
        <w:tc>
          <w:tcPr>
            <w:tcW w:w="0" w:type="dxa"/>
            <w:vAlign w:val="bottom"/>
          </w:tcPr>
          <w:p>
            <w:pPr>
              <w:spacing w:after="0"/>
              <w:rPr>
                <w:sz w:val="1"/>
                <w:szCs w:val="1"/>
                <w:color w:val="auto"/>
              </w:rPr>
            </w:pPr>
          </w:p>
        </w:tc>
      </w:tr>
      <w:tr>
        <w:trPr>
          <w:trHeight w:val="35"/>
        </w:trPr>
        <w:tc>
          <w:tcPr>
            <w:tcW w:w="3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3"/>
                <w:szCs w:val="13"/>
                <w:b w:val="1"/>
                <w:bCs w:val="1"/>
                <w:color w:val="auto"/>
              </w:rPr>
              <w:t>Balance as at March 31, 2023</w:t>
            </w:r>
          </w:p>
        </w:tc>
        <w:tc>
          <w:tcPr>
            <w:tcW w:w="600" w:type="dxa"/>
            <w:vAlign w:val="bottom"/>
            <w:tcBorders>
              <w:bottom w:val="single" w:sz="8" w:color="D9D9D9"/>
            </w:tcBorders>
            <w:shd w:val="clear" w:color="auto" w:fill="D9D9D9"/>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9D9D9"/>
            </w:tcBorders>
            <w:shd w:val="clear" w:color="auto" w:fill="D9D9D9"/>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200,634,154</w:t>
            </w:r>
          </w:p>
        </w:tc>
        <w:tc>
          <w:tcPr>
            <w:tcW w:w="820" w:type="dxa"/>
            <w:vAlign w:val="bottom"/>
            <w:tcBorders>
              <w:bottom w:val="single" w:sz="8" w:color="D9D9D9"/>
              <w:right w:val="single" w:sz="8" w:color="DBDBDB"/>
            </w:tcBorders>
            <w:shd w:val="clear" w:color="auto" w:fill="D9D9D9"/>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158,162</w:t>
            </w:r>
          </w:p>
        </w:tc>
        <w:tc>
          <w:tcPr>
            <w:tcW w:w="900" w:type="dxa"/>
            <w:vAlign w:val="bottom"/>
            <w:tcBorders>
              <w:bottom w:val="single" w:sz="8" w:color="D9D9D9"/>
            </w:tcBorders>
            <w:shd w:val="clear" w:color="auto" w:fill="D9D9D9"/>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10,873</w:t>
            </w:r>
          </w:p>
        </w:tc>
        <w:tc>
          <w:tcPr>
            <w:tcW w:w="820" w:type="dxa"/>
            <w:vAlign w:val="bottom"/>
            <w:tcBorders>
              <w:bottom w:val="single" w:sz="8" w:color="D9D9D9"/>
            </w:tcBorders>
            <w:shd w:val="clear" w:color="auto" w:fill="D9D9D9"/>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27,283</w:t>
            </w:r>
          </w:p>
        </w:tc>
        <w:tc>
          <w:tcPr>
            <w:tcW w:w="900" w:type="dxa"/>
            <w:vAlign w:val="bottom"/>
            <w:tcBorders>
              <w:bottom w:val="single" w:sz="8" w:color="D9D9D9"/>
              <w:right w:val="single" w:sz="8" w:color="D9D9D9"/>
            </w:tcBorders>
            <w:shd w:val="clear" w:color="auto" w:fill="D9D9D9"/>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2,102</w:t>
            </w:r>
          </w:p>
        </w:tc>
        <w:tc>
          <w:tcPr>
            <w:tcW w:w="86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(148,151)</w:t>
            </w:r>
          </w:p>
        </w:tc>
        <w:tc>
          <w:tcPr>
            <w:tcW w:w="1120" w:type="dxa"/>
            <w:vAlign w:val="bottom"/>
            <w:tcBorders>
              <w:bottom w:val="single" w:sz="8" w:color="D9D9D9"/>
            </w:tcBorders>
            <w:gridSpan w:val="2"/>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(2,035)</w:t>
            </w:r>
          </w:p>
        </w:tc>
        <w:tc>
          <w:tcPr>
            <w:tcW w:w="9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48,234</w:t>
            </w:r>
          </w:p>
        </w:tc>
        <w:tc>
          <w:tcPr>
            <w:tcW w:w="0" w:type="dxa"/>
            <w:vAlign w:val="bottom"/>
          </w:tcPr>
          <w:p>
            <w:pPr>
              <w:spacing w:after="0"/>
              <w:rPr>
                <w:sz w:val="1"/>
                <w:szCs w:val="1"/>
                <w:color w:val="auto"/>
              </w:rPr>
            </w:pPr>
          </w:p>
        </w:tc>
      </w:tr>
      <w:tr>
        <w:trPr>
          <w:trHeight w:val="224"/>
        </w:trPr>
        <w:tc>
          <w:tcPr>
            <w:tcW w:w="3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Share issuance net of share issuance costs</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439,768,583</w:t>
            </w:r>
          </w:p>
        </w:tc>
        <w:tc>
          <w:tcPr>
            <w:tcW w:w="8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217,311</w:t>
            </w:r>
          </w:p>
        </w:tc>
        <w:tc>
          <w:tcPr>
            <w:tcW w:w="9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22,442</w:t>
            </w:r>
          </w:p>
        </w:tc>
        <w:tc>
          <w:tcPr>
            <w:tcW w:w="8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239,753</w:t>
            </w:r>
          </w:p>
        </w:tc>
        <w:tc>
          <w:tcPr>
            <w:tcW w:w="0" w:type="dxa"/>
            <w:vAlign w:val="bottom"/>
          </w:tcPr>
          <w:p>
            <w:pPr>
              <w:spacing w:after="0"/>
              <w:rPr>
                <w:sz w:val="1"/>
                <w:szCs w:val="1"/>
                <w:color w:val="auto"/>
              </w:rPr>
            </w:pPr>
          </w:p>
        </w:tc>
      </w:tr>
      <w:tr>
        <w:trPr>
          <w:trHeight w:val="267"/>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 issuance on business acquisition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80,945,254</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53,481</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53,481</w:t>
            </w:r>
          </w:p>
        </w:tc>
        <w:tc>
          <w:tcPr>
            <w:tcW w:w="0" w:type="dxa"/>
            <w:vAlign w:val="bottom"/>
          </w:tcPr>
          <w:p>
            <w:pPr>
              <w:spacing w:after="0"/>
              <w:rPr>
                <w:sz w:val="1"/>
                <w:szCs w:val="1"/>
                <w:color w:val="auto"/>
              </w:rPr>
            </w:pPr>
          </w:p>
        </w:tc>
      </w:tr>
      <w:tr>
        <w:trPr>
          <w:trHeight w:val="267"/>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At-the-market offering - net of share issuance costs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34,140,507</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14,700</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14,700</w:t>
            </w:r>
          </w:p>
        </w:tc>
        <w:tc>
          <w:tcPr>
            <w:tcW w:w="0" w:type="dxa"/>
            <w:vAlign w:val="bottom"/>
          </w:tcPr>
          <w:p>
            <w:pPr>
              <w:spacing w:after="0"/>
              <w:rPr>
                <w:sz w:val="1"/>
                <w:szCs w:val="1"/>
                <w:color w:val="auto"/>
              </w:rPr>
            </w:pPr>
          </w:p>
        </w:tc>
      </w:tr>
      <w:tr>
        <w:trPr>
          <w:trHeight w:val="148"/>
        </w:trPr>
        <w:tc>
          <w:tcPr>
            <w:tcW w:w="3240" w:type="dxa"/>
            <w:vAlign w:val="bottom"/>
          </w:tcPr>
          <w:p>
            <w:pPr>
              <w:ind w:left="60"/>
              <w:spacing w:after="0" w:line="148" w:lineRule="exact"/>
              <w:rPr>
                <w:sz w:val="20"/>
                <w:szCs w:val="20"/>
                <w:color w:val="auto"/>
              </w:rPr>
            </w:pPr>
            <w:r>
              <w:rPr>
                <w:rFonts w:ascii="Times New Roman" w:cs="Times New Roman" w:eastAsia="Times New Roman" w:hAnsi="Times New Roman"/>
                <w:sz w:val="13"/>
                <w:szCs w:val="13"/>
                <w:color w:val="auto"/>
              </w:rPr>
              <w:t>Shares issued through LPC purchase agreement - net of</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3"/>
                <w:szCs w:val="13"/>
                <w:color w:val="auto"/>
              </w:rPr>
              <w:t>1,925,000</w:t>
            </w: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147</w:t>
            </w:r>
          </w:p>
        </w:tc>
        <w:tc>
          <w:tcPr>
            <w:tcW w:w="900" w:type="dxa"/>
            <w:vAlign w:val="bottom"/>
            <w:vMerge w:val="restart"/>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67"/>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 issuance costs</w:t>
            </w:r>
          </w:p>
        </w:tc>
        <w:tc>
          <w:tcPr>
            <w:tcW w:w="6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common shares as commitment fee for equity</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3"/>
                <w:szCs w:val="13"/>
                <w:color w:val="auto"/>
              </w:rPr>
              <w:t>2,538,844</w:t>
            </w: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4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financing</w:t>
            </w:r>
          </w:p>
        </w:tc>
        <w:tc>
          <w:tcPr>
            <w:tcW w:w="6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 expired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22"/>
                <w:szCs w:val="22"/>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(1,992)</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1,992</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7"/>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101,000</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67"/>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 expired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23"/>
                <w:szCs w:val="23"/>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(7,656)</w:t>
            </w: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7,656</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7"/>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Share-based compensation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23"/>
                <w:szCs w:val="23"/>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13,886</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3"/>
                <w:szCs w:val="23"/>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13,886</w:t>
            </w:r>
          </w:p>
        </w:tc>
        <w:tc>
          <w:tcPr>
            <w:tcW w:w="0" w:type="dxa"/>
            <w:vAlign w:val="bottom"/>
          </w:tcPr>
          <w:p>
            <w:pPr>
              <w:spacing w:after="0"/>
              <w:rPr>
                <w:sz w:val="1"/>
                <w:szCs w:val="1"/>
                <w:color w:val="auto"/>
              </w:rPr>
            </w:pPr>
          </w:p>
        </w:tc>
      </w:tr>
      <w:tr>
        <w:trPr>
          <w:trHeight w:val="289"/>
        </w:trPr>
        <w:tc>
          <w:tcPr>
            <w:tcW w:w="3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Unrealized loss on translation of foreign operations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67"/>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Net loss for the year</w:t>
            </w:r>
          </w:p>
        </w:tc>
        <w:tc>
          <w:tcPr>
            <w:tcW w:w="6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(78,080)</w:t>
            </w: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(78,080)</w:t>
            </w:r>
          </w:p>
        </w:tc>
        <w:tc>
          <w:tcPr>
            <w:tcW w:w="0" w:type="dxa"/>
            <w:vAlign w:val="bottom"/>
          </w:tcPr>
          <w:p>
            <w:pPr>
              <w:spacing w:after="0"/>
              <w:rPr>
                <w:sz w:val="1"/>
                <w:szCs w:val="1"/>
                <w:color w:val="auto"/>
              </w:rPr>
            </w:pPr>
          </w:p>
        </w:tc>
      </w:tr>
      <w:tr>
        <w:trPr>
          <w:trHeight w:val="179"/>
        </w:trPr>
        <w:tc>
          <w:tcPr>
            <w:tcW w:w="3240" w:type="dxa"/>
            <w:vAlign w:val="bottom"/>
            <w:tcBorders>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3"/>
                <w:szCs w:val="13"/>
                <w:b w:val="1"/>
                <w:bCs w:val="1"/>
                <w:color w:val="auto"/>
              </w:rPr>
              <w:t>Balance as at March 31, 2024</w:t>
            </w:r>
          </w:p>
        </w:tc>
        <w:tc>
          <w:tcPr>
            <w:tcW w:w="600" w:type="dxa"/>
            <w:vAlign w:val="bottom"/>
            <w:tcBorders>
              <w:bottom w:val="single" w:sz="8" w:color="D9D9D9"/>
            </w:tcBorders>
            <w:shd w:val="clear" w:color="auto" w:fill="D9D9D9"/>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9D9D9"/>
            </w:tcBorders>
            <w:shd w:val="clear" w:color="auto" w:fill="D9D9D9"/>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760,053,342</w:t>
            </w:r>
          </w:p>
        </w:tc>
        <w:tc>
          <w:tcPr>
            <w:tcW w:w="820" w:type="dxa"/>
            <w:vAlign w:val="bottom"/>
            <w:tcBorders>
              <w:bottom w:val="single" w:sz="8" w:color="D9D9D9"/>
              <w:right w:val="single" w:sz="8" w:color="DBDBDB"/>
            </w:tcBorders>
            <w:shd w:val="clear" w:color="auto" w:fill="D9D9D9"/>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443,877</w:t>
            </w:r>
          </w:p>
        </w:tc>
        <w:tc>
          <w:tcPr>
            <w:tcW w:w="900" w:type="dxa"/>
            <w:vAlign w:val="bottom"/>
            <w:tcBorders>
              <w:bottom w:val="single" w:sz="8" w:color="D9D9D9"/>
            </w:tcBorders>
            <w:shd w:val="clear" w:color="auto" w:fill="D9D9D9"/>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25,639</w:t>
            </w:r>
          </w:p>
        </w:tc>
        <w:tc>
          <w:tcPr>
            <w:tcW w:w="820" w:type="dxa"/>
            <w:vAlign w:val="bottom"/>
            <w:tcBorders>
              <w:bottom w:val="single" w:sz="8" w:color="D9D9D9"/>
            </w:tcBorders>
            <w:shd w:val="clear" w:color="auto" w:fill="D9D9D9"/>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39,177</w:t>
            </w:r>
          </w:p>
        </w:tc>
        <w:tc>
          <w:tcPr>
            <w:tcW w:w="900" w:type="dxa"/>
            <w:vAlign w:val="bottom"/>
            <w:tcBorders>
              <w:bottom w:val="single" w:sz="8" w:color="D9D9D9"/>
              <w:right w:val="single" w:sz="8" w:color="DBDBDB"/>
            </w:tcBorders>
            <w:shd w:val="clear" w:color="auto" w:fill="D9D9D9"/>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11,750</w:t>
            </w:r>
          </w:p>
        </w:tc>
        <w:tc>
          <w:tcPr>
            <w:tcW w:w="86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(226,231)</w:t>
            </w:r>
          </w:p>
        </w:tc>
        <w:tc>
          <w:tcPr>
            <w:tcW w:w="8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(2,285)</w:t>
            </w:r>
          </w:p>
        </w:tc>
        <w:tc>
          <w:tcPr>
            <w:tcW w:w="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3"/>
                <w:szCs w:val="13"/>
                <w:b w:val="1"/>
                <w:bCs w:val="1"/>
                <w:color w:val="auto"/>
              </w:rPr>
              <w:t>291,927</w:t>
            </w:r>
          </w:p>
        </w:tc>
        <w:tc>
          <w:tcPr>
            <w:tcW w:w="0" w:type="dxa"/>
            <w:vAlign w:val="bottom"/>
          </w:tcPr>
          <w:p>
            <w:pPr>
              <w:spacing w:after="0"/>
              <w:rPr>
                <w:sz w:val="1"/>
                <w:szCs w:val="1"/>
                <w:color w:val="auto"/>
              </w:rPr>
            </w:pPr>
          </w:p>
        </w:tc>
      </w:tr>
      <w:tr>
        <w:trPr>
          <w:trHeight w:val="20"/>
        </w:trPr>
        <w:tc>
          <w:tcPr>
            <w:tcW w:w="3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60"/>
          </w:cols>
          <w:pgMar w:left="320" w:top="236" w:right="319" w:bottom="1440" w:gutter="0" w:footer="0" w:header="0"/>
        </w:sectPr>
      </w:pPr>
    </w:p>
    <w:bookmarkStart w:id="216" w:name="page217"/>
    <w:bookmarkEnd w:id="216"/>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4629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For the year ended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0" w:type="dxa"/>
            <w:vAlign w:val="bottom"/>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4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5"/>
                <w:szCs w:val="15"/>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2024</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46"/>
        </w:trPr>
        <w:tc>
          <w:tcPr>
            <w:tcW w:w="64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6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64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4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year</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(78,080)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(47,490)</w:t>
            </w:r>
          </w:p>
        </w:tc>
        <w:tc>
          <w:tcPr>
            <w:tcW w:w="0" w:type="dxa"/>
            <w:vAlign w:val="bottom"/>
          </w:tcPr>
          <w:p>
            <w:pPr>
              <w:spacing w:after="0"/>
              <w:rPr>
                <w:sz w:val="1"/>
                <w:szCs w:val="1"/>
                <w:color w:val="auto"/>
              </w:rPr>
            </w:pPr>
          </w:p>
        </w:tc>
      </w:tr>
      <w:tr>
        <w:trPr>
          <w:trHeight w:val="194"/>
        </w:trPr>
        <w:tc>
          <w:tcPr>
            <w:tcW w:w="648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Adjustments for items not affecting cash:</w:t>
            </w:r>
          </w:p>
        </w:tc>
        <w:tc>
          <w:tcPr>
            <w:tcW w:w="2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Interest income</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94"/>
        </w:trPr>
        <w:tc>
          <w:tcPr>
            <w:tcW w:w="64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120" w:type="dxa"/>
            <w:vAlign w:val="bottom"/>
          </w:tcPr>
          <w:p>
            <w:pPr>
              <w:jc w:val="center"/>
              <w:ind w:left="1127"/>
              <w:spacing w:after="0"/>
              <w:rPr>
                <w:sz w:val="20"/>
                <w:szCs w:val="20"/>
                <w:color w:val="auto"/>
              </w:rPr>
            </w:pPr>
            <w:r>
              <w:rPr>
                <w:rFonts w:ascii="Times New Roman" w:cs="Times New Roman" w:eastAsia="Times New Roman" w:hAnsi="Times New Roman"/>
                <w:sz w:val="15"/>
                <w:szCs w:val="15"/>
                <w:i w:val="1"/>
                <w:iCs w:val="1"/>
                <w:color w:val="auto"/>
                <w:w w:val="97"/>
              </w:rPr>
              <w:t>5, 6 &amp; 7</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424</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0" w:type="dxa"/>
            <w:vAlign w:val="bottom"/>
          </w:tcPr>
          <w:p>
            <w:pPr>
              <w:spacing w:after="0"/>
              <w:rPr>
                <w:sz w:val="1"/>
                <w:szCs w:val="1"/>
                <w:color w:val="auto"/>
              </w:rPr>
            </w:pPr>
          </w:p>
        </w:tc>
      </w:tr>
      <w:tr>
        <w:trPr>
          <w:trHeight w:val="85"/>
        </w:trPr>
        <w:tc>
          <w:tcPr>
            <w:tcW w:w="648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Share-based compensation</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13,886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0" w:type="dxa"/>
            <w:vAlign w:val="bottom"/>
          </w:tcPr>
          <w:p>
            <w:pPr>
              <w:spacing w:after="0"/>
              <w:rPr>
                <w:sz w:val="1"/>
                <w:szCs w:val="1"/>
                <w:color w:val="auto"/>
              </w:rPr>
            </w:pPr>
          </w:p>
        </w:tc>
      </w:tr>
      <w:tr>
        <w:trPr>
          <w:trHeight w:val="327"/>
        </w:trPr>
        <w:tc>
          <w:tcPr>
            <w:tcW w:w="64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Lease interest</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1"/>
        </w:trPr>
        <w:tc>
          <w:tcPr>
            <w:tcW w:w="64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Computer equipment write-down</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5"/>
        </w:trPr>
        <w:tc>
          <w:tcPr>
            <w:tcW w:w="6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Change in fair value of investments measured at fair value through profit or loss</w:t>
            </w:r>
          </w:p>
        </w:tc>
        <w:tc>
          <w:tcPr>
            <w:tcW w:w="2120" w:type="dxa"/>
            <w:vAlign w:val="bottom"/>
          </w:tcPr>
          <w:p>
            <w:pPr>
              <w:spacing w:after="0"/>
              <w:rPr>
                <w:sz w:val="22"/>
                <w:szCs w:val="22"/>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315"/>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Contingent consideration accretion</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315"/>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315"/>
        </w:trPr>
        <w:tc>
          <w:tcPr>
            <w:tcW w:w="6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Unrealized foreign currency translation (gain)</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(137)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(4,025)</w:t>
            </w:r>
          </w:p>
        </w:tc>
        <w:tc>
          <w:tcPr>
            <w:tcW w:w="0" w:type="dxa"/>
            <w:vAlign w:val="bottom"/>
          </w:tcPr>
          <w:p>
            <w:pPr>
              <w:spacing w:after="0"/>
              <w:rPr>
                <w:sz w:val="1"/>
                <w:szCs w:val="1"/>
                <w:color w:val="auto"/>
              </w:rPr>
            </w:pPr>
          </w:p>
        </w:tc>
      </w:tr>
      <w:tr>
        <w:trPr>
          <w:trHeight w:val="41"/>
        </w:trPr>
        <w:tc>
          <w:tcPr>
            <w:tcW w:w="6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(63,881)</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(45,994)</w:t>
            </w:r>
          </w:p>
        </w:tc>
        <w:tc>
          <w:tcPr>
            <w:tcW w:w="0" w:type="dxa"/>
            <w:vAlign w:val="bottom"/>
          </w:tcPr>
          <w:p>
            <w:pPr>
              <w:spacing w:after="0"/>
              <w:rPr>
                <w:sz w:val="1"/>
                <w:szCs w:val="1"/>
                <w:color w:val="auto"/>
              </w:rPr>
            </w:pPr>
          </w:p>
        </w:tc>
      </w:tr>
      <w:tr>
        <w:trPr>
          <w:trHeight w:val="230"/>
        </w:trPr>
        <w:tc>
          <w:tcPr>
            <w:tcW w:w="648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Net changes in non-cash working capital items:</w:t>
            </w:r>
          </w:p>
        </w:tc>
        <w:tc>
          <w:tcPr>
            <w:tcW w:w="2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(1,089)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0" w:type="dxa"/>
            <w:vAlign w:val="bottom"/>
          </w:tcPr>
          <w:p>
            <w:pPr>
              <w:spacing w:after="0"/>
              <w:rPr>
                <w:sz w:val="1"/>
                <w:szCs w:val="1"/>
                <w:color w:val="auto"/>
              </w:rPr>
            </w:pPr>
          </w:p>
        </w:tc>
      </w:tr>
      <w:tr>
        <w:trPr>
          <w:trHeight w:val="315"/>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Prepaid expenses</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(986)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291"/>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Other current assets</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(408)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0" w:type="dxa"/>
            <w:vAlign w:val="bottom"/>
          </w:tcPr>
          <w:p>
            <w:pPr>
              <w:spacing w:after="0"/>
              <w:rPr>
                <w:sz w:val="1"/>
                <w:szCs w:val="1"/>
                <w:color w:val="auto"/>
              </w:rPr>
            </w:pPr>
          </w:p>
        </w:tc>
      </w:tr>
      <w:tr>
        <w:trPr>
          <w:trHeight w:val="315"/>
        </w:trPr>
        <w:tc>
          <w:tcPr>
            <w:tcW w:w="6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(2,544)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0" w:type="dxa"/>
            <w:vAlign w:val="bottom"/>
          </w:tcPr>
          <w:p>
            <w:pPr>
              <w:spacing w:after="0"/>
              <w:rPr>
                <w:sz w:val="1"/>
                <w:szCs w:val="1"/>
                <w:color w:val="auto"/>
              </w:rPr>
            </w:pPr>
          </w:p>
        </w:tc>
      </w:tr>
      <w:tr>
        <w:trPr>
          <w:trHeight w:val="41"/>
        </w:trPr>
        <w:tc>
          <w:tcPr>
            <w:tcW w:w="6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Net cash flows used in operating activities</w:t>
            </w:r>
          </w:p>
        </w:tc>
        <w:tc>
          <w:tcPr>
            <w:tcW w:w="21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(68,908)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(47,431)</w:t>
            </w:r>
          </w:p>
        </w:tc>
        <w:tc>
          <w:tcPr>
            <w:tcW w:w="0" w:type="dxa"/>
            <w:vAlign w:val="bottom"/>
          </w:tcPr>
          <w:p>
            <w:pPr>
              <w:spacing w:after="0"/>
              <w:rPr>
                <w:sz w:val="1"/>
                <w:szCs w:val="1"/>
                <w:color w:val="auto"/>
              </w:rPr>
            </w:pPr>
          </w:p>
        </w:tc>
      </w:tr>
      <w:tr>
        <w:trPr>
          <w:trHeight w:val="257"/>
        </w:trPr>
        <w:tc>
          <w:tcPr>
            <w:tcW w:w="64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4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Cash acquired on acquisition</w:t>
            </w:r>
          </w:p>
        </w:tc>
        <w:tc>
          <w:tcPr>
            <w:tcW w:w="2120" w:type="dxa"/>
            <w:vAlign w:val="bottom"/>
          </w:tcPr>
          <w:p>
            <w:pPr>
              <w:jc w:val="center"/>
              <w:ind w:left="1147"/>
              <w:spacing w:after="0"/>
              <w:rPr>
                <w:sz w:val="20"/>
                <w:szCs w:val="20"/>
                <w:color w:val="auto"/>
              </w:rPr>
            </w:pPr>
            <w:r>
              <w:rPr>
                <w:rFonts w:ascii="Times New Roman" w:cs="Times New Roman" w:eastAsia="Times New Roman" w:hAnsi="Times New Roman"/>
                <w:sz w:val="15"/>
                <w:szCs w:val="15"/>
                <w:i w:val="1"/>
                <w:iCs w:val="1"/>
                <w:color w:val="auto"/>
                <w:w w:val="79"/>
              </w:rPr>
              <w:t>4</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7,632</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7"/>
        </w:trPr>
        <w:tc>
          <w:tcPr>
            <w:tcW w:w="648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64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Purchase of intangible assets</w:t>
            </w:r>
          </w:p>
        </w:tc>
        <w:tc>
          <w:tcPr>
            <w:tcW w:w="2120" w:type="dxa"/>
            <w:vAlign w:val="bottom"/>
          </w:tcPr>
          <w:p>
            <w:pPr>
              <w:jc w:val="center"/>
              <w:ind w:left="1147"/>
              <w:spacing w:after="0"/>
              <w:rPr>
                <w:sz w:val="20"/>
                <w:szCs w:val="20"/>
                <w:color w:val="auto"/>
              </w:rPr>
            </w:pPr>
            <w:r>
              <w:rPr>
                <w:rFonts w:ascii="Times New Roman" w:cs="Times New Roman" w:eastAsia="Times New Roman" w:hAnsi="Times New Roman"/>
                <w:sz w:val="15"/>
                <w:szCs w:val="15"/>
                <w:i w:val="1"/>
                <w:iCs w:val="1"/>
                <w:color w:val="auto"/>
                <w:w w:val="79"/>
              </w:rPr>
              <w:t>6</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(689)</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(3,167)</w:t>
            </w:r>
          </w:p>
        </w:tc>
        <w:tc>
          <w:tcPr>
            <w:tcW w:w="0" w:type="dxa"/>
            <w:vAlign w:val="bottom"/>
          </w:tcPr>
          <w:p>
            <w:pPr>
              <w:spacing w:after="0"/>
              <w:rPr>
                <w:sz w:val="1"/>
                <w:szCs w:val="1"/>
                <w:color w:val="auto"/>
              </w:rPr>
            </w:pPr>
          </w:p>
        </w:tc>
      </w:tr>
      <w:tr>
        <w:trPr>
          <w:trHeight w:val="97"/>
        </w:trPr>
        <w:tc>
          <w:tcPr>
            <w:tcW w:w="648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64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Purchase of equipment</w:t>
            </w:r>
          </w:p>
        </w:tc>
        <w:tc>
          <w:tcPr>
            <w:tcW w:w="2120" w:type="dxa"/>
            <w:vAlign w:val="bottom"/>
          </w:tcPr>
          <w:p>
            <w:pPr>
              <w:jc w:val="center"/>
              <w:ind w:left="1147"/>
              <w:spacing w:after="0"/>
              <w:rPr>
                <w:sz w:val="20"/>
                <w:szCs w:val="20"/>
                <w:color w:val="auto"/>
              </w:rPr>
            </w:pPr>
            <w:r>
              <w:rPr>
                <w:rFonts w:ascii="Times New Roman" w:cs="Times New Roman" w:eastAsia="Times New Roman" w:hAnsi="Times New Roman"/>
                <w:sz w:val="15"/>
                <w:szCs w:val="15"/>
                <w:i w:val="1"/>
                <w:iCs w:val="1"/>
                <w:color w:val="auto"/>
                <w:w w:val="79"/>
              </w:rPr>
              <w:t>5</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(21)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0" w:type="dxa"/>
            <w:vAlign w:val="bottom"/>
          </w:tcPr>
          <w:p>
            <w:pPr>
              <w:spacing w:after="0"/>
              <w:rPr>
                <w:sz w:val="1"/>
                <w:szCs w:val="1"/>
                <w:color w:val="auto"/>
              </w:rPr>
            </w:pPr>
          </w:p>
        </w:tc>
      </w:tr>
      <w:tr>
        <w:trPr>
          <w:trHeight w:val="85"/>
        </w:trPr>
        <w:tc>
          <w:tcPr>
            <w:tcW w:w="648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6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Net cash flows used in investing activities</w:t>
            </w:r>
          </w:p>
        </w:tc>
        <w:tc>
          <w:tcPr>
            <w:tcW w:w="21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6,922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(3,309)</w:t>
            </w:r>
          </w:p>
        </w:tc>
        <w:tc>
          <w:tcPr>
            <w:tcW w:w="0" w:type="dxa"/>
            <w:vAlign w:val="bottom"/>
          </w:tcPr>
          <w:p>
            <w:pPr>
              <w:spacing w:after="0"/>
              <w:rPr>
                <w:sz w:val="1"/>
                <w:szCs w:val="1"/>
                <w:color w:val="auto"/>
              </w:rPr>
            </w:pPr>
          </w:p>
        </w:tc>
      </w:tr>
      <w:tr>
        <w:trPr>
          <w:trHeight w:val="257"/>
        </w:trPr>
        <w:tc>
          <w:tcPr>
            <w:tcW w:w="64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4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Proceeds on issuance of common shares, net</w:t>
            </w:r>
          </w:p>
        </w:tc>
        <w:tc>
          <w:tcPr>
            <w:tcW w:w="2120" w:type="dxa"/>
            <w:vAlign w:val="bottom"/>
          </w:tcPr>
          <w:p>
            <w:pPr>
              <w:jc w:val="center"/>
              <w:ind w:left="1147"/>
              <w:spacing w:after="0"/>
              <w:rPr>
                <w:sz w:val="20"/>
                <w:szCs w:val="20"/>
                <w:color w:val="auto"/>
              </w:rPr>
            </w:pPr>
            <w:r>
              <w:rPr>
                <w:rFonts w:ascii="Times New Roman" w:cs="Times New Roman" w:eastAsia="Times New Roman" w:hAnsi="Times New Roman"/>
                <w:sz w:val="15"/>
                <w:szCs w:val="15"/>
                <w:i w:val="1"/>
                <w:iCs w:val="1"/>
                <w:color w:val="auto"/>
                <w:w w:val="79"/>
              </w:rPr>
              <w:t>9</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254,600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13,202</w:t>
            </w:r>
          </w:p>
        </w:tc>
        <w:tc>
          <w:tcPr>
            <w:tcW w:w="0" w:type="dxa"/>
            <w:vAlign w:val="bottom"/>
          </w:tcPr>
          <w:p>
            <w:pPr>
              <w:spacing w:after="0"/>
              <w:rPr>
                <w:sz w:val="1"/>
                <w:szCs w:val="1"/>
                <w:color w:val="auto"/>
              </w:rPr>
            </w:pPr>
          </w:p>
        </w:tc>
      </w:tr>
      <w:tr>
        <w:trPr>
          <w:trHeight w:val="97"/>
        </w:trPr>
        <w:tc>
          <w:tcPr>
            <w:tcW w:w="648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648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Lease payments</w:t>
            </w:r>
          </w:p>
        </w:tc>
        <w:tc>
          <w:tcPr>
            <w:tcW w:w="2120" w:type="dxa"/>
            <w:vAlign w:val="bottom"/>
          </w:tcPr>
          <w:p>
            <w:pPr>
              <w:jc w:val="center"/>
              <w:ind w:left="1147"/>
              <w:spacing w:after="0"/>
              <w:rPr>
                <w:sz w:val="20"/>
                <w:szCs w:val="20"/>
                <w:color w:val="auto"/>
              </w:rPr>
            </w:pPr>
            <w:r>
              <w:rPr>
                <w:rFonts w:ascii="Times New Roman" w:cs="Times New Roman" w:eastAsia="Times New Roman" w:hAnsi="Times New Roman"/>
                <w:sz w:val="15"/>
                <w:szCs w:val="15"/>
                <w:i w:val="1"/>
                <w:iCs w:val="1"/>
                <w:color w:val="auto"/>
                <w:w w:val="79"/>
              </w:rPr>
              <w:t>7</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(149)</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7"/>
        </w:trPr>
        <w:tc>
          <w:tcPr>
            <w:tcW w:w="648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64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Warrant exercise</w:t>
            </w:r>
          </w:p>
        </w:tc>
        <w:tc>
          <w:tcPr>
            <w:tcW w:w="2120" w:type="dxa"/>
            <w:vAlign w:val="bottom"/>
          </w:tcPr>
          <w:p>
            <w:pPr>
              <w:jc w:val="center"/>
              <w:ind w:left="1147"/>
              <w:spacing w:after="0"/>
              <w:rPr>
                <w:sz w:val="20"/>
                <w:szCs w:val="20"/>
                <w:color w:val="auto"/>
              </w:rPr>
            </w:pPr>
            <w:r>
              <w:rPr>
                <w:rFonts w:ascii="Times New Roman" w:cs="Times New Roman" w:eastAsia="Times New Roman" w:hAnsi="Times New Roman"/>
                <w:sz w:val="15"/>
                <w:szCs w:val="15"/>
                <w:i w:val="1"/>
                <w:iCs w:val="1"/>
                <w:color w:val="auto"/>
                <w:w w:val="79"/>
              </w:rPr>
              <w:t>9</w:t>
            </w:r>
          </w:p>
        </w:tc>
        <w:tc>
          <w:tcPr>
            <w:tcW w:w="2000" w:type="dxa"/>
            <w:vAlign w:val="bottom"/>
            <w:vMerge w:val="restart"/>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56</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0" w:type="dxa"/>
            <w:vAlign w:val="bottom"/>
          </w:tcPr>
          <w:p>
            <w:pPr>
              <w:spacing w:after="0"/>
              <w:rPr>
                <w:sz w:val="1"/>
                <w:szCs w:val="1"/>
                <w:color w:val="auto"/>
              </w:rPr>
            </w:pPr>
          </w:p>
        </w:tc>
      </w:tr>
      <w:tr>
        <w:trPr>
          <w:trHeight w:val="61"/>
        </w:trPr>
        <w:tc>
          <w:tcPr>
            <w:tcW w:w="648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6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4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Net cash flows from financing activities</w:t>
            </w:r>
          </w:p>
        </w:tc>
        <w:tc>
          <w:tcPr>
            <w:tcW w:w="2120" w:type="dxa"/>
            <w:vAlign w:val="bottom"/>
          </w:tcPr>
          <w:p>
            <w:pPr>
              <w:spacing w:after="0"/>
              <w:rPr>
                <w:sz w:val="18"/>
                <w:szCs w:val="18"/>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254,507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13,564</w:t>
            </w:r>
          </w:p>
        </w:tc>
        <w:tc>
          <w:tcPr>
            <w:tcW w:w="0" w:type="dxa"/>
            <w:vAlign w:val="bottom"/>
          </w:tcPr>
          <w:p>
            <w:pPr>
              <w:spacing w:after="0"/>
              <w:rPr>
                <w:sz w:val="1"/>
                <w:szCs w:val="1"/>
                <w:color w:val="auto"/>
              </w:rPr>
            </w:pPr>
          </w:p>
        </w:tc>
      </w:tr>
      <w:tr>
        <w:trPr>
          <w:trHeight w:val="51"/>
        </w:trPr>
        <w:tc>
          <w:tcPr>
            <w:tcW w:w="6480" w:type="dxa"/>
            <w:vAlign w:val="bottom"/>
            <w:tcBorders>
              <w:bottom w:val="single" w:sz="8" w:color="auto"/>
            </w:tcBorders>
            <w:vMerge w:val="continue"/>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86"/>
        </w:trPr>
        <w:tc>
          <w:tcPr>
            <w:tcW w:w="6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Effects of exchange rate changes on cash</w:t>
            </w:r>
          </w:p>
        </w:tc>
        <w:tc>
          <w:tcPr>
            <w:tcW w:w="2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(162)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596"/>
        </w:trPr>
        <w:tc>
          <w:tcPr>
            <w:tcW w:w="64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Net change in cash</w:t>
            </w:r>
          </w:p>
        </w:tc>
        <w:tc>
          <w:tcPr>
            <w:tcW w:w="2120" w:type="dxa"/>
            <w:vAlign w:val="bottom"/>
          </w:tcPr>
          <w:p>
            <w:pPr>
              <w:spacing w:after="0"/>
              <w:rPr>
                <w:sz w:val="24"/>
                <w:szCs w:val="24"/>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192,359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(37,008)</w:t>
            </w:r>
          </w:p>
        </w:tc>
        <w:tc>
          <w:tcPr>
            <w:tcW w:w="0" w:type="dxa"/>
            <w:vAlign w:val="bottom"/>
          </w:tcPr>
          <w:p>
            <w:pPr>
              <w:spacing w:after="0"/>
              <w:rPr>
                <w:sz w:val="1"/>
                <w:szCs w:val="1"/>
                <w:color w:val="auto"/>
              </w:rPr>
            </w:pPr>
          </w:p>
        </w:tc>
      </w:tr>
      <w:tr>
        <w:trPr>
          <w:trHeight w:val="293"/>
        </w:trPr>
        <w:tc>
          <w:tcPr>
            <w:tcW w:w="6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Cash, beginning of year</w:t>
            </w:r>
          </w:p>
        </w:tc>
        <w:tc>
          <w:tcPr>
            <w:tcW w:w="2120" w:type="dxa"/>
            <w:vAlign w:val="bottom"/>
            <w:tcBorders>
              <w:bottom w:val="single" w:sz="8" w:color="auto"/>
            </w:tcBorders>
          </w:tcPr>
          <w:p>
            <w:pPr>
              <w:spacing w:after="0"/>
              <w:rPr>
                <w:sz w:val="24"/>
                <w:szCs w:val="24"/>
                <w:color w:val="auto"/>
              </w:rPr>
            </w:pPr>
          </w:p>
        </w:tc>
        <w:tc>
          <w:tcPr>
            <w:tcW w:w="2000" w:type="dxa"/>
            <w:vAlign w:val="bottom"/>
            <w:tcBorders>
              <w:bottom w:val="single" w:sz="8" w:color="6D6D6D"/>
            </w:tcBorders>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16,633</w:t>
            </w:r>
          </w:p>
        </w:tc>
        <w:tc>
          <w:tcPr>
            <w:tcW w:w="6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5"/>
                <w:szCs w:val="15"/>
                <w:color w:val="auto"/>
              </w:rPr>
              <w:t>53,641</w:t>
            </w:r>
          </w:p>
        </w:tc>
        <w:tc>
          <w:tcPr>
            <w:tcW w:w="0" w:type="dxa"/>
            <w:vAlign w:val="bottom"/>
          </w:tcPr>
          <w:p>
            <w:pPr>
              <w:spacing w:after="0"/>
              <w:rPr>
                <w:sz w:val="1"/>
                <w:szCs w:val="1"/>
                <w:color w:val="auto"/>
              </w:rPr>
            </w:pPr>
          </w:p>
        </w:tc>
      </w:tr>
      <w:tr>
        <w:trPr>
          <w:trHeight w:val="220"/>
        </w:trPr>
        <w:tc>
          <w:tcPr>
            <w:tcW w:w="64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Cash, end of year</w:t>
            </w:r>
          </w:p>
        </w:tc>
        <w:tc>
          <w:tcPr>
            <w:tcW w:w="2120" w:type="dxa"/>
            <w:vAlign w:val="bottom"/>
          </w:tcPr>
          <w:p>
            <w:pPr>
              <w:spacing w:after="0"/>
              <w:rPr>
                <w:sz w:val="19"/>
                <w:szCs w:val="19"/>
                <w:color w:val="auto"/>
              </w:rPr>
            </w:pPr>
          </w:p>
        </w:tc>
        <w:tc>
          <w:tcPr>
            <w:tcW w:w="20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208,992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16,633</w:t>
            </w:r>
          </w:p>
        </w:tc>
        <w:tc>
          <w:tcPr>
            <w:tcW w:w="0" w:type="dxa"/>
            <w:vAlign w:val="bottom"/>
          </w:tcPr>
          <w:p>
            <w:pPr>
              <w:spacing w:after="0"/>
              <w:rPr>
                <w:sz w:val="1"/>
                <w:szCs w:val="1"/>
                <w:color w:val="auto"/>
              </w:rPr>
            </w:pPr>
          </w:p>
        </w:tc>
      </w:tr>
      <w:tr>
        <w:trPr>
          <w:trHeight w:val="51"/>
        </w:trPr>
        <w:tc>
          <w:tcPr>
            <w:tcW w:w="6480" w:type="dxa"/>
            <w:vAlign w:val="bottom"/>
            <w:tcBorders>
              <w:bottom w:val="single" w:sz="8" w:color="auto"/>
            </w:tcBorders>
            <w:vMerge w:val="continue"/>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60"/>
          </w:cols>
          <w:pgMar w:left="320" w:top="236" w:right="319" w:bottom="1440" w:gutter="0" w:footer="0" w:header="0"/>
        </w:sectPr>
      </w:pPr>
    </w:p>
    <w:bookmarkStart w:id="217" w:name="page218"/>
    <w:bookmarkEnd w:id="217"/>
    <w:p>
      <w:pPr>
        <w:ind w:left="63"/>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3"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07707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spacing w:after="0"/>
        <w:tabs>
          <w:tab w:leader="none" w:pos="263" w:val="left"/>
        </w:tabs>
        <w:rPr>
          <w:sz w:val="20"/>
          <w:szCs w:val="20"/>
          <w:color w:val="auto"/>
        </w:rPr>
      </w:pP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b w:val="1"/>
          <w:bCs w:val="1"/>
          <w:color w:val="2D5F91"/>
        </w:rPr>
        <w:t>.</w:t>
      </w:r>
      <w:r>
        <w:rPr>
          <w:rFonts w:ascii="Times New Roman" w:cs="Times New Roman" w:eastAsia="Times New Roman" w:hAnsi="Times New Roman"/>
          <w:sz w:val="16"/>
          <w:szCs w:val="16"/>
          <w:b w:val="1"/>
          <w:bCs w:val="1"/>
          <w:color w:val="auto"/>
        </w:rPr>
        <w:tab/>
        <w:t>CORPORATE INFORMATION</w:t>
      </w:r>
    </w:p>
    <w:p>
      <w:pPr>
        <w:spacing w:after="0" w:line="59" w:lineRule="exact"/>
        <w:rPr>
          <w:sz w:val="20"/>
          <w:szCs w:val="20"/>
          <w:color w:val="auto"/>
        </w:rPr>
      </w:pPr>
    </w:p>
    <w:p>
      <w:pPr>
        <w:jc w:val="both"/>
        <w:ind w:left="283" w:right="20"/>
        <w:spacing w:after="0" w:line="307" w:lineRule="auto"/>
        <w:rPr>
          <w:sz w:val="20"/>
          <w:szCs w:val="20"/>
          <w:color w:val="auto"/>
        </w:rPr>
      </w:pPr>
      <w:r>
        <w:rPr>
          <w:rFonts w:ascii="Times New Roman" w:cs="Times New Roman" w:eastAsia="Times New Roman" w:hAnsi="Times New Roman"/>
          <w:sz w:val="16"/>
          <w:szCs w:val="16"/>
          <w:color w:val="auto"/>
        </w:rPr>
        <w:t>Cybin Inc. (“</w:t>
      </w:r>
      <w:r>
        <w:rPr>
          <w:rFonts w:ascii="Times New Roman" w:cs="Times New Roman" w:eastAsia="Times New Roman" w:hAnsi="Times New Roman"/>
          <w:sz w:val="16"/>
          <w:szCs w:val="16"/>
          <w:b w:val="1"/>
          <w:bCs w:val="1"/>
          <w:color w:val="auto"/>
        </w:rPr>
        <w:t>Cybin</w:t>
      </w:r>
      <w:r>
        <w:rPr>
          <w:rFonts w:ascii="Times New Roman" w:cs="Times New Roman" w:eastAsia="Times New Roman" w:hAnsi="Times New Roman"/>
          <w:sz w:val="16"/>
          <w:szCs w:val="16"/>
          <w:color w:val="auto"/>
        </w:rPr>
        <w:t>”), was incorporated under the Business Corporations Act (British Columbia) on October 13, 2016. These consolidated financial statements include the accounts of Cybin’s eight subsidiaries (together with Cybin,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Cybin Corp., Natures Journey Inc. (“</w:t>
      </w:r>
      <w:r>
        <w:rPr>
          <w:rFonts w:ascii="Times New Roman" w:cs="Times New Roman" w:eastAsia="Times New Roman" w:hAnsi="Times New Roman"/>
          <w:sz w:val="16"/>
          <w:szCs w:val="16"/>
          <w:b w:val="1"/>
          <w:bCs w:val="1"/>
          <w:color w:val="auto"/>
        </w:rPr>
        <w:t>Journey</w:t>
      </w:r>
      <w:r>
        <w:rPr>
          <w:rFonts w:ascii="Times New Roman" w:cs="Times New Roman" w:eastAsia="Times New Roman" w:hAnsi="Times New Roman"/>
          <w:sz w:val="16"/>
          <w:szCs w:val="16"/>
          <w:color w:val="auto"/>
        </w:rPr>
        <w:t>”), Serenity Life Sciences Inc. (“</w:t>
      </w:r>
      <w:r>
        <w:rPr>
          <w:rFonts w:ascii="Times New Roman" w:cs="Times New Roman" w:eastAsia="Times New Roman" w:hAnsi="Times New Roman"/>
          <w:sz w:val="16"/>
          <w:szCs w:val="16"/>
          <w:b w:val="1"/>
          <w:bCs w:val="1"/>
          <w:color w:val="auto"/>
        </w:rPr>
        <w:t>Serenity</w:t>
      </w:r>
      <w:r>
        <w:rPr>
          <w:rFonts w:ascii="Times New Roman" w:cs="Times New Roman" w:eastAsia="Times New Roman" w:hAnsi="Times New Roman"/>
          <w:sz w:val="16"/>
          <w:szCs w:val="16"/>
          <w:color w:val="auto"/>
        </w:rPr>
        <w:t>”), Cybin US Holdings Inc. (“</w:t>
      </w:r>
      <w:r>
        <w:rPr>
          <w:rFonts w:ascii="Times New Roman" w:cs="Times New Roman" w:eastAsia="Times New Roman" w:hAnsi="Times New Roman"/>
          <w:sz w:val="16"/>
          <w:szCs w:val="16"/>
          <w:b w:val="1"/>
          <w:bCs w:val="1"/>
          <w:color w:val="auto"/>
        </w:rPr>
        <w:t>Cybin US</w:t>
      </w:r>
      <w:r>
        <w:rPr>
          <w:rFonts w:ascii="Times New Roman" w:cs="Times New Roman" w:eastAsia="Times New Roman" w:hAnsi="Times New Roman"/>
          <w:sz w:val="16"/>
          <w:szCs w:val="16"/>
          <w:color w:val="auto"/>
        </w:rPr>
        <w:t>”), Adelia Therapeutics Inc. (“</w:t>
      </w:r>
      <w:r>
        <w:rPr>
          <w:rFonts w:ascii="Times New Roman" w:cs="Times New Roman" w:eastAsia="Times New Roman" w:hAnsi="Times New Roman"/>
          <w:sz w:val="16"/>
          <w:szCs w:val="16"/>
          <w:b w:val="1"/>
          <w:bCs w:val="1"/>
          <w:color w:val="auto"/>
        </w:rPr>
        <w:t>Adelia</w:t>
      </w:r>
      <w:r>
        <w:rPr>
          <w:rFonts w:ascii="Times New Roman" w:cs="Times New Roman" w:eastAsia="Times New Roman" w:hAnsi="Times New Roman"/>
          <w:sz w:val="16"/>
          <w:szCs w:val="16"/>
          <w:color w:val="auto"/>
        </w:rPr>
        <w:t>”) Cybin IRL Limited (“</w:t>
      </w:r>
      <w:r>
        <w:rPr>
          <w:rFonts w:ascii="Times New Roman" w:cs="Times New Roman" w:eastAsia="Times New Roman" w:hAnsi="Times New Roman"/>
          <w:sz w:val="16"/>
          <w:szCs w:val="16"/>
          <w:b w:val="1"/>
          <w:bCs w:val="1"/>
          <w:color w:val="auto"/>
        </w:rPr>
        <w:t>Cybin IRL</w:t>
      </w:r>
      <w:r>
        <w:rPr>
          <w:rFonts w:ascii="Times New Roman" w:cs="Times New Roman" w:eastAsia="Times New Roman" w:hAnsi="Times New Roman"/>
          <w:sz w:val="16"/>
          <w:szCs w:val="16"/>
          <w:color w:val="auto"/>
        </w:rPr>
        <w:t>”), Cybin UK Ltd., and Small Pharma Inc. (“</w:t>
      </w:r>
      <w:r>
        <w:rPr>
          <w:rFonts w:ascii="Times New Roman" w:cs="Times New Roman" w:eastAsia="Times New Roman" w:hAnsi="Times New Roman"/>
          <w:sz w:val="16"/>
          <w:szCs w:val="16"/>
          <w:b w:val="1"/>
          <w:bCs w:val="1"/>
          <w:color w:val="auto"/>
        </w:rPr>
        <w:t>Small Pharma</w:t>
      </w:r>
      <w:r>
        <w:rPr>
          <w:rFonts w:ascii="Times New Roman" w:cs="Times New Roman" w:eastAsia="Times New Roman" w:hAnsi="Times New Roman"/>
          <w:sz w:val="16"/>
          <w:szCs w:val="16"/>
          <w:color w:val="auto"/>
        </w:rPr>
        <w:t>”). Cybin’s head office, principal address and registered address and records office is 100 King Street West, Suite 5600, Toronto, Ontario M5X 1C9.</w:t>
      </w:r>
    </w:p>
    <w:p>
      <w:pPr>
        <w:spacing w:after="0" w:line="116" w:lineRule="exact"/>
        <w:rPr>
          <w:sz w:val="20"/>
          <w:szCs w:val="20"/>
          <w:color w:val="auto"/>
        </w:rPr>
      </w:pPr>
    </w:p>
    <w:p>
      <w:pPr>
        <w:jc w:val="both"/>
        <w:ind w:left="283"/>
        <w:spacing w:after="0" w:line="306" w:lineRule="auto"/>
        <w:rPr>
          <w:sz w:val="20"/>
          <w:szCs w:val="20"/>
          <w:color w:val="auto"/>
        </w:rPr>
      </w:pPr>
      <w:r>
        <w:rPr>
          <w:rFonts w:ascii="Times New Roman" w:cs="Times New Roman" w:eastAsia="Times New Roman" w:hAnsi="Times New Roman"/>
          <w:sz w:val="16"/>
          <w:szCs w:val="16"/>
          <w:color w:val="auto"/>
        </w:rPr>
        <w:t>The Company is a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2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These consolidated financial statements as at, and for the year ended, March 31, 2024 were approved and authorized for issue by the board of directors on June 25, 2024.</w:t>
      </w:r>
    </w:p>
    <w:p>
      <w:pPr>
        <w:spacing w:after="0" w:line="200"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Stock exchange listings</w:t>
      </w:r>
    </w:p>
    <w:p>
      <w:pPr>
        <w:spacing w:after="0" w:line="206" w:lineRule="exact"/>
        <w:rPr>
          <w:sz w:val="20"/>
          <w:szCs w:val="20"/>
          <w:color w:val="auto"/>
        </w:rPr>
      </w:pPr>
    </w:p>
    <w:p>
      <w:pPr>
        <w:jc w:val="both"/>
        <w:ind w:left="283" w:right="20"/>
        <w:spacing w:after="0" w:line="321" w:lineRule="auto"/>
        <w:rPr>
          <w:sz w:val="20"/>
          <w:szCs w:val="20"/>
          <w:color w:val="auto"/>
        </w:rPr>
      </w:pPr>
      <w:r>
        <w:rPr>
          <w:rFonts w:ascii="Times New Roman" w:cs="Times New Roman" w:eastAsia="Times New Roman" w:hAnsi="Times New Roman"/>
          <w:sz w:val="16"/>
          <w:szCs w:val="16"/>
          <w:color w:val="auto"/>
        </w:rPr>
        <w:t>Cybin’s common shares (“</w:t>
      </w:r>
      <w:r>
        <w:rPr>
          <w:rFonts w:ascii="Times New Roman" w:cs="Times New Roman" w:eastAsia="Times New Roman" w:hAnsi="Times New Roman"/>
          <w:sz w:val="16"/>
          <w:szCs w:val="16"/>
          <w:b w:val="1"/>
          <w:bCs w:val="1"/>
          <w:color w:val="auto"/>
        </w:rPr>
        <w:t>Common Shares</w:t>
      </w:r>
      <w:r>
        <w:rPr>
          <w:rFonts w:ascii="Times New Roman" w:cs="Times New Roman" w:eastAsia="Times New Roman" w:hAnsi="Times New Roman"/>
          <w:sz w:val="16"/>
          <w:szCs w:val="16"/>
          <w:color w:val="auto"/>
        </w:rPr>
        <w:t>”) are listed for trading on the Cboe Canada Exchange Inc. (“</w:t>
      </w:r>
      <w:r>
        <w:rPr>
          <w:rFonts w:ascii="Times New Roman" w:cs="Times New Roman" w:eastAsia="Times New Roman" w:hAnsi="Times New Roman"/>
          <w:sz w:val="16"/>
          <w:szCs w:val="16"/>
          <w:b w:val="1"/>
          <w:bCs w:val="1"/>
          <w:color w:val="auto"/>
        </w:rPr>
        <w:t>Cboe</w:t>
      </w:r>
      <w:r>
        <w:rPr>
          <w:rFonts w:ascii="Times New Roman" w:cs="Times New Roman" w:eastAsia="Times New Roman" w:hAnsi="Times New Roman"/>
          <w:sz w:val="16"/>
          <w:szCs w:val="16"/>
          <w:color w:val="auto"/>
        </w:rPr>
        <w:t>”) and NYSE American LLC under the symbol “CYBN” and on the Frankfurt Stock Exchange under the symbol “R7E1”.</w:t>
      </w:r>
    </w:p>
    <w:p>
      <w:pPr>
        <w:spacing w:after="0" w:line="114" w:lineRule="exact"/>
        <w:rPr>
          <w:sz w:val="20"/>
          <w:szCs w:val="20"/>
          <w:color w:val="auto"/>
        </w:rPr>
      </w:pPr>
    </w:p>
    <w:p>
      <w:pPr>
        <w:ind w:left="283" w:right="4680" w:hanging="283"/>
        <w:spacing w:after="0" w:line="561" w:lineRule="auto"/>
        <w:tabs>
          <w:tab w:leader="none" w:pos="275"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MATERIAL ACCOUNTING POLICY INFORMATION AND BASIS OF PREPARATION </w:t>
      </w:r>
      <w:r>
        <w:rPr>
          <w:rFonts w:ascii="Times New Roman" w:cs="Times New Roman" w:eastAsia="Times New Roman" w:hAnsi="Times New Roman"/>
          <w:sz w:val="16"/>
          <w:szCs w:val="16"/>
          <w:b w:val="1"/>
          <w:bCs w:val="1"/>
          <w:i w:val="1"/>
          <w:iCs w:val="1"/>
          <w:u w:val="single" w:color="auto"/>
          <w:color w:val="auto"/>
        </w:rPr>
        <w:t>Statement of compliance</w:t>
      </w:r>
    </w:p>
    <w:p>
      <w:pPr>
        <w:ind w:left="283" w:right="20"/>
        <w:spacing w:after="0" w:line="29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consolidated financial statements have been prepared in accordance with International Financial Reporting Standards (“</w:t>
      </w:r>
      <w:r>
        <w:rPr>
          <w:rFonts w:ascii="Times New Roman" w:cs="Times New Roman" w:eastAsia="Times New Roman" w:hAnsi="Times New Roman"/>
          <w:sz w:val="16"/>
          <w:szCs w:val="16"/>
          <w:b w:val="1"/>
          <w:bCs w:val="1"/>
          <w:color w:val="auto"/>
        </w:rPr>
        <w:t>IFRS</w:t>
      </w:r>
      <w:r>
        <w:rPr>
          <w:rFonts w:ascii="Times New Roman" w:cs="Times New Roman" w:eastAsia="Times New Roman" w:hAnsi="Times New Roman"/>
          <w:sz w:val="16"/>
          <w:szCs w:val="16"/>
          <w:color w:val="auto"/>
        </w:rPr>
        <w:t>”), as issued by the International Accounting Standards Board (“</w:t>
      </w:r>
      <w:r>
        <w:rPr>
          <w:rFonts w:ascii="Times New Roman" w:cs="Times New Roman" w:eastAsia="Times New Roman" w:hAnsi="Times New Roman"/>
          <w:sz w:val="16"/>
          <w:szCs w:val="16"/>
          <w:b w:val="1"/>
          <w:bCs w:val="1"/>
          <w:color w:val="auto"/>
        </w:rPr>
        <w:t>IASB</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i w:val="1"/>
          <w:iCs w:val="1"/>
          <w:color w:val="auto"/>
        </w:rPr>
        <w:t>.</w:t>
      </w:r>
    </w:p>
    <w:p>
      <w:pPr>
        <w:spacing w:after="0" w:line="115" w:lineRule="exact"/>
        <w:rPr>
          <w:rFonts w:ascii="Times New Roman" w:cs="Times New Roman" w:eastAsia="Times New Roman" w:hAnsi="Times New Roman"/>
          <w:sz w:val="16"/>
          <w:szCs w:val="16"/>
          <w:b w:val="1"/>
          <w:bCs w:val="1"/>
          <w:color w:val="auto"/>
        </w:rPr>
      </w:pPr>
    </w:p>
    <w:p>
      <w:pPr>
        <w:ind w:left="283" w:right="20"/>
        <w:spacing w:after="0" w:line="28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policies applied to these consolidated financial statements are based on IFRS, which have been applied consistently to all periods presented. These consolidated financial statements were issued and effective as at June 25, 2024, the date the Board of Directors approved these consolidated financial statements.</w:t>
      </w:r>
    </w:p>
    <w:p>
      <w:pPr>
        <w:spacing w:after="0" w:line="190"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board of directors has the power to amend the consolidated financial statement after issuance.</w:t>
      </w:r>
    </w:p>
    <w:p>
      <w:pPr>
        <w:spacing w:after="0" w:line="236"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Basis of measurement</w:t>
      </w:r>
    </w:p>
    <w:p>
      <w:pPr>
        <w:spacing w:after="0" w:line="244" w:lineRule="exact"/>
        <w:rPr>
          <w:rFonts w:ascii="Times New Roman" w:cs="Times New Roman" w:eastAsia="Times New Roman" w:hAnsi="Times New Roman"/>
          <w:sz w:val="16"/>
          <w:szCs w:val="16"/>
          <w:b w:val="1"/>
          <w:bCs w:val="1"/>
          <w:color w:val="auto"/>
        </w:rPr>
      </w:pPr>
    </w:p>
    <w:p>
      <w:pPr>
        <w:ind w:left="283" w:right="20"/>
        <w:spacing w:after="0" w:line="31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These consolidated financial statements have been prepared on a going concern basis, under the historical cost convention, except for certain financial instruments classified at fair value upon initial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Page 12 of 57</w:t>
      </w:r>
    </w:p>
    <w:p>
      <w:pPr>
        <w:sectPr>
          <w:pgSz w:w="11900" w:h="16838" w:orient="portrait"/>
          <w:cols w:equalWidth="0" w:num="1">
            <w:col w:w="11263"/>
          </w:cols>
          <w:pgMar w:left="317" w:top="212" w:right="319" w:bottom="1440" w:gutter="0" w:footer="0" w:header="0"/>
        </w:sectPr>
      </w:pPr>
    </w:p>
    <w:bookmarkStart w:id="218" w:name="page219"/>
    <w:bookmarkEnd w:id="218"/>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07707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Functional and presentation currency</w:t>
      </w:r>
    </w:p>
    <w:p>
      <w:pPr>
        <w:spacing w:after="0" w:line="208" w:lineRule="exact"/>
        <w:rPr>
          <w:sz w:val="20"/>
          <w:szCs w:val="20"/>
          <w:color w:val="auto"/>
        </w:rPr>
      </w:pPr>
    </w:p>
    <w:p>
      <w:pPr>
        <w:ind w:left="280" w:right="20"/>
        <w:spacing w:after="0" w:line="302" w:lineRule="auto"/>
        <w:rPr>
          <w:sz w:val="20"/>
          <w:szCs w:val="20"/>
          <w:color w:val="auto"/>
        </w:rPr>
      </w:pPr>
      <w:r>
        <w:rPr>
          <w:rFonts w:ascii="Times New Roman" w:cs="Times New Roman" w:eastAsia="Times New Roman" w:hAnsi="Times New Roman"/>
          <w:sz w:val="16"/>
          <w:szCs w:val="16"/>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consolidated financial statements are presented in Canadian dollars, the Company’s presentation currency. The subsidiaries’ functional currencies are as follows:</w:t>
      </w: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2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42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19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Cybin Corp.</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Canadian dollars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r>
        <w:trPr>
          <w:trHeight w:val="20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Journey</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Canadian dollars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r>
        <w:trPr>
          <w:trHeight w:val="20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Serenity</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Canadian dollars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r>
        <w:trPr>
          <w:trHeight w:val="31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Cybin US</w:t>
            </w:r>
            <w:r>
              <w:rPr>
                <w:rFonts w:ascii="Times New Roman" w:cs="Times New Roman" w:eastAsia="Times New Roman" w:hAnsi="Times New Roman"/>
                <w:sz w:val="21"/>
                <w:szCs w:val="21"/>
                <w:color w:val="auto"/>
                <w:vertAlign w:val="superscript"/>
              </w:rPr>
              <w:t>1</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Canadian dollars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r>
        <w:trPr>
          <w:trHeight w:val="20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Adelia</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U.S. dollars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r>
        <w:trPr>
          <w:trHeight w:val="206"/>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Cybin IRL</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U.S. dollars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r>
        <w:trPr>
          <w:trHeight w:val="31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Cybin UK Ltd</w:t>
            </w:r>
            <w:r>
              <w:rPr>
                <w:rFonts w:ascii="Times New Roman" w:cs="Times New Roman" w:eastAsia="Times New Roman" w:hAnsi="Times New Roman"/>
                <w:sz w:val="21"/>
                <w:szCs w:val="21"/>
                <w:color w:val="auto"/>
                <w:vertAlign w:val="superscript"/>
              </w:rPr>
              <w:t>.2</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Great Britain pounds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r>
        <w:trPr>
          <w:trHeight w:val="322"/>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Pharma Inc. (“Small Pharma”)</w:t>
            </w:r>
            <w:r>
              <w:rPr>
                <w:rFonts w:ascii="Times New Roman" w:cs="Times New Roman" w:eastAsia="Times New Roman" w:hAnsi="Times New Roman"/>
                <w:sz w:val="21"/>
                <w:szCs w:val="21"/>
                <w:color w:val="auto"/>
                <w:vertAlign w:val="superscript"/>
              </w:rPr>
              <w:t>2</w:t>
            </w:r>
          </w:p>
        </w:tc>
        <w:tc>
          <w:tcPr>
            <w:tcW w:w="2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Canadian dollars</w:t>
            </w:r>
          </w:p>
        </w:tc>
        <w:tc>
          <w:tcPr>
            <w:tcW w:w="4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28" w:lineRule="exact"/>
        <w:rPr>
          <w:sz w:val="20"/>
          <w:szCs w:val="20"/>
          <w:color w:val="auto"/>
        </w:rPr>
      </w:pPr>
    </w:p>
    <w:p>
      <w:pPr>
        <w:ind w:left="360" w:hanging="72"/>
        <w:spacing w:after="0"/>
        <w:tabs>
          <w:tab w:leader="none" w:pos="360" w:val="left"/>
        </w:tabs>
        <w:numPr>
          <w:ilvl w:val="0"/>
          <w:numId w:val="1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accounting purposes, Cybin US is a wholly-owned subsidiary of Cybin. Certain Former Adelia Shareholders (as defined below) hold Class B Shares (defined below) in Cybin US.</w:t>
      </w:r>
    </w:p>
    <w:p>
      <w:pPr>
        <w:spacing w:after="0" w:line="180" w:lineRule="exact"/>
        <w:rPr>
          <w:sz w:val="20"/>
          <w:szCs w:val="20"/>
          <w:color w:val="auto"/>
        </w:rPr>
      </w:pPr>
    </w:p>
    <w:p>
      <w:pPr>
        <w:ind w:left="360" w:hanging="72"/>
        <w:spacing w:after="0"/>
        <w:tabs>
          <w:tab w:leader="none" w:pos="360" w:val="left"/>
        </w:tabs>
        <w:numPr>
          <w:ilvl w:val="0"/>
          <w:numId w:val="1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Cybin UK Ltd and Small Pharma Inc. which were acquired on October 23, 2023. Cybin UK Ltd. was formerly Small Pharma Ltd. and was a wholly-owned subsidiary of Small Pharma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1, 2024 Small Pharma Inc was amalgamated with Cybin Corp.</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Basis of consolidation</w:t>
      </w:r>
    </w:p>
    <w:p>
      <w:pPr>
        <w:spacing w:after="0" w:line="244"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6"/>
          <w:szCs w:val="16"/>
          <w:color w:val="auto"/>
        </w:rPr>
        <w:t>The Company consolidates entities which it controls. Control exists when the Company has the power, directly and indirectly to govern the financial and operating policies of an entity and be exposed to the variable returns from its activities. The financial statements of subsidiaries are included in the consolidated financial statements from the date that control commences until the date that control ceases.</w:t>
      </w:r>
    </w:p>
    <w:p>
      <w:pPr>
        <w:spacing w:after="0" w:line="175" w:lineRule="exact"/>
        <w:rPr>
          <w:sz w:val="20"/>
          <w:szCs w:val="20"/>
          <w:color w:val="auto"/>
        </w:rPr>
      </w:pPr>
    </w:p>
    <w:p>
      <w:pPr>
        <w:jc w:val="both"/>
        <w:ind w:left="280" w:right="20"/>
        <w:spacing w:after="0" w:line="318" w:lineRule="auto"/>
        <w:rPr>
          <w:sz w:val="20"/>
          <w:szCs w:val="20"/>
          <w:color w:val="auto"/>
        </w:rPr>
      </w:pPr>
      <w:r>
        <w:rPr>
          <w:rFonts w:ascii="Times New Roman" w:cs="Times New Roman" w:eastAsia="Times New Roman" w:hAnsi="Times New Roman"/>
          <w:sz w:val="16"/>
          <w:szCs w:val="16"/>
          <w:color w:val="auto"/>
        </w:rPr>
        <w:t>Intercompany balances, and any unrealized gains and losses or income and expenses arising from transactions with controlled entities are eliminated to the extent of the Company’s interest in the entity.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Cash and cash equivalents</w:t>
      </w:r>
    </w:p>
    <w:p>
      <w:pPr>
        <w:spacing w:after="0" w:line="244" w:lineRule="exact"/>
        <w:rPr>
          <w:sz w:val="20"/>
          <w:szCs w:val="20"/>
          <w:color w:val="auto"/>
        </w:rPr>
      </w:pPr>
    </w:p>
    <w:p>
      <w:pPr>
        <w:jc w:val="both"/>
        <w:ind w:left="280" w:right="20"/>
        <w:spacing w:after="0" w:line="293" w:lineRule="auto"/>
        <w:rPr>
          <w:sz w:val="20"/>
          <w:szCs w:val="20"/>
          <w:color w:val="auto"/>
        </w:rPr>
      </w:pPr>
      <w:r>
        <w:rPr>
          <w:rFonts w:ascii="Times New Roman" w:cs="Times New Roman" w:eastAsia="Times New Roman" w:hAnsi="Times New Roman"/>
          <w:sz w:val="16"/>
          <w:szCs w:val="16"/>
          <w:color w:val="auto"/>
        </w:rPr>
        <w:t>Cash and cash equivalents are comprised of cash on deposit and highly liquid short-term interest-bearing variable rate investments with an original maturity of three months or less, or which are readily convertible into a known amount of cash with no significant changes. As at March 31, 2024 and March 31, 2023 there were no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13 of 57</w:t>
      </w:r>
    </w:p>
    <w:p>
      <w:pPr>
        <w:sectPr>
          <w:pgSz w:w="11900" w:h="16838" w:orient="portrait"/>
          <w:cols w:equalWidth="0" w:num="1">
            <w:col w:w="11260"/>
          </w:cols>
          <w:pgMar w:left="320" w:top="212"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Inventories</w:t>
      </w:r>
    </w:p>
    <w:p>
      <w:pPr>
        <w:spacing w:after="0" w:line="244"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Inventories include raw materials and finished goods. Raw materials are stated at the lower of cost and replacement cost with cost determined on a first-in, first-out basis. The Company monitors the shelf life and expiry of finished goods to determine when inventory values are not recoverable and a write-down is necessary.</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Equipment</w:t>
      </w:r>
    </w:p>
    <w:p>
      <w:pPr>
        <w:spacing w:after="0" w:line="244"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Equipment consists of lab and computer equipment and are recorded at cost less accumulated depreciation and accumulated impairment losses. Cost includes all expenditures incurred to bring the asset to the location and condition necessary for them to be operating in the manner intended by management.</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Depreciation is recognized based on the cost of the item less its estimated residual value, over its estimated useful life on a straight-line basis at the following rates:</w:t>
      </w:r>
    </w:p>
    <w:p>
      <w:pPr>
        <w:spacing w:after="0" w:line="253" w:lineRule="exact"/>
        <w:rPr>
          <w:sz w:val="20"/>
          <w:szCs w:val="20"/>
          <w:color w:val="auto"/>
        </w:rPr>
      </w:pPr>
    </w:p>
    <w:p>
      <w:pPr>
        <w:ind w:left="1100" w:hanging="290"/>
        <w:spacing w:after="0"/>
        <w:tabs>
          <w:tab w:leader="none" w:pos="1100" w:val="left"/>
        </w:tabs>
        <w:numPr>
          <w:ilvl w:val="0"/>
          <w:numId w:val="114"/>
        </w:numPr>
        <w:rPr>
          <w:rFonts w:ascii="Arial" w:cs="Arial" w:eastAsia="Arial" w:hAnsi="Arial"/>
          <w:sz w:val="18"/>
          <w:szCs w:val="18"/>
          <w:color w:val="auto"/>
        </w:rPr>
      </w:pPr>
      <w:r>
        <w:rPr>
          <w:rFonts w:ascii="Times New Roman" w:cs="Times New Roman" w:eastAsia="Times New Roman" w:hAnsi="Times New Roman"/>
          <w:sz w:val="16"/>
          <w:szCs w:val="16"/>
          <w:color w:val="auto"/>
        </w:rPr>
        <w:t>Lab equipment– 5 years</w:t>
      </w:r>
    </w:p>
    <w:p>
      <w:pPr>
        <w:spacing w:after="0" w:line="23" w:lineRule="exact"/>
        <w:rPr>
          <w:rFonts w:ascii="Arial" w:cs="Arial" w:eastAsia="Arial" w:hAnsi="Arial"/>
          <w:sz w:val="18"/>
          <w:szCs w:val="18"/>
          <w:color w:val="auto"/>
        </w:rPr>
      </w:pPr>
    </w:p>
    <w:p>
      <w:pPr>
        <w:ind w:left="1100" w:hanging="290"/>
        <w:spacing w:after="0"/>
        <w:tabs>
          <w:tab w:leader="none" w:pos="1100" w:val="left"/>
        </w:tabs>
        <w:numPr>
          <w:ilvl w:val="0"/>
          <w:numId w:val="114"/>
        </w:numPr>
        <w:rPr>
          <w:rFonts w:ascii="Arial" w:cs="Arial" w:eastAsia="Arial" w:hAnsi="Arial"/>
          <w:sz w:val="18"/>
          <w:szCs w:val="18"/>
          <w:color w:val="auto"/>
        </w:rPr>
      </w:pPr>
      <w:r>
        <w:rPr>
          <w:rFonts w:ascii="Times New Roman" w:cs="Times New Roman" w:eastAsia="Times New Roman" w:hAnsi="Times New Roman"/>
          <w:sz w:val="16"/>
          <w:szCs w:val="16"/>
          <w:color w:val="auto"/>
        </w:rPr>
        <w:t>Computer equipment– 3 years</w:t>
      </w:r>
    </w:p>
    <w:p>
      <w:pPr>
        <w:spacing w:after="0" w:line="230" w:lineRule="exact"/>
        <w:rPr>
          <w:sz w:val="20"/>
          <w:szCs w:val="20"/>
          <w:color w:val="auto"/>
        </w:rPr>
      </w:pPr>
    </w:p>
    <w:p>
      <w:pPr>
        <w:jc w:val="both"/>
        <w:ind w:left="220"/>
        <w:spacing w:after="0" w:line="285" w:lineRule="auto"/>
        <w:rPr>
          <w:sz w:val="20"/>
          <w:szCs w:val="20"/>
          <w:color w:val="auto"/>
        </w:rPr>
      </w:pPr>
      <w:r>
        <w:rPr>
          <w:rFonts w:ascii="Times New Roman" w:cs="Times New Roman" w:eastAsia="Times New Roman" w:hAnsi="Times New Roman"/>
          <w:sz w:val="16"/>
          <w:szCs w:val="16"/>
          <w:color w:val="auto"/>
        </w:rPr>
        <w:t>An item of equipment and any significant part initially recognized is derecognized upon disposal or when no future economic benefits are expected from its use. Any gain or loss arising on derecognition of the asset (calculated as the difference between the net disposal proceeds and the carrying amount of the asset) is included in the consolidated statement of loss and comprehensive loss when the asset is derecognized. The assets’ residual values, useful lives and methods of depreciation are reviewed at each reporting date and adjusted prospectively if appropriate.</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Intangible Assets</w:t>
      </w:r>
    </w:p>
    <w:p>
      <w:pPr>
        <w:spacing w:after="0" w:line="230" w:lineRule="exact"/>
        <w:rPr>
          <w:sz w:val="20"/>
          <w:szCs w:val="20"/>
          <w:color w:val="auto"/>
        </w:rPr>
      </w:pPr>
    </w:p>
    <w:p>
      <w:pPr>
        <w:jc w:val="both"/>
        <w:ind w:left="220"/>
        <w:spacing w:after="0" w:line="267" w:lineRule="auto"/>
        <w:rPr>
          <w:sz w:val="20"/>
          <w:szCs w:val="20"/>
          <w:color w:val="auto"/>
        </w:rPr>
      </w:pPr>
      <w:r>
        <w:rPr>
          <w:rFonts w:ascii="Times New Roman" w:cs="Times New Roman" w:eastAsia="Times New Roman" w:hAnsi="Times New Roman"/>
          <w:sz w:val="16"/>
          <w:szCs w:val="16"/>
          <w:color w:val="auto"/>
        </w:rPr>
        <w:t>Intangible assets include expenditures related to obtaining patents, software related items and in-process research and development (“</w:t>
      </w:r>
      <w:r>
        <w:rPr>
          <w:rFonts w:ascii="Times New Roman" w:cs="Times New Roman" w:eastAsia="Times New Roman" w:hAnsi="Times New Roman"/>
          <w:sz w:val="16"/>
          <w:szCs w:val="16"/>
          <w:b w:val="1"/>
          <w:bCs w:val="1"/>
          <w:color w:val="auto"/>
        </w:rPr>
        <w:t>IPR&amp;D</w:t>
      </w:r>
      <w:r>
        <w:rPr>
          <w:rFonts w:ascii="Times New Roman" w:cs="Times New Roman" w:eastAsia="Times New Roman" w:hAnsi="Times New Roman"/>
          <w:sz w:val="16"/>
          <w:szCs w:val="16"/>
          <w:color w:val="auto"/>
        </w:rPr>
        <w:t>”). The amortization of software related items begins when the software is in use and will be amortized on a straight-line basis over a period of 3 years. The amortization of patent costs commences when the associated products are available for commercial sale and is amortized on a straight-line basis over its respective legal lives or economic life, if shorter. Patents have an estimated useful life of 17 years. Amortization methods, useful lives, and residual values are reviewed at each reporting date and adjusted if appropriate. Acquired IPR&amp;D is capitalized based on technical feasibility and remains on the balance sheet, subject to impairment. Acquired IPR&amp;D is initially measured at fair value and recognized as an indefinite-lived intangible asset until completion or abandonment of the related project. Amortization commences when the assets become available for use. Expenditures on research activities, undertaken with the prospect of gaining new scientific or technical knowledge and understanding, are recognized in operations as incurred.</w:t>
      </w:r>
    </w:p>
    <w:p>
      <w:pPr>
        <w:spacing w:after="0" w:line="196" w:lineRule="exact"/>
        <w:rPr>
          <w:sz w:val="20"/>
          <w:szCs w:val="20"/>
          <w:color w:val="auto"/>
        </w:rPr>
      </w:pPr>
    </w:p>
    <w:p>
      <w:pPr>
        <w:jc w:val="both"/>
        <w:ind w:left="220" w:right="20"/>
        <w:spacing w:after="0" w:line="302" w:lineRule="auto"/>
        <w:rPr>
          <w:sz w:val="20"/>
          <w:szCs w:val="20"/>
          <w:color w:val="auto"/>
        </w:rPr>
      </w:pPr>
      <w:r>
        <w:rPr>
          <w:rFonts w:ascii="Times New Roman" w:cs="Times New Roman" w:eastAsia="Times New Roman" w:hAnsi="Times New Roman"/>
          <w:sz w:val="16"/>
          <w:szCs w:val="16"/>
          <w:color w:val="auto"/>
        </w:rPr>
        <w:t>Development activities involve a plan or design for the production of new, or substantially improved, products or processes related to the Company’s development of psychedelic-based therapeutics. Development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14 of 57</w:t>
      </w:r>
    </w:p>
    <w:p>
      <w:pPr>
        <w:sectPr>
          <w:pgSz w:w="11900" w:h="16838" w:orient="portrait"/>
          <w:cols w:equalWidth="0" w:num="1">
            <w:col w:w="11200"/>
          </w:cols>
          <w:pgMar w:left="380" w:top="212" w:right="3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are capitalized only if the relevant IFRS criteria are met. Capitalized development expenditures are amortized from the beginning of commercial production and sales and are amortized on a straight-line basis over the remaining useful life of the related patents. Development expenditures, in relation to the Company’s psychedelic-based therapeutics, have not satisfied the above criteria and are recognized in operations as incurred.</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Goodwill</w:t>
      </w:r>
    </w:p>
    <w:p>
      <w:pPr>
        <w:spacing w:after="0" w:line="244" w:lineRule="exact"/>
        <w:rPr>
          <w:sz w:val="20"/>
          <w:szCs w:val="20"/>
          <w:color w:val="auto"/>
        </w:rPr>
      </w:pPr>
    </w:p>
    <w:p>
      <w:pPr>
        <w:jc w:val="both"/>
        <w:ind w:left="220"/>
        <w:spacing w:after="0" w:line="278" w:lineRule="auto"/>
        <w:rPr>
          <w:sz w:val="20"/>
          <w:szCs w:val="20"/>
          <w:color w:val="auto"/>
        </w:rPr>
      </w:pPr>
      <w:r>
        <w:rPr>
          <w:rFonts w:ascii="Times New Roman" w:cs="Times New Roman" w:eastAsia="Times New Roman" w:hAnsi="Times New Roman"/>
          <w:sz w:val="16"/>
          <w:szCs w:val="16"/>
          <w:color w:val="auto"/>
        </w:rPr>
        <w:t>Goodwill represents the excess of the consideration transferred for the acquisition of an entity over the fair value of the net identifiable assets. Goodwill is initially measured at cost, and subsequently recorded at cost less any accumulated impairment losses. For the purpose of impairment testing, goodwill acquired in a business combination is, from the acquisition date, allocated to each of the Company’s cash-generating units (“</w:t>
      </w:r>
      <w:r>
        <w:rPr>
          <w:rFonts w:ascii="Times New Roman" w:cs="Times New Roman" w:eastAsia="Times New Roman" w:hAnsi="Times New Roman"/>
          <w:sz w:val="16"/>
          <w:szCs w:val="16"/>
          <w:b w:val="1"/>
          <w:bCs w:val="1"/>
          <w:color w:val="auto"/>
        </w:rPr>
        <w:t>CGUs</w:t>
      </w:r>
      <w:r>
        <w:rPr>
          <w:rFonts w:ascii="Times New Roman" w:cs="Times New Roman" w:eastAsia="Times New Roman" w:hAnsi="Times New Roman"/>
          <w:sz w:val="16"/>
          <w:szCs w:val="16"/>
          <w:color w:val="auto"/>
        </w:rPr>
        <w:t>”) that are expected to benefit from the combination, irrespective of whether other assets or liabilities of the acquiree are assigned to those CGUs. The Company tests for impairment annually, or when indications of impairment exist. Impairment is determined for goodwill by assessing if the carrying value of CGUs, including goodwill, exceeds its recoverable amount determined as the greater of the estimated fair value less costs of disposal and the value in use. Impairment losses recognized in respect of the CGUs are first allocated to the carrying value of goodwill and any excess is allocated to the carrying amount of assets in the CGUs. Any goodwill impairment is recorded in the consolidated statement of loss and comprehensive loss.</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Impairment of long-lived assets</w:t>
      </w:r>
    </w:p>
    <w:p>
      <w:pPr>
        <w:spacing w:after="0" w:line="244" w:lineRule="exact"/>
        <w:rPr>
          <w:sz w:val="20"/>
          <w:szCs w:val="20"/>
          <w:color w:val="auto"/>
        </w:rPr>
      </w:pPr>
    </w:p>
    <w:p>
      <w:pPr>
        <w:jc w:val="both"/>
        <w:ind w:left="220" w:right="20"/>
        <w:spacing w:after="0" w:line="281" w:lineRule="auto"/>
        <w:rPr>
          <w:sz w:val="20"/>
          <w:szCs w:val="20"/>
          <w:color w:val="auto"/>
        </w:rPr>
      </w:pPr>
      <w:r>
        <w:rPr>
          <w:rFonts w:ascii="Times New Roman" w:cs="Times New Roman" w:eastAsia="Times New Roman" w:hAnsi="Times New Roman"/>
          <w:sz w:val="16"/>
          <w:szCs w:val="16"/>
          <w:color w:val="auto"/>
        </w:rPr>
        <w:t>Long-lived assets, including equipment and intangible assets, are reviewed for impairment at each consolidated statement of financial position date or whenever events or changes in circumstances indicate that the carrying amount of the asset exceeds its recoverable amount. Where the carrying value of an asset exceeds its recoverable amount, which is the higher of value in use and fair value less costs to sell, the asset is written down accordingly. Where it is not possible to estimate the recoverable amount of an individual asset, the impairment test is carried out on the asset’s cash-generating unit, which is the lowest group of assets in which the asset belongs for which there are separate cash inflows that are largely independent of the cash inflows from other assets. An impairment loss is charged to operations.</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Financial instruments</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Recognition and initial measurement</w:t>
      </w:r>
    </w:p>
    <w:p>
      <w:pPr>
        <w:spacing w:after="0" w:line="244"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The Company initially recognizes financial instruments on the trade date, which is the date on which the Company becomes a party to the contractual provisions of the instrument. A financial asset or financial liability is measured initially at fair value plus/minus, for an item not at fair value through profit or loss (“</w:t>
      </w:r>
      <w:r>
        <w:rPr>
          <w:rFonts w:ascii="Times New Roman" w:cs="Times New Roman" w:eastAsia="Times New Roman" w:hAnsi="Times New Roman"/>
          <w:sz w:val="16"/>
          <w:szCs w:val="16"/>
          <w:b w:val="1"/>
          <w:bCs w:val="1"/>
          <w:color w:val="auto"/>
        </w:rPr>
        <w:t>FVTPL</w:t>
      </w:r>
      <w:r>
        <w:rPr>
          <w:rFonts w:ascii="Times New Roman" w:cs="Times New Roman" w:eastAsia="Times New Roman" w:hAnsi="Times New Roman"/>
          <w:sz w:val="16"/>
          <w:szCs w:val="16"/>
          <w:color w:val="auto"/>
        </w:rPr>
        <w:t>”), transaction costs that are directly attributable to its acquisition or use.</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Classification</w:t>
      </w: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Financial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15 of 57</w:t>
      </w:r>
    </w:p>
    <w:p>
      <w:pPr>
        <w:sectPr>
          <w:pgSz w:w="11900" w:h="16838" w:orient="portrait"/>
          <w:cols w:equalWidth="0" w:num="1">
            <w:col w:w="11200"/>
          </w:cols>
          <w:pgMar w:left="380" w:top="212"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On initial recognition, a financial asset is classified as measured at: amortized cost, fair value through other comprehensive income (“</w:t>
      </w:r>
      <w:r>
        <w:rPr>
          <w:rFonts w:ascii="Times New Roman" w:cs="Times New Roman" w:eastAsia="Times New Roman" w:hAnsi="Times New Roman"/>
          <w:sz w:val="16"/>
          <w:szCs w:val="16"/>
          <w:b w:val="1"/>
          <w:bCs w:val="1"/>
          <w:color w:val="auto"/>
        </w:rPr>
        <w:t>FVOCI</w:t>
      </w:r>
      <w:r>
        <w:rPr>
          <w:rFonts w:ascii="Times New Roman" w:cs="Times New Roman" w:eastAsia="Times New Roman" w:hAnsi="Times New Roman"/>
          <w:sz w:val="16"/>
          <w:szCs w:val="16"/>
          <w:color w:val="auto"/>
        </w:rPr>
        <w:t>”), or FVTPL.</w:t>
      </w: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 financial asset is measured at amortized cost if it meets both of the following conditions and is not designated as at FVTPL:</w:t>
      </w:r>
    </w:p>
    <w:p>
      <w:pPr>
        <w:spacing w:after="0" w:line="253" w:lineRule="exact"/>
        <w:rPr>
          <w:sz w:val="20"/>
          <w:szCs w:val="20"/>
          <w:color w:val="auto"/>
        </w:rPr>
      </w:pPr>
    </w:p>
    <w:p>
      <w:pPr>
        <w:ind w:left="800" w:hanging="281"/>
        <w:spacing w:after="0"/>
        <w:tabs>
          <w:tab w:leader="none" w:pos="800" w:val="left"/>
        </w:tabs>
        <w:numPr>
          <w:ilvl w:val="0"/>
          <w:numId w:val="115"/>
        </w:numPr>
        <w:rPr>
          <w:rFonts w:ascii="Arial" w:cs="Arial" w:eastAsia="Arial" w:hAnsi="Arial"/>
          <w:sz w:val="18"/>
          <w:szCs w:val="18"/>
          <w:color w:val="auto"/>
        </w:rPr>
      </w:pPr>
      <w:r>
        <w:rPr>
          <w:rFonts w:ascii="Times New Roman" w:cs="Times New Roman" w:eastAsia="Times New Roman" w:hAnsi="Times New Roman"/>
          <w:sz w:val="16"/>
          <w:szCs w:val="16"/>
          <w:color w:val="auto"/>
        </w:rPr>
        <w:t>The asset is held within a business model whose objective is to hold assets to collect contractual cash flows; and</w:t>
      </w:r>
    </w:p>
    <w:p>
      <w:pPr>
        <w:spacing w:after="0" w:line="35" w:lineRule="exact"/>
        <w:rPr>
          <w:rFonts w:ascii="Arial" w:cs="Arial" w:eastAsia="Arial" w:hAnsi="Arial"/>
          <w:sz w:val="18"/>
          <w:szCs w:val="18"/>
          <w:color w:val="auto"/>
        </w:rPr>
      </w:pPr>
    </w:p>
    <w:p>
      <w:pPr>
        <w:ind w:left="820" w:hanging="301"/>
        <w:spacing w:after="0" w:line="288" w:lineRule="auto"/>
        <w:tabs>
          <w:tab w:leader="none" w:pos="809" w:val="left"/>
        </w:tabs>
        <w:numPr>
          <w:ilvl w:val="0"/>
          <w:numId w:val="115"/>
        </w:numPr>
        <w:rPr>
          <w:rFonts w:ascii="Arial" w:cs="Arial" w:eastAsia="Arial" w:hAnsi="Arial"/>
          <w:sz w:val="18"/>
          <w:szCs w:val="18"/>
          <w:color w:val="auto"/>
        </w:rPr>
      </w:pPr>
      <w:r>
        <w:rPr>
          <w:rFonts w:ascii="Times New Roman" w:cs="Times New Roman" w:eastAsia="Times New Roman" w:hAnsi="Times New Roman"/>
          <w:sz w:val="16"/>
          <w:szCs w:val="16"/>
          <w:color w:val="auto"/>
        </w:rPr>
        <w:t>The contractual terms of the financial asset give rise on specified dates to cash flows that are solely payments of principal and interest on the principal amount outstanding.</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Company currently measures accounts receivable at amortized cost.</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 debt instrument is measured at FVOCI only if it meets both of the following conditions and is not designated as at FVTPL:</w:t>
      </w:r>
    </w:p>
    <w:p>
      <w:pPr>
        <w:spacing w:after="0" w:line="265" w:lineRule="exact"/>
        <w:rPr>
          <w:sz w:val="20"/>
          <w:szCs w:val="20"/>
          <w:color w:val="auto"/>
        </w:rPr>
      </w:pPr>
    </w:p>
    <w:p>
      <w:pPr>
        <w:ind w:left="800" w:hanging="281"/>
        <w:spacing w:after="0"/>
        <w:tabs>
          <w:tab w:leader="none" w:pos="800" w:val="left"/>
        </w:tabs>
        <w:numPr>
          <w:ilvl w:val="0"/>
          <w:numId w:val="116"/>
        </w:numPr>
        <w:rPr>
          <w:rFonts w:ascii="Arial" w:cs="Arial" w:eastAsia="Arial" w:hAnsi="Arial"/>
          <w:sz w:val="18"/>
          <w:szCs w:val="18"/>
          <w:color w:val="auto"/>
        </w:rPr>
      </w:pPr>
      <w:r>
        <w:rPr>
          <w:rFonts w:ascii="Times New Roman" w:cs="Times New Roman" w:eastAsia="Times New Roman" w:hAnsi="Times New Roman"/>
          <w:sz w:val="16"/>
          <w:szCs w:val="16"/>
          <w:color w:val="auto"/>
        </w:rPr>
        <w:t>The asset is held within a business model whose objective is achieved by both collecting contractual cash flows and selling financial assets; and</w:t>
      </w:r>
    </w:p>
    <w:p>
      <w:pPr>
        <w:spacing w:after="0" w:line="23" w:lineRule="exact"/>
        <w:rPr>
          <w:rFonts w:ascii="Arial" w:cs="Arial" w:eastAsia="Arial" w:hAnsi="Arial"/>
          <w:sz w:val="18"/>
          <w:szCs w:val="18"/>
          <w:color w:val="auto"/>
        </w:rPr>
      </w:pPr>
    </w:p>
    <w:p>
      <w:pPr>
        <w:ind w:left="820" w:hanging="301"/>
        <w:spacing w:after="0" w:line="288" w:lineRule="auto"/>
        <w:tabs>
          <w:tab w:leader="none" w:pos="809" w:val="left"/>
        </w:tabs>
        <w:numPr>
          <w:ilvl w:val="0"/>
          <w:numId w:val="116"/>
        </w:numPr>
        <w:rPr>
          <w:rFonts w:ascii="Arial" w:cs="Arial" w:eastAsia="Arial" w:hAnsi="Arial"/>
          <w:sz w:val="18"/>
          <w:szCs w:val="18"/>
          <w:color w:val="auto"/>
        </w:rPr>
      </w:pPr>
      <w:r>
        <w:rPr>
          <w:rFonts w:ascii="Times New Roman" w:cs="Times New Roman" w:eastAsia="Times New Roman" w:hAnsi="Times New Roman"/>
          <w:sz w:val="16"/>
          <w:szCs w:val="16"/>
          <w:color w:val="auto"/>
        </w:rPr>
        <w:t>The contractual terms of the financial asset give rise on specified dates to cash flows that are solely payments of principal and interest on the principal amount outstanding.</w:t>
      </w:r>
    </w:p>
    <w:p>
      <w:pPr>
        <w:spacing w:after="0" w:line="174"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On initial recognition of an equity investment that is not held for trading, the Company may irrevocably elect to present subsequent changes in FVOCI. This election is made on an investment-by-investment basis. The Company has not elected to present any assets as FVOCI.</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Cash is measured at FVTPL.</w:t>
      </w:r>
    </w:p>
    <w:p>
      <w:pPr>
        <w:spacing w:after="0" w:line="240"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In addition, on initial recognition, the Company may irrevocably designate a financial asset that otherwise meets the requirements to be measured at amortized cost as FVOCI or FVTPL if doing so eliminates or significantly reduces an accounting mismatch that would otherwise arise.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Business model assessment</w:t>
      </w:r>
    </w:p>
    <w:p>
      <w:pPr>
        <w:spacing w:after="0" w:line="242"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The Company makes an assessment of the objective of a business model in which an asset is held at a portfolio level because this best reflects the way the business is managed and information is provided to management. The information considered includes:</w:t>
      </w:r>
    </w:p>
    <w:p>
      <w:pPr>
        <w:spacing w:after="0" w:line="192" w:lineRule="exact"/>
        <w:rPr>
          <w:sz w:val="20"/>
          <w:szCs w:val="20"/>
          <w:color w:val="auto"/>
        </w:rPr>
      </w:pPr>
    </w:p>
    <w:p>
      <w:pPr>
        <w:jc w:val="both"/>
        <w:ind w:left="820" w:right="20" w:hanging="301"/>
        <w:spacing w:after="0" w:line="264" w:lineRule="auto"/>
        <w:tabs>
          <w:tab w:leader="none" w:pos="809" w:val="left"/>
        </w:tabs>
        <w:numPr>
          <w:ilvl w:val="0"/>
          <w:numId w:val="117"/>
        </w:numPr>
        <w:rPr>
          <w:rFonts w:ascii="Arial" w:cs="Arial" w:eastAsia="Arial" w:hAnsi="Arial"/>
          <w:sz w:val="18"/>
          <w:szCs w:val="18"/>
          <w:color w:val="auto"/>
        </w:rPr>
      </w:pPr>
      <w:r>
        <w:rPr>
          <w:rFonts w:ascii="Times New Roman" w:cs="Times New Roman" w:eastAsia="Times New Roman" w:hAnsi="Times New Roman"/>
          <w:sz w:val="16"/>
          <w:szCs w:val="16"/>
          <w:color w:val="auto"/>
        </w:rPr>
        <w:t>The stated policies and objectives for the portfolio and the operation of those policies in practice. In particular, whether management’s strategy focuses on earning contractual interest revenue, maintaining a particular interest rate profile, matching the duration of the financial assets to the duration of the liabilities that are funding those assets or realizing cash flows through the sale of the assets;</w:t>
      </w:r>
    </w:p>
    <w:p>
      <w:pPr>
        <w:spacing w:after="0" w:line="10" w:lineRule="exact"/>
        <w:rPr>
          <w:rFonts w:ascii="Arial" w:cs="Arial" w:eastAsia="Arial" w:hAnsi="Arial"/>
          <w:sz w:val="18"/>
          <w:szCs w:val="18"/>
          <w:color w:val="auto"/>
        </w:rPr>
      </w:pPr>
    </w:p>
    <w:p>
      <w:pPr>
        <w:ind w:left="800" w:hanging="281"/>
        <w:spacing w:after="0"/>
        <w:tabs>
          <w:tab w:leader="none" w:pos="800" w:val="left"/>
        </w:tabs>
        <w:numPr>
          <w:ilvl w:val="0"/>
          <w:numId w:val="117"/>
        </w:numPr>
        <w:rPr>
          <w:rFonts w:ascii="Arial" w:cs="Arial" w:eastAsia="Arial" w:hAnsi="Arial"/>
          <w:sz w:val="18"/>
          <w:szCs w:val="18"/>
          <w:color w:val="auto"/>
        </w:rPr>
      </w:pPr>
      <w:r>
        <w:rPr>
          <w:rFonts w:ascii="Times New Roman" w:cs="Times New Roman" w:eastAsia="Times New Roman" w:hAnsi="Times New Roman"/>
          <w:sz w:val="16"/>
          <w:szCs w:val="16"/>
          <w:color w:val="auto"/>
        </w:rPr>
        <w:t>How the performance of the portfolio is evaluated and reported to the Company’s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16 of 57</w:t>
      </w:r>
    </w:p>
    <w:p>
      <w:pPr>
        <w:sectPr>
          <w:pgSz w:w="11900" w:h="16838" w:orient="portrait"/>
          <w:cols w:equalWidth="0" w:num="1">
            <w:col w:w="11200"/>
          </w:cols>
          <w:pgMar w:left="380" w:top="212" w:right="3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0" w:hanging="281"/>
        <w:spacing w:after="0"/>
        <w:tabs>
          <w:tab w:leader="none" w:pos="800" w:val="left"/>
        </w:tabs>
        <w:numPr>
          <w:ilvl w:val="0"/>
          <w:numId w:val="118"/>
        </w:numPr>
        <w:rPr>
          <w:rFonts w:ascii="Arial" w:cs="Arial" w:eastAsia="Arial" w:hAnsi="Arial"/>
          <w:sz w:val="18"/>
          <w:szCs w:val="18"/>
          <w:color w:val="auto"/>
        </w:rPr>
      </w:pPr>
      <w:r>
        <w:rPr>
          <w:rFonts w:ascii="Times New Roman" w:cs="Times New Roman" w:eastAsia="Times New Roman" w:hAnsi="Times New Roman"/>
          <w:sz w:val="16"/>
          <w:szCs w:val="16"/>
          <w:color w:val="auto"/>
        </w:rPr>
        <w:t>The risks that affect the performance of the business model (and the financial assets held within that business model) and how those risks are managed;</w:t>
      </w:r>
    </w:p>
    <w:p>
      <w:pPr>
        <w:spacing w:after="0" w:line="23" w:lineRule="exact"/>
        <w:rPr>
          <w:rFonts w:ascii="Arial" w:cs="Arial" w:eastAsia="Arial" w:hAnsi="Arial"/>
          <w:sz w:val="18"/>
          <w:szCs w:val="18"/>
          <w:color w:val="auto"/>
        </w:rPr>
      </w:pPr>
    </w:p>
    <w:p>
      <w:pPr>
        <w:ind w:left="820" w:right="20" w:hanging="301"/>
        <w:spacing w:after="0" w:line="262" w:lineRule="auto"/>
        <w:tabs>
          <w:tab w:leader="none" w:pos="809" w:val="left"/>
        </w:tabs>
        <w:numPr>
          <w:ilvl w:val="0"/>
          <w:numId w:val="118"/>
        </w:numPr>
        <w:rPr>
          <w:rFonts w:ascii="Arial" w:cs="Arial" w:eastAsia="Arial" w:hAnsi="Arial"/>
          <w:sz w:val="18"/>
          <w:szCs w:val="18"/>
          <w:color w:val="auto"/>
        </w:rPr>
      </w:pPr>
      <w:r>
        <w:rPr>
          <w:rFonts w:ascii="Times New Roman" w:cs="Times New Roman" w:eastAsia="Times New Roman" w:hAnsi="Times New Roman"/>
          <w:sz w:val="16"/>
          <w:szCs w:val="16"/>
          <w:color w:val="auto"/>
        </w:rPr>
        <w:t>How managers of the business are compensated (e.g. whether compensation is based on the fair value of the assets managed or the contractual cash flows collected); and</w:t>
      </w:r>
    </w:p>
    <w:p>
      <w:pPr>
        <w:spacing w:after="0" w:line="9" w:lineRule="exact"/>
        <w:rPr>
          <w:rFonts w:ascii="Arial" w:cs="Arial" w:eastAsia="Arial" w:hAnsi="Arial"/>
          <w:sz w:val="18"/>
          <w:szCs w:val="18"/>
          <w:color w:val="auto"/>
        </w:rPr>
      </w:pPr>
    </w:p>
    <w:p>
      <w:pPr>
        <w:jc w:val="both"/>
        <w:ind w:left="820" w:right="20" w:hanging="301"/>
        <w:spacing w:after="0" w:line="283" w:lineRule="auto"/>
        <w:tabs>
          <w:tab w:leader="none" w:pos="809" w:val="left"/>
        </w:tabs>
        <w:numPr>
          <w:ilvl w:val="0"/>
          <w:numId w:val="118"/>
        </w:numPr>
        <w:rPr>
          <w:rFonts w:ascii="Arial" w:cs="Arial" w:eastAsia="Arial" w:hAnsi="Arial"/>
          <w:sz w:val="18"/>
          <w:szCs w:val="18"/>
          <w:color w:val="auto"/>
        </w:rPr>
      </w:pPr>
      <w:r>
        <w:rPr>
          <w:rFonts w:ascii="Times New Roman" w:cs="Times New Roman" w:eastAsia="Times New Roman" w:hAnsi="Times New Roman"/>
          <w:sz w:val="16"/>
          <w:szCs w:val="16"/>
          <w:color w:val="auto"/>
        </w:rPr>
        <w:t>The frequency, volume and timing of sales in prior periods, the reasons for such sales and its expectation about future sales activity. However, information about sales activity is not considered in isolation, but as part of an overall assessment of the Company’s stated objective for managing the financial asset is achieved and how cash flows are realized.</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Assessment whether contractual cash flows are solely payments of principal and interest</w:t>
      </w:r>
    </w:p>
    <w:p>
      <w:pPr>
        <w:spacing w:after="0" w:line="242"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For the purpose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profit margin.</w:t>
      </w:r>
    </w:p>
    <w:p>
      <w:pPr>
        <w:spacing w:after="0" w:line="175" w:lineRule="exact"/>
        <w:rPr>
          <w:sz w:val="20"/>
          <w:szCs w:val="20"/>
          <w:color w:val="auto"/>
        </w:rPr>
      </w:pPr>
    </w:p>
    <w:p>
      <w:pPr>
        <w:jc w:val="both"/>
        <w:ind w:left="220"/>
        <w:spacing w:after="0" w:line="293" w:lineRule="auto"/>
        <w:rPr>
          <w:sz w:val="20"/>
          <w:szCs w:val="20"/>
          <w:color w:val="auto"/>
        </w:rPr>
      </w:pPr>
      <w:r>
        <w:rPr>
          <w:rFonts w:ascii="Times New Roman" w:cs="Times New Roman" w:eastAsia="Times New Roman" w:hAnsi="Times New Roman"/>
          <w:sz w:val="16"/>
          <w:szCs w:val="16"/>
          <w:color w:val="auto"/>
        </w:rPr>
        <w:t>In assessing whether the contractual cash flows are solely payments of principal and interest, the Company considers the contractual terms of the instrument. This includes assessing whether the financial asset contains a contractual term that could change the timing or amount of the contractual cash flows such that it would not meet this condition. In making the assessment, the Company considers:</w:t>
      </w:r>
    </w:p>
    <w:p>
      <w:pPr>
        <w:spacing w:after="0" w:line="187" w:lineRule="exact"/>
        <w:rPr>
          <w:sz w:val="20"/>
          <w:szCs w:val="20"/>
          <w:color w:val="auto"/>
        </w:rPr>
      </w:pPr>
    </w:p>
    <w:p>
      <w:pPr>
        <w:ind w:left="800" w:hanging="281"/>
        <w:spacing w:after="0"/>
        <w:tabs>
          <w:tab w:leader="none" w:pos="800" w:val="left"/>
        </w:tabs>
        <w:numPr>
          <w:ilvl w:val="0"/>
          <w:numId w:val="119"/>
        </w:numPr>
        <w:rPr>
          <w:rFonts w:ascii="Arial" w:cs="Arial" w:eastAsia="Arial" w:hAnsi="Arial"/>
          <w:sz w:val="18"/>
          <w:szCs w:val="18"/>
          <w:color w:val="auto"/>
        </w:rPr>
      </w:pPr>
      <w:r>
        <w:rPr>
          <w:rFonts w:ascii="Times New Roman" w:cs="Times New Roman" w:eastAsia="Times New Roman" w:hAnsi="Times New Roman"/>
          <w:sz w:val="16"/>
          <w:szCs w:val="16"/>
          <w:color w:val="auto"/>
        </w:rPr>
        <w:t>contingent events that would change the amount and timing of cash flows;</w:t>
      </w:r>
    </w:p>
    <w:p>
      <w:pPr>
        <w:spacing w:after="0" w:line="23" w:lineRule="exact"/>
        <w:rPr>
          <w:rFonts w:ascii="Arial" w:cs="Arial" w:eastAsia="Arial" w:hAnsi="Arial"/>
          <w:sz w:val="18"/>
          <w:szCs w:val="18"/>
          <w:color w:val="auto"/>
        </w:rPr>
      </w:pPr>
    </w:p>
    <w:p>
      <w:pPr>
        <w:ind w:left="800" w:hanging="281"/>
        <w:spacing w:after="0"/>
        <w:tabs>
          <w:tab w:leader="none" w:pos="800" w:val="left"/>
        </w:tabs>
        <w:numPr>
          <w:ilvl w:val="0"/>
          <w:numId w:val="119"/>
        </w:numPr>
        <w:rPr>
          <w:rFonts w:ascii="Arial" w:cs="Arial" w:eastAsia="Arial" w:hAnsi="Arial"/>
          <w:sz w:val="18"/>
          <w:szCs w:val="18"/>
          <w:color w:val="auto"/>
        </w:rPr>
      </w:pPr>
      <w:r>
        <w:rPr>
          <w:rFonts w:ascii="Times New Roman" w:cs="Times New Roman" w:eastAsia="Times New Roman" w:hAnsi="Times New Roman"/>
          <w:sz w:val="16"/>
          <w:szCs w:val="16"/>
          <w:color w:val="auto"/>
        </w:rPr>
        <w:t>leverage features;</w:t>
      </w:r>
    </w:p>
    <w:p>
      <w:pPr>
        <w:spacing w:after="0" w:line="23" w:lineRule="exact"/>
        <w:rPr>
          <w:rFonts w:ascii="Arial" w:cs="Arial" w:eastAsia="Arial" w:hAnsi="Arial"/>
          <w:sz w:val="18"/>
          <w:szCs w:val="18"/>
          <w:color w:val="auto"/>
        </w:rPr>
      </w:pPr>
    </w:p>
    <w:p>
      <w:pPr>
        <w:ind w:left="800" w:hanging="281"/>
        <w:spacing w:after="0"/>
        <w:tabs>
          <w:tab w:leader="none" w:pos="800" w:val="left"/>
        </w:tabs>
        <w:numPr>
          <w:ilvl w:val="0"/>
          <w:numId w:val="119"/>
        </w:numPr>
        <w:rPr>
          <w:rFonts w:ascii="Arial" w:cs="Arial" w:eastAsia="Arial" w:hAnsi="Arial"/>
          <w:sz w:val="18"/>
          <w:szCs w:val="18"/>
          <w:color w:val="auto"/>
        </w:rPr>
      </w:pPr>
      <w:r>
        <w:rPr>
          <w:rFonts w:ascii="Times New Roman" w:cs="Times New Roman" w:eastAsia="Times New Roman" w:hAnsi="Times New Roman"/>
          <w:sz w:val="16"/>
          <w:szCs w:val="16"/>
          <w:color w:val="auto"/>
        </w:rPr>
        <w:t>prepayment and extension terms;</w:t>
      </w:r>
    </w:p>
    <w:p>
      <w:pPr>
        <w:spacing w:after="0" w:line="23" w:lineRule="exact"/>
        <w:rPr>
          <w:rFonts w:ascii="Arial" w:cs="Arial" w:eastAsia="Arial" w:hAnsi="Arial"/>
          <w:sz w:val="18"/>
          <w:szCs w:val="18"/>
          <w:color w:val="auto"/>
        </w:rPr>
      </w:pPr>
    </w:p>
    <w:p>
      <w:pPr>
        <w:ind w:left="800" w:hanging="281"/>
        <w:spacing w:after="0"/>
        <w:tabs>
          <w:tab w:leader="none" w:pos="800" w:val="left"/>
        </w:tabs>
        <w:numPr>
          <w:ilvl w:val="0"/>
          <w:numId w:val="119"/>
        </w:numPr>
        <w:rPr>
          <w:rFonts w:ascii="Arial" w:cs="Arial" w:eastAsia="Arial" w:hAnsi="Arial"/>
          <w:sz w:val="18"/>
          <w:szCs w:val="18"/>
          <w:color w:val="auto"/>
        </w:rPr>
      </w:pPr>
      <w:r>
        <w:rPr>
          <w:rFonts w:ascii="Times New Roman" w:cs="Times New Roman" w:eastAsia="Times New Roman" w:hAnsi="Times New Roman"/>
          <w:sz w:val="16"/>
          <w:szCs w:val="16"/>
          <w:color w:val="auto"/>
        </w:rPr>
        <w:t>terms that limit the Company’s claim to cash flows from specified assets (e.g. non-recourse asset arrangements); and</w:t>
      </w:r>
    </w:p>
    <w:p>
      <w:pPr>
        <w:spacing w:after="0" w:line="35" w:lineRule="exact"/>
        <w:rPr>
          <w:rFonts w:ascii="Arial" w:cs="Arial" w:eastAsia="Arial" w:hAnsi="Arial"/>
          <w:sz w:val="18"/>
          <w:szCs w:val="18"/>
          <w:color w:val="auto"/>
        </w:rPr>
      </w:pPr>
    </w:p>
    <w:p>
      <w:pPr>
        <w:ind w:left="800" w:hanging="281"/>
        <w:spacing w:after="0"/>
        <w:tabs>
          <w:tab w:leader="none" w:pos="800" w:val="left"/>
        </w:tabs>
        <w:numPr>
          <w:ilvl w:val="0"/>
          <w:numId w:val="119"/>
        </w:numPr>
        <w:rPr>
          <w:rFonts w:ascii="Arial" w:cs="Arial" w:eastAsia="Arial" w:hAnsi="Arial"/>
          <w:sz w:val="18"/>
          <w:szCs w:val="18"/>
          <w:color w:val="auto"/>
        </w:rPr>
      </w:pPr>
      <w:r>
        <w:rPr>
          <w:rFonts w:ascii="Times New Roman" w:cs="Times New Roman" w:eastAsia="Times New Roman" w:hAnsi="Times New Roman"/>
          <w:sz w:val="16"/>
          <w:szCs w:val="16"/>
          <w:color w:val="auto"/>
        </w:rPr>
        <w:t>features that modify consideration of the time value of money– e.g. periodical rest of interest rates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Reclassifications</w:t>
      </w:r>
    </w:p>
    <w:p>
      <w:pPr>
        <w:spacing w:after="0" w:line="242"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The Company would reclassify a financial asset when the Company changes its business model for managing the financial asset. All reclassifications are recorded at fair value at the date of the reclassification, which becomes the new carrying value.</w:t>
      </w:r>
    </w:p>
    <w:p>
      <w:pPr>
        <w:spacing w:after="0" w:line="180"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Financial assets are not reclassified subsequent to their initial recognition, except in the period after the Company changes its business model for managing financial assets.</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Financial liabilities</w:t>
      </w:r>
    </w:p>
    <w:p>
      <w:pPr>
        <w:spacing w:after="0" w:line="255" w:lineRule="exact"/>
        <w:rPr>
          <w:sz w:val="20"/>
          <w:szCs w:val="20"/>
          <w:color w:val="auto"/>
        </w:rPr>
      </w:pPr>
    </w:p>
    <w:p>
      <w:pPr>
        <w:ind w:left="220" w:right="20"/>
        <w:spacing w:after="0" w:line="302" w:lineRule="auto"/>
        <w:rPr>
          <w:sz w:val="20"/>
          <w:szCs w:val="20"/>
          <w:color w:val="auto"/>
        </w:rPr>
      </w:pPr>
      <w:r>
        <w:rPr>
          <w:rFonts w:ascii="Times New Roman" w:cs="Times New Roman" w:eastAsia="Times New Roman" w:hAnsi="Times New Roman"/>
          <w:sz w:val="16"/>
          <w:szCs w:val="16"/>
          <w:color w:val="auto"/>
        </w:rPr>
        <w:t>The Company classifies its financial liabilities at amortized cost or FVTPL. The Company currently measures accounts payable, lease liabilities and accrued liabilities at amortized cost and contingent consideration payable at FVTPL.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17 of 57</w:t>
      </w:r>
    </w:p>
    <w:p>
      <w:pPr>
        <w:sectPr>
          <w:pgSz w:w="11900" w:h="16838" w:orient="portrait"/>
          <w:cols w:equalWidth="0" w:num="1">
            <w:col w:w="11200"/>
          </w:cols>
          <w:pgMar w:left="380" w:top="212" w:right="3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Derecognition</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Financial assets</w:t>
      </w:r>
    </w:p>
    <w:p>
      <w:pPr>
        <w:spacing w:after="0" w:line="242"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The Company derecognizes a financial asset when the contractual rights to the cash flows from the financial asset expire, or it transfers the rights to receive the contractual cash flows in a transition in which substantially all of the risks and rewards of ownership of the financial asset are transferred or in which the Company neither transfers nor retains substantially all of the risks and rewards of ownership and it does not retain control of the financial asset.</w:t>
      </w:r>
    </w:p>
    <w:p>
      <w:pPr>
        <w:spacing w:after="0" w:line="175"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On derecognition of a financial asset, the difference between the carrying amount of the asset (or the carrying amount allocated to the portion of the asset derecognized) and the sum of (i) the consideration received (including any new assets obtained less any new liability assumed) and (ii) cumulative gain or loss that had been recognized in other comprehensive income is recognized in profit or loss.</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Financial liabilities</w:t>
      </w: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Company derecognizes a financial liability when its contractual obligations are discharged or cancelled, or expire.</w:t>
      </w: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Modifications of financial assets and financial liabilities</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Financial assets</w:t>
      </w:r>
    </w:p>
    <w:p>
      <w:pPr>
        <w:spacing w:after="0" w:line="255" w:lineRule="exact"/>
        <w:rPr>
          <w:sz w:val="20"/>
          <w:szCs w:val="20"/>
          <w:color w:val="auto"/>
        </w:rPr>
      </w:pPr>
    </w:p>
    <w:p>
      <w:pPr>
        <w:jc w:val="both"/>
        <w:ind w:left="220"/>
        <w:spacing w:after="0" w:line="285" w:lineRule="auto"/>
        <w:rPr>
          <w:sz w:val="20"/>
          <w:szCs w:val="20"/>
          <w:color w:val="auto"/>
        </w:rPr>
      </w:pPr>
      <w:r>
        <w:rPr>
          <w:rFonts w:ascii="Times New Roman" w:cs="Times New Roman" w:eastAsia="Times New Roman" w:hAnsi="Times New Roman"/>
          <w:sz w:val="16"/>
          <w:szCs w:val="16"/>
          <w:color w:val="auto"/>
        </w:rPr>
        <w:t>If the terms of a financial asset are modified, the Company evaluates whether the cash flows of the modified asset are substantially different. If the cash flows are substantially different, then the contractual rights to cash flows from the original financial asset are deemed to have expired. In this case, the original financial asset is derecognized and a new financial asset is recognized at fair value.</w:t>
      </w:r>
    </w:p>
    <w:p>
      <w:pPr>
        <w:spacing w:after="0" w:line="193"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If the cash flows of the modified asset carried at amortized cost are not substantially different, then the modification does not result in derecognition of the financial asset. In this case, the Company recalculates the gross carrying amount of the financial asset and recognizes the amount arising from adjusting the gross carrying amount as a modification gain or loss in profit or loss. If such a modification is carried out because of financial difficulties of the borrower, then the gain or loss is presented together with impairment losses. In other cases, it is presented as interest income.</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Financial liabilities</w:t>
      </w:r>
    </w:p>
    <w:p>
      <w:pPr>
        <w:spacing w:after="0" w:line="242"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The Company derecognizes a financial liability when its terms are modified and the cash flows of the modified liability are substantially different. In this case, a new financial liability based on the modified terms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18 of 57</w:t>
      </w:r>
    </w:p>
    <w:p>
      <w:pPr>
        <w:sectPr>
          <w:pgSz w:w="11900" w:h="16838" w:orient="portrait"/>
          <w:cols w:equalWidth="0" w:num="1">
            <w:col w:w="11200"/>
          </w:cols>
          <w:pgMar w:left="380" w:top="211" w:right="3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20"/>
        <w:spacing w:after="0" w:line="302" w:lineRule="auto"/>
        <w:rPr>
          <w:sz w:val="20"/>
          <w:szCs w:val="20"/>
          <w:color w:val="auto"/>
        </w:rPr>
      </w:pPr>
      <w:r>
        <w:rPr>
          <w:rFonts w:ascii="Times New Roman" w:cs="Times New Roman" w:eastAsia="Times New Roman" w:hAnsi="Times New Roman"/>
          <w:sz w:val="16"/>
          <w:szCs w:val="16"/>
          <w:color w:val="auto"/>
        </w:rPr>
        <w:t>recognized at fair value. The difference between the carrying amount of the financial liability extinguished and the new financial liability with modified terms is recognized in profit or loss.</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Offsetting</w:t>
      </w:r>
    </w:p>
    <w:p>
      <w:pPr>
        <w:spacing w:after="0" w:line="255" w:lineRule="exact"/>
        <w:rPr>
          <w:sz w:val="20"/>
          <w:szCs w:val="20"/>
          <w:color w:val="auto"/>
        </w:rPr>
      </w:pPr>
    </w:p>
    <w:p>
      <w:pPr>
        <w:jc w:val="both"/>
        <w:ind w:left="220"/>
        <w:spacing w:after="0" w:line="301" w:lineRule="auto"/>
        <w:rPr>
          <w:sz w:val="20"/>
          <w:szCs w:val="20"/>
          <w:color w:val="auto"/>
        </w:rPr>
      </w:pPr>
      <w:r>
        <w:rPr>
          <w:rFonts w:ascii="Times New Roman" w:cs="Times New Roman" w:eastAsia="Times New Roman" w:hAnsi="Times New Roman"/>
          <w:sz w:val="16"/>
          <w:szCs w:val="16"/>
          <w:color w:val="auto"/>
        </w:rPr>
        <w:t>Financial assets and financial liabilities are offset and the net amount presented in the consolidated statement of financial position when, and only when, the Company currently has a legally enforceable right to set off the amounts and it intends either to settle them on a net basis or to realize the asset and settle the liability simultaneously.</w:t>
      </w: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Income and expenses are presented on a net basis only when permitted under IFRS, or for gains and losses arising from a group of similar transactions.</w:t>
      </w: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Fair value measurement</w:t>
      </w:r>
    </w:p>
    <w:p>
      <w:pPr>
        <w:spacing w:after="0" w:line="242" w:lineRule="exact"/>
        <w:rPr>
          <w:sz w:val="20"/>
          <w:szCs w:val="20"/>
          <w:color w:val="auto"/>
        </w:rPr>
      </w:pPr>
    </w:p>
    <w:p>
      <w:pPr>
        <w:jc w:val="both"/>
        <w:ind w:left="220"/>
        <w:spacing w:after="0" w:line="311"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at the measurement date in the principal or, in its absence, the most advantageous market to which the Company has access at that date. The fair value of a liability reflects its non-performance risk.</w:t>
      </w:r>
    </w:p>
    <w:p>
      <w:pPr>
        <w:spacing w:after="0" w:line="372" w:lineRule="exact"/>
        <w:rPr>
          <w:sz w:val="20"/>
          <w:szCs w:val="20"/>
          <w:color w:val="auto"/>
        </w:rPr>
      </w:pPr>
    </w:p>
    <w:p>
      <w:pPr>
        <w:jc w:val="both"/>
        <w:ind w:left="220"/>
        <w:spacing w:after="0" w:line="318" w:lineRule="auto"/>
        <w:rPr>
          <w:sz w:val="20"/>
          <w:szCs w:val="20"/>
          <w:color w:val="auto"/>
        </w:rPr>
      </w:pPr>
      <w:r>
        <w:rPr>
          <w:rFonts w:ascii="Times New Roman" w:cs="Times New Roman" w:eastAsia="Times New Roman" w:hAnsi="Times New Roman"/>
          <w:sz w:val="16"/>
          <w:szCs w:val="16"/>
          <w:color w:val="auto"/>
        </w:rPr>
        <w:t>When one is available, the Company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55" w:lineRule="exact"/>
        <w:rPr>
          <w:sz w:val="20"/>
          <w:szCs w:val="20"/>
          <w:color w:val="auto"/>
        </w:rPr>
      </w:pPr>
    </w:p>
    <w:p>
      <w:pPr>
        <w:jc w:val="both"/>
        <w:ind w:left="220"/>
        <w:spacing w:after="0" w:line="302" w:lineRule="auto"/>
        <w:rPr>
          <w:sz w:val="20"/>
          <w:szCs w:val="20"/>
          <w:color w:val="auto"/>
        </w:rPr>
      </w:pPr>
      <w:r>
        <w:rPr>
          <w:rFonts w:ascii="Times New Roman" w:cs="Times New Roman" w:eastAsia="Times New Roman" w:hAnsi="Times New Roman"/>
          <w:sz w:val="16"/>
          <w:szCs w:val="16"/>
          <w:color w:val="auto"/>
        </w:rPr>
        <w:t>If there is no quoted price in an active market, then the Company uses valuation techniques that maximize the use of relevant observable inputs and minimize the use of unobservable inputs. The chosen valuation technique incorporates all of the factors that market participants would take into account in pricing a transaction.</w:t>
      </w:r>
    </w:p>
    <w:p>
      <w:pPr>
        <w:spacing w:after="0" w:line="180" w:lineRule="exact"/>
        <w:rPr>
          <w:sz w:val="20"/>
          <w:szCs w:val="20"/>
          <w:color w:val="auto"/>
        </w:rPr>
      </w:pPr>
    </w:p>
    <w:p>
      <w:pPr>
        <w:jc w:val="both"/>
        <w:ind w:left="220"/>
        <w:spacing w:after="0" w:line="274" w:lineRule="auto"/>
        <w:rPr>
          <w:sz w:val="20"/>
          <w:szCs w:val="20"/>
          <w:color w:val="auto"/>
        </w:rPr>
      </w:pPr>
      <w:r>
        <w:rPr>
          <w:rFonts w:ascii="Times New Roman" w:cs="Times New Roman" w:eastAsia="Times New Roman" w:hAnsi="Times New Roman"/>
          <w:sz w:val="16"/>
          <w:szCs w:val="16"/>
          <w:color w:val="auto"/>
        </w:rPr>
        <w:t>The best evidence of the fair value of a financial instrument on initial recognition is normally the transaction price (i.e. the fair value of the consideration given or received). If the Company determines that the fair value on initial recognition differs from the transaction price and the fair value is evidenced neither by a quoted price in an active market for an identical asset or liability nor based on a valuation technique for which any observable inputs are judged to be insignificant in relation to the measurement, then the financial instrument is initially measured at fair value, adjusted to defer the difference between the fair value on initial recognition and the transaction price. Subsequently, that difference is recognized in profit or loss on an appropriate basis over the life of the instrument but no later than when the valuation is wholly supported by observable market data or the transaction is closed out.</w:t>
      </w:r>
    </w:p>
    <w:p>
      <w:pPr>
        <w:spacing w:after="0" w:line="1" w:lineRule="exact"/>
        <w:rPr>
          <w:sz w:val="20"/>
          <w:szCs w:val="20"/>
          <w:color w:val="auto"/>
        </w:rPr>
      </w:pPr>
    </w:p>
    <w:p>
      <w:pPr>
        <w:jc w:val="both"/>
        <w:ind w:left="220"/>
        <w:spacing w:after="0" w:line="302" w:lineRule="auto"/>
        <w:rPr>
          <w:sz w:val="20"/>
          <w:szCs w:val="20"/>
          <w:color w:val="auto"/>
        </w:rPr>
      </w:pPr>
      <w:r>
        <w:rPr>
          <w:rFonts w:ascii="Times New Roman" w:cs="Times New Roman" w:eastAsia="Times New Roman" w:hAnsi="Times New Roman"/>
          <w:sz w:val="16"/>
          <w:szCs w:val="16"/>
          <w:color w:val="auto"/>
        </w:rPr>
        <w:t>If an asset or a liability at fair value has a bid price and an ask price, then the Company measures assets and long positions at bid price and liabilities and short positions at an ask price.</w:t>
      </w:r>
    </w:p>
    <w:p>
      <w:pPr>
        <w:spacing w:after="0" w:line="168" w:lineRule="exact"/>
        <w:rPr>
          <w:sz w:val="20"/>
          <w:szCs w:val="20"/>
          <w:color w:val="auto"/>
        </w:rPr>
      </w:pPr>
    </w:p>
    <w:p>
      <w:pPr>
        <w:jc w:val="both"/>
        <w:ind w:left="220"/>
        <w:spacing w:after="0" w:line="318" w:lineRule="auto"/>
        <w:rPr>
          <w:sz w:val="20"/>
          <w:szCs w:val="20"/>
          <w:color w:val="auto"/>
        </w:rPr>
      </w:pPr>
      <w:r>
        <w:rPr>
          <w:rFonts w:ascii="Times New Roman" w:cs="Times New Roman" w:eastAsia="Times New Roman" w:hAnsi="Times New Roman"/>
          <w:sz w:val="16"/>
          <w:szCs w:val="16"/>
          <w:color w:val="auto"/>
        </w:rPr>
        <w:t>Portfolio of financial assets and financial liabilities that are exposed to market risk and credit risk that are managed by the Company on the basis of the net exposure to either market or credit risk are measured on the basis of a price that would be received to sell a net long position (or paid to transfer a net short position)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Page 19 of 57</w:t>
      </w:r>
    </w:p>
    <w:p>
      <w:pPr>
        <w:sectPr>
          <w:pgSz w:w="11900" w:h="16838" w:orient="portrait"/>
          <w:cols w:equalWidth="0" w:num="1">
            <w:col w:w="11180"/>
          </w:cols>
          <w:pgMar w:left="380" w:top="212"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20" w:right="20"/>
        <w:spacing w:after="0" w:line="302" w:lineRule="auto"/>
        <w:rPr>
          <w:sz w:val="20"/>
          <w:szCs w:val="20"/>
          <w:color w:val="auto"/>
        </w:rPr>
      </w:pPr>
      <w:r>
        <w:rPr>
          <w:rFonts w:ascii="Times New Roman" w:cs="Times New Roman" w:eastAsia="Times New Roman" w:hAnsi="Times New Roman"/>
          <w:sz w:val="16"/>
          <w:szCs w:val="16"/>
          <w:color w:val="auto"/>
        </w:rPr>
        <w:t>particular risk exposure. Portfolio-level adjustment e.g. bid-ask adjustment or credit risk adjustments that reflect the measurement on the basis of the net exposure are allocated to the individual assets and liabilities on the basis of the relative risk adjustment of each of the individual instruments in the portfolio.</w:t>
      </w:r>
    </w:p>
    <w:p>
      <w:pPr>
        <w:spacing w:after="0" w:line="168"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The fair value of a financial liability with a demand feature is not less than the amount payable on demand, discounted from the first date on which the amount could be required to be paid. The Company recognizes transfers between levels of the fair value hierarchy as of the end of the reporting period during which the change has occurred.</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Impairment</w:t>
      </w: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Credit-impaired financial assets</w:t>
      </w:r>
    </w:p>
    <w:p>
      <w:pPr>
        <w:spacing w:after="0" w:line="242" w:lineRule="exact"/>
        <w:rPr>
          <w:sz w:val="20"/>
          <w:szCs w:val="20"/>
          <w:color w:val="auto"/>
        </w:rPr>
      </w:pPr>
    </w:p>
    <w:p>
      <w:pPr>
        <w:jc w:val="both"/>
        <w:ind w:left="220" w:right="20"/>
        <w:spacing w:after="0" w:line="302" w:lineRule="auto"/>
        <w:rPr>
          <w:sz w:val="20"/>
          <w:szCs w:val="20"/>
          <w:color w:val="auto"/>
        </w:rPr>
      </w:pPr>
      <w:r>
        <w:rPr>
          <w:rFonts w:ascii="Times New Roman" w:cs="Times New Roman" w:eastAsia="Times New Roman" w:hAnsi="Times New Roman"/>
          <w:sz w:val="16"/>
          <w:szCs w:val="16"/>
          <w:color w:val="auto"/>
        </w:rPr>
        <w:t>At each reporting date, the Company assesses whether financial assets carried at amortized costs and debt financial assets carried at FVOCI are credit-impaired. A financial asset is ‘credit-impaired’ when one or more events that have a detrimental impact on the estimated future cash flows of the financial asset have occurred.</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Evidence that a financial asset is credit-impaired includes the following observable data:</w:t>
      </w:r>
    </w:p>
    <w:p>
      <w:pPr>
        <w:spacing w:after="0" w:line="253" w:lineRule="exact"/>
        <w:rPr>
          <w:sz w:val="20"/>
          <w:szCs w:val="20"/>
          <w:color w:val="auto"/>
        </w:rPr>
      </w:pPr>
    </w:p>
    <w:p>
      <w:pPr>
        <w:ind w:left="800" w:hanging="281"/>
        <w:spacing w:after="0"/>
        <w:tabs>
          <w:tab w:leader="none" w:pos="800" w:val="left"/>
        </w:tabs>
        <w:numPr>
          <w:ilvl w:val="0"/>
          <w:numId w:val="120"/>
        </w:numPr>
        <w:rPr>
          <w:rFonts w:ascii="Arial" w:cs="Arial" w:eastAsia="Arial" w:hAnsi="Arial"/>
          <w:sz w:val="18"/>
          <w:szCs w:val="18"/>
          <w:color w:val="auto"/>
        </w:rPr>
      </w:pPr>
      <w:r>
        <w:rPr>
          <w:rFonts w:ascii="Times New Roman" w:cs="Times New Roman" w:eastAsia="Times New Roman" w:hAnsi="Times New Roman"/>
          <w:sz w:val="16"/>
          <w:szCs w:val="16"/>
          <w:color w:val="auto"/>
        </w:rPr>
        <w:t>Significant financial difficulty of the borrower or issuer;</w:t>
      </w:r>
    </w:p>
    <w:p>
      <w:pPr>
        <w:spacing w:after="0" w:line="23" w:lineRule="exact"/>
        <w:rPr>
          <w:rFonts w:ascii="Arial" w:cs="Arial" w:eastAsia="Arial" w:hAnsi="Arial"/>
          <w:sz w:val="18"/>
          <w:szCs w:val="18"/>
          <w:color w:val="auto"/>
        </w:rPr>
      </w:pPr>
    </w:p>
    <w:p>
      <w:pPr>
        <w:ind w:left="800" w:hanging="281"/>
        <w:spacing w:after="0"/>
        <w:tabs>
          <w:tab w:leader="none" w:pos="800" w:val="left"/>
        </w:tabs>
        <w:numPr>
          <w:ilvl w:val="0"/>
          <w:numId w:val="120"/>
        </w:numPr>
        <w:rPr>
          <w:rFonts w:ascii="Arial" w:cs="Arial" w:eastAsia="Arial" w:hAnsi="Arial"/>
          <w:sz w:val="18"/>
          <w:szCs w:val="18"/>
          <w:color w:val="auto"/>
        </w:rPr>
      </w:pPr>
      <w:r>
        <w:rPr>
          <w:rFonts w:ascii="Times New Roman" w:cs="Times New Roman" w:eastAsia="Times New Roman" w:hAnsi="Times New Roman"/>
          <w:sz w:val="16"/>
          <w:szCs w:val="16"/>
          <w:color w:val="auto"/>
        </w:rPr>
        <w:t>A breach of contract such as a default of past due event;</w:t>
      </w:r>
    </w:p>
    <w:p>
      <w:pPr>
        <w:spacing w:after="0" w:line="23" w:lineRule="exact"/>
        <w:rPr>
          <w:rFonts w:ascii="Arial" w:cs="Arial" w:eastAsia="Arial" w:hAnsi="Arial"/>
          <w:sz w:val="18"/>
          <w:szCs w:val="18"/>
          <w:color w:val="auto"/>
        </w:rPr>
      </w:pPr>
    </w:p>
    <w:p>
      <w:pPr>
        <w:ind w:left="800" w:hanging="281"/>
        <w:spacing w:after="0"/>
        <w:tabs>
          <w:tab w:leader="none" w:pos="800" w:val="left"/>
        </w:tabs>
        <w:numPr>
          <w:ilvl w:val="0"/>
          <w:numId w:val="120"/>
        </w:numPr>
        <w:rPr>
          <w:rFonts w:ascii="Arial" w:cs="Arial" w:eastAsia="Arial" w:hAnsi="Arial"/>
          <w:sz w:val="18"/>
          <w:szCs w:val="18"/>
          <w:color w:val="auto"/>
        </w:rPr>
      </w:pPr>
      <w:r>
        <w:rPr>
          <w:rFonts w:ascii="Times New Roman" w:cs="Times New Roman" w:eastAsia="Times New Roman" w:hAnsi="Times New Roman"/>
          <w:sz w:val="16"/>
          <w:szCs w:val="16"/>
          <w:color w:val="auto"/>
        </w:rPr>
        <w:t>The restructuring of a loan or advance by the Company on terms that the Company would not consider otherwise;</w:t>
      </w:r>
    </w:p>
    <w:p>
      <w:pPr>
        <w:spacing w:after="0" w:line="23" w:lineRule="exact"/>
        <w:rPr>
          <w:rFonts w:ascii="Arial" w:cs="Arial" w:eastAsia="Arial" w:hAnsi="Arial"/>
          <w:sz w:val="18"/>
          <w:szCs w:val="18"/>
          <w:color w:val="auto"/>
        </w:rPr>
      </w:pPr>
    </w:p>
    <w:p>
      <w:pPr>
        <w:ind w:left="800" w:hanging="281"/>
        <w:spacing w:after="0"/>
        <w:tabs>
          <w:tab w:leader="none" w:pos="800" w:val="left"/>
        </w:tabs>
        <w:numPr>
          <w:ilvl w:val="0"/>
          <w:numId w:val="120"/>
        </w:numPr>
        <w:rPr>
          <w:rFonts w:ascii="Arial" w:cs="Arial" w:eastAsia="Arial" w:hAnsi="Arial"/>
          <w:sz w:val="18"/>
          <w:szCs w:val="18"/>
          <w:color w:val="auto"/>
        </w:rPr>
      </w:pPr>
      <w:r>
        <w:rPr>
          <w:rFonts w:ascii="Times New Roman" w:cs="Times New Roman" w:eastAsia="Times New Roman" w:hAnsi="Times New Roman"/>
          <w:sz w:val="16"/>
          <w:szCs w:val="16"/>
          <w:color w:val="auto"/>
        </w:rPr>
        <w:t>It is becoming probable that the borrower will enter bankruptcy or other financial reorganization; or</w:t>
      </w:r>
    </w:p>
    <w:p>
      <w:pPr>
        <w:spacing w:after="0" w:line="23" w:lineRule="exact"/>
        <w:rPr>
          <w:rFonts w:ascii="Arial" w:cs="Arial" w:eastAsia="Arial" w:hAnsi="Arial"/>
          <w:sz w:val="18"/>
          <w:szCs w:val="18"/>
          <w:color w:val="auto"/>
        </w:rPr>
      </w:pPr>
    </w:p>
    <w:p>
      <w:pPr>
        <w:ind w:left="800" w:hanging="281"/>
        <w:spacing w:after="0"/>
        <w:tabs>
          <w:tab w:leader="none" w:pos="800" w:val="left"/>
        </w:tabs>
        <w:numPr>
          <w:ilvl w:val="0"/>
          <w:numId w:val="120"/>
        </w:numPr>
        <w:rPr>
          <w:rFonts w:ascii="Arial" w:cs="Arial" w:eastAsia="Arial" w:hAnsi="Arial"/>
          <w:sz w:val="18"/>
          <w:szCs w:val="18"/>
          <w:color w:val="auto"/>
        </w:rPr>
      </w:pPr>
      <w:r>
        <w:rPr>
          <w:rFonts w:ascii="Times New Roman" w:cs="Times New Roman" w:eastAsia="Times New Roman" w:hAnsi="Times New Roman"/>
          <w:sz w:val="16"/>
          <w:szCs w:val="16"/>
          <w:color w:val="auto"/>
        </w:rPr>
        <w:t>The disappearance of an active market for a security because of financial difficulties.</w:t>
      </w:r>
    </w:p>
    <w:p>
      <w:pPr>
        <w:spacing w:after="0" w:line="230" w:lineRule="exact"/>
        <w:rPr>
          <w:sz w:val="20"/>
          <w:szCs w:val="20"/>
          <w:color w:val="auto"/>
        </w:rPr>
      </w:pPr>
    </w:p>
    <w:p>
      <w:pPr>
        <w:jc w:val="both"/>
        <w:ind w:left="220"/>
        <w:spacing w:after="0" w:line="318" w:lineRule="auto"/>
        <w:rPr>
          <w:sz w:val="20"/>
          <w:szCs w:val="20"/>
          <w:color w:val="auto"/>
        </w:rPr>
      </w:pPr>
      <w:r>
        <w:rPr>
          <w:rFonts w:ascii="Times New Roman" w:cs="Times New Roman" w:eastAsia="Times New Roman" w:hAnsi="Times New Roman"/>
          <w:sz w:val="16"/>
          <w:szCs w:val="16"/>
          <w:color w:val="auto"/>
        </w:rPr>
        <w:t>A loan that has been renegotiated due to a deterioration in the borrower’s condition is usually considered to be credit-impaired unless there is evidence that the risk of not receiving contractual cash flows has reduced significantly and there are no other indicators of impairment.</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Recognition of allowance of expected credit losses (“</w:t>
      </w:r>
      <w:r>
        <w:rPr>
          <w:rFonts w:ascii="Times New Roman" w:cs="Times New Roman" w:eastAsia="Times New Roman" w:hAnsi="Times New Roman"/>
          <w:sz w:val="16"/>
          <w:szCs w:val="16"/>
          <w:b w:val="1"/>
          <w:bCs w:val="1"/>
          <w:i w:val="1"/>
          <w:iCs w:val="1"/>
          <w:color w:val="auto"/>
        </w:rPr>
        <w:t>ECL</w:t>
      </w:r>
      <w:r>
        <w:rPr>
          <w:rFonts w:ascii="Times New Roman" w:cs="Times New Roman" w:eastAsia="Times New Roman" w:hAnsi="Times New Roman"/>
          <w:sz w:val="16"/>
          <w:szCs w:val="16"/>
          <w:i w:val="1"/>
          <w:iCs w:val="1"/>
          <w:color w:val="auto"/>
        </w:rPr>
        <w:t>”) in the consolidated statement of financial position</w:t>
      </w:r>
    </w:p>
    <w:p>
      <w:pPr>
        <w:spacing w:after="0" w:line="244"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The Company recognizes a loss allowance for ECL on trade receivables that are measured at amortized cost. The Company’s applied the simplified approach for trade receivables and recognizes the lifetime ECL for these assets. The ECL on trade receivables is estimated using a provision matrix based on the Company’s historical credit loss experience, adjusted for factors that are specific to the customers, general economic conditions and an assessment of both the current as well as the forecast direction of conditions at the reporting date, including time value of money where appropriate.</w:t>
      </w:r>
    </w:p>
    <w:p>
      <w:pPr>
        <w:spacing w:after="0" w:line="193"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For all other financial assets measured at amortized cost of FVOCI, the Company recognizes lifetime ECL only when there has been a significant increase in credit risk since initial recognition. If the credit risk on such financial instruments has not increased significantly since initial recognition, the Company measures the loss allowance on those financial instruments at an amount equal to 12-months ECL.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20 of 57</w:t>
      </w:r>
    </w:p>
    <w:p>
      <w:pPr>
        <w:sectPr>
          <w:pgSz w:w="11900" w:h="16838" w:orient="portrait"/>
          <w:cols w:equalWidth="0" w:num="1">
            <w:col w:w="11200"/>
          </w:cols>
          <w:pgMar w:left="380" w:top="212" w:right="3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220"/>
        <w:spacing w:after="0" w:line="281" w:lineRule="auto"/>
        <w:rPr>
          <w:sz w:val="20"/>
          <w:szCs w:val="20"/>
          <w:color w:val="auto"/>
        </w:rPr>
      </w:pPr>
      <w:r>
        <w:rPr>
          <w:rFonts w:ascii="Times New Roman" w:cs="Times New Roman" w:eastAsia="Times New Roman" w:hAnsi="Times New Roman"/>
          <w:sz w:val="16"/>
          <w:szCs w:val="16"/>
          <w:color w:val="auto"/>
        </w:rPr>
        <w:t>Lifetime ECL represents the ECL that will result from all possible default events over the expected life of a financial asset. In contrast, 12-month ECL represents the portion of lifetime ECL that is expected to result from default events on a financial asset that are possible within 12 months after the reporting date. In assessing whether the credit risk on a financial asset has increased significantly since initial recognition, the Company compares the risk of default occurring on the financial asset at the reporting date with the risk of default occurring at the initial recognition. The Company considers both quantitative and qualitative factors that are supportable, including historical experience and forward-looking information that is available without undue cost or effort.</w:t>
      </w:r>
    </w:p>
    <w:p>
      <w:pPr>
        <w:spacing w:after="0" w:line="184"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Irrespective of the above assessment, the Company presumes that the credit risk on a financial asset has increased significantly since initial recognition when contractual payments are more than 30 days past due, unless the Company has reasonable and supportable information that demonstrates otherwise. Despite the foregoing, the Company presumes that the credit risk on a financial asset has not increased significantly since initial recognition if the financial asset is determined to have low credit risk at the reporting date.</w:t>
      </w:r>
    </w:p>
    <w:p>
      <w:pPr>
        <w:spacing w:after="0" w:line="193" w:lineRule="exact"/>
        <w:rPr>
          <w:sz w:val="20"/>
          <w:szCs w:val="20"/>
          <w:color w:val="auto"/>
        </w:rPr>
      </w:pPr>
    </w:p>
    <w:p>
      <w:pPr>
        <w:jc w:val="both"/>
        <w:ind w:left="220" w:right="20"/>
        <w:spacing w:after="0" w:line="302" w:lineRule="auto"/>
        <w:rPr>
          <w:sz w:val="20"/>
          <w:szCs w:val="20"/>
          <w:color w:val="auto"/>
        </w:rPr>
      </w:pPr>
      <w:r>
        <w:rPr>
          <w:rFonts w:ascii="Times New Roman" w:cs="Times New Roman" w:eastAsia="Times New Roman" w:hAnsi="Times New Roman"/>
          <w:sz w:val="16"/>
          <w:szCs w:val="16"/>
          <w:color w:val="auto"/>
        </w:rPr>
        <w:t>The Company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 due.</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Definition of default:</w:t>
      </w:r>
    </w:p>
    <w:p>
      <w:pPr>
        <w:spacing w:after="0" w:line="255" w:lineRule="exact"/>
        <w:rPr>
          <w:sz w:val="20"/>
          <w:szCs w:val="20"/>
          <w:color w:val="auto"/>
        </w:rPr>
      </w:pPr>
    </w:p>
    <w:p>
      <w:pPr>
        <w:jc w:val="both"/>
        <w:ind w:left="220"/>
        <w:spacing w:after="0" w:line="302" w:lineRule="auto"/>
        <w:rPr>
          <w:sz w:val="20"/>
          <w:szCs w:val="20"/>
          <w:color w:val="auto"/>
        </w:rPr>
      </w:pPr>
      <w:r>
        <w:rPr>
          <w:rFonts w:ascii="Times New Roman" w:cs="Times New Roman" w:eastAsia="Times New Roman" w:hAnsi="Times New Roman"/>
          <w:sz w:val="16"/>
          <w:szCs w:val="16"/>
          <w:color w:val="auto"/>
        </w:rPr>
        <w:t>For internal credit risk management purposes, the Company considers a financial asset not recoverable if the customer balance owing is 180 days past due and information obtained from the customer and other external factors indicate that the customer is unlikely to pay its creditors in full.</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Write-off</w:t>
      </w:r>
    </w:p>
    <w:p>
      <w:pPr>
        <w:spacing w:after="0" w:line="255"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Financial assets are written off (either partially or in full) when there is no realistic prospect of recovery. This is generally the case when the Company determines that the counterparty does not have assets or sources of income that could general sufficient cash flows to repay the amounts subject to the write-off. However, financial assets that are written off could still be subject to enforcement activities in order to comply with the Company’s procedures for recovery of amounts due.</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Taxation</w:t>
      </w:r>
    </w:p>
    <w:p>
      <w:pPr>
        <w:spacing w:after="0" w:line="257"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Income tax comprises current and deferred tax. Income tax is recognized in the consolidated statement of loss and comprehensive loss except to the extent that it relates to items recognized directly in equity, in which case the income tax is also recognized directly in equity.</w:t>
      </w:r>
    </w:p>
    <w:p>
      <w:pPr>
        <w:spacing w:after="0" w:line="155" w:lineRule="exact"/>
        <w:rPr>
          <w:sz w:val="20"/>
          <w:szCs w:val="20"/>
          <w:color w:val="auto"/>
        </w:rPr>
      </w:pPr>
    </w:p>
    <w:p>
      <w:pPr>
        <w:jc w:val="both"/>
        <w:ind w:left="220" w:right="20"/>
        <w:spacing w:after="0" w:line="302" w:lineRule="auto"/>
        <w:rPr>
          <w:sz w:val="20"/>
          <w:szCs w:val="20"/>
          <w:color w:val="auto"/>
        </w:rPr>
      </w:pPr>
      <w:r>
        <w:rPr>
          <w:rFonts w:ascii="Times New Roman" w:cs="Times New Roman" w:eastAsia="Times New Roman" w:hAnsi="Times New Roman"/>
          <w:sz w:val="16"/>
          <w:szCs w:val="16"/>
          <w:color w:val="auto"/>
        </w:rPr>
        <w:t>Current income tax is the expected tax payable on the taxable income for the year, using tax rates enacted or substantively enacted, at the end of the reporting period, and any adjustment to tax payable in respect of previous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21 of 57</w:t>
      </w:r>
    </w:p>
    <w:p>
      <w:pPr>
        <w:sectPr>
          <w:pgSz w:w="11900" w:h="16838" w:orient="portrait"/>
          <w:cols w:equalWidth="0" w:num="1">
            <w:col w:w="11200"/>
          </w:cols>
          <w:pgMar w:left="380" w:top="212" w:right="31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220"/>
        <w:spacing w:after="0" w:line="285" w:lineRule="auto"/>
        <w:rPr>
          <w:sz w:val="20"/>
          <w:szCs w:val="20"/>
          <w:color w:val="auto"/>
        </w:rPr>
      </w:pPr>
      <w:r>
        <w:rPr>
          <w:rFonts w:ascii="Times New Roman" w:cs="Times New Roman" w:eastAsia="Times New Roman" w:hAnsi="Times New Roman"/>
          <w:sz w:val="16"/>
          <w:szCs w:val="16"/>
          <w:color w:val="auto"/>
        </w:rPr>
        <w:t>Provisions for taxes are made using the best estimate of the amount expected to be paid based on a qualitative assessment of all relevant factors. The Company reviews the adequacy of these provisions at the end of the reporting period. However, it is possible that at some future date an additional liability could result from audits by taxing authorities. Where the outcome of these tax-related matters is different from the amounts that were initially recorded, such differences will affect the tax provisions in the period in which such determination is made.</w:t>
      </w:r>
    </w:p>
    <w:p>
      <w:pPr>
        <w:spacing w:after="0" w:line="181" w:lineRule="exact"/>
        <w:rPr>
          <w:sz w:val="20"/>
          <w:szCs w:val="20"/>
          <w:color w:val="auto"/>
        </w:rPr>
      </w:pPr>
    </w:p>
    <w:p>
      <w:pPr>
        <w:jc w:val="both"/>
        <w:ind w:left="220" w:right="20"/>
        <w:spacing w:after="0" w:line="281" w:lineRule="auto"/>
        <w:rPr>
          <w:sz w:val="20"/>
          <w:szCs w:val="20"/>
          <w:color w:val="auto"/>
        </w:rPr>
      </w:pPr>
      <w:r>
        <w:rPr>
          <w:rFonts w:ascii="Times New Roman" w:cs="Times New Roman" w:eastAsia="Times New Roman" w:hAnsi="Times New Roman"/>
          <w:sz w:val="16"/>
          <w:szCs w:val="16"/>
          <w:color w:val="auto"/>
        </w:rPr>
        <w:t>Deferred income tax is recorded using the asset and liability method, providing for temporary differences between the carrying amounts of assets and liabilities for financial reporting purposes and the amounts used for taxation purposes. The following temporary differences do not result in deferred tax assets or liabilities: the initial recognized of assets or liabilities that affect neither accounting or taxable loss; or difference relating to investment in subsidiaries to the extent that they will probably not reverse in the foreseeable future. The amount of deferred tax provided is based on the expected manner of realization or settlement of the carrying amount of assets and liabilities, using tax rates enacted or substantively enacted at the consolidated statement of financial position date.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 deferred tax asset is recognized only to the extent that it is probable that future taxable profits will be available against which the asset can be utilized.</w:t>
      </w:r>
    </w:p>
    <w:p>
      <w:pPr>
        <w:spacing w:after="0" w:line="240" w:lineRule="exact"/>
        <w:rPr>
          <w:sz w:val="20"/>
          <w:szCs w:val="20"/>
          <w:color w:val="auto"/>
        </w:rPr>
      </w:pPr>
    </w:p>
    <w:p>
      <w:pPr>
        <w:jc w:val="both"/>
        <w:ind w:left="220" w:right="20"/>
        <w:spacing w:after="0" w:line="302" w:lineRule="auto"/>
        <w:rPr>
          <w:sz w:val="20"/>
          <w:szCs w:val="20"/>
          <w:color w:val="auto"/>
        </w:rPr>
      </w:pPr>
      <w:r>
        <w:rPr>
          <w:rFonts w:ascii="Times New Roman" w:cs="Times New Roman" w:eastAsia="Times New Roman" w:hAnsi="Times New Roman"/>
          <w:sz w:val="16"/>
          <w:szCs w:val="16"/>
          <w:color w:val="auto"/>
        </w:rPr>
        <w:t>Deferred tax assets and liabilities are offset when there is a legally enforceable right to set off current tax assets against current tax liabilities and when they relate to income taxes levied by the same taxation authority and the Company intends to settle its correct tax assets and liabilities on a net basis.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Share capital</w:t>
      </w:r>
    </w:p>
    <w:p>
      <w:pPr>
        <w:spacing w:after="0" w:line="244" w:lineRule="exact"/>
        <w:rPr>
          <w:sz w:val="20"/>
          <w:szCs w:val="20"/>
          <w:color w:val="auto"/>
        </w:rPr>
      </w:pPr>
    </w:p>
    <w:p>
      <w:pPr>
        <w:jc w:val="both"/>
        <w:ind w:left="220"/>
        <w:spacing w:after="0" w:line="293" w:lineRule="auto"/>
        <w:rPr>
          <w:sz w:val="20"/>
          <w:szCs w:val="20"/>
          <w:color w:val="auto"/>
        </w:rPr>
      </w:pPr>
      <w:r>
        <w:rPr>
          <w:rFonts w:ascii="Times New Roman" w:cs="Times New Roman" w:eastAsia="Times New Roman" w:hAnsi="Times New Roman"/>
          <w:sz w:val="16"/>
          <w:szCs w:val="16"/>
          <w:color w:val="auto"/>
        </w:rPr>
        <w:t>Equity instruments are contracts that give a residual interest in the net assets of the Company. Financial instruments issued by the Company are classified as equity only to the extent that they do not meet the definition of a financial liability or financial asset. The Common Shares and the Company’s Common Share purchase warrants, and options are classified as equity instruments.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Incremental costs directly attributable to the issue of new Common Shares, or warrants are shown in equity as a deduction, net of tax, from the proceeds.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Share-based compensation</w:t>
      </w:r>
    </w:p>
    <w:p>
      <w:pPr>
        <w:spacing w:after="0" w:line="244" w:lineRule="exact"/>
        <w:rPr>
          <w:sz w:val="20"/>
          <w:szCs w:val="20"/>
          <w:color w:val="auto"/>
        </w:rPr>
      </w:pPr>
    </w:p>
    <w:p>
      <w:pPr>
        <w:jc w:val="both"/>
        <w:ind w:left="220"/>
        <w:spacing w:after="0" w:line="285" w:lineRule="auto"/>
        <w:rPr>
          <w:sz w:val="20"/>
          <w:szCs w:val="20"/>
          <w:color w:val="auto"/>
        </w:rPr>
      </w:pPr>
      <w:r>
        <w:rPr>
          <w:rFonts w:ascii="Times New Roman" w:cs="Times New Roman" w:eastAsia="Times New Roman" w:hAnsi="Times New Roman"/>
          <w:sz w:val="16"/>
          <w:szCs w:val="16"/>
          <w:color w:val="auto"/>
        </w:rPr>
        <w:t>Under the Company’s equity incentive plan, all stock options granted may have graded vesting periods and are exercisable up to a maximum of 10 years form the date of grant. Each tranche of an award with graded vesting periods is considered a separate grant at each grant date for the calculation of fair value, and the resulting fair value is amortized over the vesting period of the respective tranches. The fair value of the options granted is measured using the Black-Scholes option pricing model taking into account the terms and conditions upon which the options were granted, the estimated volatility, estimated risk free rate and estimated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22 of 57</w:t>
      </w:r>
    </w:p>
    <w:p>
      <w:pPr>
        <w:sectPr>
          <w:pgSz w:w="11900" w:h="16838" w:orient="portrait"/>
          <w:cols w:equalWidth="0" w:num="1">
            <w:col w:w="11200"/>
          </w:cols>
          <w:pgMar w:left="380" w:top="211" w:right="3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If a grant of the share-based payments is cancelled or settled during the vesting period (other than a grant cancelled by forfeiture when the vesting conditions are not satisfied or options granted in error and cancelled retroactively), the Company accounts for the cancellation or settlement as an acceleration of vesting, and recognizes immediately the amount that otherwise would have been recognized for services over the remainder of the vesting period.</w:t>
      </w:r>
    </w:p>
    <w:p>
      <w:pPr>
        <w:spacing w:after="0" w:line="193"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The amount recognized for goods or services received during the vesting period is based on the best available estimate of the number of equity instruments anticipated to vest. The Company revises that estimate, if necessary, if subsequent information indicates that the number of share options anticipated to vest differs from previous estimates. On the vesting date, the Company revises the estimate to equal the number of equity instrument that ultimately vested. After the vesting date, the Company makes no subsequent adjustment to total equity for goods or services received if the share options are later forfeited or they expire at the end of the share option’s life.</w:t>
      </w:r>
    </w:p>
    <w:p>
      <w:pPr>
        <w:spacing w:after="0" w:line="205" w:lineRule="exact"/>
        <w:rPr>
          <w:sz w:val="20"/>
          <w:szCs w:val="20"/>
          <w:color w:val="auto"/>
        </w:rPr>
      </w:pPr>
    </w:p>
    <w:p>
      <w:pPr>
        <w:jc w:val="both"/>
        <w:ind w:left="220" w:right="20"/>
        <w:spacing w:after="0" w:line="296" w:lineRule="auto"/>
        <w:rPr>
          <w:sz w:val="20"/>
          <w:szCs w:val="20"/>
          <w:color w:val="auto"/>
        </w:rPr>
      </w:pPr>
      <w:r>
        <w:rPr>
          <w:rFonts w:ascii="Times New Roman" w:cs="Times New Roman" w:eastAsia="Times New Roman" w:hAnsi="Times New Roman"/>
          <w:sz w:val="16"/>
          <w:szCs w:val="16"/>
          <w:color w:val="auto"/>
        </w:rPr>
        <w:t>If a grant of the share based payment is modified during the vesting period (other than a grant cancelled by forfeiture when the vesting conditions are not satisfied) and the fair value of the new instruments is higher than the fair value of the original instrument, the incremental fair value granted is included in the measurement of the amount recognized for services received over the period from modification date until the date when the modified equity instruments vests, in addition to the amount based on the grant date fair value of the original equity instruments, which is recognized over the remainder of the original vesting period of the original instrument.</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Warrants</w:t>
      </w:r>
    </w:p>
    <w:p>
      <w:pPr>
        <w:spacing w:after="0" w:line="244" w:lineRule="exact"/>
        <w:rPr>
          <w:sz w:val="20"/>
          <w:szCs w:val="20"/>
          <w:color w:val="auto"/>
        </w:rPr>
      </w:pPr>
    </w:p>
    <w:p>
      <w:pPr>
        <w:jc w:val="both"/>
        <w:ind w:left="220"/>
        <w:spacing w:after="0" w:line="279" w:lineRule="auto"/>
        <w:rPr>
          <w:sz w:val="20"/>
          <w:szCs w:val="20"/>
          <w:color w:val="auto"/>
        </w:rPr>
      </w:pPr>
      <w:r>
        <w:rPr>
          <w:rFonts w:ascii="Times New Roman" w:cs="Times New Roman" w:eastAsia="Times New Roman" w:hAnsi="Times New Roman"/>
          <w:sz w:val="16"/>
          <w:szCs w:val="16"/>
          <w:color w:val="auto"/>
        </w:rPr>
        <w:t>The Company follows the relative fair value method with respect to the measurement of Common Shares and warrants issued as units. The proceeds from the issuance of units are allocated between share capital and warrants. The warrant component is recorded in equity reserve. Unit proceeds are allocated to Common Shares and warrants using the Black-Scholes option pricing model and the share price at the time of financing. If and when the warrants are exercised, consideration paid by the warrant holder, together with the amount previously recognized in warrant reserve, is recorded as an increase to share capital. A forfeiture rate is estimated on the grant date and is adjusted to reflect the actual number of warrants that vest. When stock options or warrants are cancelled, they are treated as if they have vested on the date of collation and any cost not yet recognized in profit or loss is immediately expensed. Upon expiration of warrants, the amount applicable to expired warrants is moved to contributed surplus.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Loss per share</w:t>
      </w:r>
    </w:p>
    <w:p>
      <w:pPr>
        <w:spacing w:after="0" w:line="244"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Basic loss per share is calculated using the weighted-average number of shares outstanding during the period. The diluted earnings (loss) per share reflects the potential dilution of Common Share equivalents, such as outstanding stock options and warrants, in the weighted average number of Common Shares outstanding during the period, if they are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23 of 57</w:t>
      </w:r>
    </w:p>
    <w:p>
      <w:pPr>
        <w:sectPr>
          <w:pgSz w:w="11900" w:h="16838" w:orient="portrait"/>
          <w:cols w:equalWidth="0" w:num="1">
            <w:col w:w="11200"/>
          </w:cols>
          <w:pgMar w:left="380" w:top="212" w:right="3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Currency translation</w:t>
      </w: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All figures presented in the consolidated financial statements are reflected in Canadian dollars unless otherwise noted.</w:t>
      </w:r>
    </w:p>
    <w:p>
      <w:pPr>
        <w:spacing w:after="0" w:line="240" w:lineRule="exact"/>
        <w:rPr>
          <w:sz w:val="20"/>
          <w:szCs w:val="20"/>
          <w:color w:val="auto"/>
        </w:rPr>
      </w:pPr>
    </w:p>
    <w:p>
      <w:pPr>
        <w:jc w:val="both"/>
        <w:ind w:left="220"/>
        <w:spacing w:after="0" w:line="293" w:lineRule="auto"/>
        <w:rPr>
          <w:sz w:val="20"/>
          <w:szCs w:val="20"/>
          <w:color w:val="auto"/>
        </w:rPr>
      </w:pPr>
      <w:r>
        <w:rPr>
          <w:rFonts w:ascii="Times New Roman" w:cs="Times New Roman" w:eastAsia="Times New Roman" w:hAnsi="Times New Roman"/>
          <w:sz w:val="16"/>
          <w:szCs w:val="16"/>
          <w:color w:val="auto"/>
        </w:rPr>
        <w:t>Foreign currency transactions are translated into Canadian dollars at exchange rates in effect on the date of the transactions. Monetary assets and liabilities denominated in foreign currencies at the consolidated statement of financial position date are translated to Canadian dollars at the foreign exchange rate applicable as that date. Realized and unrealized exchange gains and losses are recognized through profit or loss.</w:t>
      </w:r>
    </w:p>
    <w:p>
      <w:pPr>
        <w:spacing w:after="0" w:line="175" w:lineRule="exact"/>
        <w:rPr>
          <w:sz w:val="20"/>
          <w:szCs w:val="20"/>
          <w:color w:val="auto"/>
        </w:rPr>
      </w:pPr>
    </w:p>
    <w:p>
      <w:pPr>
        <w:jc w:val="both"/>
        <w:ind w:left="220"/>
        <w:spacing w:after="0" w:line="293" w:lineRule="auto"/>
        <w:rPr>
          <w:sz w:val="20"/>
          <w:szCs w:val="20"/>
          <w:color w:val="auto"/>
        </w:rPr>
      </w:pPr>
      <w:r>
        <w:rPr>
          <w:rFonts w:ascii="Times New Roman" w:cs="Times New Roman" w:eastAsia="Times New Roman" w:hAnsi="Times New Roman"/>
          <w:sz w:val="16"/>
          <w:szCs w:val="16"/>
          <w:color w:val="auto"/>
        </w:rPr>
        <w:t>The assets and liabilities of foreign operations are translated into Canadian dollars at period-end exchange rates. Income and expenses, and cash flows of foreign operations are translated into Canadian dollars using average exchange rates. Exchange differences resulting from translating foreign operations are recognized in other comprehensive income (loss) and accumulated separately in shareholders’ equity.</w:t>
      </w:r>
    </w:p>
    <w:p>
      <w:pPr>
        <w:spacing w:after="0" w:line="175" w:lineRule="exact"/>
        <w:rPr>
          <w:sz w:val="20"/>
          <w:szCs w:val="20"/>
          <w:color w:val="auto"/>
        </w:rPr>
      </w:pPr>
    </w:p>
    <w:p>
      <w:pPr>
        <w:jc w:val="both"/>
        <w:ind w:left="220"/>
        <w:spacing w:after="0" w:line="293" w:lineRule="auto"/>
        <w:rPr>
          <w:sz w:val="20"/>
          <w:szCs w:val="20"/>
          <w:color w:val="auto"/>
        </w:rPr>
      </w:pPr>
      <w:r>
        <w:rPr>
          <w:rFonts w:ascii="Times New Roman" w:cs="Times New Roman" w:eastAsia="Times New Roman" w:hAnsi="Times New Roman"/>
          <w:sz w:val="16"/>
          <w:szCs w:val="16"/>
          <w:color w:val="auto"/>
        </w:rPr>
        <w:t>Foreign currency translation gains or losses arising from a monetary item receivable or payable to a foreign operation, the settlement of which is neither planned nor likely to occur in the foreseeable future and which in substance is considered to form part of the net investment in the foreign operation, are recognized in other comprehensive income (loss) in the translation reserve.</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Provisions</w:t>
      </w:r>
    </w:p>
    <w:p>
      <w:pPr>
        <w:spacing w:after="0" w:line="257" w:lineRule="exact"/>
        <w:rPr>
          <w:sz w:val="20"/>
          <w:szCs w:val="20"/>
          <w:color w:val="auto"/>
        </w:rPr>
      </w:pPr>
    </w:p>
    <w:p>
      <w:pPr>
        <w:jc w:val="both"/>
        <w:ind w:left="220"/>
        <w:spacing w:after="0" w:line="302" w:lineRule="auto"/>
        <w:rPr>
          <w:sz w:val="20"/>
          <w:szCs w:val="20"/>
          <w:color w:val="auto"/>
        </w:rPr>
      </w:pPr>
      <w:r>
        <w:rPr>
          <w:rFonts w:ascii="Times New Roman" w:cs="Times New Roman" w:eastAsia="Times New Roman" w:hAnsi="Times New Roman"/>
          <w:sz w:val="16"/>
          <w:szCs w:val="16"/>
          <w:color w:val="auto"/>
        </w:rPr>
        <w:t>Provisions are recorded when a present legal or constructive obligation exists as a result of past events where it is probable that an outflow of resources embodying economic benefits will be required to settle the obligation, and a reliable estimate of the amount of the obligation can be made.</w:t>
      </w:r>
    </w:p>
    <w:p>
      <w:pPr>
        <w:spacing w:after="0" w:line="168" w:lineRule="exact"/>
        <w:rPr>
          <w:sz w:val="20"/>
          <w:szCs w:val="20"/>
          <w:color w:val="auto"/>
        </w:rPr>
      </w:pPr>
    </w:p>
    <w:p>
      <w:pPr>
        <w:jc w:val="both"/>
        <w:ind w:left="220"/>
        <w:spacing w:after="0" w:line="285" w:lineRule="auto"/>
        <w:rPr>
          <w:sz w:val="20"/>
          <w:szCs w:val="20"/>
          <w:color w:val="auto"/>
        </w:rPr>
      </w:pPr>
      <w:r>
        <w:rPr>
          <w:rFonts w:ascii="Times New Roman" w:cs="Times New Roman" w:eastAsia="Times New Roman" w:hAnsi="Times New Roman"/>
          <w:sz w:val="16"/>
          <w:szCs w:val="16"/>
          <w:color w:val="auto"/>
        </w:rPr>
        <w:t>The amount recognized as a provision is the best estimate of the consideration required to settle the present obligation at the consolidated statement of financial position date,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is expected to be recovered from a third party, the receivable is recognized as an asset if it is virtually certain that reimbursement will be received and the amount receivable can be measured reliably.</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New standards and interpretations not yet adopted</w:t>
      </w: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IAS 1, Presentation of Financial Statements ("IAS 1") - Classification of Liabilities as Current or Non-Current</w:t>
      </w:r>
    </w:p>
    <w:p>
      <w:pPr>
        <w:spacing w:after="0" w:line="255" w:lineRule="exact"/>
        <w:rPr>
          <w:sz w:val="20"/>
          <w:szCs w:val="20"/>
          <w:color w:val="auto"/>
        </w:rPr>
      </w:pPr>
    </w:p>
    <w:p>
      <w:pPr>
        <w:jc w:val="both"/>
        <w:ind w:left="220"/>
        <w:spacing w:after="0" w:line="285" w:lineRule="auto"/>
        <w:rPr>
          <w:sz w:val="20"/>
          <w:szCs w:val="20"/>
          <w:color w:val="auto"/>
        </w:rPr>
      </w:pPr>
      <w:r>
        <w:rPr>
          <w:rFonts w:ascii="Times New Roman" w:cs="Times New Roman" w:eastAsia="Times New Roman" w:hAnsi="Times New Roman"/>
          <w:sz w:val="16"/>
          <w:szCs w:val="16"/>
          <w:color w:val="auto"/>
        </w:rPr>
        <w:t>In January 2020, the IASB issued amendments to IAS 1. The amendments aim to promote consistency in applying the requirements by helping companies determine whether, in the consolidated statements of financial position, debt and other liabilities with an uncertain settlement date should be classified as current (due or potentially due to be settled within one year) or non-current. The amendments include clarifying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Page 24 of 57</w:t>
      </w:r>
    </w:p>
    <w:p>
      <w:pPr>
        <w:sectPr>
          <w:pgSz w:w="11900" w:h="16838" w:orient="portrait"/>
          <w:cols w:equalWidth="0" w:num="1">
            <w:col w:w="11180"/>
          </w:cols>
          <w:pgMar w:left="380" w:top="212"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classification requirements for debt a company might settle by converting it into equity. The amendments are effective for annual reporting periods beginning on or after January 1, 2024, with earlier application permitted. The Company has determined that adoption of these amendments has no significant effect on the Company's consolidated financial statements.</w:t>
      </w:r>
    </w:p>
    <w:p>
      <w:pPr>
        <w:spacing w:after="0" w:line="193" w:lineRule="exact"/>
        <w:rPr>
          <w:sz w:val="20"/>
          <w:szCs w:val="20"/>
          <w:color w:val="auto"/>
        </w:rPr>
      </w:pPr>
    </w:p>
    <w:p>
      <w:pPr>
        <w:jc w:val="both"/>
        <w:ind w:left="220" w:right="20"/>
        <w:spacing w:after="0" w:line="302" w:lineRule="auto"/>
        <w:rPr>
          <w:sz w:val="20"/>
          <w:szCs w:val="20"/>
          <w:color w:val="auto"/>
        </w:rPr>
      </w:pPr>
      <w:r>
        <w:rPr>
          <w:rFonts w:ascii="Times New Roman" w:cs="Times New Roman" w:eastAsia="Times New Roman" w:hAnsi="Times New Roman"/>
          <w:sz w:val="16"/>
          <w:szCs w:val="16"/>
          <w:color w:val="auto"/>
        </w:rPr>
        <w:t>All other IFRS and amendments issued but not yet effective have been assessed by the Company and are not expected to have a material impact on the Company's consolidated financial statements.</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New standards and interpretations</w:t>
      </w: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Amendments to IAS 1 and IFRS Practice Statement 2</w:t>
      </w:r>
    </w:p>
    <w:p>
      <w:pPr>
        <w:spacing w:after="0" w:line="242" w:lineRule="exact"/>
        <w:rPr>
          <w:sz w:val="20"/>
          <w:szCs w:val="20"/>
          <w:color w:val="auto"/>
        </w:rPr>
      </w:pPr>
    </w:p>
    <w:p>
      <w:pPr>
        <w:jc w:val="both"/>
        <w:ind w:left="220"/>
        <w:spacing w:after="0" w:line="279" w:lineRule="auto"/>
        <w:rPr>
          <w:sz w:val="20"/>
          <w:szCs w:val="20"/>
          <w:color w:val="auto"/>
        </w:rPr>
      </w:pPr>
      <w:r>
        <w:rPr>
          <w:rFonts w:ascii="Times New Roman" w:cs="Times New Roman" w:eastAsia="Times New Roman" w:hAnsi="Times New Roman"/>
          <w:sz w:val="16"/>
          <w:szCs w:val="16"/>
          <w:color w:val="auto"/>
        </w:rPr>
        <w:t>In February 2021, the IASB issued amendments to IAS 1 and IFRS Practice Statement 2, Making Materiality Judgements, in which it provides guidance and examples to help entities apply materiality judgements to accounting policy disclosures. The amendments aim to help entities provide accounting policies disclosures that are more useful by replacing the requirement for entities to disclose "significant" accounting policies with a requirement to disclose their "material" accounting policies and adding guidance on how entities apply the concept of materiality in making decisions about accounting disclosures. The amendments to IAS 1 are applicable for annual periods beginning on or after January 1, 2023 with earlier application permitted. Since the amendments to IFRS Practice Statement 2 provide non-mandatory guidance on the application of the definition of material to accounting policy information, an effective date for these amendments is not necessary. The Company has determined that adoption of these amendments has no significant effect on the Company's consolidated financial statements.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IAS 8, Accounting Policies, Changes in Accounting Estimates and Errors ("IAS 8") - Definition of Accounting Estimates</w:t>
      </w:r>
    </w:p>
    <w:p>
      <w:pPr>
        <w:spacing w:after="0" w:line="255" w:lineRule="exact"/>
        <w:rPr>
          <w:sz w:val="20"/>
          <w:szCs w:val="20"/>
          <w:color w:val="auto"/>
        </w:rPr>
      </w:pPr>
    </w:p>
    <w:p>
      <w:pPr>
        <w:jc w:val="both"/>
        <w:ind w:left="220" w:right="20"/>
        <w:spacing w:after="0" w:line="281" w:lineRule="auto"/>
        <w:rPr>
          <w:sz w:val="20"/>
          <w:szCs w:val="20"/>
          <w:color w:val="auto"/>
        </w:rPr>
      </w:pPr>
      <w:r>
        <w:rPr>
          <w:rFonts w:ascii="Times New Roman" w:cs="Times New Roman" w:eastAsia="Times New Roman" w:hAnsi="Times New Roman"/>
          <w:sz w:val="16"/>
          <w:szCs w:val="16"/>
          <w:color w:val="auto"/>
        </w:rPr>
        <w:t>In February 2021, the IASB amendments to IAS 8. The amendment will require the disclosure of material accounting policy information rather than disclosing significant accounting policies and clarifies how to distinguish changes in accounting policies from changes in accounting estimates. Under the new definition, accounting estimates are "monetary amounts in financial statements that are subject to measurement uncertainty". The amendment provides clarification to help entities to distinguish between accounting policies and accounting estimates. The amendments are effective for annual periods beginning on or after January 1, 2023. The Company has determined that adoption of these amendments has no significant effect on the Company's consolidated financial statements.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IAS 12, Income Taxes ("IAS 12") - Deferred Tax related to Assets and Liabilities Arising from a Single Transaction</w:t>
      </w:r>
    </w:p>
    <w:p>
      <w:pPr>
        <w:spacing w:after="0" w:line="255"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In May 2021, the IASB issued amendments to IAS 12. The amendment narrows the scope of the initial recognition exemption so that it does not apply to transactions that give rise to equal taxable and deductible temporary differences. As a result, companies will need to recognize a deferred tax asset and deferred tax liability for temporary differences arising on initial recognition of transactions such as leases and decommissioning obligations. The amendments are effective for annual reporting periods beginning on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25 of 57</w:t>
      </w:r>
    </w:p>
    <w:p>
      <w:pPr>
        <w:sectPr>
          <w:pgSz w:w="11900" w:h="16838" w:orient="portrait"/>
          <w:cols w:equalWidth="0" w:num="1">
            <w:col w:w="11200"/>
          </w:cols>
          <w:pgMar w:left="380" w:top="212" w:right="319" w:bottom="1440" w:gutter="0" w:footer="0" w:header="0"/>
        </w:sectPr>
      </w:pPr>
    </w:p>
    <w:bookmarkStart w:id="231" w:name="page232"/>
    <w:bookmarkEnd w:id="231"/>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07707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80"/>
        <w:spacing w:after="0" w:line="302" w:lineRule="auto"/>
        <w:rPr>
          <w:sz w:val="20"/>
          <w:szCs w:val="20"/>
          <w:color w:val="auto"/>
        </w:rPr>
      </w:pPr>
      <w:r>
        <w:rPr>
          <w:rFonts w:ascii="Times New Roman" w:cs="Times New Roman" w:eastAsia="Times New Roman" w:hAnsi="Times New Roman"/>
          <w:sz w:val="16"/>
          <w:szCs w:val="16"/>
          <w:color w:val="auto"/>
        </w:rPr>
        <w:t>January 1, 2023 and are to be applied retrospectively. The Company has determined that adoption of these amendments has no significant effect on the Company's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CRITICAL ACCOUNTING ESTIMATES AND JUDGEMENTS</w:t>
      </w:r>
    </w:p>
    <w:p>
      <w:pPr>
        <w:spacing w:after="0" w:line="242" w:lineRule="exact"/>
        <w:rPr>
          <w:sz w:val="20"/>
          <w:szCs w:val="20"/>
          <w:color w:val="auto"/>
        </w:rPr>
      </w:pPr>
    </w:p>
    <w:p>
      <w:pPr>
        <w:jc w:val="both"/>
        <w:ind w:left="280"/>
        <w:spacing w:after="0" w:line="282" w:lineRule="auto"/>
        <w:rPr>
          <w:sz w:val="20"/>
          <w:szCs w:val="20"/>
          <w:color w:val="auto"/>
        </w:rPr>
      </w:pPr>
      <w:r>
        <w:rPr>
          <w:rFonts w:ascii="Times New Roman" w:cs="Times New Roman" w:eastAsia="Times New Roman" w:hAnsi="Times New Roman"/>
          <w:sz w:val="16"/>
          <w:szCs w:val="16"/>
          <w:color w:val="auto"/>
        </w:rPr>
        <w:t>The preparation of these consolidated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These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w:t>
      </w:r>
    </w:p>
    <w:p>
      <w:pPr>
        <w:spacing w:after="0" w:line="182" w:lineRule="exact"/>
        <w:rPr>
          <w:sz w:val="20"/>
          <w:szCs w:val="20"/>
          <w:color w:val="auto"/>
        </w:rPr>
      </w:pPr>
    </w:p>
    <w:p>
      <w:pPr>
        <w:jc w:val="both"/>
        <w:ind w:left="280"/>
        <w:spacing w:after="0" w:line="302" w:lineRule="auto"/>
        <w:rPr>
          <w:sz w:val="20"/>
          <w:szCs w:val="20"/>
          <w:color w:val="auto"/>
        </w:rPr>
      </w:pPr>
      <w:r>
        <w:rPr>
          <w:rFonts w:ascii="Times New Roman" w:cs="Times New Roman" w:eastAsia="Times New Roman" w:hAnsi="Times New Roman"/>
          <w:sz w:val="16"/>
          <w:szCs w:val="16"/>
          <w:color w:val="auto"/>
        </w:rPr>
        <w:t>Judgments, estimates and assumptions that have the most significant effect on the amounts recognized in the consolidated financial statements include warrants and fair value of share-based payments (note 9) and the fair value of financial instruments (note 15).</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Ability to continue as a going concern</w:t>
      </w:r>
    </w:p>
    <w:p>
      <w:pPr>
        <w:spacing w:after="0" w:line="244" w:lineRule="exact"/>
        <w:rPr>
          <w:sz w:val="20"/>
          <w:szCs w:val="20"/>
          <w:color w:val="auto"/>
        </w:rPr>
      </w:pPr>
    </w:p>
    <w:p>
      <w:pPr>
        <w:jc w:val="both"/>
        <w:ind w:left="280"/>
        <w:spacing w:after="0" w:line="302" w:lineRule="auto"/>
        <w:rPr>
          <w:sz w:val="20"/>
          <w:szCs w:val="20"/>
          <w:color w:val="auto"/>
        </w:rPr>
      </w:pPr>
      <w:r>
        <w:rPr>
          <w:rFonts w:ascii="Times New Roman" w:cs="Times New Roman" w:eastAsia="Times New Roman" w:hAnsi="Times New Roman"/>
          <w:sz w:val="16"/>
          <w:szCs w:val="16"/>
          <w:color w:val="auto"/>
        </w:rPr>
        <w:t>In order to assess whether it is appropriate for the Company to continue as a going concern, management is required to apply judgment and make estimates with respect to future cash flow projections.</w:t>
      </w:r>
    </w:p>
    <w:p>
      <w:pPr>
        <w:spacing w:after="0" w:line="180" w:lineRule="exact"/>
        <w:rPr>
          <w:sz w:val="20"/>
          <w:szCs w:val="20"/>
          <w:color w:val="auto"/>
        </w:rPr>
      </w:pPr>
    </w:p>
    <w:p>
      <w:pPr>
        <w:jc w:val="both"/>
        <w:ind w:left="280"/>
        <w:spacing w:after="0" w:line="302" w:lineRule="auto"/>
        <w:rPr>
          <w:sz w:val="20"/>
          <w:szCs w:val="20"/>
          <w:color w:val="auto"/>
        </w:rPr>
      </w:pPr>
      <w:r>
        <w:rPr>
          <w:rFonts w:ascii="Times New Roman" w:cs="Times New Roman" w:eastAsia="Times New Roman" w:hAnsi="Times New Roman"/>
          <w:sz w:val="16"/>
          <w:szCs w:val="16"/>
          <w:color w:val="auto"/>
        </w:rPr>
        <w:t>In arriving at this judgment, there were a number of assumptions and estimates involved in calculating these future cash flow projections. This includes making estimates regarding the timing and amounts of future expenditures and the ability and timing of raising additional financing.</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257" w:lineRule="exact"/>
        <w:rPr>
          <w:sz w:val="20"/>
          <w:szCs w:val="20"/>
          <w:color w:val="auto"/>
        </w:rPr>
      </w:pPr>
    </w:p>
    <w:p>
      <w:pPr>
        <w:jc w:val="both"/>
        <w:ind w:left="280"/>
        <w:spacing w:after="0" w:line="281" w:lineRule="auto"/>
        <w:rPr>
          <w:sz w:val="20"/>
          <w:szCs w:val="20"/>
          <w:color w:val="auto"/>
        </w:rPr>
      </w:pPr>
      <w:r>
        <w:rPr>
          <w:rFonts w:ascii="Times New Roman" w:cs="Times New Roman" w:eastAsia="Times New Roman" w:hAnsi="Times New Roman"/>
          <w:sz w:val="16"/>
          <w:szCs w:val="16"/>
          <w:color w:val="auto"/>
        </w:rPr>
        <w:t>A business combination is a transaction or event in which an acquirer obtains control of one or more businesses and is accounted for using the acquisition method. The total consideration paid for the acquisition is the aggregate of the fair values of assets given, liabilities incurred or assumed, and equity instruments issued in exchange for control of the acquiree at the acquisition date. The acquisition date is the date where the Company obtains control of the acquiree. The identifiable assets acquired and liabilities assumed are recognized at their acquisition date fair values, except for deferred taxes and share-based payment awards where IFRS provides exceptions to recording the amounts at fair value. Acquisition costs are expensed to profit or loss.</w:t>
      </w:r>
    </w:p>
    <w:p>
      <w:pPr>
        <w:spacing w:after="0" w:line="184"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6"/>
          <w:szCs w:val="16"/>
          <w:color w:val="auto"/>
        </w:rPr>
        <w:t>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26 of 57</w:t>
      </w:r>
    </w:p>
    <w:p>
      <w:pPr>
        <w:sectPr>
          <w:pgSz w:w="11900" w:h="16838" w:orient="portrait"/>
          <w:cols w:equalWidth="0" w:num="1">
            <w:col w:w="11240"/>
          </w:cols>
          <w:pgMar w:left="320" w:top="212"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or IAS 37 Provisions, Contingent Liabilities and Contingent Assets, as appropriate, with the corresponding gain or loss being recognized in profit or loss.</w:t>
      </w:r>
    </w:p>
    <w:p>
      <w:pPr>
        <w:spacing w:after="0" w:line="240"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Non-controlling interest in the acquiree, if any, is recognized either at fair value or at the non-controlling interest’s proportionate share of the acquiree’s net assets, determined on an acquisition-by-acquisition basis. For each acquisition, the excess of total consideration, the fair value of previously held equity interest prior to obtaining control and the non-controlling interest in the acquiree, over the fair value of the identifiable net asset acquired, is recorded as goodwill.</w:t>
      </w:r>
    </w:p>
    <w:p>
      <w:pPr>
        <w:spacing w:after="0" w:line="175" w:lineRule="exact"/>
        <w:rPr>
          <w:sz w:val="20"/>
          <w:szCs w:val="20"/>
          <w:color w:val="auto"/>
        </w:rPr>
      </w:pPr>
    </w:p>
    <w:p>
      <w:pPr>
        <w:jc w:val="both"/>
        <w:ind w:left="220" w:right="20"/>
        <w:spacing w:after="0" w:line="285" w:lineRule="auto"/>
        <w:rPr>
          <w:sz w:val="20"/>
          <w:szCs w:val="20"/>
          <w:color w:val="auto"/>
        </w:rPr>
      </w:pPr>
      <w:r>
        <w:rPr>
          <w:rFonts w:ascii="Times New Roman" w:cs="Times New Roman" w:eastAsia="Times New Roman" w:hAnsi="Times New Roman"/>
          <w:sz w:val="16"/>
          <w:szCs w:val="16"/>
          <w:color w:val="auto"/>
        </w:rPr>
        <w:t>Certain fair values may be estimated at the acquisition date pending confirmation or completion of the valuation process. Where provisional values are used in accounting for a business combination, they may be adjusted retrospectively in subsequent periods. The measurement period is the period from the acquisition date to the date complete information about facts and circumstances that existed as of the acquisition date is received. However, the measurement period does not exceed one year from the acquisition date.</w:t>
      </w:r>
    </w:p>
    <w:p>
      <w:pPr>
        <w:spacing w:after="0" w:line="181"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Acquisitions that do not meet the definition of a business combination are accounted for as an asset acquisition. Consideration paid for an asset acquisition is allocated to the individual identifiable assets acquired and liabilities assumed based on their relative fair values.</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Share based payments</w:t>
      </w:r>
    </w:p>
    <w:p>
      <w:pPr>
        <w:spacing w:after="0" w:line="244"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The fair value of share-based compensation expenses are estimated using the Black-Scholes option pricing model and rely on a number of estimates, such as the expected life of the option, the volatility of the underlying share price, the risk-free rate of return, and the estimated rate of forfeiture of options or warrants granted.</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Impairment of non-financial assets</w:t>
      </w:r>
    </w:p>
    <w:p>
      <w:pPr>
        <w:spacing w:after="0" w:line="244" w:lineRule="exact"/>
        <w:rPr>
          <w:sz w:val="20"/>
          <w:szCs w:val="20"/>
          <w:color w:val="auto"/>
        </w:rPr>
      </w:pPr>
    </w:p>
    <w:p>
      <w:pPr>
        <w:jc w:val="both"/>
        <w:ind w:left="220"/>
        <w:spacing w:after="0" w:line="280" w:lineRule="auto"/>
        <w:rPr>
          <w:sz w:val="20"/>
          <w:szCs w:val="20"/>
          <w:color w:val="auto"/>
        </w:rPr>
      </w:pPr>
      <w:r>
        <w:rPr>
          <w:rFonts w:ascii="Times New Roman" w:cs="Times New Roman" w:eastAsia="Times New Roman" w:hAnsi="Times New Roman"/>
          <w:sz w:val="16"/>
          <w:szCs w:val="16"/>
          <w:color w:val="auto"/>
        </w:rPr>
        <w:t>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w:t>
      </w:r>
      <w:r>
        <w:rPr>
          <w:rFonts w:ascii="Times New Roman" w:cs="Times New Roman" w:eastAsia="Times New Roman" w:hAnsi="Times New Roman"/>
          <w:sz w:val="16"/>
          <w:szCs w:val="16"/>
          <w:b w:val="1"/>
          <w:bCs w:val="1"/>
          <w:color w:val="auto"/>
        </w:rPr>
        <w:t>DCF</w:t>
      </w:r>
      <w:r>
        <w:rPr>
          <w:rFonts w:ascii="Times New Roman" w:cs="Times New Roman" w:eastAsia="Times New Roman" w:hAnsi="Times New Roman"/>
          <w:sz w:val="16"/>
          <w:szCs w:val="16"/>
          <w:color w:val="auto"/>
        </w:rPr>
        <w:t>”) model. The cash flows are derived from the forecast for the next ten years and do not include restructuring activities that the Company is not yet committed to or significant future investments that will enhance the performance of the assets of the CGU being tested. The determination of the Company’s CGUs is based on management’s judgement. The recoverable amount is sensitive to the discount rate used for the DCF model as well as the expected future cash-inflows and the growth rate used for extrapolation purposes. These estimates are most relevant to goodwill and other intangibles with indefinite useful lives recognized by the Company. Future events could cause the assumptions used in the impairment review to change with a consequential adverse effect on the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27 of 57</w:t>
      </w:r>
    </w:p>
    <w:p>
      <w:pPr>
        <w:sectPr>
          <w:pgSz w:w="11900" w:h="16838" w:orient="portrait"/>
          <w:cols w:equalWidth="0" w:num="1">
            <w:col w:w="11200"/>
          </w:cols>
          <w:pgMar w:left="380" w:top="212" w:right="3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07707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77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44" w:lineRule="exact"/>
        <w:rPr>
          <w:sz w:val="20"/>
          <w:szCs w:val="20"/>
          <w:color w:val="auto"/>
        </w:rPr>
      </w:pPr>
    </w:p>
    <w:p>
      <w:pPr>
        <w:jc w:val="both"/>
        <w:ind w:left="220"/>
        <w:spacing w:after="0" w:line="282" w:lineRule="auto"/>
        <w:rPr>
          <w:sz w:val="20"/>
          <w:szCs w:val="20"/>
          <w:color w:val="auto"/>
        </w:rPr>
      </w:pPr>
      <w:r>
        <w:rPr>
          <w:rFonts w:ascii="Times New Roman" w:cs="Times New Roman" w:eastAsia="Times New Roman" w:hAnsi="Times New Roman"/>
          <w:sz w:val="16"/>
          <w:szCs w:val="16"/>
          <w:color w:val="auto"/>
        </w:rPr>
        <w:t>The Company computed an income tax provision in accordance with the applicable income tax laws. However, actual amounts of income tax expense only become final upon filing and acceptance of the tax return by the relevant authorities, which occurs subsequent to the issuance of the consolidated financial statements. Additionally, estimation of income taxes includes evaluation the recoverability of deferred tax assets based on an assessment of the ability to use the underlying future tax deductions before they expire against future taxable income. The assessment is based upon existing tax laws and estimates of future taxable income. The income tax provision is based on estimates of full-year earnings by jurisdiction. The average annual effective income tax rates are re-estimated at the end of each reporting period. To the extent that estimates and forecasts differ from actual results, adjustments are recorded in subsequent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Page 28 of 57</w:t>
      </w:r>
    </w:p>
    <w:p>
      <w:pPr>
        <w:sectPr>
          <w:pgSz w:w="11900" w:h="16838" w:orient="portrait"/>
          <w:cols w:equalWidth="0" w:num="1">
            <w:col w:w="11180"/>
          </w:cols>
          <w:pgMar w:left="380" w:top="212" w:right="339" w:bottom="1440" w:gutter="0" w:footer="0" w:header="0"/>
        </w:sectPr>
      </w:pPr>
    </w:p>
    <w:bookmarkStart w:id="234" w:name="page235"/>
    <w:bookmarkEnd w:id="234"/>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ACQUISITION</w:t>
      </w:r>
    </w:p>
    <w:p>
      <w:pPr>
        <w:spacing w:after="0" w:line="240" w:lineRule="exact"/>
        <w:rPr>
          <w:sz w:val="20"/>
          <w:szCs w:val="20"/>
          <w:color w:val="auto"/>
        </w:rPr>
      </w:pPr>
    </w:p>
    <w:p>
      <w:pPr>
        <w:jc w:val="both"/>
        <w:ind w:left="280" w:right="20"/>
        <w:spacing w:after="0" w:line="286" w:lineRule="auto"/>
        <w:rPr>
          <w:sz w:val="20"/>
          <w:szCs w:val="20"/>
          <w:color w:val="auto"/>
        </w:rPr>
      </w:pPr>
      <w:r>
        <w:rPr>
          <w:rFonts w:ascii="Times New Roman" w:cs="Times New Roman" w:eastAsia="Times New Roman" w:hAnsi="Times New Roman"/>
          <w:sz w:val="16"/>
          <w:szCs w:val="16"/>
          <w:color w:val="auto"/>
        </w:rPr>
        <w:t>On October 23, 2023, Cybin completed the acquisition of Small Pharma and its wholly-owned subsidiary Small Pharma Ltd. (the “</w:t>
      </w:r>
      <w:r>
        <w:rPr>
          <w:rFonts w:ascii="Times New Roman" w:cs="Times New Roman" w:eastAsia="Times New Roman" w:hAnsi="Times New Roman"/>
          <w:sz w:val="16"/>
          <w:szCs w:val="16"/>
          <w:b w:val="1"/>
          <w:bCs w:val="1"/>
          <w:color w:val="auto"/>
        </w:rPr>
        <w:t>Acquisition</w:t>
      </w:r>
      <w:r>
        <w:rPr>
          <w:rFonts w:ascii="Times New Roman" w:cs="Times New Roman" w:eastAsia="Times New Roman" w:hAnsi="Times New Roman"/>
          <w:sz w:val="16"/>
          <w:szCs w:val="16"/>
          <w:color w:val="auto"/>
        </w:rPr>
        <w:t>”) and issued 0.2409 Common Shares for every one common share of Small Pharma outstanding, resulting in a total of 80,945,254 Common Shares being issued to Small Pharma shareholders. As a result of the Acquisition, Small Pharma became a wholly-owned subsidiary of Cybin. On December 16, 2023 the Company changed the name of Small Pharma Ltd to Cybin UK Ltd.</w:t>
      </w:r>
    </w:p>
    <w:p>
      <w:pPr>
        <w:spacing w:after="0" w:line="192" w:lineRule="exact"/>
        <w:rPr>
          <w:sz w:val="20"/>
          <w:szCs w:val="20"/>
          <w:color w:val="auto"/>
        </w:rPr>
      </w:pPr>
    </w:p>
    <w:p>
      <w:pPr>
        <w:jc w:val="both"/>
        <w:ind w:left="280" w:right="20"/>
        <w:spacing w:after="0" w:line="301" w:lineRule="auto"/>
        <w:rPr>
          <w:sz w:val="20"/>
          <w:szCs w:val="20"/>
          <w:color w:val="auto"/>
        </w:rPr>
      </w:pPr>
      <w:r>
        <w:rPr>
          <w:rFonts w:ascii="Times New Roman" w:cs="Times New Roman" w:eastAsia="Times New Roman" w:hAnsi="Times New Roman"/>
          <w:sz w:val="16"/>
          <w:szCs w:val="16"/>
          <w:color w:val="auto"/>
        </w:rPr>
        <w:t>In connection with the Acquisition, all unvested options of Small Pharma were vested and holders were able to exercise their options prior to the close of the Acquisition. All stock options of Small Pharma remaining unexercised at October 23, 2023 were cancelled and compensation of $0.001 per stock option was paid to the optionees.</w:t>
      </w:r>
    </w:p>
    <w:p>
      <w:pPr>
        <w:spacing w:after="0" w:line="387"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6"/>
          <w:szCs w:val="16"/>
          <w:color w:val="auto"/>
        </w:rPr>
        <w:t>As at October 23, 2023 Small Pharma’s patent portfolio consisted of 17 active patent families with 92 pending applications and 30 granted patents across its psychedelic and non-psychedelic portfolio.</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Company has determined that the Acquisition was a business combination under IFRS. In accordance with the measurement period permitted under IFRS 3 - Business Combinations, the fair value of the assets acquired and liabilities assumed have been estimated as follows for the purposes of these condensed interim consolidated financial statements. This fair valuation is provisional, and its finalization is to be completed within one year from the business combination date as allowed under IFRS 3 and adjusted retrospectively.</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Acquisition Summary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Share Consideration</w:t>
            </w:r>
          </w:p>
        </w:tc>
        <w:tc>
          <w:tcPr>
            <w:tcW w:w="3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53,481</w:t>
            </w:r>
          </w:p>
        </w:tc>
      </w:tr>
      <w:tr>
        <w:trPr>
          <w:trHeight w:val="198"/>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purchaser consideration</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53,481</w:t>
            </w:r>
          </w:p>
        </w:tc>
      </w:tr>
      <w:tr>
        <w:trPr>
          <w:trHeight w:val="428"/>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Provisional Allocation of Purchase Price</w:t>
            </w:r>
          </w:p>
        </w:tc>
        <w:tc>
          <w:tcPr>
            <w:tcW w:w="3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19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7,632</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510</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equipment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37</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29,339</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412</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(415)</w:t>
            </w: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(6,686)</w:t>
            </w:r>
          </w:p>
        </w:tc>
      </w:tr>
      <w:tr>
        <w:trPr>
          <w:trHeight w:val="21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22,652</w:t>
            </w:r>
          </w:p>
        </w:tc>
      </w:tr>
      <w:tr>
        <w:trPr>
          <w:trHeight w:val="19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allocation of purchase price</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53,481</w:t>
            </w:r>
          </w:p>
        </w:tc>
      </w:tr>
    </w:tbl>
    <w:p>
      <w:pPr>
        <w:spacing w:after="0" w:line="299" w:lineRule="exact"/>
        <w:rPr>
          <w:sz w:val="20"/>
          <w:szCs w:val="20"/>
          <w:color w:val="auto"/>
        </w:rPr>
      </w:pPr>
    </w:p>
    <w:p>
      <w:pPr>
        <w:ind w:right="3700"/>
        <w:spacing w:after="0" w:line="318" w:lineRule="auto"/>
        <w:rPr>
          <w:sz w:val="20"/>
          <w:szCs w:val="20"/>
          <w:color w:val="auto"/>
        </w:rPr>
      </w:pPr>
      <w:r>
        <w:rPr>
          <w:rFonts w:ascii="Times New Roman" w:cs="Times New Roman" w:eastAsia="Times New Roman" w:hAnsi="Times New Roman"/>
          <w:sz w:val="16"/>
          <w:szCs w:val="16"/>
          <w:color w:val="auto"/>
        </w:rPr>
        <w:t>A professional valuator has been engaged by the Company to estimate the value of the assets of Small Pharma for the purpose of the final purchase price allocation. Accordingly, the above estimated values may be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29 of 57</w:t>
      </w:r>
    </w:p>
    <w:p>
      <w:pPr>
        <w:sectPr>
          <w:pgSz w:w="11900" w:h="16838" w:orient="portrait"/>
          <w:cols w:equalWidth="0" w:num="1">
            <w:col w:w="11260"/>
          </w:cols>
          <w:pgMar w:left="320" w:top="212" w:right="319" w:bottom="1440" w:gutter="0" w:footer="0" w:header="0"/>
        </w:sectPr>
      </w:pPr>
    </w:p>
    <w:bookmarkStart w:id="235" w:name="page236"/>
    <w:bookmarkEnd w:id="235"/>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6"/>
          <w:szCs w:val="16"/>
          <w:color w:val="auto"/>
        </w:rPr>
        <w:t>As at February 28, 2023, Small Pharma had Canadian loss carry forwards of $9,393 and UK loss carry forwards (stated in Canadian dollars) of $46,631. No value has been ascribed to loss carry forward in these consolidated financial statements. Tax values of assets acquired may differ from their accounting values.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revenue and net loss is attributable to the period from Acquisition date to March 31, 2024 and included in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170815</wp:posOffset>
            </wp:positionV>
            <wp:extent cx="712343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23430" cy="7620"/>
                    </a:xfrm>
                    <a:prstGeom prst="rect">
                      <a:avLst/>
                    </a:prstGeom>
                    <a:noFill/>
                  </pic:spPr>
                </pic:pic>
              </a:graphicData>
            </a:graphic>
          </wp:anchor>
        </w:drawing>
      </w:r>
    </w:p>
    <w:p>
      <w:pPr>
        <w:spacing w:after="0" w:line="257" w:lineRule="exact"/>
        <w:rPr>
          <w:sz w:val="20"/>
          <w:szCs w:val="20"/>
          <w:color w:val="auto"/>
        </w:rPr>
      </w:pPr>
    </w:p>
    <w:p>
      <w:pPr>
        <w:ind w:left="20"/>
        <w:spacing w:after="0"/>
        <w:tabs>
          <w:tab w:leader="none" w:pos="9340" w:val="left"/>
          <w:tab w:leader="none" w:pos="9580" w:val="left"/>
        </w:tabs>
        <w:rPr>
          <w:sz w:val="20"/>
          <w:szCs w:val="20"/>
          <w:color w:val="auto"/>
        </w:rPr>
      </w:pPr>
      <w:r>
        <w:rPr>
          <w:rFonts w:ascii="Times New Roman" w:cs="Times New Roman" w:eastAsia="Times New Roman" w:hAnsi="Times New Roman"/>
          <w:sz w:val="16"/>
          <w:szCs w:val="16"/>
          <w:color w:val="auto"/>
        </w:rPr>
        <w:t>Revenue</w:t>
      </w:r>
      <w:r>
        <w:rPr>
          <w:sz w:val="20"/>
          <w:szCs w:val="20"/>
          <w:color w:val="auto"/>
        </w:rPr>
        <w:tab/>
      </w:r>
      <w:r>
        <w:rPr>
          <w:rFonts w:ascii="Times New Roman" w:cs="Times New Roman" w:eastAsia="Times New Roman" w:hAnsi="Times New Roman"/>
          <w:sz w:val="16"/>
          <w:szCs w:val="16"/>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(1,666)</w:t>
            </w:r>
          </w:p>
        </w:tc>
        <w:tc>
          <w:tcPr>
            <w:tcW w:w="0" w:type="dxa"/>
            <w:vAlign w:val="bottom"/>
          </w:tcPr>
          <w:p>
            <w:pPr>
              <w:spacing w:after="0"/>
              <w:rPr>
                <w:sz w:val="1"/>
                <w:szCs w:val="1"/>
                <w:color w:val="auto"/>
              </w:rPr>
            </w:pPr>
          </w:p>
        </w:tc>
      </w:tr>
      <w:tr>
        <w:trPr>
          <w:trHeight w:val="65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EQUIPMENT</w:t>
            </w:r>
          </w:p>
        </w:tc>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8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Equipment consists as follows:</w:t>
            </w:r>
          </w:p>
        </w:tc>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Lab Equipment</w:t>
            </w:r>
          </w:p>
        </w:tc>
        <w:tc>
          <w:tcPr>
            <w:tcW w:w="320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Computer Equipment</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15"/>
        </w:trPr>
        <w:tc>
          <w:tcPr>
            <w:tcW w:w="280" w:type="dxa"/>
            <w:vAlign w:val="bottom"/>
          </w:tcPr>
          <w:p>
            <w:pPr>
              <w:spacing w:after="0"/>
              <w:rPr>
                <w:sz w:val="24"/>
                <w:szCs w:val="24"/>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320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2022</w:t>
            </w:r>
          </w:p>
        </w:tc>
        <w:tc>
          <w:tcPr>
            <w:tcW w:w="24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475</w:t>
            </w:r>
          </w:p>
        </w:tc>
        <w:tc>
          <w:tcPr>
            <w:tcW w:w="3200" w:type="dxa"/>
            <w:vAlign w:val="bottom"/>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238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713</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4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142</w:t>
            </w:r>
          </w:p>
        </w:tc>
        <w:tc>
          <w:tcPr>
            <w:tcW w:w="3200" w:type="dxa"/>
            <w:vAlign w:val="bottom"/>
            <w:vMerge w:val="restart"/>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24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47</w:t>
            </w:r>
          </w:p>
        </w:tc>
        <w:tc>
          <w:tcPr>
            <w:tcW w:w="3200" w:type="dxa"/>
            <w:vAlign w:val="bottom"/>
            <w:vMerge w:val="restart"/>
          </w:tcPr>
          <w:p>
            <w:pPr>
              <w:jc w:val="right"/>
              <w:ind w:right="1419"/>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560" w:type="dxa"/>
            <w:vAlign w:val="bottom"/>
            <w:tcBorders>
              <w:bottom w:val="single" w:sz="8" w:color="auto"/>
            </w:tcBorders>
            <w:vMerge w:val="continue"/>
          </w:tcPr>
          <w:p>
            <w:pPr>
              <w:spacing w:after="0"/>
              <w:rPr>
                <w:sz w:val="5"/>
                <w:szCs w:val="5"/>
                <w:color w:val="auto"/>
              </w:rPr>
            </w:pPr>
          </w:p>
        </w:tc>
        <w:tc>
          <w:tcPr>
            <w:tcW w:w="2480" w:type="dxa"/>
            <w:vAlign w:val="bottom"/>
            <w:tcBorders>
              <w:bottom w:val="single" w:sz="8" w:color="auto"/>
            </w:tcBorders>
            <w:vMerge w:val="continue"/>
          </w:tcPr>
          <w:p>
            <w:pPr>
              <w:spacing w:after="0"/>
              <w:rPr>
                <w:sz w:val="5"/>
                <w:szCs w:val="5"/>
                <w:color w:val="auto"/>
              </w:rPr>
            </w:pPr>
          </w:p>
        </w:tc>
        <w:tc>
          <w:tcPr>
            <w:tcW w:w="320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2023</w:t>
            </w:r>
          </w:p>
        </w:tc>
        <w:tc>
          <w:tcPr>
            <w:tcW w:w="24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664</w:t>
            </w:r>
          </w:p>
        </w:tc>
        <w:tc>
          <w:tcPr>
            <w:tcW w:w="320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239</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903</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from Small Pharma</w:t>
            </w:r>
          </w:p>
        </w:tc>
        <w:tc>
          <w:tcPr>
            <w:tcW w:w="24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20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rPr>
              <w:t>37</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4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20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rPr>
              <w:t>21</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write-down</w:t>
            </w:r>
          </w:p>
        </w:tc>
        <w:tc>
          <w:tcPr>
            <w:tcW w:w="24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20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rPr>
              <w:t>(33)</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24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20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2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664</w:t>
            </w:r>
          </w:p>
        </w:tc>
        <w:tc>
          <w:tcPr>
            <w:tcW w:w="320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266</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9"/>
        </w:trPr>
        <w:tc>
          <w:tcPr>
            <w:tcW w:w="2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2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2022</w:t>
            </w:r>
          </w:p>
        </w:tc>
        <w:tc>
          <w:tcPr>
            <w:tcW w:w="24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138</w:t>
            </w:r>
          </w:p>
        </w:tc>
        <w:tc>
          <w:tcPr>
            <w:tcW w:w="3200" w:type="dxa"/>
            <w:vAlign w:val="bottom"/>
            <w:vMerge w:val="restart"/>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84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Depreciation charge</w:t>
            </w:r>
          </w:p>
        </w:tc>
        <w:tc>
          <w:tcPr>
            <w:tcW w:w="24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135</w:t>
            </w:r>
          </w:p>
        </w:tc>
        <w:tc>
          <w:tcPr>
            <w:tcW w:w="3200" w:type="dxa"/>
            <w:vAlign w:val="bottom"/>
            <w:vMerge w:val="restart"/>
          </w:tcPr>
          <w:p>
            <w:pPr>
              <w:jc w:val="right"/>
              <w:ind w:right="1419"/>
              <w:spacing w:after="0"/>
              <w:rPr>
                <w:sz w:val="20"/>
                <w:szCs w:val="20"/>
                <w:color w:val="auto"/>
              </w:rPr>
            </w:pPr>
            <w:r>
              <w:rPr>
                <w:rFonts w:ascii="Times New Roman" w:cs="Times New Roman" w:eastAsia="Times New Roman" w:hAnsi="Times New Roman"/>
                <w:sz w:val="16"/>
                <w:szCs w:val="16"/>
                <w:color w:val="auto"/>
              </w:rPr>
              <w:t>79</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24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17</w:t>
            </w:r>
          </w:p>
        </w:tc>
        <w:tc>
          <w:tcPr>
            <w:tcW w:w="3200" w:type="dxa"/>
            <w:vAlign w:val="bottom"/>
            <w:vMerge w:val="restart"/>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560" w:type="dxa"/>
            <w:vAlign w:val="bottom"/>
            <w:tcBorders>
              <w:bottom w:val="single" w:sz="8" w:color="auto"/>
            </w:tcBorders>
            <w:vMerge w:val="continue"/>
          </w:tcPr>
          <w:p>
            <w:pPr>
              <w:spacing w:after="0"/>
              <w:rPr>
                <w:sz w:val="5"/>
                <w:szCs w:val="5"/>
                <w:color w:val="auto"/>
              </w:rPr>
            </w:pPr>
          </w:p>
        </w:tc>
        <w:tc>
          <w:tcPr>
            <w:tcW w:w="2480" w:type="dxa"/>
            <w:vAlign w:val="bottom"/>
            <w:tcBorders>
              <w:bottom w:val="single" w:sz="8" w:color="auto"/>
            </w:tcBorders>
            <w:vMerge w:val="continue"/>
          </w:tcPr>
          <w:p>
            <w:pPr>
              <w:spacing w:after="0"/>
              <w:rPr>
                <w:sz w:val="5"/>
                <w:szCs w:val="5"/>
                <w:color w:val="auto"/>
              </w:rPr>
            </w:pPr>
          </w:p>
        </w:tc>
        <w:tc>
          <w:tcPr>
            <w:tcW w:w="320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2023</w:t>
            </w:r>
          </w:p>
        </w:tc>
        <w:tc>
          <w:tcPr>
            <w:tcW w:w="24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290</w:t>
            </w:r>
          </w:p>
        </w:tc>
        <w:tc>
          <w:tcPr>
            <w:tcW w:w="320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163</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453</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Depreciation charge</w:t>
            </w:r>
          </w:p>
        </w:tc>
        <w:tc>
          <w:tcPr>
            <w:tcW w:w="24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137</w:t>
            </w:r>
          </w:p>
        </w:tc>
        <w:tc>
          <w:tcPr>
            <w:tcW w:w="3200" w:type="dxa"/>
            <w:vAlign w:val="bottom"/>
            <w:vMerge w:val="restart"/>
          </w:tcPr>
          <w:p>
            <w:pPr>
              <w:jc w:val="right"/>
              <w:ind w:right="1419"/>
              <w:spacing w:after="0"/>
              <w:rPr>
                <w:sz w:val="20"/>
                <w:szCs w:val="20"/>
                <w:color w:val="auto"/>
              </w:rPr>
            </w:pPr>
            <w:r>
              <w:rPr>
                <w:rFonts w:ascii="Times New Roman" w:cs="Times New Roman" w:eastAsia="Times New Roman" w:hAnsi="Times New Roman"/>
                <w:sz w:val="16"/>
                <w:szCs w:val="16"/>
                <w:color w:val="auto"/>
              </w:rPr>
              <w:t>86</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Computer equipment write-down</w:t>
            </w:r>
          </w:p>
        </w:tc>
        <w:tc>
          <w:tcPr>
            <w:tcW w:w="24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200" w:type="dxa"/>
            <w:vAlign w:val="bottom"/>
            <w:vMerge w:val="restart"/>
          </w:tcPr>
          <w:p>
            <w:pPr>
              <w:jc w:val="right"/>
              <w:ind w:right="1419"/>
              <w:spacing w:after="0"/>
              <w:rPr>
                <w:sz w:val="20"/>
                <w:szCs w:val="20"/>
                <w:color w:val="auto"/>
              </w:rPr>
            </w:pPr>
            <w:r>
              <w:rPr>
                <w:rFonts w:ascii="Times New Roman" w:cs="Times New Roman" w:eastAsia="Times New Roman" w:hAnsi="Times New Roman"/>
                <w:sz w:val="16"/>
                <w:szCs w:val="16"/>
                <w:color w:val="auto"/>
              </w:rPr>
              <w:t>(15)</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32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24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3</w:t>
            </w:r>
          </w:p>
        </w:tc>
        <w:tc>
          <w:tcPr>
            <w:tcW w:w="32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2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430</w:t>
            </w:r>
          </w:p>
        </w:tc>
        <w:tc>
          <w:tcPr>
            <w:tcW w:w="320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234</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80" w:type="dxa"/>
            <w:vAlign w:val="bottom"/>
          </w:tcPr>
          <w:p>
            <w:pPr>
              <w:spacing w:after="0"/>
              <w:rPr>
                <w:sz w:val="22"/>
                <w:szCs w:val="22"/>
                <w:color w:val="auto"/>
              </w:rPr>
            </w:pPr>
          </w:p>
        </w:tc>
        <w:tc>
          <w:tcPr>
            <w:tcW w:w="35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as at March 31, 2023</w:t>
            </w:r>
          </w:p>
        </w:tc>
        <w:tc>
          <w:tcPr>
            <w:tcW w:w="2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374</w:t>
            </w:r>
          </w:p>
        </w:tc>
        <w:tc>
          <w:tcPr>
            <w:tcW w:w="320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76</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as at March 31, 2024</w:t>
            </w:r>
          </w:p>
        </w:tc>
        <w:tc>
          <w:tcPr>
            <w:tcW w:w="2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234</w:t>
            </w:r>
          </w:p>
        </w:tc>
        <w:tc>
          <w:tcPr>
            <w:tcW w:w="320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32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30 of 57</w:t>
      </w:r>
    </w:p>
    <w:p>
      <w:pPr>
        <w:sectPr>
          <w:pgSz w:w="11900" w:h="16838" w:orient="portrait"/>
          <w:cols w:equalWidth="0" w:num="1">
            <w:col w:w="11240"/>
          </w:cols>
          <w:pgMar w:left="320" w:top="212" w:right="339" w:bottom="1440" w:gutter="0" w:footer="0" w:header="0"/>
          <w:type w:val="continuous"/>
        </w:sectPr>
      </w:pPr>
    </w:p>
    <w:bookmarkStart w:id="236" w:name="page237"/>
    <w:bookmarkEnd w:id="236"/>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6.  INTANGIBLE ASSETS</w:t>
            </w: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IP Research &amp;</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Patents</w:t>
            </w: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32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1"/>
        </w:trPr>
        <w:tc>
          <w:tcPr>
            <w:tcW w:w="2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8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2022</w:t>
            </w:r>
          </w:p>
        </w:tc>
        <w:tc>
          <w:tcPr>
            <w:tcW w:w="23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1,566</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443</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74</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2,083</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1,342</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495</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1,330</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168</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40</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49</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2023</w:t>
            </w:r>
          </w:p>
        </w:tc>
        <w:tc>
          <w:tcPr>
            <w:tcW w:w="23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3,076</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978</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1,379</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74</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5,507</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Small Pharma</w:t>
            </w:r>
          </w:p>
        </w:tc>
        <w:tc>
          <w:tcPr>
            <w:tcW w:w="2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29,339</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29,339</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689</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32,440</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1,668</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1,381</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74</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35,563</w:t>
            </w:r>
          </w:p>
        </w:tc>
        <w:tc>
          <w:tcPr>
            <w:tcW w:w="0" w:type="dxa"/>
            <w:vAlign w:val="bottom"/>
          </w:tcPr>
          <w:p>
            <w:pPr>
              <w:spacing w:after="0"/>
              <w:rPr>
                <w:sz w:val="1"/>
                <w:szCs w:val="1"/>
                <w:color w:val="auto"/>
              </w:rPr>
            </w:pPr>
          </w:p>
        </w:tc>
      </w:tr>
      <w:tr>
        <w:trPr>
          <w:trHeight w:val="327"/>
        </w:trPr>
        <w:tc>
          <w:tcPr>
            <w:tcW w:w="280" w:type="dxa"/>
            <w:vAlign w:val="bottom"/>
          </w:tcPr>
          <w:p>
            <w:pPr>
              <w:spacing w:after="0"/>
              <w:rPr>
                <w:sz w:val="24"/>
                <w:szCs w:val="24"/>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2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charge</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19</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18</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2023</w:t>
            </w:r>
          </w:p>
        </w:tc>
        <w:tc>
          <w:tcPr>
            <w:tcW w:w="23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19</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18</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37</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charge</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37</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56</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42</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98</w:t>
            </w: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as at March 31, 2023</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3,076</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978</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1,360</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56</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5,470</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as at March 31, 2024</w:t>
            </w:r>
          </w:p>
        </w:tc>
        <w:tc>
          <w:tcPr>
            <w:tcW w:w="2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32,440</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1,668</w:t>
            </w: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1,325</w:t>
            </w:r>
          </w:p>
        </w:tc>
        <w:tc>
          <w:tcPr>
            <w:tcW w:w="13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32</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35,465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IP Research &amp; Development</w:t>
      </w: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note 4 for information on the Small Pharma Acquisition.</w:t>
      </w:r>
    </w:p>
    <w:p>
      <w:pPr>
        <w:spacing w:after="0" w:line="202" w:lineRule="exact"/>
        <w:rPr>
          <w:sz w:val="20"/>
          <w:szCs w:val="20"/>
          <w:color w:val="auto"/>
        </w:rPr>
      </w:pPr>
    </w:p>
    <w:p>
      <w:pPr>
        <w:jc w:val="both"/>
        <w:ind w:left="280"/>
        <w:spacing w:after="0" w:line="310" w:lineRule="auto"/>
        <w:rPr>
          <w:sz w:val="20"/>
          <w:szCs w:val="20"/>
          <w:color w:val="auto"/>
        </w:rPr>
      </w:pPr>
      <w:r>
        <w:rPr>
          <w:rFonts w:ascii="Times New Roman" w:cs="Times New Roman" w:eastAsia="Times New Roman" w:hAnsi="Times New Roman"/>
          <w:sz w:val="16"/>
          <w:szCs w:val="16"/>
          <w:color w:val="auto"/>
        </w:rPr>
        <w:t>On July 11, 2022, the Company completed the acquisition of a Phase 1 N,N-dimethyltryptamine (“</w:t>
      </w:r>
      <w:r>
        <w:rPr>
          <w:rFonts w:ascii="Times New Roman" w:cs="Times New Roman" w:eastAsia="Times New Roman" w:hAnsi="Times New Roman"/>
          <w:sz w:val="16"/>
          <w:szCs w:val="16"/>
          <w:b w:val="1"/>
          <w:bCs w:val="1"/>
          <w:color w:val="auto"/>
        </w:rPr>
        <w:t>DMT</w:t>
      </w:r>
      <w:r>
        <w:rPr>
          <w:rFonts w:ascii="Times New Roman" w:cs="Times New Roman" w:eastAsia="Times New Roman" w:hAnsi="Times New Roman"/>
          <w:sz w:val="16"/>
          <w:szCs w:val="16"/>
          <w:color w:val="auto"/>
        </w:rPr>
        <w:t>”) study (the “DMT Acquisition”) from Entheon Biomedical Corp. to accelerate the clinical development path for CYB004, Cybin’s proprietary deuterated DMT molecule for the potential treatment of anxiety disorders. The Company paid $1,000 for the DMT Acquisition, and assumed liabilities of $342.</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Licenses</w:t>
      </w:r>
    </w:p>
    <w:p>
      <w:pPr>
        <w:spacing w:after="0" w:line="208" w:lineRule="exact"/>
        <w:rPr>
          <w:sz w:val="20"/>
          <w:szCs w:val="20"/>
          <w:color w:val="auto"/>
        </w:rPr>
      </w:pPr>
    </w:p>
    <w:p>
      <w:pPr>
        <w:jc w:val="both"/>
        <w:ind w:left="280"/>
        <w:spacing w:after="0" w:line="301" w:lineRule="auto"/>
        <w:rPr>
          <w:sz w:val="20"/>
          <w:szCs w:val="20"/>
          <w:color w:val="auto"/>
        </w:rPr>
      </w:pPr>
      <w:r>
        <w:rPr>
          <w:rFonts w:ascii="Times New Roman" w:cs="Times New Roman" w:eastAsia="Times New Roman" w:hAnsi="Times New Roman"/>
          <w:sz w:val="16"/>
          <w:szCs w:val="16"/>
          <w:color w:val="auto"/>
        </w:rPr>
        <w:t>During the year ended March 31, 2023, the Company entered into multiple licensing agreements that provide Cybin with additional access to IP from over 15 more patents or patent applications, including the acquisition of an exclusive license to a targeted class of tryptamine-based molecules from Mindset Pharma Inc. (“</w:t>
      </w:r>
      <w:r>
        <w:rPr>
          <w:rFonts w:ascii="Times New Roman" w:cs="Times New Roman" w:eastAsia="Times New Roman" w:hAnsi="Times New Roman"/>
          <w:sz w:val="16"/>
          <w:szCs w:val="16"/>
          <w:b w:val="1"/>
          <w:bCs w:val="1"/>
          <w:color w:val="auto"/>
        </w:rPr>
        <w:t>Mindset</w:t>
      </w:r>
      <w:r>
        <w:rPr>
          <w:rFonts w:ascii="Times New Roman" w:cs="Times New Roman" w:eastAsia="Times New Roman" w:hAnsi="Times New Roman"/>
          <w:sz w:val="16"/>
          <w:szCs w:val="16"/>
          <w:color w:val="auto"/>
        </w:rPr>
        <w:t>”), for which it paid a one-time license fee of $680 (US$500). The licensing agreements collectively provide the Company with access to a broad range of preclinical molecule combinations for its library of psychedelic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31 of 57</w:t>
      </w:r>
    </w:p>
    <w:p>
      <w:pPr>
        <w:sectPr>
          <w:pgSz w:w="11900" w:h="16838" w:orient="portrait"/>
          <w:cols w:equalWidth="0" w:num="1">
            <w:col w:w="11240"/>
          </w:cols>
          <w:pgMar w:left="320" w:top="212" w:right="339" w:bottom="1440" w:gutter="0" w:footer="0" w:header="0"/>
        </w:sectPr>
      </w:pPr>
    </w:p>
    <w:bookmarkStart w:id="237" w:name="page238"/>
    <w:bookmarkEnd w:id="237"/>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derivative drug development candidates. In addition to the exclusive license with Mindset, the Company spent an additional $650 on a licensing agreement.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Patents</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Costs associated with patent procurement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Impairment</w:t>
      </w:r>
    </w:p>
    <w:p>
      <w:pPr>
        <w:spacing w:after="0" w:line="206" w:lineRule="exact"/>
        <w:rPr>
          <w:sz w:val="20"/>
          <w:szCs w:val="20"/>
          <w:color w:val="auto"/>
        </w:rPr>
      </w:pPr>
    </w:p>
    <w:p>
      <w:pPr>
        <w:jc w:val="both"/>
        <w:ind w:left="280"/>
        <w:spacing w:after="0" w:line="301" w:lineRule="auto"/>
        <w:rPr>
          <w:sz w:val="20"/>
          <w:szCs w:val="20"/>
          <w:color w:val="auto"/>
        </w:rPr>
      </w:pPr>
      <w:r>
        <w:rPr>
          <w:rFonts w:ascii="Times New Roman" w:cs="Times New Roman" w:eastAsia="Times New Roman" w:hAnsi="Times New Roman"/>
          <w:sz w:val="16"/>
          <w:szCs w:val="16"/>
          <w:color w:val="auto"/>
        </w:rPr>
        <w:t>The Company performed its annual impairment test of intangible assets not yet in use at March 31, 2024. The recoverable amount was determined based on the relief from royalty method to arrive at the value-in-use (“VIU”). The Company considered an estimate of future revenues and a reasonable royalty rate to apply to financial projections based on the current budget and future commercialization plans. In assessing the VIU, estimated future cash flows are discounted to their present value using a discount rate that reflects the assessment of royalty and business opportunities and risk as well as the market potential. The VIU calculations were performed using a pre-tax discount rate of 15.7% and an estimated useful life of 15 years. Based on the Company’s assessment, the recoverable amount is higher than the carrying value and therefore no impairment loss was recorded for the year ended March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LEASES</w:t>
      </w:r>
    </w:p>
    <w:p>
      <w:pPr>
        <w:spacing w:after="0" w:line="5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b w:val="1"/>
          <w:bCs w:val="1"/>
          <w:color w:val="auto"/>
        </w:rPr>
        <w:t>RIGHT-OF-USE -ASSET</w:t>
      </w:r>
    </w:p>
    <w:p>
      <w:pPr>
        <w:spacing w:after="0" w:line="28" w:lineRule="exact"/>
        <w:rPr>
          <w:sz w:val="20"/>
          <w:szCs w:val="20"/>
          <w:color w:val="auto"/>
        </w:rPr>
      </w:pPr>
    </w:p>
    <w:tbl>
      <w:tblPr>
        <w:tblLayout w:type="fixed"/>
        <w:tblInd w:w="2040" w:type="dxa"/>
        <w:tblCellMar>
          <w:top w:w="0" w:type="dxa"/>
          <w:left w:w="0" w:type="dxa"/>
          <w:bottom w:w="0" w:type="dxa"/>
          <w:right w:w="0" w:type="dxa"/>
        </w:tblCellMar>
      </w:tblPr>
      <w:tr>
        <w:trPr>
          <w:trHeight w:val="194"/>
        </w:trPr>
        <w:tc>
          <w:tcPr>
            <w:tcW w:w="2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at March 31, 2023</w:t>
            </w:r>
          </w:p>
        </w:tc>
        <w:tc>
          <w:tcPr>
            <w:tcW w:w="7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9"/>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424</w:t>
            </w:r>
          </w:p>
        </w:tc>
        <w:tc>
          <w:tcPr>
            <w:tcW w:w="0" w:type="dxa"/>
            <w:vAlign w:val="bottom"/>
          </w:tcPr>
          <w:p>
            <w:pPr>
              <w:spacing w:after="0"/>
              <w:rPr>
                <w:sz w:val="1"/>
                <w:szCs w:val="1"/>
                <w:color w:val="auto"/>
              </w:rPr>
            </w:pPr>
          </w:p>
        </w:tc>
      </w:tr>
      <w:tr>
        <w:trPr>
          <w:trHeight w:val="42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at March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9"/>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143</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March 31, 2024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32 of 57</w:t>
      </w:r>
    </w:p>
    <w:p>
      <w:pPr>
        <w:sectPr>
          <w:pgSz w:w="11900" w:h="16838" w:orient="portrait"/>
          <w:cols w:equalWidth="0" w:num="1">
            <w:col w:w="11260"/>
          </w:cols>
          <w:pgMar w:left="320" w:top="212" w:right="319" w:bottom="1440" w:gutter="0" w:footer="0" w:header="0"/>
        </w:sectPr>
      </w:pPr>
    </w:p>
    <w:bookmarkStart w:id="238" w:name="page239"/>
    <w:bookmarkEnd w:id="238"/>
    <w:p>
      <w:pPr>
        <w:ind w:left="63"/>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3"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4629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63"/>
        <w:spacing w:after="0"/>
        <w:rPr>
          <w:sz w:val="20"/>
          <w:szCs w:val="20"/>
          <w:color w:val="auto"/>
        </w:rPr>
      </w:pPr>
      <w:r>
        <w:rPr>
          <w:rFonts w:ascii="Times New Roman" w:cs="Times New Roman" w:eastAsia="Times New Roman" w:hAnsi="Times New Roman"/>
          <w:sz w:val="16"/>
          <w:szCs w:val="16"/>
          <w:b w:val="1"/>
          <w:bCs w:val="1"/>
          <w:color w:val="auto"/>
        </w:rPr>
        <w:t>LEASE LIABILITY</w:t>
      </w:r>
    </w:p>
    <w:p>
      <w:pPr>
        <w:spacing w:after="0" w:line="28" w:lineRule="exact"/>
        <w:rPr>
          <w:sz w:val="20"/>
          <w:szCs w:val="20"/>
          <w:color w:val="auto"/>
        </w:rPr>
      </w:pPr>
    </w:p>
    <w:tbl>
      <w:tblPr>
        <w:tblLayout w:type="fixed"/>
        <w:tblInd w:w="2263" w:type="dxa"/>
        <w:tblCellMar>
          <w:top w:w="0" w:type="dxa"/>
          <w:left w:w="0" w:type="dxa"/>
          <w:bottom w:w="0" w:type="dxa"/>
          <w:right w:w="0" w:type="dxa"/>
        </w:tblCellMar>
      </w:tblPr>
      <w:tr>
        <w:trPr>
          <w:trHeight w:val="194"/>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as at March 31, 2023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6"/>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Interest accretion</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6"/>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Payments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19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r>
      <w:tr>
        <w:trPr>
          <w:trHeight w:val="162"/>
        </w:trPr>
        <w:tc>
          <w:tcPr>
            <w:tcW w:w="2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98"/>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Current lease liabilities</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291</w:t>
            </w:r>
          </w:p>
        </w:tc>
      </w:tr>
    </w:tbl>
    <w:p>
      <w:pPr>
        <w:spacing w:after="0" w:line="200" w:lineRule="exact"/>
        <w:rPr>
          <w:sz w:val="20"/>
          <w:szCs w:val="20"/>
          <w:color w:val="auto"/>
        </w:rPr>
      </w:pPr>
    </w:p>
    <w:p>
      <w:pPr>
        <w:spacing w:after="0" w:line="351" w:lineRule="exact"/>
        <w:rPr>
          <w:sz w:val="20"/>
          <w:szCs w:val="20"/>
          <w:color w:val="auto"/>
        </w:rPr>
      </w:pPr>
    </w:p>
    <w:p>
      <w:pPr>
        <w:ind w:left="283" w:hanging="283"/>
        <w:spacing w:after="0"/>
        <w:tabs>
          <w:tab w:leader="none" w:pos="283"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w:t>
      </w:r>
    </w:p>
    <w:p>
      <w:pPr>
        <w:spacing w:after="0" w:line="206"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Goodwill is recognized at the acquisition date when total consideration exceeds the net identifiable assets acquired.</w:t>
      </w:r>
    </w:p>
    <w:p>
      <w:pPr>
        <w:spacing w:after="0" w:line="275" w:lineRule="exact"/>
        <w:rPr>
          <w:sz w:val="20"/>
          <w:szCs w:val="20"/>
          <w:color w:val="auto"/>
        </w:rPr>
      </w:pPr>
    </w:p>
    <w:tbl>
      <w:tblPr>
        <w:tblLayout w:type="fixed"/>
        <w:tblInd w:w="143" w:type="dxa"/>
        <w:tblCellMar>
          <w:top w:w="0" w:type="dxa"/>
          <w:left w:w="0" w:type="dxa"/>
          <w:bottom w:w="0" w:type="dxa"/>
          <w:right w:w="0" w:type="dxa"/>
        </w:tblCellMar>
      </w:tblPr>
      <w:tr>
        <w:trPr>
          <w:trHeight w:val="212"/>
        </w:trPr>
        <w:tc>
          <w:tcPr>
            <w:tcW w:w="9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1"/>
        </w:trPr>
        <w:tc>
          <w:tcPr>
            <w:tcW w:w="9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9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9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Balance as at March 31, 2022</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22,892</w:t>
            </w:r>
          </w:p>
        </w:tc>
        <w:tc>
          <w:tcPr>
            <w:tcW w:w="0" w:type="dxa"/>
            <w:vAlign w:val="bottom"/>
          </w:tcPr>
          <w:p>
            <w:pPr>
              <w:spacing w:after="0"/>
              <w:rPr>
                <w:sz w:val="1"/>
                <w:szCs w:val="1"/>
                <w:color w:val="auto"/>
              </w:rPr>
            </w:pPr>
          </w:p>
        </w:tc>
      </w:tr>
      <w:tr>
        <w:trPr>
          <w:trHeight w:val="210"/>
        </w:trPr>
        <w:tc>
          <w:tcPr>
            <w:tcW w:w="9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1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194"/>
        </w:trPr>
        <w:tc>
          <w:tcPr>
            <w:tcW w:w="9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Balance as at March 31, 2023</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24,792</w:t>
            </w:r>
          </w:p>
        </w:tc>
        <w:tc>
          <w:tcPr>
            <w:tcW w:w="0" w:type="dxa"/>
            <w:vAlign w:val="bottom"/>
          </w:tcPr>
          <w:p>
            <w:pPr>
              <w:spacing w:after="0"/>
              <w:rPr>
                <w:sz w:val="1"/>
                <w:szCs w:val="1"/>
                <w:color w:val="auto"/>
              </w:rPr>
            </w:pPr>
          </w:p>
        </w:tc>
      </w:tr>
      <w:tr>
        <w:trPr>
          <w:trHeight w:val="206"/>
        </w:trPr>
        <w:tc>
          <w:tcPr>
            <w:tcW w:w="9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from Small Pharma</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22,652</w:t>
            </w:r>
          </w:p>
        </w:tc>
        <w:tc>
          <w:tcPr>
            <w:tcW w:w="0" w:type="dxa"/>
            <w:vAlign w:val="bottom"/>
          </w:tcPr>
          <w:p>
            <w:pPr>
              <w:spacing w:after="0"/>
              <w:rPr>
                <w:sz w:val="1"/>
                <w:szCs w:val="1"/>
                <w:color w:val="auto"/>
              </w:rPr>
            </w:pPr>
          </w:p>
        </w:tc>
      </w:tr>
      <w:tr>
        <w:trPr>
          <w:trHeight w:val="210"/>
        </w:trPr>
        <w:tc>
          <w:tcPr>
            <w:tcW w:w="9200" w:type="dxa"/>
            <w:vAlign w:val="bottom"/>
            <w:tcBorders>
              <w:bottom w:val="single" w:sz="8" w:color="929292"/>
            </w:tcBorders>
          </w:tcPr>
          <w:p>
            <w:pPr>
              <w:ind w:left="10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1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9"/>
        </w:trPr>
        <w:tc>
          <w:tcPr>
            <w:tcW w:w="9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at March 31, 2024</w:t>
            </w:r>
          </w:p>
        </w:tc>
        <w:tc>
          <w:tcPr>
            <w:tcW w:w="1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47,475</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color w:val="auto"/>
        </w:rPr>
        <w:t>Impairment</w:t>
      </w:r>
    </w:p>
    <w:p>
      <w:pPr>
        <w:spacing w:after="0" w:line="206" w:lineRule="exact"/>
        <w:rPr>
          <w:sz w:val="20"/>
          <w:szCs w:val="20"/>
          <w:color w:val="auto"/>
        </w:rPr>
      </w:pPr>
    </w:p>
    <w:p>
      <w:pPr>
        <w:jc w:val="both"/>
        <w:ind w:left="283" w:right="20"/>
        <w:spacing w:after="0" w:line="334" w:lineRule="auto"/>
        <w:rPr>
          <w:sz w:val="20"/>
          <w:szCs w:val="20"/>
          <w:color w:val="auto"/>
        </w:rPr>
      </w:pPr>
      <w:r>
        <w:rPr>
          <w:rFonts w:ascii="Times New Roman" w:cs="Times New Roman" w:eastAsia="Times New Roman" w:hAnsi="Times New Roman"/>
          <w:sz w:val="16"/>
          <w:szCs w:val="16"/>
          <w:color w:val="auto"/>
        </w:rPr>
        <w:t>For purposes of the Company’s goodwill impairment testing, the Company has grouped certain CGUs to test at the lowest level at which management monitors goodwill for internal management purposes, which is the Company wide level.</w:t>
      </w:r>
    </w:p>
    <w:p>
      <w:pPr>
        <w:spacing w:after="0" w:line="131" w:lineRule="exact"/>
        <w:rPr>
          <w:sz w:val="20"/>
          <w:szCs w:val="20"/>
          <w:color w:val="auto"/>
        </w:rPr>
      </w:pPr>
    </w:p>
    <w:p>
      <w:pPr>
        <w:jc w:val="both"/>
        <w:ind w:left="283"/>
        <w:spacing w:after="0" w:line="301" w:lineRule="auto"/>
        <w:rPr>
          <w:sz w:val="20"/>
          <w:szCs w:val="20"/>
          <w:color w:val="auto"/>
        </w:rPr>
      </w:pPr>
      <w:r>
        <w:rPr>
          <w:rFonts w:ascii="Times New Roman" w:cs="Times New Roman" w:eastAsia="Times New Roman" w:hAnsi="Times New Roman"/>
          <w:sz w:val="16"/>
          <w:szCs w:val="16"/>
          <w:color w:val="auto"/>
        </w:rPr>
        <w:t>The Company performed its annual impairment test of goodwill at March 31, 2024. The recoverable amount was determined based on value-in-use (“VIU”) and considered the cash flows of the group of CGUs based on the current budget and future commercialization plans. In assessing the VIU, estimated future cash flows are discounted to their present value using a discount rate that reflects market assessments of the time value of money and the risks specific to the CGUs. The VIU calculations were performed using a pre-tax discount rate of 15.7%. The Company determined the terminal value as an estimate of the present value of the future cash flows in the terminal period, applying a terminal growth rate of 2%. Based on the Company’s assessment,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Page 33 of 57</w:t>
      </w:r>
    </w:p>
    <w:p>
      <w:pPr>
        <w:sectPr>
          <w:pgSz w:w="11900" w:h="16838" w:orient="portrait"/>
          <w:cols w:equalWidth="0" w:num="1">
            <w:col w:w="11263"/>
          </w:cols>
          <w:pgMar w:left="317" w:top="212" w:right="319" w:bottom="1440" w:gutter="0" w:footer="0" w:header="0"/>
        </w:sectPr>
      </w:pPr>
    </w:p>
    <w:bookmarkStart w:id="239" w:name="page240"/>
    <w:bookmarkEnd w:id="239"/>
    <w:p>
      <w:pPr>
        <w:ind w:left="63"/>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3"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4629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recoverable amount is higher than the carrying value and therefore no impairment loss was recorded for the year ended March 31, 2024.</w:t>
      </w:r>
    </w:p>
    <w:p>
      <w:pPr>
        <w:spacing w:after="0" w:line="251" w:lineRule="exact"/>
        <w:rPr>
          <w:sz w:val="20"/>
          <w:szCs w:val="20"/>
          <w:color w:val="auto"/>
        </w:rPr>
      </w:pPr>
    </w:p>
    <w:p>
      <w:pPr>
        <w:ind w:left="283" w:hanging="283"/>
        <w:spacing w:after="0"/>
        <w:tabs>
          <w:tab w:leader="none" w:pos="283"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CAPITAL</w:t>
      </w:r>
    </w:p>
    <w:p>
      <w:pPr>
        <w:spacing w:after="0" w:line="204" w:lineRule="exact"/>
        <w:rPr>
          <w:rFonts w:ascii="Times New Roman" w:cs="Times New Roman" w:eastAsia="Times New Roman" w:hAnsi="Times New Roman"/>
          <w:sz w:val="16"/>
          <w:szCs w:val="16"/>
          <w:b w:val="1"/>
          <w:bCs w:val="1"/>
          <w:color w:val="auto"/>
        </w:rPr>
      </w:pPr>
    </w:p>
    <w:p>
      <w:pPr>
        <w:ind w:left="583" w:hanging="292"/>
        <w:spacing w:after="0"/>
        <w:tabs>
          <w:tab w:leader="none" w:pos="583" w:val="left"/>
        </w:tabs>
        <w:numPr>
          <w:ilvl w:val="1"/>
          <w:numId w:val="122"/>
        </w:numPr>
        <w:rPr>
          <w:rFonts w:ascii="Calibri" w:cs="Calibri" w:eastAsia="Calibri" w:hAnsi="Calibri"/>
          <w:sz w:val="16"/>
          <w:szCs w:val="16"/>
          <w:b w:val="1"/>
          <w:bCs w:val="1"/>
          <w:color w:val="auto"/>
        </w:rPr>
      </w:pPr>
      <w:r>
        <w:rPr>
          <w:rFonts w:ascii="Times New Roman" w:cs="Times New Roman" w:eastAsia="Times New Roman" w:hAnsi="Times New Roman"/>
          <w:sz w:val="16"/>
          <w:szCs w:val="16"/>
          <w:b w:val="1"/>
          <w:bCs w:val="1"/>
          <w:u w:val="single" w:color="auto"/>
          <w:color w:val="auto"/>
        </w:rPr>
        <w:t>Authorized share capital</w:t>
      </w:r>
    </w:p>
    <w:p>
      <w:pPr>
        <w:spacing w:after="0" w:line="207" w:lineRule="exact"/>
        <w:rPr>
          <w:sz w:val="20"/>
          <w:szCs w:val="20"/>
          <w:color w:val="auto"/>
        </w:rPr>
      </w:pPr>
    </w:p>
    <w:p>
      <w:pPr>
        <w:ind w:left="283" w:right="20"/>
        <w:spacing w:after="0" w:line="334" w:lineRule="auto"/>
        <w:rPr>
          <w:sz w:val="20"/>
          <w:szCs w:val="20"/>
          <w:color w:val="auto"/>
        </w:rPr>
      </w:pPr>
      <w:r>
        <w:rPr>
          <w:rFonts w:ascii="Times New Roman" w:cs="Times New Roman" w:eastAsia="Times New Roman" w:hAnsi="Times New Roman"/>
          <w:sz w:val="16"/>
          <w:szCs w:val="16"/>
          <w:color w:val="auto"/>
        </w:rPr>
        <w:t>The authorized share capital of Cybin consists of an unlimited number of Common Shares and an unlimited number of preferred shares without par value. The board of directors of Cybin would determine the designation, rights, privileges, and conditions attached to any preferred shares prior to issuance.</w:t>
      </w:r>
    </w:p>
    <w:p>
      <w:pPr>
        <w:spacing w:after="0" w:line="92" w:lineRule="exact"/>
        <w:rPr>
          <w:sz w:val="20"/>
          <w:szCs w:val="20"/>
          <w:color w:val="auto"/>
        </w:rPr>
      </w:pPr>
    </w:p>
    <w:p>
      <w:pPr>
        <w:ind w:left="563" w:hanging="272"/>
        <w:spacing w:after="0"/>
        <w:tabs>
          <w:tab w:leader="none" w:pos="563" w:val="left"/>
        </w:tabs>
        <w:numPr>
          <w:ilvl w:val="0"/>
          <w:numId w:val="123"/>
        </w:numPr>
        <w:rPr>
          <w:rFonts w:ascii="Calibri" w:cs="Calibri" w:eastAsia="Calibri" w:hAnsi="Calibri"/>
          <w:sz w:val="16"/>
          <w:szCs w:val="16"/>
          <w:b w:val="1"/>
          <w:bCs w:val="1"/>
          <w:color w:val="auto"/>
        </w:rPr>
      </w:pPr>
      <w:r>
        <w:rPr>
          <w:rFonts w:ascii="Times New Roman" w:cs="Times New Roman" w:eastAsia="Times New Roman" w:hAnsi="Times New Roman"/>
          <w:sz w:val="16"/>
          <w:szCs w:val="16"/>
          <w:b w:val="1"/>
          <w:bCs w:val="1"/>
          <w:u w:val="single" w:color="auto"/>
          <w:color w:val="auto"/>
        </w:rPr>
        <w:t>Issued share capital</w:t>
      </w:r>
    </w:p>
    <w:p>
      <w:pPr>
        <w:spacing w:after="0" w:line="203"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i w:val="1"/>
          <w:iCs w:val="1"/>
          <w:color w:val="auto"/>
        </w:rPr>
        <w:t>Common Shares</w:t>
      </w:r>
    </w:p>
    <w:p>
      <w:pPr>
        <w:spacing w:after="0" w:line="20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color w:val="auto"/>
        </w:rPr>
        <w:t>As at March 31, 2024, the Company has 15,807,443 Common Shares held in escrow (2023: nil).</w:t>
      </w:r>
    </w:p>
    <w:p>
      <w:pPr>
        <w:spacing w:after="0" w:line="200"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i w:val="1"/>
          <w:iCs w:val="1"/>
          <w:color w:val="auto"/>
        </w:rPr>
        <w:t>During the year ended March 31, 2024, the Company completed the following share issuances:</w:t>
      </w:r>
    </w:p>
    <w:p>
      <w:pPr>
        <w:spacing w:after="0" w:line="206" w:lineRule="exact"/>
        <w:rPr>
          <w:sz w:val="20"/>
          <w:szCs w:val="20"/>
          <w:color w:val="auto"/>
        </w:rPr>
      </w:pPr>
    </w:p>
    <w:p>
      <w:pPr>
        <w:jc w:val="both"/>
        <w:ind w:left="283"/>
        <w:spacing w:after="0" w:line="301" w:lineRule="auto"/>
        <w:rPr>
          <w:sz w:val="20"/>
          <w:szCs w:val="20"/>
          <w:color w:val="auto"/>
        </w:rPr>
      </w:pPr>
      <w:r>
        <w:rPr>
          <w:rFonts w:ascii="Times New Roman" w:cs="Times New Roman" w:eastAsia="Times New Roman" w:hAnsi="Times New Roman"/>
          <w:sz w:val="16"/>
          <w:szCs w:val="16"/>
          <w:color w:val="auto"/>
        </w:rPr>
        <w:t>On August 23, 2023, the Company established a new at-the-market equity program (the “</w:t>
      </w:r>
      <w:r>
        <w:rPr>
          <w:rFonts w:ascii="Times New Roman" w:cs="Times New Roman" w:eastAsia="Times New Roman" w:hAnsi="Times New Roman"/>
          <w:sz w:val="16"/>
          <w:szCs w:val="16"/>
          <w:b w:val="1"/>
          <w:bCs w:val="1"/>
          <w:color w:val="auto"/>
        </w:rPr>
        <w:t>2023 ATM Program</w:t>
      </w:r>
      <w:r>
        <w:rPr>
          <w:rFonts w:ascii="Times New Roman" w:cs="Times New Roman" w:eastAsia="Times New Roman" w:hAnsi="Times New Roman"/>
          <w:sz w:val="16"/>
          <w:szCs w:val="16"/>
          <w:color w:val="auto"/>
        </w:rPr>
        <w:t>” and together with the 2022 ATM Program (see below), the “</w:t>
      </w:r>
      <w:r>
        <w:rPr>
          <w:rFonts w:ascii="Times New Roman" w:cs="Times New Roman" w:eastAsia="Times New Roman" w:hAnsi="Times New Roman"/>
          <w:sz w:val="16"/>
          <w:szCs w:val="16"/>
          <w:b w:val="1"/>
          <w:bCs w:val="1"/>
          <w:color w:val="auto"/>
        </w:rPr>
        <w:t>ATM Programs</w:t>
      </w:r>
      <w:r>
        <w:rPr>
          <w:rFonts w:ascii="Times New Roman" w:cs="Times New Roman" w:eastAsia="Times New Roman" w:hAnsi="Times New Roman"/>
          <w:sz w:val="16"/>
          <w:szCs w:val="16"/>
          <w:color w:val="auto"/>
        </w:rPr>
        <w:t>”) that allows the Company to issue and sell up to US$35,000 of Common Shares from treasury to the public, from time to time. Distributions of Common Shares under the 2023 ATM Program are made pursuant to the terms and conditions of an at-the-market equity distribution agreement (the “</w:t>
      </w:r>
      <w:r>
        <w:rPr>
          <w:rFonts w:ascii="Times New Roman" w:cs="Times New Roman" w:eastAsia="Times New Roman" w:hAnsi="Times New Roman"/>
          <w:sz w:val="16"/>
          <w:szCs w:val="16"/>
          <w:b w:val="1"/>
          <w:bCs w:val="1"/>
          <w:color w:val="auto"/>
        </w:rPr>
        <w:t>2023 Distribution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dated August 23, 2023, among the Company, Cantor Fitzgerald Canada Corporation and Cantor Fitzgerald &amp; Co. The 2023 ATM Program is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effective until the earlier of the issuance and sale of all of the Common Shares issuable pursuant to the 2023 ATM Program and September 17, 2025, unless earlier terminated in accordance with the terms of the 2023 Distribution Agreement.</w:t>
      </w:r>
    </w:p>
    <w:p>
      <w:pPr>
        <w:spacing w:after="0" w:line="121" w:lineRule="exact"/>
        <w:rPr>
          <w:sz w:val="20"/>
          <w:szCs w:val="20"/>
          <w:color w:val="auto"/>
        </w:rPr>
      </w:pPr>
    </w:p>
    <w:p>
      <w:pPr>
        <w:jc w:val="both"/>
        <w:ind w:left="283" w:right="20"/>
        <w:spacing w:after="0" w:line="334" w:lineRule="auto"/>
        <w:rPr>
          <w:sz w:val="20"/>
          <w:szCs w:val="20"/>
          <w:color w:val="auto"/>
        </w:rPr>
      </w:pPr>
      <w:r>
        <w:rPr>
          <w:rFonts w:ascii="Times New Roman" w:cs="Times New Roman" w:eastAsia="Times New Roman" w:hAnsi="Times New Roman"/>
          <w:sz w:val="16"/>
          <w:szCs w:val="16"/>
          <w:color w:val="auto"/>
        </w:rPr>
        <w:t>During the year ended March 31, 2024, the Company sold 34,140,507 Common Shares under the ATM Programs at an average price of $0.4549 (US$0.3374) per Common Share, for aggregate gross proceeds of $15,532 (US$11,518). Share issuance costs related to the ATM Programs for the year were $832.</w:t>
      </w:r>
    </w:p>
    <w:p>
      <w:pPr>
        <w:spacing w:after="0" w:line="104" w:lineRule="exact"/>
        <w:rPr>
          <w:sz w:val="20"/>
          <w:szCs w:val="20"/>
          <w:color w:val="auto"/>
        </w:rPr>
      </w:pPr>
    </w:p>
    <w:p>
      <w:pPr>
        <w:jc w:val="both"/>
        <w:ind w:left="283"/>
        <w:spacing w:after="0" w:line="298" w:lineRule="auto"/>
        <w:rPr>
          <w:sz w:val="20"/>
          <w:szCs w:val="20"/>
          <w:color w:val="auto"/>
        </w:rPr>
      </w:pPr>
      <w:r>
        <w:rPr>
          <w:rFonts w:ascii="Times New Roman" w:cs="Times New Roman" w:eastAsia="Times New Roman" w:hAnsi="Times New Roman"/>
          <w:sz w:val="16"/>
          <w:szCs w:val="16"/>
          <w:color w:val="auto"/>
        </w:rPr>
        <w:t>On May 30, 2023, the Company entered into an agreement (the “</w:t>
      </w:r>
      <w:r>
        <w:rPr>
          <w:rFonts w:ascii="Times New Roman" w:cs="Times New Roman" w:eastAsia="Times New Roman" w:hAnsi="Times New Roman"/>
          <w:sz w:val="16"/>
          <w:szCs w:val="16"/>
          <w:b w:val="1"/>
          <w:bCs w:val="1"/>
          <w:color w:val="auto"/>
        </w:rPr>
        <w:t>LPC Agreement</w:t>
      </w:r>
      <w:r>
        <w:rPr>
          <w:rFonts w:ascii="Times New Roman" w:cs="Times New Roman" w:eastAsia="Times New Roman" w:hAnsi="Times New Roman"/>
          <w:sz w:val="16"/>
          <w:szCs w:val="16"/>
          <w:color w:val="auto"/>
        </w:rPr>
        <w:t>”) with Lincoln Park Capital Fund, LLC (“</w:t>
      </w:r>
      <w:r>
        <w:rPr>
          <w:rFonts w:ascii="Times New Roman" w:cs="Times New Roman" w:eastAsia="Times New Roman" w:hAnsi="Times New Roman"/>
          <w:sz w:val="16"/>
          <w:szCs w:val="16"/>
          <w:b w:val="1"/>
          <w:bCs w:val="1"/>
          <w:color w:val="auto"/>
        </w:rPr>
        <w:t>LPC</w:t>
      </w:r>
      <w:r>
        <w:rPr>
          <w:rFonts w:ascii="Times New Roman" w:cs="Times New Roman" w:eastAsia="Times New Roman" w:hAnsi="Times New Roman"/>
          <w:sz w:val="16"/>
          <w:szCs w:val="16"/>
          <w:color w:val="auto"/>
        </w:rPr>
        <w:t>”). Subject to the terms and conditions of the LPC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Agreement. During the year ended March 31, 2024, the Company sold 1,925,000 Common Shares, at an average price of $0.3236 (US$0.2417) per Common Shares, for aggregate gross proceeds of $623 (US$465) pursuant to the LPC Agreement. Share issuance costs related to the LPC Agreement for the year ended March 31, 2024 were $476 (US$351).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Page 34 of 57</w:t>
      </w:r>
    </w:p>
    <w:p>
      <w:pPr>
        <w:sectPr>
          <w:pgSz w:w="11900" w:h="16838" w:orient="portrait"/>
          <w:cols w:equalWidth="0" w:num="1">
            <w:col w:w="11263"/>
          </w:cols>
          <w:pgMar w:left="317" w:top="212" w:right="3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per share amounts, and those amounts indicated as being in 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34290</wp:posOffset>
            </wp:positionV>
            <wp:extent cx="357314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731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80"/>
        <w:spacing w:after="0" w:line="297" w:lineRule="auto"/>
        <w:rPr>
          <w:sz w:val="20"/>
          <w:szCs w:val="20"/>
          <w:color w:val="auto"/>
        </w:rPr>
      </w:pPr>
      <w:r>
        <w:rPr>
          <w:rFonts w:ascii="Times New Roman" w:cs="Times New Roman" w:eastAsia="Times New Roman" w:hAnsi="Times New Roman"/>
          <w:sz w:val="16"/>
          <w:szCs w:val="16"/>
          <w:color w:val="auto"/>
        </w:rPr>
        <w:t>Cybin has the right to terminate the LPC Agreement at any time at no cost or penalty. LPC has agreed not to engage in any short selling or hedging activity of any kind in the Common Shares. As consideration for LPC’s obligation to purchase Common Shares from the Company at its direction under the LPC Agreement, Cybin issued 2,538,844 Common Shares to LPC as a commitment fee on May 30, 2023. The LPC Agreement provides that Cybin may not issue or sell any Common Shares to LPC under the LPC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Cybin announced that it had suspended all sales under the LPC Agreement. On August 23, 2023, the Company filed a prospectus supplement to the base shelf prospectus dated August 17, 2023 to re-qualify sales of up to US$30,000 of the Company’s Common Shares pursuant to the LPC Agreement.</w:t>
      </w:r>
    </w:p>
    <w:p>
      <w:pPr>
        <w:spacing w:after="0" w:line="357" w:lineRule="exact"/>
        <w:rPr>
          <w:sz w:val="20"/>
          <w:szCs w:val="20"/>
          <w:color w:val="auto"/>
        </w:rPr>
      </w:pPr>
    </w:p>
    <w:p>
      <w:pPr>
        <w:jc w:val="both"/>
        <w:ind w:left="180" w:right="20"/>
        <w:spacing w:after="0" w:line="301" w:lineRule="auto"/>
        <w:rPr>
          <w:sz w:val="20"/>
          <w:szCs w:val="20"/>
          <w:color w:val="auto"/>
        </w:rPr>
      </w:pPr>
      <w:r>
        <w:rPr>
          <w:rFonts w:ascii="Times New Roman" w:cs="Times New Roman" w:eastAsia="Times New Roman" w:hAnsi="Times New Roman"/>
          <w:sz w:val="16"/>
          <w:szCs w:val="16"/>
          <w:color w:val="auto"/>
        </w:rPr>
        <w:t>On August 4, 2023, the Company completed a public offering (the “</w:t>
      </w:r>
      <w:r>
        <w:rPr>
          <w:rFonts w:ascii="Times New Roman" w:cs="Times New Roman" w:eastAsia="Times New Roman" w:hAnsi="Times New Roman"/>
          <w:sz w:val="16"/>
          <w:szCs w:val="16"/>
          <w:b w:val="1"/>
          <w:bCs w:val="1"/>
          <w:color w:val="auto"/>
        </w:rPr>
        <w:t>August 2023 Offering</w:t>
      </w:r>
      <w:r>
        <w:rPr>
          <w:rFonts w:ascii="Times New Roman" w:cs="Times New Roman" w:eastAsia="Times New Roman" w:hAnsi="Times New Roman"/>
          <w:sz w:val="16"/>
          <w:szCs w:val="16"/>
          <w:color w:val="auto"/>
        </w:rPr>
        <w:t>”) of 24,264,706 units of the Company (the “</w:t>
      </w:r>
      <w:r>
        <w:rPr>
          <w:rFonts w:ascii="Times New Roman" w:cs="Times New Roman" w:eastAsia="Times New Roman" w:hAnsi="Times New Roman"/>
          <w:sz w:val="16"/>
          <w:szCs w:val="16"/>
          <w:b w:val="1"/>
          <w:bCs w:val="1"/>
          <w:color w:val="auto"/>
        </w:rPr>
        <w:t>August 2023 Units</w:t>
      </w:r>
      <w:r>
        <w:rPr>
          <w:rFonts w:ascii="Times New Roman" w:cs="Times New Roman" w:eastAsia="Times New Roman" w:hAnsi="Times New Roman"/>
          <w:sz w:val="16"/>
          <w:szCs w:val="16"/>
          <w:color w:val="auto"/>
        </w:rPr>
        <w:t>”) at a price of US$0.34 per August 2023 Unit for gross proceeds of $11,018 (US$8,250) pursuant to a supplement to the Company’s short form base shelf prospectus dated July 5, 2021. Each August 2023 Unit is comprised of one Common Share and one Common Share purchase warrant (the “</w:t>
      </w:r>
      <w:r>
        <w:rPr>
          <w:rFonts w:ascii="Times New Roman" w:cs="Times New Roman" w:eastAsia="Times New Roman" w:hAnsi="Times New Roman"/>
          <w:sz w:val="16"/>
          <w:szCs w:val="16"/>
          <w:b w:val="1"/>
          <w:bCs w:val="1"/>
          <w:color w:val="auto"/>
        </w:rPr>
        <w:t>August 2023 Warrants</w:t>
      </w:r>
      <w:r>
        <w:rPr>
          <w:rFonts w:ascii="Times New Roman" w:cs="Times New Roman" w:eastAsia="Times New Roman" w:hAnsi="Times New Roman"/>
          <w:sz w:val="16"/>
          <w:szCs w:val="16"/>
          <w:color w:val="auto"/>
        </w:rPr>
        <w:t>”). Each August 2023 Warrant is exercisable to acquire one Common Share at a price of $0.53 (US$0.40) for a period of 60 months from issuance, subject to acceleration in certain circumstances. In connection with the Offering, Cybin paid the underwriters a cash commission of $506(US$379) and incurred additional share issuance costs, being professional fees of $622 (US$465).</w:t>
      </w:r>
    </w:p>
    <w:p>
      <w:pPr>
        <w:spacing w:after="0" w:line="131"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color w:val="auto"/>
        </w:rPr>
        <w:t>On November 14, 2023, the Company completed a public offering (the “</w:t>
      </w:r>
      <w:r>
        <w:rPr>
          <w:rFonts w:ascii="Times New Roman" w:cs="Times New Roman" w:eastAsia="Times New Roman" w:hAnsi="Times New Roman"/>
          <w:sz w:val="16"/>
          <w:szCs w:val="16"/>
          <w:b w:val="1"/>
          <w:bCs w:val="1"/>
          <w:color w:val="auto"/>
        </w:rPr>
        <w:t>November 2023 Offering</w:t>
      </w:r>
      <w:r>
        <w:rPr>
          <w:rFonts w:ascii="Times New Roman" w:cs="Times New Roman" w:eastAsia="Times New Roman" w:hAnsi="Times New Roman"/>
          <w:sz w:val="16"/>
          <w:szCs w:val="16"/>
          <w:color w:val="auto"/>
        </w:rPr>
        <w:t>”) of 66,666,667 units of the Company (the “</w:t>
      </w:r>
      <w:r>
        <w:rPr>
          <w:rFonts w:ascii="Times New Roman" w:cs="Times New Roman" w:eastAsia="Times New Roman" w:hAnsi="Times New Roman"/>
          <w:sz w:val="16"/>
          <w:szCs w:val="16"/>
          <w:b w:val="1"/>
          <w:bCs w:val="1"/>
          <w:color w:val="auto"/>
        </w:rPr>
        <w:t>November 2023 Units</w:t>
      </w:r>
      <w:r>
        <w:rPr>
          <w:rFonts w:ascii="Times New Roman" w:cs="Times New Roman" w:eastAsia="Times New Roman" w:hAnsi="Times New Roman"/>
          <w:sz w:val="16"/>
          <w:szCs w:val="16"/>
          <w:color w:val="auto"/>
        </w:rPr>
        <w:t>”) at a price of US$0.45 per November 2023 Unit for gross proceeds of $41,107 (US$30,000) pursuant to a supplement to the Company’s short form base shelf prospectus dated August 17, 2023. Each November 2023 Unit is comprised of one Common Share and one Common Share purchase warrant (the “</w:t>
      </w:r>
      <w:r>
        <w:rPr>
          <w:rFonts w:ascii="Times New Roman" w:cs="Times New Roman" w:eastAsia="Times New Roman" w:hAnsi="Times New Roman"/>
          <w:sz w:val="16"/>
          <w:szCs w:val="16"/>
          <w:b w:val="1"/>
          <w:bCs w:val="1"/>
          <w:color w:val="auto"/>
        </w:rPr>
        <w:t>November 2023 Warrants</w:t>
      </w:r>
      <w:r>
        <w:rPr>
          <w:rFonts w:ascii="Times New Roman" w:cs="Times New Roman" w:eastAsia="Times New Roman" w:hAnsi="Times New Roman"/>
          <w:sz w:val="16"/>
          <w:szCs w:val="16"/>
          <w:color w:val="auto"/>
        </w:rPr>
        <w:t>”). Each November 2023 Warrant is exercisable to acquire one Common Share at a price of $0.70 (US$0.51) between May 14, 2024 and May 14, 2029, subject to acceleration in certain circumstances. In connection with the November 2023 Offering, Cybin paid the underwriters a cash commission of $2,096 (US$1,530) and incurred additional share issuance costs being professional fees of $339 (US$247).</w:t>
      </w:r>
    </w:p>
    <w:p>
      <w:pPr>
        <w:spacing w:after="0" w:line="133" w:lineRule="exact"/>
        <w:rPr>
          <w:sz w:val="20"/>
          <w:szCs w:val="20"/>
          <w:color w:val="auto"/>
        </w:rPr>
      </w:pPr>
    </w:p>
    <w:p>
      <w:pPr>
        <w:jc w:val="both"/>
        <w:ind w:left="180" w:right="20"/>
        <w:spacing w:after="0" w:line="307" w:lineRule="auto"/>
        <w:rPr>
          <w:sz w:val="20"/>
          <w:szCs w:val="20"/>
          <w:color w:val="auto"/>
        </w:rPr>
      </w:pPr>
      <w:r>
        <w:rPr>
          <w:rFonts w:ascii="Times New Roman" w:cs="Times New Roman" w:eastAsia="Times New Roman" w:hAnsi="Times New Roman"/>
          <w:sz w:val="16"/>
          <w:szCs w:val="16"/>
          <w:color w:val="auto"/>
        </w:rPr>
        <w:t>On March 19, 2024, the Company completed a private placement (the “</w:t>
      </w:r>
      <w:r>
        <w:rPr>
          <w:rFonts w:ascii="Times New Roman" w:cs="Times New Roman" w:eastAsia="Times New Roman" w:hAnsi="Times New Roman"/>
          <w:sz w:val="16"/>
          <w:szCs w:val="16"/>
          <w:b w:val="1"/>
          <w:bCs w:val="1"/>
          <w:color w:val="auto"/>
        </w:rPr>
        <w:t>March 2024 Offering</w:t>
      </w:r>
      <w:r>
        <w:rPr>
          <w:rFonts w:ascii="Times New Roman" w:cs="Times New Roman" w:eastAsia="Times New Roman" w:hAnsi="Times New Roman"/>
          <w:sz w:val="16"/>
          <w:szCs w:val="16"/>
          <w:color w:val="auto"/>
        </w:rPr>
        <w:t>”) of 348,837,210 Common Shares at a price of US$0.43 per Common Share for gross proceeds of $202,995 (US$150,000). 15,807,443 Common Shares issued in the March 2024 Offering are subject to resale restrictions until the July 20, 2024. In connection with the March 2024 Offering, Cybin paid the agent cash commission of $11,726 (US$8,665) and incurred additional share issuance costs being professional fees of $78 (US$58).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Page 35 of 57</w:t>
      </w:r>
    </w:p>
    <w:p>
      <w:pPr>
        <w:sectPr>
          <w:pgSz w:w="11900" w:h="16838" w:orient="portrait"/>
          <w:cols w:equalWidth="0" w:num="1">
            <w:col w:w="11160"/>
          </w:cols>
          <w:pgMar w:left="420" w:top="212" w:right="31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During the year ended March 31, 2023, the Company completed the following share issuances:</w:t>
      </w:r>
    </w:p>
    <w:p>
      <w:pPr>
        <w:spacing w:after="0" w:line="194" w:lineRule="exact"/>
        <w:rPr>
          <w:sz w:val="20"/>
          <w:szCs w:val="20"/>
          <w:color w:val="auto"/>
        </w:rPr>
      </w:pPr>
    </w:p>
    <w:p>
      <w:pPr>
        <w:jc w:val="both"/>
        <w:ind w:left="220"/>
        <w:spacing w:after="0" w:line="307" w:lineRule="auto"/>
        <w:rPr>
          <w:sz w:val="20"/>
          <w:szCs w:val="20"/>
          <w:color w:val="auto"/>
        </w:rPr>
      </w:pPr>
      <w:r>
        <w:rPr>
          <w:rFonts w:ascii="Times New Roman" w:cs="Times New Roman" w:eastAsia="Times New Roman" w:hAnsi="Times New Roman"/>
          <w:sz w:val="16"/>
          <w:szCs w:val="16"/>
          <w:color w:val="auto"/>
        </w:rPr>
        <w:t>On August 8, 2022, the Company established an at-the-market equity program (the “</w:t>
      </w:r>
      <w:r>
        <w:rPr>
          <w:rFonts w:ascii="Times New Roman" w:cs="Times New Roman" w:eastAsia="Times New Roman" w:hAnsi="Times New Roman"/>
          <w:sz w:val="16"/>
          <w:szCs w:val="16"/>
          <w:b w:val="1"/>
          <w:bCs w:val="1"/>
          <w:color w:val="auto"/>
        </w:rPr>
        <w:t>2022 ATM Program</w:t>
      </w:r>
      <w:r>
        <w:rPr>
          <w:rFonts w:ascii="Times New Roman" w:cs="Times New Roman" w:eastAsia="Times New Roman" w:hAnsi="Times New Roman"/>
          <w:sz w:val="16"/>
          <w:szCs w:val="16"/>
          <w:color w:val="auto"/>
        </w:rPr>
        <w:t>”) that allowed the Company to issue and sell up to US$35,000 of Common Shares from treasury to the public, from time to time. Distributions of Common Shares under the 2022 ATM Program are made pursuant to the terms and conditions of an at-the-market equity distribution agreement dated August 8, 2022 among the Company, Cantor Fitzgerald Canada Corporation and Cantor Fitzgerald &amp; Co. The 2022 ATM Program was effective until August 5, 2023. when it automatically terminated in accordance with the terms of the Distribution Agreement.</w:t>
      </w:r>
    </w:p>
    <w:p>
      <w:pPr>
        <w:spacing w:after="0" w:line="128"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Up to March 31, 2023 the Company had sold 20,754,120 Common Shares under the 2022 ATM program at an average price of $0.6819 (US$0.5079) per Common Share, for aggregate gross proceeds of $14,152 (US$10,541). Share issuance costs for the year ended March 31, 2023 were $950.</w:t>
      </w:r>
    </w:p>
    <w:p>
      <w:pPr>
        <w:spacing w:after="0" w:line="115" w:lineRule="exact"/>
        <w:rPr>
          <w:sz w:val="20"/>
          <w:szCs w:val="20"/>
          <w:color w:val="auto"/>
        </w:rPr>
      </w:pPr>
    </w:p>
    <w:tbl>
      <w:tblPr>
        <w:tblLayout w:type="fixed"/>
        <w:tblInd w:w="220" w:type="dxa"/>
        <w:tblCellMar>
          <w:top w:w="0" w:type="dxa"/>
          <w:left w:w="0" w:type="dxa"/>
          <w:bottom w:w="0" w:type="dxa"/>
          <w:right w:w="0" w:type="dxa"/>
        </w:tblCellMar>
      </w:tblPr>
      <w:tr>
        <w:trPr>
          <w:trHeight w:val="214"/>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Shares</w:t>
            </w:r>
          </w:p>
        </w:tc>
        <w:tc>
          <w:tcPr>
            <w:tcW w:w="4420" w:type="dxa"/>
            <w:vAlign w:val="bottom"/>
          </w:tcPr>
          <w:p>
            <w:pPr>
              <w:spacing w:after="0"/>
              <w:rPr>
                <w:sz w:val="18"/>
                <w:szCs w:val="18"/>
                <w:color w:val="auto"/>
              </w:rPr>
            </w:pPr>
          </w:p>
        </w:tc>
      </w:tr>
      <w:tr>
        <w:trPr>
          <w:trHeight w:val="388"/>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As at March 31, 2024, the Company has nil preferred shares outstanding (March 31, 2023- nil).</w:t>
            </w:r>
          </w:p>
        </w:tc>
        <w:tc>
          <w:tcPr>
            <w:tcW w:w="4420" w:type="dxa"/>
            <w:vAlign w:val="bottom"/>
          </w:tcPr>
          <w:p>
            <w:pPr>
              <w:spacing w:after="0"/>
              <w:rPr>
                <w:sz w:val="24"/>
                <w:szCs w:val="24"/>
                <w:color w:val="auto"/>
              </w:rPr>
            </w:pPr>
          </w:p>
        </w:tc>
      </w:tr>
      <w:tr>
        <w:trPr>
          <w:trHeight w:val="38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Cybin US Class B Shares</w:t>
            </w:r>
          </w:p>
        </w:tc>
        <w:tc>
          <w:tcPr>
            <w:tcW w:w="4420" w:type="dxa"/>
            <w:vAlign w:val="bottom"/>
          </w:tcPr>
          <w:p>
            <w:pPr>
              <w:spacing w:after="0"/>
              <w:rPr>
                <w:sz w:val="24"/>
                <w:szCs w:val="24"/>
                <w:color w:val="auto"/>
              </w:rPr>
            </w:pPr>
          </w:p>
        </w:tc>
      </w:tr>
      <w:tr>
        <w:trPr>
          <w:trHeight w:val="255"/>
        </w:trPr>
        <w:tc>
          <w:tcPr>
            <w:tcW w:w="6260" w:type="dxa"/>
            <w:vAlign w:val="bottom"/>
            <w:tcBorders>
              <w:bottom w:val="single" w:sz="8" w:color="929292"/>
            </w:tcBorders>
          </w:tcPr>
          <w:p>
            <w:pPr>
              <w:spacing w:after="0"/>
              <w:rPr>
                <w:sz w:val="22"/>
                <w:szCs w:val="22"/>
                <w:color w:val="auto"/>
              </w:rPr>
            </w:pPr>
          </w:p>
        </w:tc>
        <w:tc>
          <w:tcPr>
            <w:tcW w:w="4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Class B Shares</w:t>
            </w:r>
          </w:p>
        </w:tc>
      </w:tr>
      <w:tr>
        <w:trPr>
          <w:trHeight w:val="19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at March 31, 2022</w:t>
            </w:r>
          </w:p>
        </w:tc>
        <w:tc>
          <w:tcPr>
            <w:tcW w:w="4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1,047,135.1</w:t>
            </w:r>
          </w:p>
        </w:tc>
      </w:tr>
      <w:tr>
        <w:trPr>
          <w:trHeight w:val="206"/>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on achievement of milestones</w:t>
            </w:r>
          </w:p>
        </w:tc>
        <w:tc>
          <w:tcPr>
            <w:tcW w:w="4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360,374.2</w:t>
            </w:r>
          </w:p>
        </w:tc>
      </w:tr>
      <w:tr>
        <w:trPr>
          <w:trHeight w:val="21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Converted into Common Shares</w:t>
            </w:r>
          </w:p>
        </w:tc>
        <w:tc>
          <w:tcPr>
            <w:tcW w:w="4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(876,967.2)</w:t>
            </w:r>
          </w:p>
        </w:tc>
      </w:tr>
      <w:tr>
        <w:trPr>
          <w:trHeight w:val="19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at March 31, 2023</w:t>
            </w:r>
          </w:p>
        </w:tc>
        <w:tc>
          <w:tcPr>
            <w:tcW w:w="4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530,542.1</w:t>
            </w:r>
          </w:p>
        </w:tc>
      </w:tr>
      <w:tr>
        <w:trPr>
          <w:trHeight w:val="21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Converted to Common Shares</w:t>
            </w:r>
          </w:p>
        </w:tc>
        <w:tc>
          <w:tcPr>
            <w:tcW w:w="4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(494,457.4)</w:t>
            </w:r>
          </w:p>
        </w:tc>
      </w:tr>
      <w:tr>
        <w:trPr>
          <w:trHeight w:val="199"/>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at March 31, 2024</w:t>
            </w:r>
          </w:p>
        </w:tc>
        <w:tc>
          <w:tcPr>
            <w:tcW w:w="4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36,084.7</w:t>
            </w:r>
          </w:p>
        </w:tc>
      </w:tr>
    </w:tbl>
    <w:p>
      <w:pPr>
        <w:spacing w:after="0" w:line="238"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As at March 31, 2024, 36,084.7 Class B Shares were outstanding, and are exchangeable for a total of 360,847 Common Shares. These consolidated financial statements reflect issued Class B Shares on an as-converted basis.</w:t>
      </w:r>
    </w:p>
    <w:p>
      <w:pPr>
        <w:spacing w:after="0" w:line="119"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During the year ended March 31, 2024 no additional Class B shares were issued. As of March 31, 2023 all Milestones were achieved and all eligible Class B shares were issued.</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During the year ended March 31, 2023, the Company issued Class B Shares as follows:</w:t>
      </w:r>
    </w:p>
    <w:p>
      <w:pPr>
        <w:spacing w:after="0" w:line="196" w:lineRule="exact"/>
        <w:rPr>
          <w:sz w:val="20"/>
          <w:szCs w:val="20"/>
          <w:color w:val="auto"/>
        </w:rPr>
      </w:pPr>
    </w:p>
    <w:p>
      <w:pPr>
        <w:jc w:val="both"/>
        <w:ind w:left="220" w:right="20"/>
        <w:spacing w:after="0" w:line="309" w:lineRule="auto"/>
        <w:rPr>
          <w:sz w:val="20"/>
          <w:szCs w:val="20"/>
          <w:color w:val="auto"/>
        </w:rPr>
      </w:pPr>
      <w:r>
        <w:rPr>
          <w:rFonts w:ascii="Times New Roman" w:cs="Times New Roman" w:eastAsia="Times New Roman" w:hAnsi="Times New Roman"/>
          <w:sz w:val="16"/>
          <w:szCs w:val="16"/>
          <w:color w:val="auto"/>
        </w:rPr>
        <w:t>On April 1, 2022, 22,428.3 Class B Shares were issued to Former Adelia Shareholders due to the achievement of the Milestone identified as Year 2 Q2 (iv), having an aggregate value of $229 at a price per Class B Share of $10.20. These Class B Shares are exchangeable for a total of 224,283 Common Shares, representing an effective issue price of $1.02 per Common Share. In consideration for the Milestone achieved, on June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36 of 57</w:t>
      </w:r>
    </w:p>
    <w:p>
      <w:pPr>
        <w:sectPr>
          <w:pgSz w:w="11900" w:h="16838" w:orient="portrait"/>
          <w:cols w:equalWidth="0" w:num="1">
            <w:col w:w="11200"/>
          </w:cols>
          <w:pgMar w:left="380" w:top="212" w:right="3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2022, an additional 456.5 Class B Shares having an aggregate value of $5 were issued to Former Adelia Shareholders.</w:t>
      </w:r>
    </w:p>
    <w:p>
      <w:pPr>
        <w:spacing w:after="0" w:line="192" w:lineRule="exact"/>
        <w:rPr>
          <w:sz w:val="20"/>
          <w:szCs w:val="20"/>
          <w:color w:val="auto"/>
        </w:rPr>
      </w:pPr>
    </w:p>
    <w:p>
      <w:pPr>
        <w:jc w:val="both"/>
        <w:ind w:left="220" w:right="20"/>
        <w:spacing w:after="0" w:line="293" w:lineRule="auto"/>
        <w:rPr>
          <w:sz w:val="20"/>
          <w:szCs w:val="20"/>
          <w:color w:val="auto"/>
        </w:rPr>
      </w:pPr>
      <w:r>
        <w:rPr>
          <w:rFonts w:ascii="Times New Roman" w:cs="Times New Roman" w:eastAsia="Times New Roman" w:hAnsi="Times New Roman"/>
          <w:sz w:val="16"/>
          <w:szCs w:val="16"/>
          <w:color w:val="auto"/>
        </w:rPr>
        <w:t>On June 24, 2022, 266,933.1 Class B Shares were issued to Former Adelia Shareholders due to the achievement of certain Milestones identified as Y2, Q2 (i), (vi), Y2, Q3 (ii), Year 2 Q4 (i) and Year 3 Q1 (i), (ii), (iii), having an aggregate value of $2,034 at a price per Class B Share of $7.62. These Class B Shares are exchangeable for a total of 2,669,331 Common Shares, representing an effective issue price of $0.76 per Common Share.</w:t>
      </w:r>
    </w:p>
    <w:p>
      <w:pPr>
        <w:spacing w:after="0" w:line="127" w:lineRule="exact"/>
        <w:rPr>
          <w:sz w:val="20"/>
          <w:szCs w:val="20"/>
          <w:color w:val="auto"/>
        </w:rPr>
      </w:pPr>
    </w:p>
    <w:p>
      <w:pPr>
        <w:jc w:val="both"/>
        <w:ind w:left="220"/>
        <w:spacing w:after="0" w:line="309" w:lineRule="auto"/>
        <w:rPr>
          <w:sz w:val="20"/>
          <w:szCs w:val="20"/>
          <w:color w:val="auto"/>
        </w:rPr>
      </w:pPr>
      <w:r>
        <w:rPr>
          <w:rFonts w:ascii="Times New Roman" w:cs="Times New Roman" w:eastAsia="Times New Roman" w:hAnsi="Times New Roman"/>
          <w:sz w:val="16"/>
          <w:szCs w:val="16"/>
          <w:color w:val="auto"/>
        </w:rPr>
        <w:t>On June 27, 2022, 37,366.2 Class B Shares were issued to Former Adelia Shareholders due to the achievement of the Milestone identified as Y2, Q3 (i), having an aggregate value of $280 at a price per Class B Share of $7.50. These Class B Shares are exchangeable for a total of 373,662 Common Shares, representing an effective issue price of $0.75 per Common Share.</w:t>
      </w:r>
    </w:p>
    <w:p>
      <w:pPr>
        <w:spacing w:after="0" w:line="126" w:lineRule="exact"/>
        <w:rPr>
          <w:sz w:val="20"/>
          <w:szCs w:val="20"/>
          <w:color w:val="auto"/>
        </w:rPr>
      </w:pPr>
    </w:p>
    <w:p>
      <w:pPr>
        <w:jc w:val="both"/>
        <w:ind w:left="220" w:right="20"/>
        <w:spacing w:after="0" w:line="309" w:lineRule="auto"/>
        <w:rPr>
          <w:sz w:val="20"/>
          <w:szCs w:val="20"/>
          <w:color w:val="auto"/>
        </w:rPr>
      </w:pPr>
      <w:r>
        <w:rPr>
          <w:rFonts w:ascii="Times New Roman" w:cs="Times New Roman" w:eastAsia="Times New Roman" w:hAnsi="Times New Roman"/>
          <w:sz w:val="16"/>
          <w:szCs w:val="16"/>
          <w:color w:val="auto"/>
        </w:rPr>
        <w:t>On August 31, 2022, 33,190.1 Class B Shares were issued to Former Adelia Shareholders due to the achievement of the Milestone identified as Y2, Q4 (ii), having an aggregate value of $468 at a price per Class B Share of $14.10. These Class B Shares are exchangeable for a total of 331,901 Common Shares, representing an effective issue price of $1.41 per Common Share.</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With the fulfillment of all of the remaining milestones during the year ended March 31, 2023, it is not anticipated that any additional Class B Shares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37 of 57</w:t>
      </w:r>
    </w:p>
    <w:p>
      <w:pPr>
        <w:sectPr>
          <w:pgSz w:w="11900" w:h="16838" w:orient="portrait"/>
          <w:cols w:equalWidth="0" w:num="1">
            <w:col w:w="11200"/>
          </w:cols>
          <w:pgMar w:left="380" w:top="212" w:right="3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hanging="292"/>
        <w:spacing w:after="0"/>
        <w:tabs>
          <w:tab w:leader="none" w:pos="520" w:val="left"/>
        </w:tabs>
        <w:numPr>
          <w:ilvl w:val="0"/>
          <w:numId w:val="124"/>
        </w:numPr>
        <w:rPr>
          <w:rFonts w:ascii="Calibri" w:cs="Calibri" w:eastAsia="Calibri" w:hAnsi="Calibri"/>
          <w:sz w:val="16"/>
          <w:szCs w:val="16"/>
          <w:b w:val="1"/>
          <w:bCs w:val="1"/>
          <w:i w:val="1"/>
          <w:iCs w:val="1"/>
          <w:color w:val="auto"/>
        </w:rPr>
      </w:pPr>
      <w:r>
        <w:rPr>
          <w:rFonts w:ascii="Times New Roman" w:cs="Times New Roman" w:eastAsia="Times New Roman" w:hAnsi="Times New Roman"/>
          <w:sz w:val="16"/>
          <w:szCs w:val="16"/>
          <w:b w:val="1"/>
          <w:bCs w:val="1"/>
          <w:u w:val="single" w:color="auto"/>
          <w:color w:val="auto"/>
        </w:rPr>
        <w:t>Warrants</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continuity of the outstanding warrants for the years ended March 31, 2024 and March 31, 2023, are as follows:</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4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exercise</w:t>
            </w:r>
          </w:p>
        </w:tc>
      </w:tr>
      <w:tr>
        <w:trPr>
          <w:trHeight w:val="212"/>
        </w:trPr>
        <w:tc>
          <w:tcPr>
            <w:tcW w:w="4140" w:type="dxa"/>
            <w:vAlign w:val="bottom"/>
          </w:tcPr>
          <w:p>
            <w:pPr>
              <w:spacing w:after="0"/>
              <w:rPr>
                <w:sz w:val="18"/>
                <w:szCs w:val="18"/>
                <w:color w:val="auto"/>
              </w:rPr>
            </w:pPr>
          </w:p>
        </w:tc>
        <w:tc>
          <w:tcPr>
            <w:tcW w:w="33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315"/>
        </w:trPr>
        <w:tc>
          <w:tcPr>
            <w:tcW w:w="4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5"/>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Common Share Purchase Warrants</w:t>
            </w:r>
          </w:p>
        </w:tc>
        <w:tc>
          <w:tcPr>
            <w:tcW w:w="33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r>
      <w:tr>
        <w:trPr>
          <w:trHeight w:val="295"/>
        </w:trPr>
        <w:tc>
          <w:tcPr>
            <w:tcW w:w="4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at March 31, 2022</w:t>
            </w:r>
          </w:p>
        </w:tc>
        <w:tc>
          <w:tcPr>
            <w:tcW w:w="3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25,548,836</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315"/>
        </w:trPr>
        <w:tc>
          <w:tcPr>
            <w:tcW w:w="4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Exercised</w:t>
            </w:r>
          </w:p>
        </w:tc>
        <w:tc>
          <w:tcPr>
            <w:tcW w:w="3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(1,164,638)</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316"/>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Expired</w:t>
            </w:r>
          </w:p>
        </w:tc>
        <w:tc>
          <w:tcPr>
            <w:tcW w:w="3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(1,153,713)</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79"/>
        </w:trPr>
        <w:tc>
          <w:tcPr>
            <w:tcW w:w="4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at March 31, 2023</w:t>
            </w:r>
          </w:p>
        </w:tc>
        <w:tc>
          <w:tcPr>
            <w:tcW w:w="3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23,230,485</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0"/>
        </w:trPr>
        <w:tc>
          <w:tcPr>
            <w:tcW w:w="4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Issued</w:t>
            </w:r>
          </w:p>
        </w:tc>
        <w:tc>
          <w:tcPr>
            <w:tcW w:w="33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90,931,373</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311"/>
        </w:trPr>
        <w:tc>
          <w:tcPr>
            <w:tcW w:w="4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Exercised</w:t>
            </w:r>
          </w:p>
        </w:tc>
        <w:tc>
          <w:tcPr>
            <w:tcW w:w="3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(101,000)</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10"/>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Expired</w:t>
            </w:r>
          </w:p>
        </w:tc>
        <w:tc>
          <w:tcPr>
            <w:tcW w:w="3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(7,805,360)</w:t>
            </w:r>
          </w:p>
        </w:tc>
        <w:tc>
          <w:tcPr>
            <w:tcW w:w="2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3.47</w:t>
            </w:r>
          </w:p>
        </w:tc>
      </w:tr>
      <w:tr>
        <w:trPr>
          <w:trHeight w:val="283"/>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Outstanding as at March 31, 2024</w:t>
            </w:r>
          </w:p>
        </w:tc>
        <w:tc>
          <w:tcPr>
            <w:tcW w:w="3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106,255,498</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0.60</w:t>
            </w:r>
          </w:p>
        </w:tc>
      </w:tr>
      <w:tr>
        <w:trPr>
          <w:trHeight w:val="295"/>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Exercisable as at March 31, 2024</w:t>
            </w:r>
          </w:p>
        </w:tc>
        <w:tc>
          <w:tcPr>
            <w:tcW w:w="3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39,588,831</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0.44</w:t>
            </w:r>
          </w:p>
        </w:tc>
      </w:tr>
      <w:tr>
        <w:trPr>
          <w:trHeight w:val="393"/>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Unit Purchase Warrants</w:t>
            </w:r>
            <w:r>
              <w:rPr>
                <w:rFonts w:ascii="Times New Roman" w:cs="Times New Roman" w:eastAsia="Times New Roman" w:hAnsi="Times New Roman"/>
                <w:sz w:val="21"/>
                <w:szCs w:val="21"/>
                <w:b w:val="1"/>
                <w:bCs w:val="1"/>
                <w:i w:val="1"/>
                <w:iCs w:val="1"/>
                <w:color w:val="auto"/>
                <w:vertAlign w:val="superscript"/>
              </w:rPr>
              <w:t>(1)</w:t>
            </w:r>
          </w:p>
        </w:tc>
        <w:tc>
          <w:tcPr>
            <w:tcW w:w="3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95"/>
        </w:trPr>
        <w:tc>
          <w:tcPr>
            <w:tcW w:w="4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at March 31, 2022</w:t>
            </w:r>
          </w:p>
        </w:tc>
        <w:tc>
          <w:tcPr>
            <w:tcW w:w="3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868,740</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316"/>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Exercised</w:t>
            </w:r>
          </w:p>
        </w:tc>
        <w:tc>
          <w:tcPr>
            <w:tcW w:w="3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3"/>
        </w:trPr>
        <w:tc>
          <w:tcPr>
            <w:tcW w:w="4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at March 31, 2023</w:t>
            </w:r>
          </w:p>
        </w:tc>
        <w:tc>
          <w:tcPr>
            <w:tcW w:w="3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868,740</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316"/>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Expired</w:t>
            </w:r>
          </w:p>
        </w:tc>
        <w:tc>
          <w:tcPr>
            <w:tcW w:w="3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(868,740)</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83"/>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Outstanding as at March 31, 2024</w:t>
            </w:r>
          </w:p>
        </w:tc>
        <w:tc>
          <w:tcPr>
            <w:tcW w:w="3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3"/>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Exercisable as at March 31, 2024</w:t>
            </w:r>
          </w:p>
        </w:tc>
        <w:tc>
          <w:tcPr>
            <w:tcW w:w="3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83" w:lineRule="exact"/>
        <w:rPr>
          <w:sz w:val="20"/>
          <w:szCs w:val="20"/>
          <w:color w:val="auto"/>
        </w:rPr>
      </w:pPr>
    </w:p>
    <w:p>
      <w:pPr>
        <w:ind w:left="220" w:firstLine="8"/>
        <w:spacing w:after="0" w:line="266" w:lineRule="auto"/>
        <w:tabs>
          <w:tab w:leader="none" w:pos="369" w:val="left"/>
        </w:tabs>
        <w:numPr>
          <w:ilvl w:val="0"/>
          <w:numId w:val="125"/>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Each unit consisted of one Common Share and one half of one Common Share purchase warrant, with each Common Share purchase warrant being exercisable to acquire one Common Share at an exercise price of $3.25 per Common Share.</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During the year ended March 31, 2024, the Company had the following movement in warrants:</w:t>
      </w:r>
    </w:p>
    <w:p>
      <w:pPr>
        <w:spacing w:after="0" w:line="196" w:lineRule="exact"/>
        <w:rPr>
          <w:sz w:val="20"/>
          <w:szCs w:val="20"/>
          <w:color w:val="auto"/>
        </w:rPr>
      </w:pPr>
    </w:p>
    <w:p>
      <w:pPr>
        <w:ind w:left="220"/>
        <w:spacing w:after="0" w:line="334" w:lineRule="auto"/>
        <w:rPr>
          <w:sz w:val="20"/>
          <w:szCs w:val="20"/>
          <w:color w:val="auto"/>
        </w:rPr>
      </w:pPr>
      <w:r>
        <w:rPr>
          <w:rFonts w:ascii="Times New Roman" w:cs="Times New Roman" w:eastAsia="Times New Roman" w:hAnsi="Times New Roman"/>
          <w:sz w:val="16"/>
          <w:szCs w:val="16"/>
          <w:color w:val="auto"/>
        </w:rPr>
        <w:t>During the year ended March 31, 2024, 101,000 Common Share purchase warrants (March 31, 2023 - 1,164,638) were exercised by various holders for aggregate proceeds to the Company of $56 (March 31, 2023 - $362).</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During the year ended March 31, 2024, 7,805,360 warrants with a weighted average exercise price of $3.47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Page 38 of 57</w:t>
      </w:r>
    </w:p>
    <w:p>
      <w:pPr>
        <w:sectPr>
          <w:pgSz w:w="11900" w:h="16838" w:orient="portrait"/>
          <w:cols w:equalWidth="0" w:num="1">
            <w:col w:w="11180"/>
          </w:cols>
          <w:pgMar w:left="380" w:top="212" w:right="339" w:bottom="1440" w:gutter="0" w:footer="0" w:header="0"/>
        </w:sectPr>
      </w:pPr>
    </w:p>
    <w:bookmarkStart w:id="244" w:name="page245"/>
    <w:bookmarkEnd w:id="244"/>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During the year ended March 31, 2024, the Company completed the following warrant issuances:</w:t>
      </w:r>
    </w:p>
    <w:p>
      <w:pPr>
        <w:spacing w:after="0" w:line="244" w:lineRule="exact"/>
        <w:rPr>
          <w:sz w:val="20"/>
          <w:szCs w:val="20"/>
          <w:color w:val="auto"/>
        </w:rPr>
      </w:pPr>
    </w:p>
    <w:p>
      <w:pPr>
        <w:ind w:left="280"/>
        <w:spacing w:after="0" w:line="318" w:lineRule="auto"/>
        <w:rPr>
          <w:sz w:val="20"/>
          <w:szCs w:val="20"/>
          <w:color w:val="auto"/>
        </w:rPr>
      </w:pPr>
      <w:r>
        <w:rPr>
          <w:rFonts w:ascii="Times New Roman" w:cs="Times New Roman" w:eastAsia="Times New Roman" w:hAnsi="Times New Roman"/>
          <w:sz w:val="16"/>
          <w:szCs w:val="16"/>
          <w:color w:val="auto"/>
        </w:rPr>
        <w:t>On August 4, 2023, Cybin issued 24,264,706 “August 2023 Warrants” in connection with the August 2023 Offering. Each August 2023 Warrant is exercisable to acquire one Common Share at a price of US$0.40 per Common Share until August 4, 2028, subject to acceleration in certain circumstances.</w:t>
      </w:r>
    </w:p>
    <w:p>
      <w:pPr>
        <w:spacing w:after="0" w:line="107" w:lineRule="exact"/>
        <w:rPr>
          <w:sz w:val="20"/>
          <w:szCs w:val="20"/>
          <w:color w:val="auto"/>
        </w:rPr>
      </w:pPr>
    </w:p>
    <w:p>
      <w:pPr>
        <w:ind w:left="280"/>
        <w:spacing w:after="0" w:line="334" w:lineRule="auto"/>
        <w:rPr>
          <w:sz w:val="20"/>
          <w:szCs w:val="20"/>
          <w:color w:val="auto"/>
        </w:rPr>
      </w:pPr>
      <w:r>
        <w:rPr>
          <w:rFonts w:ascii="Times New Roman" w:cs="Times New Roman" w:eastAsia="Times New Roman" w:hAnsi="Times New Roman"/>
          <w:sz w:val="16"/>
          <w:szCs w:val="16"/>
          <w:color w:val="auto"/>
        </w:rPr>
        <w:t>The Company estimated the aggregate fair value of the August 2023 Warrants using the Black-Scholes option pricing model to be $4,600 (US$3,442) with the following assumptions: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Risk-free interest rate</w:t>
            </w:r>
          </w:p>
        </w:tc>
        <w:tc>
          <w:tcPr>
            <w:tcW w:w="2580" w:type="dxa"/>
            <w:vAlign w:val="bottom"/>
          </w:tcPr>
          <w:p>
            <w:pPr>
              <w:jc w:val="right"/>
              <w:ind w:right="1799"/>
              <w:spacing w:after="0"/>
              <w:rPr>
                <w:sz w:val="20"/>
                <w:szCs w:val="20"/>
                <w:color w:val="auto"/>
              </w:rPr>
            </w:pPr>
            <w:r>
              <w:rPr>
                <w:rFonts w:ascii="Times New Roman" w:cs="Times New Roman" w:eastAsia="Times New Roman" w:hAnsi="Times New Roman"/>
                <w:sz w:val="16"/>
                <w:szCs w:val="16"/>
                <w:color w:val="auto"/>
              </w:rPr>
              <w:t>3.87%</w:t>
            </w:r>
          </w:p>
        </w:tc>
        <w:tc>
          <w:tcPr>
            <w:tcW w:w="86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annual volatility rate based on comparable companies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258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rPr>
              <w:t>5</w:t>
            </w:r>
          </w:p>
        </w:tc>
        <w:tc>
          <w:tcPr>
            <w:tcW w:w="860" w:type="dxa"/>
            <w:vAlign w:val="bottom"/>
          </w:tcPr>
          <w:p>
            <w:pPr>
              <w:spacing w:after="0"/>
              <w:rPr>
                <w:sz w:val="20"/>
                <w:szCs w:val="20"/>
                <w:color w:val="auto"/>
              </w:rPr>
            </w:pPr>
          </w:p>
        </w:tc>
      </w:tr>
      <w:tr>
        <w:trPr>
          <w:trHeight w:val="21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divided yield</w:t>
            </w:r>
          </w:p>
        </w:tc>
        <w:tc>
          <w:tcPr>
            <w:tcW w:w="258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0.00%</w:t>
            </w:r>
          </w:p>
        </w:tc>
        <w:tc>
          <w:tcPr>
            <w:tcW w:w="86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Share price</w:t>
            </w:r>
          </w:p>
        </w:tc>
        <w:tc>
          <w:tcPr>
            <w:tcW w:w="2580" w:type="dxa"/>
            <w:vAlign w:val="bottom"/>
          </w:tcPr>
          <w:p>
            <w:pPr>
              <w:jc w:val="right"/>
              <w:ind w:right="1519"/>
              <w:spacing w:after="0"/>
              <w:rPr>
                <w:sz w:val="20"/>
                <w:szCs w:val="20"/>
                <w:color w:val="auto"/>
              </w:rPr>
            </w:pPr>
            <w:r>
              <w:rPr>
                <w:rFonts w:ascii="Times New Roman" w:cs="Times New Roman" w:eastAsia="Times New Roman" w:hAnsi="Times New Roman"/>
                <w:sz w:val="16"/>
                <w:szCs w:val="16"/>
                <w:color w:val="auto"/>
              </w:rPr>
              <w:t>US$0.34</w:t>
            </w:r>
          </w:p>
        </w:tc>
        <w:tc>
          <w:tcPr>
            <w:tcW w:w="860" w:type="dxa"/>
            <w:vAlign w:val="bottom"/>
          </w:tcPr>
          <w:p>
            <w:pPr>
              <w:spacing w:after="0"/>
              <w:rPr>
                <w:sz w:val="20"/>
                <w:szCs w:val="20"/>
                <w:color w:val="auto"/>
              </w:rPr>
            </w:pPr>
          </w:p>
        </w:tc>
      </w:tr>
      <w:tr>
        <w:trPr>
          <w:trHeight w:val="21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2580" w:type="dxa"/>
            <w:vAlign w:val="bottom"/>
          </w:tcPr>
          <w:p>
            <w:pPr>
              <w:jc w:val="right"/>
              <w:ind w:right="1499"/>
              <w:spacing w:after="0"/>
              <w:rPr>
                <w:sz w:val="20"/>
                <w:szCs w:val="20"/>
                <w:color w:val="auto"/>
              </w:rPr>
            </w:pPr>
            <w:r>
              <w:rPr>
                <w:rFonts w:ascii="Times New Roman" w:cs="Times New Roman" w:eastAsia="Times New Roman" w:hAnsi="Times New Roman"/>
                <w:sz w:val="16"/>
                <w:szCs w:val="16"/>
                <w:color w:val="auto"/>
              </w:rPr>
              <w:t>US$0.40</w:t>
            </w:r>
          </w:p>
        </w:tc>
        <w:tc>
          <w:tcPr>
            <w:tcW w:w="860" w:type="dxa"/>
            <w:vAlign w:val="bottom"/>
          </w:tcPr>
          <w:p>
            <w:pPr>
              <w:spacing w:after="0"/>
              <w:rPr>
                <w:sz w:val="18"/>
                <w:szCs w:val="18"/>
                <w:color w:val="auto"/>
              </w:rPr>
            </w:pPr>
          </w:p>
        </w:tc>
      </w:tr>
    </w:tbl>
    <w:p>
      <w:pPr>
        <w:spacing w:after="0" w:line="178" w:lineRule="exact"/>
        <w:rPr>
          <w:sz w:val="20"/>
          <w:szCs w:val="20"/>
          <w:color w:val="auto"/>
        </w:rPr>
      </w:pPr>
    </w:p>
    <w:p>
      <w:pPr>
        <w:ind w:left="280"/>
        <w:spacing w:after="0" w:line="334" w:lineRule="auto"/>
        <w:rPr>
          <w:sz w:val="20"/>
          <w:szCs w:val="20"/>
          <w:color w:val="auto"/>
        </w:rPr>
      </w:pPr>
      <w:r>
        <w:rPr>
          <w:rFonts w:ascii="Times New Roman" w:cs="Times New Roman" w:eastAsia="Times New Roman" w:hAnsi="Times New Roman"/>
          <w:sz w:val="16"/>
          <w:szCs w:val="16"/>
          <w:color w:val="auto"/>
        </w:rPr>
        <w:t>On November 14, 2023, Cybin issued 66,666,667 “November 2023 Warrants” in connection with the November 2023 Offering. Each November 2023 Warrant is exercisable from May 14, 2024 to May 14, 2029 to acquire one Common Share at a price of US$0.51, subject to acceleration in certain circumstances.</w:t>
      </w:r>
    </w:p>
    <w:p>
      <w:pPr>
        <w:spacing w:after="0" w:line="94" w:lineRule="exact"/>
        <w:rPr>
          <w:sz w:val="20"/>
          <w:szCs w:val="20"/>
          <w:color w:val="auto"/>
        </w:rPr>
      </w:pPr>
    </w:p>
    <w:p>
      <w:pPr>
        <w:ind w:left="280"/>
        <w:spacing w:after="0" w:line="334" w:lineRule="auto"/>
        <w:rPr>
          <w:sz w:val="20"/>
          <w:szCs w:val="20"/>
          <w:color w:val="auto"/>
        </w:rPr>
      </w:pPr>
      <w:r>
        <w:rPr>
          <w:rFonts w:ascii="Times New Roman" w:cs="Times New Roman" w:eastAsia="Times New Roman" w:hAnsi="Times New Roman"/>
          <w:sz w:val="16"/>
          <w:szCs w:val="16"/>
          <w:color w:val="auto"/>
        </w:rPr>
        <w:t>The Company estimated the aggregate fair value of the November 2023 Warrants using the Black-Scholes option pricing model to be $17,842(US$12,299) with the following assumptions: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Risk-free interest rate</w:t>
            </w:r>
          </w:p>
        </w:tc>
        <w:tc>
          <w:tcPr>
            <w:tcW w:w="2580" w:type="dxa"/>
            <w:vAlign w:val="bottom"/>
          </w:tcPr>
          <w:p>
            <w:pPr>
              <w:jc w:val="right"/>
              <w:ind w:right="1799"/>
              <w:spacing w:after="0"/>
              <w:rPr>
                <w:sz w:val="20"/>
                <w:szCs w:val="20"/>
                <w:color w:val="auto"/>
              </w:rPr>
            </w:pPr>
            <w:r>
              <w:rPr>
                <w:rFonts w:ascii="Times New Roman" w:cs="Times New Roman" w:eastAsia="Times New Roman" w:hAnsi="Times New Roman"/>
                <w:sz w:val="16"/>
                <w:szCs w:val="16"/>
                <w:color w:val="auto"/>
              </w:rPr>
              <w:t>3.76%</w:t>
            </w:r>
          </w:p>
        </w:tc>
        <w:tc>
          <w:tcPr>
            <w:tcW w:w="860" w:type="dxa"/>
            <w:vAlign w:val="bottom"/>
          </w:tcPr>
          <w:p>
            <w:pPr>
              <w:spacing w:after="0"/>
              <w:rPr>
                <w:sz w:val="18"/>
                <w:szCs w:val="18"/>
                <w:color w:val="auto"/>
              </w:rPr>
            </w:pPr>
          </w:p>
        </w:tc>
      </w:tr>
      <w:tr>
        <w:trPr>
          <w:trHeight w:val="218"/>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annual volatility rate based on comparable companies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258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Pr>
          <w:p>
            <w:pPr>
              <w:spacing w:after="0"/>
              <w:rPr>
                <w:sz w:val="20"/>
                <w:szCs w:val="20"/>
                <w:color w:val="auto"/>
              </w:rPr>
            </w:pPr>
          </w:p>
        </w:tc>
      </w:tr>
      <w:tr>
        <w:trPr>
          <w:trHeight w:val="21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divided yield</w:t>
            </w:r>
          </w:p>
        </w:tc>
        <w:tc>
          <w:tcPr>
            <w:tcW w:w="258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0.00%</w:t>
            </w:r>
          </w:p>
        </w:tc>
        <w:tc>
          <w:tcPr>
            <w:tcW w:w="86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Share price</w:t>
            </w:r>
          </w:p>
        </w:tc>
        <w:tc>
          <w:tcPr>
            <w:tcW w:w="2580" w:type="dxa"/>
            <w:vAlign w:val="bottom"/>
          </w:tcPr>
          <w:p>
            <w:pPr>
              <w:jc w:val="right"/>
              <w:ind w:right="1519"/>
              <w:spacing w:after="0"/>
              <w:rPr>
                <w:sz w:val="20"/>
                <w:szCs w:val="20"/>
                <w:color w:val="auto"/>
              </w:rPr>
            </w:pPr>
            <w:r>
              <w:rPr>
                <w:rFonts w:ascii="Times New Roman" w:cs="Times New Roman" w:eastAsia="Times New Roman" w:hAnsi="Times New Roman"/>
                <w:sz w:val="16"/>
                <w:szCs w:val="16"/>
                <w:color w:val="auto"/>
              </w:rPr>
              <w:t>US$0.46</w:t>
            </w:r>
          </w:p>
        </w:tc>
        <w:tc>
          <w:tcPr>
            <w:tcW w:w="860" w:type="dxa"/>
            <w:vAlign w:val="bottom"/>
          </w:tcPr>
          <w:p>
            <w:pPr>
              <w:spacing w:after="0"/>
              <w:rPr>
                <w:sz w:val="20"/>
                <w:szCs w:val="20"/>
                <w:color w:val="auto"/>
              </w:rPr>
            </w:pPr>
          </w:p>
        </w:tc>
      </w:tr>
      <w:tr>
        <w:trPr>
          <w:trHeight w:val="21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2580" w:type="dxa"/>
            <w:vAlign w:val="bottom"/>
          </w:tcPr>
          <w:p>
            <w:pPr>
              <w:jc w:val="right"/>
              <w:ind w:right="1499"/>
              <w:spacing w:after="0"/>
              <w:rPr>
                <w:sz w:val="20"/>
                <w:szCs w:val="20"/>
                <w:color w:val="auto"/>
              </w:rPr>
            </w:pPr>
            <w:r>
              <w:rPr>
                <w:rFonts w:ascii="Times New Roman" w:cs="Times New Roman" w:eastAsia="Times New Roman" w:hAnsi="Times New Roman"/>
                <w:sz w:val="16"/>
                <w:szCs w:val="16"/>
                <w:color w:val="auto"/>
              </w:rPr>
              <w:t>US$0.51</w:t>
            </w:r>
          </w:p>
        </w:tc>
        <w:tc>
          <w:tcPr>
            <w:tcW w:w="860" w:type="dxa"/>
            <w:vAlign w:val="bottom"/>
          </w:tcPr>
          <w:p>
            <w:pPr>
              <w:spacing w:after="0"/>
              <w:rPr>
                <w:sz w:val="18"/>
                <w:szCs w:val="18"/>
                <w:color w:val="auto"/>
              </w:rPr>
            </w:pPr>
          </w:p>
        </w:tc>
      </w:tr>
    </w:tbl>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summarizes information about Common Shares purchase warrants outstanding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39 of 57</w:t>
      </w:r>
    </w:p>
    <w:p>
      <w:pPr>
        <w:sectPr>
          <w:pgSz w:w="11900" w:h="16838" w:orient="portrait"/>
          <w:cols w:equalWidth="0" w:num="1">
            <w:col w:w="11240"/>
          </w:cols>
          <w:pgMar w:left="320" w:top="211"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194"/>
        </w:trPr>
        <w:tc>
          <w:tcPr>
            <w:tcW w:w="2740" w:type="dxa"/>
            <w:vAlign w:val="bottom"/>
          </w:tcPr>
          <w:p>
            <w:pPr>
              <w:spacing w:after="0"/>
              <w:rPr>
                <w:sz w:val="16"/>
                <w:szCs w:val="16"/>
                <w:color w:val="auto"/>
              </w:rPr>
            </w:pPr>
          </w:p>
        </w:tc>
        <w:tc>
          <w:tcPr>
            <w:tcW w:w="26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Estimated grant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61"/>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Date of Expiry</w:t>
            </w:r>
          </w:p>
        </w:tc>
        <w:tc>
          <w:tcPr>
            <w:tcW w:w="26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of exercisable price</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contractual life</w:t>
            </w:r>
          </w:p>
        </w:tc>
      </w:tr>
      <w:tr>
        <w:trPr>
          <w:trHeight w:val="267"/>
        </w:trPr>
        <w:tc>
          <w:tcPr>
            <w:tcW w:w="27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$000’s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49"/>
        </w:trPr>
        <w:tc>
          <w:tcPr>
            <w:tcW w:w="274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9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15, 2025</w:t>
            </w:r>
          </w:p>
        </w:tc>
        <w:tc>
          <w:tcPr>
            <w:tcW w:w="2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12,800,000</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12,800,000</w:t>
            </w: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0.25</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2,319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0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20, 2025</w:t>
            </w:r>
          </w:p>
        </w:tc>
        <w:tc>
          <w:tcPr>
            <w:tcW w:w="2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1,475,125</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1,475,125</w:t>
            </w: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0.64</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680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15, 2025</w:t>
            </w:r>
          </w:p>
        </w:tc>
        <w:tc>
          <w:tcPr>
            <w:tcW w:w="2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1,150,000</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1,150,000</w:t>
            </w: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0.25</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331"/>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4, 2028</w:t>
            </w:r>
            <w:r>
              <w:rPr>
                <w:rFonts w:ascii="Times New Roman" w:cs="Times New Roman" w:eastAsia="Times New Roman" w:hAnsi="Times New Roman"/>
                <w:sz w:val="21"/>
                <w:szCs w:val="21"/>
                <w:color w:val="auto"/>
                <w:vertAlign w:val="superscript"/>
              </w:rPr>
              <w:t>(1)</w:t>
            </w:r>
          </w:p>
        </w:tc>
        <w:tc>
          <w:tcPr>
            <w:tcW w:w="2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24,163,706</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24,163,706</w:t>
            </w: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US$0.40</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4,578</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301"/>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May 14, 2029</w:t>
            </w:r>
            <w:r>
              <w:rPr>
                <w:rFonts w:ascii="Times New Roman" w:cs="Times New Roman" w:eastAsia="Times New Roman" w:hAnsi="Times New Roman"/>
                <w:sz w:val="21"/>
                <w:szCs w:val="21"/>
                <w:color w:val="auto"/>
                <w:vertAlign w:val="superscript"/>
              </w:rPr>
              <w:t>(2)</w:t>
            </w:r>
          </w:p>
        </w:tc>
        <w:tc>
          <w:tcPr>
            <w:tcW w:w="2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66,666,667</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US$0.51</w:t>
            </w: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17,842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198"/>
        </w:trPr>
        <w:tc>
          <w:tcPr>
            <w:tcW w:w="27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106,255,498</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39,588,831</w:t>
            </w:r>
          </w:p>
        </w:tc>
        <w:tc>
          <w:tcPr>
            <w:tcW w:w="1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0.44</w:t>
            </w: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25,639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4.38</w:t>
            </w:r>
          </w:p>
        </w:tc>
      </w:tr>
    </w:tbl>
    <w:p>
      <w:pPr>
        <w:spacing w:after="0" w:line="250" w:lineRule="exact"/>
        <w:rPr>
          <w:sz w:val="20"/>
          <w:szCs w:val="20"/>
          <w:color w:val="auto"/>
        </w:rPr>
      </w:pPr>
    </w:p>
    <w:p>
      <w:pPr>
        <w:ind w:left="640" w:hanging="121"/>
        <w:spacing w:after="0"/>
        <w:tabs>
          <w:tab w:leader="none" w:pos="640" w:val="left"/>
        </w:tabs>
        <w:numPr>
          <w:ilvl w:val="0"/>
          <w:numId w:val="12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On August 4, 2023, the August 2023 Warrants were issued at US$0.40 which was equivalent to $0.53.</w:t>
      </w:r>
    </w:p>
    <w:p>
      <w:pPr>
        <w:ind w:left="660" w:hanging="141"/>
        <w:spacing w:after="0"/>
        <w:tabs>
          <w:tab w:leader="none" w:pos="660" w:val="left"/>
        </w:tabs>
        <w:numPr>
          <w:ilvl w:val="0"/>
          <w:numId w:val="127"/>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On November 14, 2023, the November 2023 Warrants were issued at US$0.51 which was equivalent to $0.70.</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As at March 31, 2024, the Company has no Common Share purchase warrants held in escrow (2023 - nil).</w:t>
      </w:r>
    </w:p>
    <w:p>
      <w:pPr>
        <w:spacing w:after="0" w:line="192" w:lineRule="exact"/>
        <w:rPr>
          <w:sz w:val="20"/>
          <w:szCs w:val="20"/>
          <w:color w:val="auto"/>
        </w:rPr>
      </w:pPr>
    </w:p>
    <w:p>
      <w:pPr>
        <w:ind w:left="220" w:right="20"/>
        <w:spacing w:after="0" w:line="334" w:lineRule="auto"/>
        <w:rPr>
          <w:sz w:val="20"/>
          <w:szCs w:val="20"/>
          <w:color w:val="auto"/>
        </w:rPr>
      </w:pPr>
      <w:r>
        <w:rPr>
          <w:rFonts w:ascii="Times New Roman" w:cs="Times New Roman" w:eastAsia="Times New Roman" w:hAnsi="Times New Roman"/>
          <w:sz w:val="16"/>
          <w:szCs w:val="16"/>
          <w:color w:val="auto"/>
        </w:rPr>
        <w:t>The Company recognized share-based payments compensation related to the issuance of Common Share purchase warrants for the year ended March 31, 2024 of $0 (2023 - $6).</w:t>
      </w:r>
    </w:p>
    <w:p>
      <w:pPr>
        <w:spacing w:after="0" w:line="104" w:lineRule="exact"/>
        <w:rPr>
          <w:sz w:val="20"/>
          <w:szCs w:val="20"/>
          <w:color w:val="auto"/>
        </w:rPr>
      </w:pPr>
    </w:p>
    <w:p>
      <w:pPr>
        <w:ind w:left="500" w:hanging="272"/>
        <w:spacing w:after="0"/>
        <w:tabs>
          <w:tab w:leader="none" w:pos="500" w:val="left"/>
        </w:tabs>
        <w:numPr>
          <w:ilvl w:val="0"/>
          <w:numId w:val="128"/>
        </w:numPr>
        <w:rPr>
          <w:rFonts w:ascii="Calibri" w:cs="Calibri" w:eastAsia="Calibri" w:hAnsi="Calibri"/>
          <w:sz w:val="16"/>
          <w:szCs w:val="16"/>
          <w:b w:val="1"/>
          <w:bCs w:val="1"/>
          <w:color w:val="auto"/>
        </w:rPr>
      </w:pPr>
      <w:r>
        <w:rPr>
          <w:rFonts w:ascii="Times New Roman" w:cs="Times New Roman" w:eastAsia="Times New Roman" w:hAnsi="Times New Roman"/>
          <w:sz w:val="16"/>
          <w:szCs w:val="16"/>
          <w:b w:val="1"/>
          <w:bCs w:val="1"/>
          <w:u w:val="single" w:color="auto"/>
          <w:color w:val="auto"/>
        </w:rPr>
        <w:t>Stock options</w:t>
      </w:r>
    </w:p>
    <w:p>
      <w:pPr>
        <w:spacing w:after="0" w:line="207" w:lineRule="exact"/>
        <w:rPr>
          <w:sz w:val="20"/>
          <w:szCs w:val="20"/>
          <w:color w:val="auto"/>
        </w:rPr>
      </w:pPr>
    </w:p>
    <w:p>
      <w:pPr>
        <w:jc w:val="both"/>
        <w:ind w:left="220"/>
        <w:spacing w:after="0" w:line="301" w:lineRule="auto"/>
        <w:rPr>
          <w:sz w:val="20"/>
          <w:szCs w:val="20"/>
          <w:color w:val="auto"/>
        </w:rPr>
      </w:pPr>
      <w:r>
        <w:rPr>
          <w:rFonts w:ascii="Times New Roman" w:cs="Times New Roman" w:eastAsia="Times New Roman" w:hAnsi="Times New Roman"/>
          <w:sz w:val="16"/>
          <w:szCs w:val="16"/>
          <w:color w:val="auto"/>
        </w:rPr>
        <w:t>On November 5, 2020, Cybin adopted an equity incentive plan. Under the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16, 2021, the board of directors and the shareholders approved an amendment to the equity incentive plan to modify certain provisions for awards granted to residents of the United States, to increase the fixed number of Incentive Stock Options (as defined in the plan) and certain other housekeeping amendments.</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changes in options for the years ended March 31, 2024 and 2023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40 of 57</w:t>
      </w:r>
    </w:p>
    <w:p>
      <w:pPr>
        <w:sectPr>
          <w:pgSz w:w="11900" w:h="16838" w:orient="portrait"/>
          <w:cols w:equalWidth="0" w:num="1">
            <w:col w:w="11200"/>
          </w:cols>
          <w:pgMar w:left="380" w:top="211"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42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35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49"/>
        </w:trPr>
        <w:tc>
          <w:tcPr>
            <w:tcW w:w="42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9"/>
        </w:trPr>
        <w:tc>
          <w:tcPr>
            <w:tcW w:w="42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at March 31, 2022</w:t>
            </w:r>
          </w:p>
        </w:tc>
        <w:tc>
          <w:tcPr>
            <w:tcW w:w="3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28,885,002</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55"/>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w:t>
            </w:r>
          </w:p>
        </w:tc>
        <w:tc>
          <w:tcPr>
            <w:tcW w:w="35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2,475,000</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61"/>
        </w:trPr>
        <w:tc>
          <w:tcPr>
            <w:tcW w:w="422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Forfeited/Expired</w:t>
            </w:r>
          </w:p>
        </w:tc>
        <w:tc>
          <w:tcPr>
            <w:tcW w:w="35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(1,790,202)</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61"/>
        </w:trPr>
        <w:tc>
          <w:tcPr>
            <w:tcW w:w="422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2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 at March 31, 2023</w:t>
            </w:r>
          </w:p>
        </w:tc>
        <w:tc>
          <w:tcPr>
            <w:tcW w:w="3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29,569,800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51"/>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w:t>
            </w:r>
          </w:p>
        </w:tc>
        <w:tc>
          <w:tcPr>
            <w:tcW w:w="35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38,445,000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210"/>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Forfeited/Expired</w:t>
            </w:r>
          </w:p>
        </w:tc>
        <w:tc>
          <w:tcPr>
            <w:tcW w:w="35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(1,813,800)</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09"/>
        </w:trPr>
        <w:tc>
          <w:tcPr>
            <w:tcW w:w="422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vMerge w:val="continue"/>
          </w:tcPr>
          <w:p>
            <w:pPr>
              <w:spacing w:after="0"/>
              <w:rPr>
                <w:sz w:val="9"/>
                <w:szCs w:val="9"/>
                <w:color w:val="auto"/>
              </w:rPr>
            </w:pPr>
          </w:p>
        </w:tc>
        <w:tc>
          <w:tcPr>
            <w:tcW w:w="16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Outstanding as at March 31, 2024</w:t>
            </w:r>
          </w:p>
        </w:tc>
        <w:tc>
          <w:tcPr>
            <w:tcW w:w="35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66,201,000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0.93</w:t>
            </w:r>
          </w:p>
        </w:tc>
        <w:tc>
          <w:tcPr>
            <w:tcW w:w="0" w:type="dxa"/>
            <w:vAlign w:val="bottom"/>
          </w:tcPr>
          <w:p>
            <w:pPr>
              <w:spacing w:after="0"/>
              <w:rPr>
                <w:sz w:val="1"/>
                <w:szCs w:val="1"/>
                <w:color w:val="auto"/>
              </w:rPr>
            </w:pPr>
          </w:p>
        </w:tc>
      </w:tr>
      <w:tr>
        <w:trPr>
          <w:trHeight w:val="49"/>
        </w:trPr>
        <w:tc>
          <w:tcPr>
            <w:tcW w:w="42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Exercisable as at March 31, 2024</w:t>
            </w:r>
          </w:p>
        </w:tc>
        <w:tc>
          <w:tcPr>
            <w:tcW w:w="35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56,449,750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0.98</w:t>
            </w:r>
          </w:p>
        </w:tc>
        <w:tc>
          <w:tcPr>
            <w:tcW w:w="0" w:type="dxa"/>
            <w:vAlign w:val="bottom"/>
          </w:tcPr>
          <w:p>
            <w:pPr>
              <w:spacing w:after="0"/>
              <w:rPr>
                <w:sz w:val="1"/>
                <w:szCs w:val="1"/>
                <w:color w:val="auto"/>
              </w:rPr>
            </w:pPr>
          </w:p>
        </w:tc>
      </w:tr>
      <w:tr>
        <w:trPr>
          <w:trHeight w:val="49"/>
        </w:trPr>
        <w:tc>
          <w:tcPr>
            <w:tcW w:w="42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During the year ended March 31, 2024, the Company completed the following option issuances:</w:t>
      </w:r>
    </w:p>
    <w:p>
      <w:pPr>
        <w:spacing w:after="0" w:line="269" w:lineRule="exact"/>
        <w:rPr>
          <w:sz w:val="20"/>
          <w:szCs w:val="20"/>
          <w:color w:val="auto"/>
        </w:rPr>
      </w:pPr>
    </w:p>
    <w:p>
      <w:pPr>
        <w:jc w:val="both"/>
        <w:ind w:left="220"/>
        <w:spacing w:after="0" w:line="301" w:lineRule="auto"/>
        <w:rPr>
          <w:sz w:val="20"/>
          <w:szCs w:val="20"/>
          <w:color w:val="auto"/>
        </w:rPr>
      </w:pPr>
      <w:r>
        <w:rPr>
          <w:rFonts w:ascii="Times New Roman" w:cs="Times New Roman" w:eastAsia="Times New Roman" w:hAnsi="Times New Roman"/>
          <w:sz w:val="16"/>
          <w:szCs w:val="16"/>
          <w:color w:val="auto"/>
        </w:rPr>
        <w:t>On June 29, 2023, the Company granted options to purchase up to 11,615,000 Common Shares, of which 3,991,000 were granted to employees, 3,763,000 were granted to officers of the Company, 3,076,000 were granted to consultants, and 785,000 were granted to directors of the Company. The granted options have an exercise price of $0.44 per Common Share and expire on June 30, 2028. The granted options have different vesting schedules; 1,500,000 options vested immediately, 700,000 options vest over three months, 100,000 options vest over one year, and 9,315,000 options vest over two years. The aggregate estimated grant date fair value was determined to be $4,080, calculated using the Black-Scholes option pricing model with the following assumptions:</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26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5.00</w:t>
            </w:r>
          </w:p>
        </w:tc>
      </w:tr>
      <w:tr>
        <w:trPr>
          <w:trHeight w:val="243"/>
        </w:trPr>
        <w:tc>
          <w:tcPr>
            <w:tcW w:w="6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2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0.47</w:t>
            </w:r>
          </w:p>
        </w:tc>
      </w:tr>
      <w:tr>
        <w:trPr>
          <w:trHeight w:val="243"/>
        </w:trPr>
        <w:tc>
          <w:tcPr>
            <w:tcW w:w="6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2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0.44</w:t>
            </w:r>
          </w:p>
        </w:tc>
      </w:tr>
      <w:tr>
        <w:trPr>
          <w:trHeight w:val="25"/>
        </w:trPr>
        <w:tc>
          <w:tcPr>
            <w:tcW w:w="6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ind w:left="220"/>
        <w:spacing w:after="0" w:line="285" w:lineRule="auto"/>
        <w:rPr>
          <w:sz w:val="20"/>
          <w:szCs w:val="20"/>
          <w:color w:val="auto"/>
        </w:rPr>
      </w:pPr>
      <w:r>
        <w:rPr>
          <w:rFonts w:ascii="Times New Roman" w:cs="Times New Roman" w:eastAsia="Times New Roman" w:hAnsi="Times New Roman"/>
          <w:sz w:val="16"/>
          <w:szCs w:val="16"/>
          <w:color w:val="auto"/>
        </w:rPr>
        <w:t>On September 26, 2023, the Company granted options to purchase up to 1,210,000 Common Shares, of which 135,000 were granted to an employee and, 1,075,000 were granted to consultants. The granted options have an exercise price of $0.79 per Common Share, and 975,000 options expire on September 26, 2026 and the remaining 235,000 options expire on September 26, 2028. The granted options have different vesting schedules. 375,000 options vest over three months, 200,000 options vest over six months, 400,000 options vest over one year, 100,000 options vest over fifteen months, and 135,000 options vest over 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Page 41 of 57</w:t>
      </w:r>
    </w:p>
    <w:p>
      <w:pPr>
        <w:sectPr>
          <w:pgSz w:w="11900" w:h="16838" w:orient="portrait"/>
          <w:cols w:equalWidth="0" w:num="1">
            <w:col w:w="11180"/>
          </w:cols>
          <w:pgMar w:left="380" w:top="212" w:right="339" w:bottom="1440" w:gutter="0" w:footer="0" w:header="0"/>
        </w:sectPr>
      </w:pPr>
    </w:p>
    <w:bookmarkStart w:id="247" w:name="page248"/>
    <w:bookmarkEnd w:id="247"/>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aggregate estimated grant date fair value was determined to be $577, calculated using the Black-Scholes option pricing model with the following assumptions: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Options expiring on September 26, 2026.</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2"/>
        </w:trPr>
        <w:tc>
          <w:tcPr>
            <w:tcW w:w="280" w:type="dxa"/>
            <w:vAlign w:val="bottom"/>
          </w:tcPr>
          <w:p>
            <w:pPr>
              <w:spacing w:after="0"/>
              <w:rPr>
                <w:sz w:val="24"/>
                <w:szCs w:val="24"/>
                <w:color w:val="auto"/>
              </w:rPr>
            </w:pPr>
          </w:p>
        </w:tc>
        <w:tc>
          <w:tcPr>
            <w:tcW w:w="6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6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2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3.00</w:t>
            </w:r>
          </w:p>
        </w:tc>
        <w:tc>
          <w:tcPr>
            <w:tcW w:w="12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0.79</w:t>
            </w:r>
          </w:p>
        </w:tc>
        <w:tc>
          <w:tcPr>
            <w:tcW w:w="12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0.79</w:t>
            </w:r>
          </w:p>
        </w:tc>
        <w:tc>
          <w:tcPr>
            <w:tcW w:w="120" w:type="dxa"/>
            <w:vAlign w:val="bottom"/>
          </w:tcPr>
          <w:p>
            <w:pPr>
              <w:spacing w:after="0"/>
              <w:rPr>
                <w:sz w:val="21"/>
                <w:szCs w:val="21"/>
                <w:color w:val="auto"/>
              </w:rPr>
            </w:pPr>
          </w:p>
        </w:tc>
      </w:tr>
      <w:tr>
        <w:trPr>
          <w:trHeight w:val="25"/>
        </w:trPr>
        <w:tc>
          <w:tcPr>
            <w:tcW w:w="28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659"/>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Options expiring on September 26, 2028.</w:t>
            </w: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7"/>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2"/>
              </w:rPr>
              <w:t>5.00</w:t>
            </w:r>
          </w:p>
        </w:tc>
      </w:tr>
      <w:tr>
        <w:trPr>
          <w:trHeight w:val="243"/>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2"/>
              </w:rPr>
              <w:t>0.79</w:t>
            </w:r>
          </w:p>
        </w:tc>
      </w:tr>
      <w:tr>
        <w:trPr>
          <w:trHeight w:val="243"/>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2"/>
              </w:rPr>
              <w:t>0.79</w:t>
            </w:r>
          </w:p>
        </w:tc>
      </w:tr>
      <w:tr>
        <w:trPr>
          <w:trHeight w:val="25"/>
        </w:trPr>
        <w:tc>
          <w:tcPr>
            <w:tcW w:w="28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On November 16, 2023, the Company granted options to purchase up to 25,600,000 Common Shares, of which 22,200,000 were granted to officers, 1,600,000 were granted to directors, 1,300,000 were granted to employees and 500,000 were granted to a consultant. The granted options have an exercise price of $0.715 per Common Share, 500,000 options expire on November 16, 2026 and the remaining 25,100,000 options expire on November 16, 2028. The granted options have different vesting schedules. 18,850,000 options vest immediately and 6,750,000 options vest over two years.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estimated grant date fair value was determined to be $10,907,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42 of 57</w:t>
      </w:r>
    </w:p>
    <w:p>
      <w:pPr>
        <w:sectPr>
          <w:pgSz w:w="11900" w:h="16838" w:orient="portrait"/>
          <w:cols w:equalWidth="0" w:num="1">
            <w:col w:w="11260"/>
          </w:cols>
          <w:pgMar w:left="320" w:top="212" w:right="319" w:bottom="1440" w:gutter="0" w:footer="0" w:header="0"/>
        </w:sectPr>
      </w:pPr>
    </w:p>
    <w:bookmarkStart w:id="248" w:name="page249"/>
    <w:bookmarkEnd w:id="248"/>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Options expiring on November 16, 2026.</w:t>
            </w:r>
          </w:p>
        </w:tc>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85"/>
        </w:trPr>
        <w:tc>
          <w:tcPr>
            <w:tcW w:w="6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2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3.00</w:t>
            </w:r>
          </w:p>
        </w:tc>
      </w:tr>
      <w:tr>
        <w:trPr>
          <w:trHeight w:val="243"/>
        </w:trPr>
        <w:tc>
          <w:tcPr>
            <w:tcW w:w="6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0.60</w:t>
            </w:r>
          </w:p>
        </w:tc>
      </w:tr>
      <w:tr>
        <w:trPr>
          <w:trHeight w:val="243"/>
        </w:trPr>
        <w:tc>
          <w:tcPr>
            <w:tcW w:w="6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0.72</w:t>
            </w:r>
          </w:p>
        </w:tc>
      </w:tr>
      <w:tr>
        <w:trPr>
          <w:trHeight w:val="25"/>
        </w:trPr>
        <w:tc>
          <w:tcPr>
            <w:tcW w:w="68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Options expiring on November 16, 2028.</w:t>
            </w: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85"/>
        </w:trPr>
        <w:tc>
          <w:tcPr>
            <w:tcW w:w="28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280" w:type="dxa"/>
            <w:vAlign w:val="bottom"/>
          </w:tcPr>
          <w:p>
            <w:pPr>
              <w:spacing w:after="0"/>
              <w:rPr>
                <w:sz w:val="21"/>
                <w:szCs w:val="21"/>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280" w:type="dxa"/>
            <w:vAlign w:val="bottom"/>
          </w:tcPr>
          <w:p>
            <w:pPr>
              <w:spacing w:after="0"/>
              <w:rPr>
                <w:sz w:val="21"/>
                <w:szCs w:val="21"/>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5.00</w:t>
            </w:r>
          </w:p>
        </w:tc>
      </w:tr>
      <w:tr>
        <w:trPr>
          <w:trHeight w:val="243"/>
        </w:trPr>
        <w:tc>
          <w:tcPr>
            <w:tcW w:w="280" w:type="dxa"/>
            <w:vAlign w:val="bottom"/>
          </w:tcPr>
          <w:p>
            <w:pPr>
              <w:spacing w:after="0"/>
              <w:rPr>
                <w:sz w:val="21"/>
                <w:szCs w:val="21"/>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280" w:type="dxa"/>
            <w:vAlign w:val="bottom"/>
          </w:tcPr>
          <w:p>
            <w:pPr>
              <w:spacing w:after="0"/>
              <w:rPr>
                <w:sz w:val="21"/>
                <w:szCs w:val="21"/>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0.60</w:t>
            </w:r>
          </w:p>
        </w:tc>
      </w:tr>
      <w:tr>
        <w:trPr>
          <w:trHeight w:val="243"/>
        </w:trPr>
        <w:tc>
          <w:tcPr>
            <w:tcW w:w="280" w:type="dxa"/>
            <w:vAlign w:val="bottom"/>
          </w:tcPr>
          <w:p>
            <w:pPr>
              <w:spacing w:after="0"/>
              <w:rPr>
                <w:sz w:val="21"/>
                <w:szCs w:val="21"/>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0.72</w:t>
            </w:r>
          </w:p>
        </w:tc>
      </w:tr>
      <w:tr>
        <w:trPr>
          <w:trHeight w:val="25"/>
        </w:trPr>
        <w:tc>
          <w:tcPr>
            <w:tcW w:w="280" w:type="dxa"/>
            <w:vAlign w:val="bottom"/>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6"/>
          <w:szCs w:val="16"/>
          <w:color w:val="auto"/>
        </w:rPr>
        <w:t>On March 20, 2024, the Company granted options to purchase up to 20,000 Common Shares to an employee with an exercise price of $0.56 per Common Share which expire on March 20, 2029 and vest over two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estimated grant date fair value was determined to be $8, calculated using the Black-Scholes option pricing model with the following assumptions:</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5.00</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0.56</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0.56</w:t>
            </w:r>
          </w:p>
        </w:tc>
      </w:tr>
      <w:tr>
        <w:trPr>
          <w:trHeight w:val="25"/>
        </w:trPr>
        <w:tc>
          <w:tcPr>
            <w:tcW w:w="6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43 of 57</w:t>
      </w:r>
    </w:p>
    <w:p>
      <w:pPr>
        <w:sectPr>
          <w:pgSz w:w="11900" w:h="16838" w:orient="portrait"/>
          <w:cols w:equalWidth="0" w:num="1">
            <w:col w:w="11240"/>
          </w:cols>
          <w:pgMar w:left="320" w:top="212" w:right="339" w:bottom="1440" w:gutter="0" w:footer="0" w:header="0"/>
        </w:sectPr>
      </w:pPr>
    </w:p>
    <w:bookmarkStart w:id="249" w:name="page250"/>
    <w:bookmarkEnd w:id="249"/>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March 31, 2024, the Company amended the expiry dates of certain options with former employees and consultants of the Company.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During the year ended March 31, 2023, the Company completed the following option issuances:</w:t>
      </w:r>
    </w:p>
    <w:p>
      <w:pPr>
        <w:spacing w:after="0" w:line="25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6"/>
          <w:szCs w:val="16"/>
          <w:color w:val="auto"/>
        </w:rPr>
        <w:t>On June 30, 2022, the Company granted options to purchase up to: 65,000 Common Shares to employees, with an exercise price of $1.00 per Common Share and vesting over two years. The options expire on June 30, 2027. The aggregate estimated grant date fair value was determined to be $32, calculated using the Black-Scholes option pricing model with the following assumptions:</w:t>
      </w:r>
    </w:p>
    <w:p>
      <w:pPr>
        <w:spacing w:after="0" w:line="199"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8"/>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0.72</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r>
      <w:tr>
        <w:trPr>
          <w:trHeight w:val="25"/>
        </w:trPr>
        <w:tc>
          <w:tcPr>
            <w:tcW w:w="6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jc w:val="both"/>
        <w:ind w:left="280"/>
        <w:spacing w:after="0" w:line="309" w:lineRule="auto"/>
        <w:rPr>
          <w:sz w:val="20"/>
          <w:szCs w:val="20"/>
          <w:color w:val="auto"/>
        </w:rPr>
      </w:pPr>
      <w:r>
        <w:rPr>
          <w:rFonts w:ascii="Times New Roman" w:cs="Times New Roman" w:eastAsia="Times New Roman" w:hAnsi="Times New Roman"/>
          <w:sz w:val="16"/>
          <w:szCs w:val="16"/>
          <w:color w:val="auto"/>
        </w:rPr>
        <w:t>On June 30, 2022, the Company granted options to purchase up to 500,000 Common Shares to consultants, with an exercise price of $0.90 per Common Share. The options vested immediately and expire on June 30, 2025. The estimated grant date fair value was determined to be $183, calculated using the Black-Scholes option pricing model with the following assumptions:</w:t>
      </w:r>
    </w:p>
    <w:p>
      <w:pPr>
        <w:spacing w:after="0" w:line="163"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0.72</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0.90</w:t>
            </w:r>
          </w:p>
        </w:tc>
      </w:tr>
      <w:tr>
        <w:trPr>
          <w:trHeight w:val="25"/>
        </w:trPr>
        <w:tc>
          <w:tcPr>
            <w:tcW w:w="6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26" w:lineRule="exact"/>
        <w:rPr>
          <w:sz w:val="20"/>
          <w:szCs w:val="20"/>
          <w:color w:val="auto"/>
        </w:rPr>
      </w:pPr>
    </w:p>
    <w:p>
      <w:pPr>
        <w:jc w:val="both"/>
        <w:ind w:left="280"/>
        <w:spacing w:after="0" w:line="317" w:lineRule="auto"/>
        <w:rPr>
          <w:sz w:val="20"/>
          <w:szCs w:val="20"/>
          <w:color w:val="auto"/>
        </w:rPr>
      </w:pPr>
      <w:r>
        <w:rPr>
          <w:rFonts w:ascii="Times New Roman" w:cs="Times New Roman" w:eastAsia="Times New Roman" w:hAnsi="Times New Roman"/>
          <w:sz w:val="16"/>
          <w:szCs w:val="16"/>
          <w:color w:val="auto"/>
        </w:rPr>
        <w:t>On August 15, 2022, the Company granted options to purchase up to 800,000 Common Shares to consultants, with an exercise price of $1.00 per Common Share and vesting over two years. The options expire on August 15, 2025. The estimated grant date fair value was determined to be $429,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44 of 57</w:t>
      </w:r>
    </w:p>
    <w:p>
      <w:pPr>
        <w:sectPr>
          <w:pgSz w:w="11900" w:h="16838" w:orient="portrait"/>
          <w:cols w:equalWidth="0" w:num="1">
            <w:col w:w="11240"/>
          </w:cols>
          <w:pgMar w:left="320" w:top="211"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0.97</w:t>
            </w:r>
          </w:p>
        </w:tc>
      </w:tr>
      <w:tr>
        <w:trPr>
          <w:trHeight w:val="24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1.00</w:t>
            </w:r>
          </w:p>
        </w:tc>
      </w:tr>
      <w:tr>
        <w:trPr>
          <w:trHeight w:val="25"/>
        </w:trPr>
        <w:tc>
          <w:tcPr>
            <w:tcW w:w="68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left="220"/>
        <w:spacing w:after="0" w:line="309" w:lineRule="auto"/>
        <w:rPr>
          <w:sz w:val="20"/>
          <w:szCs w:val="20"/>
          <w:color w:val="auto"/>
        </w:rPr>
      </w:pPr>
      <w:r>
        <w:rPr>
          <w:rFonts w:ascii="Times New Roman" w:cs="Times New Roman" w:eastAsia="Times New Roman" w:hAnsi="Times New Roman"/>
          <w:sz w:val="16"/>
          <w:szCs w:val="16"/>
          <w:color w:val="auto"/>
        </w:rPr>
        <w:t>On August 15, 2022, the Company granted options to purchase up to 20,000 Common Shares to an employee, with an exercise price of $1.00 per Common Share and vesting over two years. The options expire on August 15, 2027. The estimated grant date fair value was determined to be $14, calculated using the Black-Scholes option pricing model with the following assumptions:</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0.97</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r>
      <w:tr>
        <w:trPr>
          <w:trHeight w:val="25"/>
        </w:trPr>
        <w:tc>
          <w:tcPr>
            <w:tcW w:w="6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left="220" w:right="20"/>
        <w:spacing w:after="0" w:line="309" w:lineRule="auto"/>
        <w:rPr>
          <w:sz w:val="20"/>
          <w:szCs w:val="20"/>
          <w:color w:val="auto"/>
        </w:rPr>
      </w:pPr>
      <w:r>
        <w:rPr>
          <w:rFonts w:ascii="Times New Roman" w:cs="Times New Roman" w:eastAsia="Times New Roman" w:hAnsi="Times New Roman"/>
          <w:sz w:val="16"/>
          <w:szCs w:val="16"/>
          <w:color w:val="auto"/>
        </w:rPr>
        <w:t>On September 30, 2022, the Company granted options to purchase up to 270,000 Common Shares to consultants, with an exercise price of $0.75 per Common Share and vesting over two years. The options expire on September 30, 2025. The estimated grant date fair value was determined to be $102, calculated using the Black-Scholes option pricing model with the following assumptions:</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0.67</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0.75</w:t>
            </w:r>
          </w:p>
        </w:tc>
      </w:tr>
      <w:tr>
        <w:trPr>
          <w:trHeight w:val="25"/>
        </w:trPr>
        <w:tc>
          <w:tcPr>
            <w:tcW w:w="6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left="220" w:right="20"/>
        <w:spacing w:after="0" w:line="309" w:lineRule="auto"/>
        <w:rPr>
          <w:sz w:val="20"/>
          <w:szCs w:val="20"/>
          <w:color w:val="auto"/>
        </w:rPr>
      </w:pPr>
      <w:r>
        <w:rPr>
          <w:rFonts w:ascii="Times New Roman" w:cs="Times New Roman" w:eastAsia="Times New Roman" w:hAnsi="Times New Roman"/>
          <w:sz w:val="16"/>
          <w:szCs w:val="16"/>
          <w:color w:val="auto"/>
        </w:rPr>
        <w:t>On September 30, 2022, the Company granted options to purchase up to 245,000 Common Shares to employees, with an exercise price of $1.00 per Common Share and vesting over two years. The options expire on September 30, 2027. The estimated grant date fair value was determined to be $98,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45 of 57</w:t>
      </w:r>
    </w:p>
    <w:p>
      <w:pPr>
        <w:sectPr>
          <w:pgSz w:w="11900" w:h="16838" w:orient="portrait"/>
          <w:cols w:equalWidth="0" w:num="1">
            <w:col w:w="11200"/>
          </w:cols>
          <w:pgMar w:left="380" w:top="212" w:right="3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0.67</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r>
      <w:tr>
        <w:trPr>
          <w:trHeight w:val="25"/>
        </w:trPr>
        <w:tc>
          <w:tcPr>
            <w:tcW w:w="6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left="220"/>
        <w:spacing w:after="0" w:line="309" w:lineRule="auto"/>
        <w:rPr>
          <w:sz w:val="20"/>
          <w:szCs w:val="20"/>
          <w:color w:val="auto"/>
        </w:rPr>
      </w:pPr>
      <w:r>
        <w:rPr>
          <w:rFonts w:ascii="Times New Roman" w:cs="Times New Roman" w:eastAsia="Times New Roman" w:hAnsi="Times New Roman"/>
          <w:sz w:val="16"/>
          <w:szCs w:val="16"/>
          <w:color w:val="auto"/>
        </w:rPr>
        <w:t>On November 16, 2022, the Company granted options to purchase up to 200,000 Common Shares to a consultant with an exercise price of $0.91 per Common Share. The options vested immediately and expire on November 15, 2025. The estimated grant date fair value was determined to be $53, calculated using the Black-Scholes option pricing model with the following assumptions:</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0.58</w:t>
            </w:r>
          </w:p>
        </w:tc>
      </w:tr>
      <w:tr>
        <w:trPr>
          <w:trHeight w:val="243"/>
        </w:trPr>
        <w:tc>
          <w:tcPr>
            <w:tcW w:w="6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0.91</w:t>
            </w:r>
          </w:p>
        </w:tc>
      </w:tr>
      <w:tr>
        <w:trPr>
          <w:trHeight w:val="25"/>
        </w:trPr>
        <w:tc>
          <w:tcPr>
            <w:tcW w:w="68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left="220"/>
        <w:spacing w:after="0" w:line="309" w:lineRule="auto"/>
        <w:rPr>
          <w:sz w:val="20"/>
          <w:szCs w:val="20"/>
          <w:color w:val="auto"/>
        </w:rPr>
      </w:pPr>
      <w:r>
        <w:rPr>
          <w:rFonts w:ascii="Times New Roman" w:cs="Times New Roman" w:eastAsia="Times New Roman" w:hAnsi="Times New Roman"/>
          <w:sz w:val="16"/>
          <w:szCs w:val="16"/>
          <w:color w:val="auto"/>
        </w:rPr>
        <w:t>On November 16, 2022, the Company granted options to purchase up to 375,000 Common Shares to consultants with an exercise price of $0.75 per Common Share. The options vested immediately and expire on November 15, 2025. The estimated grant date fair value was determined to be $110, calculated using the Black-Scholes option pricing model with the following assumptions:</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Risk-free interest rate</w:t>
            </w:r>
          </w:p>
        </w:tc>
        <w:tc>
          <w:tcPr>
            <w:tcW w:w="3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annual volatility, based on comparable companies</w:t>
            </w:r>
          </w:p>
        </w:tc>
        <w:tc>
          <w:tcPr>
            <w:tcW w:w="3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life (in years)</w:t>
            </w:r>
          </w:p>
        </w:tc>
        <w:tc>
          <w:tcPr>
            <w:tcW w:w="31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Expected dividend yield</w:t>
            </w:r>
          </w:p>
        </w:tc>
        <w:tc>
          <w:tcPr>
            <w:tcW w:w="3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 price</w:t>
            </w:r>
          </w:p>
        </w:tc>
        <w:tc>
          <w:tcPr>
            <w:tcW w:w="3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0.58</w:t>
            </w:r>
          </w:p>
        </w:tc>
      </w:tr>
      <w:tr>
        <w:trPr>
          <w:trHeight w:val="243"/>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price</w:t>
            </w:r>
          </w:p>
        </w:tc>
        <w:tc>
          <w:tcPr>
            <w:tcW w:w="3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0.75</w:t>
            </w:r>
          </w:p>
        </w:tc>
      </w:tr>
      <w:tr>
        <w:trPr>
          <w:trHeight w:val="25"/>
        </w:trPr>
        <w:tc>
          <w:tcPr>
            <w:tcW w:w="6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following summarizes information about stock options outstanding on March 31, 2024:</w:t>
      </w: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1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Recognized estimated</w:t>
            </w:r>
          </w:p>
        </w:tc>
      </w:tr>
      <w:tr>
        <w:trPr>
          <w:trHeight w:val="212"/>
        </w:trPr>
        <w:tc>
          <w:tcPr>
            <w:tcW w:w="166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remaining life</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49"/>
        </w:trPr>
        <w:tc>
          <w:tcPr>
            <w:tcW w:w="1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34"/>
        </w:trPr>
        <w:tc>
          <w:tcPr>
            <w:tcW w:w="166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$000’s</w:t>
            </w:r>
          </w:p>
        </w:tc>
      </w:tr>
      <w:tr>
        <w:trPr>
          <w:trHeight w:val="49"/>
        </w:trPr>
        <w:tc>
          <w:tcPr>
            <w:tcW w:w="16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02"/>
        </w:trPr>
        <w:tc>
          <w:tcPr>
            <w:tcW w:w="16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June 15, 2025</w:t>
            </w:r>
          </w:p>
        </w:tc>
        <w:tc>
          <w:tcPr>
            <w:tcW w:w="1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0.25</w:t>
            </w:r>
          </w:p>
        </w:tc>
        <w:tc>
          <w:tcPr>
            <w:tcW w:w="1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2,350,000</w:t>
            </w: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2,350,000</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Page 46 of 57</w:t>
      </w:r>
    </w:p>
    <w:p>
      <w:pPr>
        <w:sectPr>
          <w:pgSz w:w="11900" w:h="16838" w:orient="portrait"/>
          <w:cols w:equalWidth="0" w:num="1">
            <w:col w:w="11180"/>
          </w:cols>
          <w:pgMar w:left="380" w:top="212"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0.90</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500,000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500,000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August 14,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1.00</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737,500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737,500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1.37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270,000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260,625</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October 12,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3,000,000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3,000,000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1.53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November 4,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5,700,000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5,700,000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1.60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November 13,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0.88</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500,000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500,000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1.62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November 15,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375,000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375,000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1.63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November 15,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0.91</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1.63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December 11,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1.48</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700,000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700,000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1.70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December 14,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1.74</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1,589,100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1,589,100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1.71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December 28, 2025</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1.89</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760,000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760,000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1.74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January 2,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1.89</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225,000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225,000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1.76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February 15,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2.03</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150,000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150,000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1.88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February 16,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2.03</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150,000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150,000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1.88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10,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1.39</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1,186,300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1,186,300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1.94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15,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1.55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300,000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1.95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28,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1.36</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1,575,000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1,575,000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1.99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29,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1.32</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37,500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37,500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1.99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1.35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250,000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250,000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June 28,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2.90</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3,160,000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3,160,000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August 16,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2.48</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215,000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215,000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2.38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August 18,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2.48</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300,000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2.38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September 26,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0.79</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975,000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975,000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2.49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September 27,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2.87</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195,000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195,000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2.49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September 27,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3.15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545,000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545,000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2.49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November 16,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0.72</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500,000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125,000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2.63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1.50</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1,250,000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1,250,000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2.75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3.15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2.75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4, 2027</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1.13</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1,075,600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1,075,600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2.92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4, 2027</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3.15</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40,000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2.92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March 8, 2027</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1.02</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400,000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2.93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June 30, 2027</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1.00</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65,000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65,000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August 14, 2027</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1.00</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20,000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3.37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2027</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1.00</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220,000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190,625</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June 30, 2028</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0.44</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11,310,000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6,805,000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4.25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September 26, 2028</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0.79</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235,000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105,000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4.49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November 16, 2028</w:t>
            </w: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0.72</w:t>
            </w: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25,100,000</w:t>
            </w:r>
          </w:p>
        </w:tc>
        <w:tc>
          <w:tcPr>
            <w:tcW w:w="20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20,412,500</w:t>
            </w:r>
          </w:p>
        </w:tc>
        <w:tc>
          <w:tcPr>
            <w:tcW w:w="17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4.63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47 of 57</w:t>
      </w:r>
    </w:p>
    <w:p>
      <w:pPr>
        <w:sectPr>
          <w:pgSz w:w="11900" w:h="16838" w:orient="portrait"/>
          <w:cols w:equalWidth="0" w:num="1">
            <w:col w:w="11120"/>
          </w:cols>
          <w:pgMar w:left="380" w:top="212" w:right="3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 2029</w:t>
            </w:r>
          </w:p>
        </w:tc>
        <w:tc>
          <w:tcPr>
            <w:tcW w:w="17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0.56</w:t>
            </w:r>
          </w:p>
        </w:tc>
        <w:tc>
          <w:tcPr>
            <w:tcW w:w="17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20,000</w:t>
            </w:r>
          </w:p>
        </w:tc>
        <w:tc>
          <w:tcPr>
            <w:tcW w:w="2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5,000</w:t>
            </w:r>
          </w:p>
        </w:tc>
        <w:tc>
          <w:tcPr>
            <w:tcW w:w="17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4.97</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r>
      <w:tr>
        <w:trPr>
          <w:trHeight w:val="283"/>
        </w:trPr>
        <w:tc>
          <w:tcPr>
            <w:tcW w:w="2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66,201,000</w:t>
            </w:r>
          </w:p>
        </w:tc>
        <w:tc>
          <w:tcPr>
            <w:tcW w:w="20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56,449,750</w:t>
            </w:r>
          </w:p>
        </w:tc>
        <w:tc>
          <w:tcPr>
            <w:tcW w:w="17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2.40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39,177</w:t>
            </w:r>
          </w:p>
        </w:tc>
      </w:tr>
    </w:tbl>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As at March 31, 2024, the Company has no options held in escrow (2023 - nil).</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Company recognized share-based payments expense related to the issuance of stock options for the year ended March 31, 2024 of $13,886 (2023 - $4,680).</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outstanding options and warrants disclosed above were anti-dilutive for the year ended March 31, 2024 and did not impact the calculation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48 of 57</w:t>
      </w:r>
    </w:p>
    <w:p>
      <w:pPr>
        <w:sectPr>
          <w:pgSz w:w="11900" w:h="16838" w:orient="portrait"/>
          <w:cols w:equalWidth="0" w:num="1">
            <w:col w:w="11120"/>
          </w:cols>
          <w:pgMar w:left="380" w:top="212" w:right="399" w:bottom="1440" w:gutter="0" w:footer="0" w:header="0"/>
        </w:sectPr>
      </w:pPr>
    </w:p>
    <w:bookmarkStart w:id="254" w:name="page255"/>
    <w:bookmarkEnd w:id="254"/>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March 31, 2024 and 2023</w:t>
      </w:r>
    </w:p>
    <w:p>
      <w:pPr>
        <w:spacing w:after="0" w:line="16" w:lineRule="exact"/>
        <w:rPr>
          <w:sz w:val="20"/>
          <w:szCs w:val="20"/>
          <w:color w:val="auto"/>
        </w:rPr>
      </w:pPr>
    </w:p>
    <w:p>
      <w:pPr>
        <w:ind w:left="20" w:right="760"/>
        <w:spacing w:after="0" w:line="255"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55880</wp:posOffset>
            </wp:positionV>
            <wp:extent cx="714629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10.</w:t>
        <w:tab/>
        <w:t>RELATED PARTY TRANSACTIONS AND BALANCES</w:t>
      </w:r>
    </w:p>
    <w:p>
      <w:pPr>
        <w:spacing w:after="0" w:line="182" w:lineRule="exact"/>
        <w:rPr>
          <w:sz w:val="20"/>
          <w:szCs w:val="20"/>
          <w:color w:val="auto"/>
        </w:rPr>
      </w:pPr>
    </w:p>
    <w:p>
      <w:pPr>
        <w:ind w:left="280"/>
        <w:spacing w:after="0" w:line="334" w:lineRule="auto"/>
        <w:rPr>
          <w:sz w:val="20"/>
          <w:szCs w:val="20"/>
          <w:color w:val="auto"/>
        </w:rPr>
      </w:pPr>
      <w:r>
        <w:rPr>
          <w:rFonts w:ascii="Times New Roman" w:cs="Times New Roman" w:eastAsia="Times New Roman" w:hAnsi="Times New Roman"/>
          <w:sz w:val="16"/>
          <w:szCs w:val="16"/>
          <w:color w:val="auto"/>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spacing w:after="0" w:line="106"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The remuneration of key management personnel for the years ended March 31, 2024 and 2023 are as follows:</w:t>
            </w: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61"/>
        </w:trPr>
        <w:tc>
          <w:tcPr>
            <w:tcW w:w="7620" w:type="dxa"/>
            <w:vAlign w:val="bottom"/>
          </w:tcPr>
          <w:p>
            <w:pPr>
              <w:spacing w:after="0"/>
              <w:rPr>
                <w:sz w:val="24"/>
                <w:szCs w:val="24"/>
                <w:color w:val="auto"/>
              </w:rPr>
            </w:pPr>
          </w:p>
        </w:tc>
        <w:tc>
          <w:tcPr>
            <w:tcW w:w="2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700" w:type="dxa"/>
            <w:vAlign w:val="bottom"/>
          </w:tcPr>
          <w:p>
            <w:pPr>
              <w:spacing w:after="0"/>
              <w:rPr>
                <w:sz w:val="24"/>
                <w:szCs w:val="24"/>
                <w:color w:val="auto"/>
              </w:rPr>
            </w:pPr>
          </w:p>
        </w:tc>
      </w:tr>
      <w:tr>
        <w:trPr>
          <w:trHeight w:val="315"/>
        </w:trPr>
        <w:tc>
          <w:tcPr>
            <w:tcW w:w="7620" w:type="dxa"/>
            <w:vAlign w:val="bottom"/>
          </w:tcPr>
          <w:p>
            <w:pPr>
              <w:spacing w:after="0"/>
              <w:rPr>
                <w:sz w:val="24"/>
                <w:szCs w:val="24"/>
                <w:color w:val="auto"/>
              </w:rPr>
            </w:pPr>
          </w:p>
        </w:tc>
        <w:tc>
          <w:tcPr>
            <w:tcW w:w="222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5"/>
        </w:trPr>
        <w:tc>
          <w:tcPr>
            <w:tcW w:w="7620" w:type="dxa"/>
            <w:vAlign w:val="bottom"/>
          </w:tcPr>
          <w:p>
            <w:pPr>
              <w:spacing w:after="0"/>
              <w:rPr>
                <w:sz w:val="24"/>
                <w:szCs w:val="24"/>
                <w:color w:val="auto"/>
              </w:rPr>
            </w:pPr>
          </w:p>
        </w:tc>
        <w:tc>
          <w:tcPr>
            <w:tcW w:w="222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61"/>
        </w:trPr>
        <w:tc>
          <w:tcPr>
            <w:tcW w:w="76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79"/>
        </w:trPr>
        <w:tc>
          <w:tcPr>
            <w:tcW w:w="7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Payroll, consulting and benefits</w:t>
            </w:r>
            <w:r>
              <w:rPr>
                <w:rFonts w:ascii="Times New Roman" w:cs="Times New Roman" w:eastAsia="Times New Roman" w:hAnsi="Times New Roman"/>
                <w:sz w:val="21"/>
                <w:szCs w:val="21"/>
                <w:color w:val="auto"/>
                <w:vertAlign w:val="superscript"/>
              </w:rPr>
              <w:t>(1)</w:t>
            </w:r>
          </w:p>
        </w:tc>
        <w:tc>
          <w:tcPr>
            <w:tcW w:w="222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6,406</w:t>
            </w: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5,966</w:t>
            </w:r>
          </w:p>
        </w:tc>
      </w:tr>
      <w:tr>
        <w:trPr>
          <w:trHeight w:val="206"/>
        </w:trPr>
        <w:tc>
          <w:tcPr>
            <w:tcW w:w="7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7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w:t>
            </w:r>
          </w:p>
        </w:tc>
        <w:tc>
          <w:tcPr>
            <w:tcW w:w="222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rPr>
              <w:t>8,643</w:t>
            </w: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2,346</w:t>
            </w:r>
          </w:p>
        </w:tc>
      </w:tr>
      <w:tr>
        <w:trPr>
          <w:trHeight w:val="212"/>
        </w:trPr>
        <w:tc>
          <w:tcPr>
            <w:tcW w:w="76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Warrants</w:t>
            </w:r>
          </w:p>
        </w:tc>
        <w:tc>
          <w:tcPr>
            <w:tcW w:w="222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r>
      <w:tr>
        <w:trPr>
          <w:trHeight w:val="199"/>
        </w:trPr>
        <w:tc>
          <w:tcPr>
            <w:tcW w:w="7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15,049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8,315</w:t>
            </w:r>
          </w:p>
        </w:tc>
      </w:tr>
    </w:tbl>
    <w:p>
      <w:pPr>
        <w:spacing w:after="0" w:line="265" w:lineRule="exact"/>
        <w:rPr>
          <w:sz w:val="20"/>
          <w:szCs w:val="20"/>
          <w:color w:val="auto"/>
        </w:rPr>
      </w:pPr>
    </w:p>
    <w:p>
      <w:pPr>
        <w:ind w:left="580" w:hanging="292"/>
        <w:spacing w:after="0" w:line="313" w:lineRule="auto"/>
        <w:tabs>
          <w:tab w:leader="none" w:pos="580" w:val="left"/>
        </w:tabs>
        <w:numPr>
          <w:ilvl w:val="0"/>
          <w:numId w:val="12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For the year ended March 31, 2024, includes $</w:t>
      </w:r>
      <w:r>
        <w:rPr>
          <w:rFonts w:ascii="Times New Roman" w:cs="Times New Roman" w:eastAsia="Times New Roman" w:hAnsi="Times New Roman"/>
          <w:sz w:val="15"/>
          <w:szCs w:val="15"/>
          <w:color w:val="auto"/>
        </w:rPr>
        <w:t>5,145</w:t>
      </w:r>
      <w:r>
        <w:rPr>
          <w:rFonts w:ascii="Times New Roman" w:cs="Times New Roman" w:eastAsia="Times New Roman" w:hAnsi="Times New Roman"/>
          <w:sz w:val="15"/>
          <w:szCs w:val="15"/>
          <w:i w:val="1"/>
          <w:iCs w:val="1"/>
          <w:color w:val="auto"/>
        </w:rPr>
        <w:t xml:space="preserve"> presented in the consolidated statement of loss and comprehensive loss as a part of “General and administrative costs” and $</w:t>
      </w:r>
      <w:r>
        <w:rPr>
          <w:rFonts w:ascii="Times New Roman" w:cs="Times New Roman" w:eastAsia="Times New Roman" w:hAnsi="Times New Roman"/>
          <w:sz w:val="15"/>
          <w:szCs w:val="15"/>
          <w:color w:val="auto"/>
        </w:rPr>
        <w:t>1,261</w:t>
      </w:r>
      <w:r>
        <w:rPr>
          <w:rFonts w:ascii="Times New Roman" w:cs="Times New Roman" w:eastAsia="Times New Roman" w:hAnsi="Times New Roman"/>
          <w:sz w:val="15"/>
          <w:szCs w:val="15"/>
          <w:i w:val="1"/>
          <w:iCs w:val="1"/>
          <w:color w:val="auto"/>
        </w:rPr>
        <w:t xml:space="preserve"> presented in the consolidated statement of loss and comprehensive loss as a part of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6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11.  GENERAL AND ADMINISTRATIVE EXPENSES</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3"/>
        </w:trPr>
        <w:tc>
          <w:tcPr>
            <w:tcW w:w="6220" w:type="dxa"/>
            <w:vAlign w:val="bottom"/>
          </w:tcPr>
          <w:p>
            <w:pPr>
              <w:spacing w:after="0"/>
              <w:rPr>
                <w:sz w:val="24"/>
                <w:szCs w:val="24"/>
                <w:color w:val="auto"/>
              </w:rPr>
            </w:pPr>
          </w:p>
        </w:tc>
        <w:tc>
          <w:tcPr>
            <w:tcW w:w="3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720" w:type="dxa"/>
            <w:vAlign w:val="bottom"/>
          </w:tcPr>
          <w:p>
            <w:pPr>
              <w:spacing w:after="0"/>
              <w:rPr>
                <w:sz w:val="24"/>
                <w:szCs w:val="24"/>
                <w:color w:val="auto"/>
              </w:rPr>
            </w:pPr>
          </w:p>
        </w:tc>
      </w:tr>
      <w:tr>
        <w:trPr>
          <w:trHeight w:val="315"/>
        </w:trPr>
        <w:tc>
          <w:tcPr>
            <w:tcW w:w="6220" w:type="dxa"/>
            <w:vAlign w:val="bottom"/>
          </w:tcPr>
          <w:p>
            <w:pPr>
              <w:spacing w:after="0"/>
              <w:rPr>
                <w:sz w:val="24"/>
                <w:szCs w:val="24"/>
                <w:color w:val="auto"/>
              </w:rPr>
            </w:pPr>
          </w:p>
        </w:tc>
        <w:tc>
          <w:tcPr>
            <w:tcW w:w="392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5"/>
        </w:trPr>
        <w:tc>
          <w:tcPr>
            <w:tcW w:w="6220" w:type="dxa"/>
            <w:vAlign w:val="bottom"/>
          </w:tcPr>
          <w:p>
            <w:pPr>
              <w:spacing w:after="0"/>
              <w:rPr>
                <w:sz w:val="24"/>
                <w:szCs w:val="24"/>
                <w:color w:val="auto"/>
              </w:rPr>
            </w:pPr>
          </w:p>
        </w:tc>
        <w:tc>
          <w:tcPr>
            <w:tcW w:w="392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9"/>
        </w:trPr>
        <w:tc>
          <w:tcPr>
            <w:tcW w:w="622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194"/>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consulting and benefits</w:t>
            </w:r>
          </w:p>
        </w:tc>
        <w:tc>
          <w:tcPr>
            <w:tcW w:w="39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8,248</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6,272</w:t>
            </w:r>
          </w:p>
        </w:tc>
      </w:tr>
      <w:tr>
        <w:trPr>
          <w:trHeight w:val="20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market</w:t>
            </w:r>
          </w:p>
        </w:tc>
        <w:tc>
          <w:tcPr>
            <w:tcW w:w="39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11,519</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6,323</w:t>
            </w:r>
          </w:p>
        </w:tc>
      </w:tr>
      <w:tr>
        <w:trPr>
          <w:trHeight w:val="20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and administration</w:t>
            </w:r>
          </w:p>
        </w:tc>
        <w:tc>
          <w:tcPr>
            <w:tcW w:w="39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2,945</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3,731</w:t>
            </w:r>
          </w:p>
        </w:tc>
      </w:tr>
      <w:tr>
        <w:trPr>
          <w:trHeight w:val="20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and consulting fees</w:t>
            </w:r>
          </w:p>
        </w:tc>
        <w:tc>
          <w:tcPr>
            <w:tcW w:w="39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4,918</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2,142</w:t>
            </w:r>
          </w:p>
        </w:tc>
      </w:tr>
      <w:tr>
        <w:trPr>
          <w:trHeight w:val="20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Investor relations</w:t>
            </w:r>
          </w:p>
        </w:tc>
        <w:tc>
          <w:tcPr>
            <w:tcW w:w="39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1,896</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984</w:t>
            </w:r>
          </w:p>
        </w:tc>
      </w:tr>
      <w:tr>
        <w:trPr>
          <w:trHeight w:val="20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media</w:t>
            </w:r>
          </w:p>
        </w:tc>
        <w:tc>
          <w:tcPr>
            <w:tcW w:w="39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1,895</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881</w:t>
            </w:r>
          </w:p>
        </w:tc>
      </w:tr>
      <w:tr>
        <w:trPr>
          <w:trHeight w:val="20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development</w:t>
            </w:r>
          </w:p>
        </w:tc>
        <w:tc>
          <w:tcPr>
            <w:tcW w:w="39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896</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654</w:t>
            </w:r>
          </w:p>
        </w:tc>
      </w:tr>
      <w:tr>
        <w:trPr>
          <w:trHeight w:val="21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Listing fees</w:t>
            </w:r>
          </w:p>
        </w:tc>
        <w:tc>
          <w:tcPr>
            <w:tcW w:w="39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rPr>
              <w:t>271</w:t>
            </w: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354</w:t>
            </w:r>
          </w:p>
        </w:tc>
      </w:tr>
      <w:tr>
        <w:trPr>
          <w:trHeight w:val="283"/>
        </w:trPr>
        <w:tc>
          <w:tcPr>
            <w:tcW w:w="6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9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32,588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49 of 57</w:t>
      </w:r>
    </w:p>
    <w:p>
      <w:pPr>
        <w:sectPr>
          <w:pgSz w:w="11900" w:h="16838" w:orient="portrait"/>
          <w:cols w:equalWidth="0" w:num="1">
            <w:col w:w="11240"/>
          </w:cols>
          <w:pgMar w:left="320" w:top="210" w:right="339" w:bottom="1440" w:gutter="0" w:footer="0" w:header="0"/>
        </w:sectPr>
      </w:pPr>
    </w:p>
    <w:bookmarkStart w:id="255" w:name="page256"/>
    <w:bookmarkEnd w:id="255"/>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2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12.  RESEARCH EXPENSES</w:t>
            </w:r>
          </w:p>
        </w:tc>
        <w:tc>
          <w:tcPr>
            <w:tcW w:w="4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5"/>
        </w:trPr>
        <w:tc>
          <w:tcPr>
            <w:tcW w:w="2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760" w:type="dxa"/>
            <w:vAlign w:val="bottom"/>
          </w:tcPr>
          <w:p>
            <w:pPr>
              <w:spacing w:after="0"/>
              <w:rPr>
                <w:sz w:val="24"/>
                <w:szCs w:val="24"/>
                <w:color w:val="auto"/>
              </w:rPr>
            </w:pPr>
          </w:p>
        </w:tc>
      </w:tr>
      <w:tr>
        <w:trPr>
          <w:trHeight w:val="315"/>
        </w:trPr>
        <w:tc>
          <w:tcPr>
            <w:tcW w:w="2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2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5"/>
        </w:trPr>
        <w:tc>
          <w:tcPr>
            <w:tcW w:w="2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2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9"/>
        </w:trPr>
        <w:tc>
          <w:tcPr>
            <w:tcW w:w="220" w:type="dxa"/>
            <w:vAlign w:val="bottom"/>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194"/>
        </w:trPr>
        <w:tc>
          <w:tcPr>
            <w:tcW w:w="220" w:type="dxa"/>
            <w:vAlign w:val="bottom"/>
          </w:tcPr>
          <w:p>
            <w:pPr>
              <w:spacing w:after="0"/>
              <w:rPr>
                <w:sz w:val="16"/>
                <w:szCs w:val="16"/>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Advancement of development programs</w:t>
            </w:r>
          </w:p>
        </w:tc>
        <w:tc>
          <w:tcPr>
            <w:tcW w:w="462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rPr>
              <w:t>22,799</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14,360</w:t>
            </w:r>
          </w:p>
        </w:tc>
      </w:tr>
      <w:tr>
        <w:trPr>
          <w:trHeight w:val="206"/>
        </w:trPr>
        <w:tc>
          <w:tcPr>
            <w:tcW w:w="22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benefits</w:t>
            </w:r>
          </w:p>
        </w:tc>
        <w:tc>
          <w:tcPr>
            <w:tcW w:w="462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rPr>
              <w:t>8,319</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8,830</w:t>
            </w:r>
          </w:p>
        </w:tc>
      </w:tr>
      <w:tr>
        <w:trPr>
          <w:trHeight w:val="206"/>
        </w:trPr>
        <w:tc>
          <w:tcPr>
            <w:tcW w:w="22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and consulting fees</w:t>
            </w:r>
          </w:p>
        </w:tc>
        <w:tc>
          <w:tcPr>
            <w:tcW w:w="462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rPr>
              <w:t>210</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1,159</w:t>
            </w:r>
          </w:p>
        </w:tc>
      </w:tr>
      <w:tr>
        <w:trPr>
          <w:trHeight w:val="210"/>
        </w:trPr>
        <w:tc>
          <w:tcPr>
            <w:tcW w:w="220" w:type="dxa"/>
            <w:vAlign w:val="bottom"/>
          </w:tcPr>
          <w:p>
            <w:pPr>
              <w:spacing w:after="0"/>
              <w:rPr>
                <w:sz w:val="18"/>
                <w:szCs w:val="18"/>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Lab and administration</w:t>
            </w:r>
          </w:p>
        </w:tc>
        <w:tc>
          <w:tcPr>
            <w:tcW w:w="462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rPr>
              <w:t>1,034</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1,142</w:t>
            </w:r>
          </w:p>
        </w:tc>
      </w:tr>
      <w:tr>
        <w:trPr>
          <w:trHeight w:val="283"/>
        </w:trPr>
        <w:tc>
          <w:tcPr>
            <w:tcW w:w="220" w:type="dxa"/>
            <w:vAlign w:val="bottom"/>
          </w:tcPr>
          <w:p>
            <w:pPr>
              <w:spacing w:after="0"/>
              <w:rPr>
                <w:sz w:val="24"/>
                <w:szCs w:val="24"/>
                <w:color w:val="auto"/>
              </w:rPr>
            </w:pPr>
          </w:p>
        </w:tc>
        <w:tc>
          <w:tcPr>
            <w:tcW w:w="5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2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32,362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Page 50 of 57</w:t>
      </w:r>
    </w:p>
    <w:p>
      <w:pPr>
        <w:sectPr>
          <w:pgSz w:w="11900" w:h="16838" w:orient="portrait"/>
          <w:cols w:equalWidth="0" w:num="1">
            <w:col w:w="11200"/>
          </w:cols>
          <w:pgMar w:left="320" w:top="212" w:right="379" w:bottom="1440" w:gutter="0" w:footer="0" w:header="0"/>
        </w:sectPr>
      </w:pPr>
    </w:p>
    <w:bookmarkStart w:id="256" w:name="page257"/>
    <w:bookmarkEnd w:id="256"/>
    <w:p>
      <w:pPr>
        <w:ind w:left="60"/>
        <w:spacing w:after="0"/>
        <w:rPr>
          <w:sz w:val="20"/>
          <w:szCs w:val="20"/>
          <w:color w:val="auto"/>
        </w:rPr>
      </w:pPr>
      <w:r>
        <w:rPr>
          <w:rFonts w:ascii="Calibri" w:cs="Calibri" w:eastAsia="Calibri" w:hAnsi="Calibri"/>
          <w:sz w:val="19"/>
          <w:szCs w:val="19"/>
          <w:b w:val="1"/>
          <w:bCs w:val="1"/>
          <w:color w:val="auto"/>
        </w:rPr>
        <w:t>CYBIN INC.</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35"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March 31, 2024 and 2023</w:t>
      </w:r>
    </w:p>
    <w:p>
      <w:pPr>
        <w:spacing w:after="0" w:line="27" w:lineRule="exact"/>
        <w:rPr>
          <w:sz w:val="20"/>
          <w:szCs w:val="20"/>
          <w:color w:val="auto"/>
        </w:rPr>
      </w:pPr>
    </w:p>
    <w:p>
      <w:pPr>
        <w:ind w:left="60" w:right="140"/>
        <w:spacing w:after="0" w:line="26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4629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13.</w:t>
        <w:tab/>
        <w:t>CONTRACTS, COMMITMENTS AND CONTINGENCIES</w:t>
      </w:r>
    </w:p>
    <w:p>
      <w:pPr>
        <w:spacing w:after="0" w:line="206" w:lineRule="exact"/>
        <w:rPr>
          <w:sz w:val="20"/>
          <w:szCs w:val="20"/>
          <w:color w:val="auto"/>
        </w:rPr>
      </w:pPr>
    </w:p>
    <w:p>
      <w:pPr>
        <w:jc w:val="both"/>
        <w:ind w:left="280" w:right="20"/>
        <w:spacing w:after="0" w:line="306" w:lineRule="auto"/>
        <w:rPr>
          <w:sz w:val="20"/>
          <w:szCs w:val="20"/>
          <w:color w:val="auto"/>
        </w:rPr>
      </w:pPr>
      <w:r>
        <w:rPr>
          <w:rFonts w:ascii="Times New Roman" w:cs="Times New Roman" w:eastAsia="Times New Roman" w:hAnsi="Times New Roman"/>
          <w:sz w:val="16"/>
          <w:szCs w:val="16"/>
          <w:color w:val="auto"/>
        </w:rPr>
        <w:t>As at March 31, 2024, the Company had entered into agreements for various studies which may require the Company to spend up to an additional $6,625. The Company expects to pay this amount within the 12 months ending March 31, 2025,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w:t>
      </w:r>
    </w:p>
    <w:p>
      <w:pPr>
        <w:spacing w:after="0" w:line="117" w:lineRule="exact"/>
        <w:rPr>
          <w:sz w:val="20"/>
          <w:szCs w:val="20"/>
          <w:color w:val="auto"/>
        </w:rPr>
      </w:pPr>
    </w:p>
    <w:p>
      <w:pPr>
        <w:jc w:val="both"/>
        <w:ind w:left="280"/>
        <w:spacing w:after="0" w:line="300" w:lineRule="auto"/>
        <w:rPr>
          <w:sz w:val="20"/>
          <w:szCs w:val="20"/>
          <w:color w:val="auto"/>
        </w:rPr>
      </w:pPr>
      <w:r>
        <w:rPr>
          <w:rFonts w:ascii="Times New Roman" w:cs="Times New Roman" w:eastAsia="Times New Roman" w:hAnsi="Times New Roman"/>
          <w:sz w:val="16"/>
          <w:szCs w:val="16"/>
          <w:color w:val="auto"/>
        </w:rPr>
        <w:t>In addition to the above, during the year ended March 31, 2022, the Company entered into an exclusive license agreement with Mindset to acquire access to a number of classes of tryptamine-based molecules to support Company’s early-stage research programs and a fully-paid, perpetual non-exclusive license to a separate class of tryptamine-based molecules. Upon the successful completion of certain milestones contemplated in the exclusive license, the Company may have to pay additional consideration of up to $12,844 (US$9,500). At the sole discretion of Cybin, the milestones may be paid in cash or in Common Shares, or a combination thereof, subject to the approval of the Cboe.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w:t>
      </w:r>
    </w:p>
    <w:p>
      <w:pPr>
        <w:spacing w:after="0" w:line="136" w:lineRule="exact"/>
        <w:rPr>
          <w:sz w:val="20"/>
          <w:szCs w:val="20"/>
          <w:color w:val="auto"/>
        </w:rPr>
      </w:pPr>
    </w:p>
    <w:p>
      <w:pPr>
        <w:jc w:val="both"/>
        <w:ind w:left="280"/>
        <w:spacing w:after="0" w:line="309" w:lineRule="auto"/>
        <w:rPr>
          <w:sz w:val="20"/>
          <w:szCs w:val="20"/>
          <w:color w:val="auto"/>
        </w:rPr>
      </w:pPr>
      <w:r>
        <w:rPr>
          <w:rFonts w:ascii="Times New Roman" w:cs="Times New Roman" w:eastAsia="Times New Roman" w:hAnsi="Times New Roman"/>
          <w:sz w:val="16"/>
          <w:szCs w:val="16"/>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14" w:lineRule="exact"/>
        <w:rPr>
          <w:sz w:val="20"/>
          <w:szCs w:val="20"/>
          <w:color w:val="auto"/>
        </w:rPr>
      </w:pPr>
    </w:p>
    <w:p>
      <w:pPr>
        <w:jc w:val="both"/>
        <w:ind w:left="280" w:right="20"/>
        <w:spacing w:after="0" w:line="334" w:lineRule="auto"/>
        <w:rPr>
          <w:sz w:val="20"/>
          <w:szCs w:val="20"/>
          <w:color w:val="auto"/>
        </w:rPr>
      </w:pPr>
      <w:r>
        <w:rPr>
          <w:rFonts w:ascii="Times New Roman" w:cs="Times New Roman" w:eastAsia="Times New Roman" w:hAnsi="Times New Roman"/>
          <w:sz w:val="16"/>
          <w:szCs w:val="16"/>
          <w:color w:val="auto"/>
        </w:rPr>
        <w:t>In the normal course of business, the Company may be subject to legal proceedings and claims. As at March 31, 2024, there was no ongoing litigation and therefore no contingent liabilities have been recorded.</w:t>
      </w:r>
    </w:p>
    <w:p>
      <w:pPr>
        <w:spacing w:after="0" w:line="10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14.</w:t>
        <w:tab/>
        <w:t>CAPITAL MANAGEMENT</w:t>
      </w:r>
    </w:p>
    <w:p>
      <w:pPr>
        <w:spacing w:after="0" w:line="206" w:lineRule="exact"/>
        <w:rPr>
          <w:sz w:val="20"/>
          <w:szCs w:val="20"/>
          <w:color w:val="auto"/>
        </w:rPr>
      </w:pPr>
    </w:p>
    <w:p>
      <w:pPr>
        <w:jc w:val="both"/>
        <w:ind w:left="280" w:right="20"/>
        <w:spacing w:after="0" w:line="297" w:lineRule="auto"/>
        <w:rPr>
          <w:sz w:val="20"/>
          <w:szCs w:val="20"/>
          <w:color w:val="auto"/>
        </w:rPr>
      </w:pPr>
      <w:r>
        <w:rPr>
          <w:rFonts w:ascii="Times New Roman" w:cs="Times New Roman" w:eastAsia="Times New Roman" w:hAnsi="Times New Roman"/>
          <w:sz w:val="16"/>
          <w:szCs w:val="16"/>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38" w:lineRule="exact"/>
        <w:rPr>
          <w:sz w:val="20"/>
          <w:szCs w:val="20"/>
          <w:color w:val="auto"/>
        </w:rPr>
      </w:pPr>
    </w:p>
    <w:p>
      <w:pPr>
        <w:jc w:val="both"/>
        <w:ind w:left="280" w:right="20"/>
        <w:spacing w:after="0" w:line="306" w:lineRule="auto"/>
        <w:rPr>
          <w:sz w:val="20"/>
          <w:szCs w:val="20"/>
          <w:color w:val="auto"/>
        </w:rPr>
      </w:pPr>
      <w:r>
        <w:rPr>
          <w:rFonts w:ascii="Times New Roman" w:cs="Times New Roman" w:eastAsia="Times New Roman" w:hAnsi="Times New Roman"/>
          <w:sz w:val="16"/>
          <w:szCs w:val="16"/>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51 of 57</w:t>
      </w:r>
    </w:p>
    <w:p>
      <w:pPr>
        <w:sectPr>
          <w:pgSz w:w="11900" w:h="16838" w:orient="portrait"/>
          <w:cols w:equalWidth="0" w:num="1">
            <w:col w:w="11260"/>
          </w:cols>
          <w:pgMar w:left="320" w:top="234" w:right="319" w:bottom="1440" w:gutter="0" w:footer="0" w:header="0"/>
        </w:sectPr>
      </w:pPr>
    </w:p>
    <w:bookmarkStart w:id="257" w:name="page258"/>
    <w:bookmarkEnd w:id="257"/>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capital management objectives, policies and processes generally remained unchanged during the year ended March 31, 2024.</w:t>
      </w:r>
    </w:p>
    <w:p>
      <w:pPr>
        <w:spacing w:after="0" w:line="204" w:lineRule="exact"/>
        <w:rPr>
          <w:sz w:val="20"/>
          <w:szCs w:val="20"/>
          <w:color w:val="auto"/>
        </w:rPr>
      </w:pPr>
    </w:p>
    <w:p>
      <w:pPr>
        <w:ind w:left="280"/>
        <w:spacing w:after="0" w:line="334" w:lineRule="auto"/>
        <w:rPr>
          <w:sz w:val="20"/>
          <w:szCs w:val="20"/>
          <w:color w:val="auto"/>
        </w:rPr>
      </w:pPr>
      <w:r>
        <w:rPr>
          <w:rFonts w:ascii="Times New Roman" w:cs="Times New Roman" w:eastAsia="Times New Roman" w:hAnsi="Times New Roman"/>
          <w:sz w:val="16"/>
          <w:szCs w:val="16"/>
          <w:color w:val="auto"/>
        </w:rPr>
        <w:t>The Company requires capital to fund existing and future operations and meet regulatory capital requirements. The Company’s policy is to maintain adequate levels of capital at all times.</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capital structure includes the following:</w:t>
      </w:r>
    </w:p>
    <w:p>
      <w:pPr>
        <w:spacing w:after="0" w:line="287" w:lineRule="exact"/>
        <w:rPr>
          <w:sz w:val="20"/>
          <w:szCs w:val="20"/>
          <w:color w:val="auto"/>
        </w:rPr>
      </w:pPr>
    </w:p>
    <w:tbl>
      <w:tblPr>
        <w:tblLayout w:type="fixed"/>
        <w:tblInd w:w="280" w:type="dxa"/>
        <w:tblCellMar>
          <w:top w:w="0" w:type="dxa"/>
          <w:left w:w="0" w:type="dxa"/>
          <w:bottom w:w="0" w:type="dxa"/>
          <w:right w:w="0" w:type="dxa"/>
        </w:tblCellMar>
      </w:tblPr>
      <w:tr>
        <w:trPr>
          <w:trHeight w:val="261"/>
        </w:trPr>
        <w:tc>
          <w:tcPr>
            <w:tcW w:w="51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 at</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67"/>
        </w:trPr>
        <w:tc>
          <w:tcPr>
            <w:tcW w:w="5120" w:type="dxa"/>
            <w:vAlign w:val="bottom"/>
          </w:tcPr>
          <w:p>
            <w:pPr>
              <w:spacing w:after="0"/>
              <w:rPr>
                <w:sz w:val="23"/>
                <w:szCs w:val="23"/>
                <w:color w:val="auto"/>
              </w:rPr>
            </w:pP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9"/>
        </w:trPr>
        <w:tc>
          <w:tcPr>
            <w:tcW w:w="512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02"/>
        </w:trPr>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Shareholders’ equity comprised of:</w:t>
            </w:r>
          </w:p>
        </w:tc>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62"/>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capital</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443,877</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158,162</w:t>
            </w:r>
          </w:p>
        </w:tc>
      </w:tr>
      <w:tr>
        <w:trPr>
          <w:trHeight w:val="315"/>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Contributed surplus</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11,750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r>
      <w:tr>
        <w:trPr>
          <w:trHeight w:val="315"/>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 reserve</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39,177</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27,283</w:t>
            </w:r>
          </w:p>
        </w:tc>
      </w:tr>
      <w:tr>
        <w:trPr>
          <w:trHeight w:val="315"/>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Warrants reserve</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25,639</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10,873</w:t>
            </w:r>
          </w:p>
        </w:tc>
      </w:tr>
      <w:tr>
        <w:trPr>
          <w:trHeight w:val="315"/>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(2,285)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315"/>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Deficit</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(226,231)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(148,151)</w:t>
            </w:r>
          </w:p>
        </w:tc>
      </w:tr>
      <w:tr>
        <w:trPr>
          <w:trHeight w:val="49"/>
        </w:trPr>
        <w:tc>
          <w:tcPr>
            <w:tcW w:w="512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6"/>
        </w:trPr>
        <w:tc>
          <w:tcPr>
            <w:tcW w:w="51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291,927</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48,234</w:t>
            </w:r>
          </w:p>
        </w:tc>
      </w:tr>
      <w:tr>
        <w:trPr>
          <w:trHeight w:val="49"/>
        </w:trPr>
        <w:tc>
          <w:tcPr>
            <w:tcW w:w="512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15.</w:t>
        <w:tab/>
        <w:t>FINANCIAL INSTRUMENTS</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financial instruments are exposed to certain financial risks, which include currency risk, credit risk, liquidity risk and interest rate risk.</w:t>
      </w: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The Company has classified its financial instruments as follows:</w:t>
            </w:r>
          </w:p>
        </w:tc>
        <w:tc>
          <w:tcPr>
            <w:tcW w:w="3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As at</w:t>
            </w:r>
          </w:p>
        </w:tc>
        <w:tc>
          <w:tcPr>
            <w:tcW w:w="31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61"/>
        </w:trPr>
        <w:tc>
          <w:tcPr>
            <w:tcW w:w="5940" w:type="dxa"/>
            <w:vAlign w:val="bottom"/>
            <w:vMerge w:val="continue"/>
          </w:tcPr>
          <w:p>
            <w:pPr>
              <w:spacing w:after="0"/>
              <w:rPr>
                <w:sz w:val="5"/>
                <w:szCs w:val="5"/>
                <w:color w:val="auto"/>
              </w:rPr>
            </w:pPr>
          </w:p>
        </w:tc>
        <w:tc>
          <w:tcPr>
            <w:tcW w:w="316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940" w:type="dxa"/>
            <w:vAlign w:val="bottom"/>
          </w:tcPr>
          <w:p>
            <w:pPr>
              <w:spacing w:after="0"/>
              <w:rPr>
                <w:sz w:val="22"/>
                <w:szCs w:val="22"/>
                <w:color w:val="auto"/>
              </w:rPr>
            </w:pPr>
          </w:p>
        </w:tc>
        <w:tc>
          <w:tcPr>
            <w:tcW w:w="31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1"/>
        </w:trPr>
        <w:tc>
          <w:tcPr>
            <w:tcW w:w="594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assets, measured at fair value:</w:t>
            </w:r>
          </w:p>
        </w:tc>
        <w:tc>
          <w:tcPr>
            <w:tcW w:w="3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w:t>
            </w:r>
          </w:p>
        </w:tc>
        <w:tc>
          <w:tcPr>
            <w:tcW w:w="31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208,992</w:t>
            </w:r>
          </w:p>
        </w:tc>
        <w:tc>
          <w:tcPr>
            <w:tcW w:w="14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16,633</w:t>
            </w:r>
          </w:p>
        </w:tc>
        <w:tc>
          <w:tcPr>
            <w:tcW w:w="0" w:type="dxa"/>
            <w:vAlign w:val="bottom"/>
          </w:tcPr>
          <w:p>
            <w:pPr>
              <w:spacing w:after="0"/>
              <w:rPr>
                <w:sz w:val="1"/>
                <w:szCs w:val="1"/>
                <w:color w:val="auto"/>
              </w:rPr>
            </w:pPr>
          </w:p>
        </w:tc>
      </w:tr>
      <w:tr>
        <w:trPr>
          <w:trHeight w:val="61"/>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assets, measured at amortized cost:</w:t>
            </w:r>
          </w:p>
        </w:tc>
        <w:tc>
          <w:tcPr>
            <w:tcW w:w="3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940" w:type="dxa"/>
            <w:vAlign w:val="bottom"/>
            <w:vMerge w:val="continue"/>
          </w:tcPr>
          <w:p>
            <w:pPr>
              <w:spacing w:after="0"/>
              <w:rPr>
                <w:sz w:val="17"/>
                <w:szCs w:val="17"/>
                <w:color w:val="auto"/>
              </w:rPr>
            </w:pPr>
          </w:p>
        </w:tc>
        <w:tc>
          <w:tcPr>
            <w:tcW w:w="3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5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31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254</w:t>
            </w:r>
          </w:p>
        </w:tc>
        <w:tc>
          <w:tcPr>
            <w:tcW w:w="14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61"/>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liabilities, measured at amortized cost:</w:t>
            </w:r>
          </w:p>
        </w:tc>
        <w:tc>
          <w:tcPr>
            <w:tcW w:w="3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940" w:type="dxa"/>
            <w:vAlign w:val="bottom"/>
            <w:vMerge w:val="continue"/>
          </w:tcPr>
          <w:p>
            <w:pPr>
              <w:spacing w:after="0"/>
              <w:rPr>
                <w:sz w:val="17"/>
                <w:szCs w:val="17"/>
                <w:color w:val="auto"/>
              </w:rPr>
            </w:pPr>
          </w:p>
        </w:tc>
        <w:tc>
          <w:tcPr>
            <w:tcW w:w="3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5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1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9,805</w:t>
            </w:r>
          </w:p>
        </w:tc>
        <w:tc>
          <w:tcPr>
            <w:tcW w:w="14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5,663</w:t>
            </w:r>
          </w:p>
        </w:tc>
        <w:tc>
          <w:tcPr>
            <w:tcW w:w="0" w:type="dxa"/>
            <w:vAlign w:val="bottom"/>
          </w:tcPr>
          <w:p>
            <w:pPr>
              <w:spacing w:after="0"/>
              <w:rPr>
                <w:sz w:val="1"/>
                <w:szCs w:val="1"/>
                <w:color w:val="auto"/>
              </w:rPr>
            </w:pPr>
          </w:p>
        </w:tc>
      </w:tr>
      <w:tr>
        <w:trPr>
          <w:trHeight w:val="61"/>
        </w:trPr>
        <w:tc>
          <w:tcPr>
            <w:tcW w:w="59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3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940" w:type="dxa"/>
            <w:vAlign w:val="bottom"/>
            <w:vMerge w:val="continue"/>
          </w:tcPr>
          <w:p>
            <w:pPr>
              <w:spacing w:after="0"/>
              <w:rPr>
                <w:sz w:val="22"/>
                <w:szCs w:val="22"/>
                <w:color w:val="auto"/>
              </w:rPr>
            </w:pPr>
          </w:p>
        </w:tc>
        <w:tc>
          <w:tcPr>
            <w:tcW w:w="31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291</w:t>
            </w:r>
          </w:p>
        </w:tc>
        <w:tc>
          <w:tcPr>
            <w:tcW w:w="14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1"/>
        </w:trPr>
        <w:tc>
          <w:tcPr>
            <w:tcW w:w="594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carrying value of the Company’s financial instruments approximate their fair value.</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u w:val="single" w:color="auto"/>
          <w:color w:val="auto"/>
        </w:rPr>
        <w:t>Fair value Hierarchy of Financial Instruments</w:t>
      </w:r>
    </w:p>
    <w:p>
      <w:pPr>
        <w:spacing w:after="0" w:line="206" w:lineRule="exact"/>
        <w:rPr>
          <w:sz w:val="20"/>
          <w:szCs w:val="20"/>
          <w:color w:val="auto"/>
        </w:rPr>
      </w:pPr>
    </w:p>
    <w:p>
      <w:pPr>
        <w:ind w:left="280"/>
        <w:spacing w:after="0" w:line="318" w:lineRule="auto"/>
        <w:rPr>
          <w:sz w:val="20"/>
          <w:szCs w:val="20"/>
          <w:color w:val="auto"/>
        </w:rPr>
      </w:pPr>
      <w:r>
        <w:rPr>
          <w:rFonts w:ascii="Times New Roman" w:cs="Times New Roman" w:eastAsia="Times New Roman" w:hAnsi="Times New Roman"/>
          <w:sz w:val="16"/>
          <w:szCs w:val="16"/>
          <w:color w:val="auto"/>
        </w:rPr>
        <w:t>The Company has categorized its financial instruments that are carried at fair value, based on the priority of the inputs to the valuation techniques used to measure fair value, into a three-level fair value hierarchy as follows:</w:t>
      </w:r>
    </w:p>
    <w:p>
      <w:pPr>
        <w:sectPr>
          <w:pgSz w:w="11900" w:h="16838" w:orient="portrait"/>
          <w:cols w:equalWidth="0" w:num="1">
            <w:col w:w="11240"/>
          </w:cols>
          <w:pgMar w:left="320" w:top="2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52 of 57</w:t>
      </w:r>
    </w:p>
    <w:p>
      <w:pPr>
        <w:sectPr>
          <w:pgSz w:w="11900" w:h="16838" w:orient="portrait"/>
          <w:cols w:equalWidth="0" w:num="1">
            <w:col w:w="11240"/>
          </w:cols>
          <w:pgMar w:left="320" w:top="212" w:right="33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20" w:right="20"/>
        <w:spacing w:after="0" w:line="334" w:lineRule="auto"/>
        <w:rPr>
          <w:sz w:val="20"/>
          <w:szCs w:val="20"/>
          <w:color w:val="auto"/>
        </w:rPr>
      </w:pPr>
      <w:r>
        <w:rPr>
          <w:rFonts w:ascii="Times New Roman" w:cs="Times New Roman" w:eastAsia="Times New Roman" w:hAnsi="Times New Roman"/>
          <w:sz w:val="16"/>
          <w:szCs w:val="16"/>
          <w:color w:val="auto"/>
        </w:rPr>
        <w:t>Level 1: Fair value is based on unadjusted quoted prices for identical assets or liabilities in an active market. The types of assets and liabilities classified as Level 1 generally included cash.</w:t>
      </w:r>
    </w:p>
    <w:p>
      <w:pPr>
        <w:spacing w:after="0" w:line="106" w:lineRule="exact"/>
        <w:rPr>
          <w:sz w:val="20"/>
          <w:szCs w:val="20"/>
          <w:color w:val="auto"/>
        </w:rPr>
      </w:pPr>
    </w:p>
    <w:p>
      <w:pPr>
        <w:jc w:val="both"/>
        <w:ind w:left="220"/>
        <w:spacing w:after="0" w:line="309" w:lineRule="auto"/>
        <w:rPr>
          <w:sz w:val="20"/>
          <w:szCs w:val="20"/>
          <w:color w:val="auto"/>
        </w:rPr>
      </w:pPr>
      <w:r>
        <w:rPr>
          <w:rFonts w:ascii="Times New Roman" w:cs="Times New Roman" w:eastAsia="Times New Roman" w:hAnsi="Times New Roman"/>
          <w:sz w:val="16"/>
          <w:szCs w:val="16"/>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14" w:lineRule="exact"/>
        <w:rPr>
          <w:sz w:val="20"/>
          <w:szCs w:val="20"/>
          <w:color w:val="auto"/>
        </w:rPr>
      </w:pPr>
    </w:p>
    <w:p>
      <w:pPr>
        <w:jc w:val="both"/>
        <w:ind w:left="220"/>
        <w:spacing w:after="0" w:line="317" w:lineRule="auto"/>
        <w:rPr>
          <w:sz w:val="20"/>
          <w:szCs w:val="20"/>
          <w:color w:val="auto"/>
        </w:rPr>
      </w:pPr>
      <w:r>
        <w:rPr>
          <w:rFonts w:ascii="Times New Roman" w:cs="Times New Roman" w:eastAsia="Times New Roman" w:hAnsi="Times New Roman"/>
          <w:sz w:val="16"/>
          <w:szCs w:val="16"/>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Investments and any contingent liabilities are classified as Level 3.</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There were no transfers between levels of the fair value hierarchy for the year ended March 31, 2024.</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following table presents the changes in level 3 financial assets for the for two years ended March 31, 2024 :</w:t>
      </w:r>
    </w:p>
    <w:p>
      <w:pPr>
        <w:spacing w:after="0" w:line="226"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8"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2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Balance as at March 31, 2022</w:t>
            </w:r>
          </w:p>
        </w:tc>
        <w:tc>
          <w:tcPr>
            <w:tcW w:w="18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Change in fair value of investments measured at fair value through profit or loss</w:t>
            </w: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61"/>
        </w:trPr>
        <w:tc>
          <w:tcPr>
            <w:tcW w:w="1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at March 31, 2023</w:t>
            </w: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1"/>
        </w:trPr>
        <w:tc>
          <w:tcPr>
            <w:tcW w:w="1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Change in fair value of investments measured at fair value through profit or loss</w:t>
            </w:r>
          </w:p>
        </w:tc>
        <w:tc>
          <w:tcPr>
            <w:tcW w:w="18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Balance as at March 31, 2024</w:t>
            </w:r>
          </w:p>
        </w:tc>
        <w:tc>
          <w:tcPr>
            <w:tcW w:w="1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40"/>
        </w:trPr>
        <w:tc>
          <w:tcPr>
            <w:tcW w:w="105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following table summarizes the quantitative information about the significant unobservable inputs used in level 3 fair value measurements:</w:t>
            </w:r>
          </w:p>
        </w:tc>
        <w:tc>
          <w:tcPr>
            <w:tcW w:w="0" w:type="dxa"/>
            <w:vAlign w:val="bottom"/>
          </w:tcPr>
          <w:p>
            <w:pPr>
              <w:spacing w:after="0"/>
              <w:rPr>
                <w:sz w:val="1"/>
                <w:szCs w:val="1"/>
                <w:color w:val="auto"/>
              </w:rPr>
            </w:pPr>
          </w:p>
        </w:tc>
      </w:tr>
      <w:tr>
        <w:trPr>
          <w:trHeight w:val="437"/>
        </w:trPr>
        <w:tc>
          <w:tcPr>
            <w:tcW w:w="14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 as at</w:t>
            </w:r>
          </w:p>
        </w:tc>
        <w:tc>
          <w:tcPr>
            <w:tcW w:w="124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Range of</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Relationship of unobservable</w:t>
            </w:r>
          </w:p>
        </w:tc>
        <w:tc>
          <w:tcPr>
            <w:tcW w:w="0" w:type="dxa"/>
            <w:vAlign w:val="bottom"/>
          </w:tcPr>
          <w:p>
            <w:pPr>
              <w:spacing w:after="0"/>
              <w:rPr>
                <w:sz w:val="1"/>
                <w:szCs w:val="1"/>
                <w:color w:val="auto"/>
              </w:rPr>
            </w:pPr>
          </w:p>
        </w:tc>
      </w:tr>
      <w:tr>
        <w:trPr>
          <w:trHeight w:val="67"/>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2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4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inputs to fair value</w:t>
            </w:r>
          </w:p>
        </w:tc>
        <w:tc>
          <w:tcPr>
            <w:tcW w:w="0" w:type="dxa"/>
            <w:vAlign w:val="bottom"/>
          </w:tcPr>
          <w:p>
            <w:pPr>
              <w:spacing w:after="0"/>
              <w:rPr>
                <w:sz w:val="1"/>
                <w:szCs w:val="1"/>
                <w:color w:val="auto"/>
              </w:rPr>
            </w:pPr>
          </w:p>
        </w:tc>
      </w:tr>
      <w:tr>
        <w:trPr>
          <w:trHeight w:val="61"/>
        </w:trPr>
        <w:tc>
          <w:tcPr>
            <w:tcW w:w="2240" w:type="dxa"/>
            <w:vAlign w:val="bottom"/>
            <w:tcBorders>
              <w:bottom w:val="single" w:sz="8" w:color="auto"/>
            </w:tcBorders>
            <w:gridSpan w:val="2"/>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Rx Hybrid</w:t>
            </w:r>
          </w:p>
        </w:tc>
        <w:tc>
          <w:tcPr>
            <w:tcW w:w="18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Fair value interest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Increase/decrease in the fair value</w:t>
            </w:r>
          </w:p>
        </w:tc>
        <w:tc>
          <w:tcPr>
            <w:tcW w:w="0" w:type="dxa"/>
            <w:vAlign w:val="bottom"/>
          </w:tcPr>
          <w:p>
            <w:pPr>
              <w:spacing w:after="0"/>
              <w:rPr>
                <w:sz w:val="1"/>
                <w:szCs w:val="1"/>
                <w:color w:val="auto"/>
              </w:rPr>
            </w:pPr>
          </w:p>
        </w:tc>
      </w:tr>
      <w:tr>
        <w:trPr>
          <w:trHeight w:val="19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Instrument</w:t>
            </w: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of loan and conversion</w:t>
            </w:r>
          </w:p>
        </w:tc>
        <w:tc>
          <w:tcPr>
            <w:tcW w:w="880" w:type="dxa"/>
            <w:vAlign w:val="bottom"/>
          </w:tcPr>
          <w:p>
            <w:pPr>
              <w:spacing w:after="0"/>
              <w:rPr>
                <w:sz w:val="16"/>
                <w:szCs w:val="16"/>
                <w:color w:val="auto"/>
              </w:rPr>
            </w:pP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rate by 1% would not have a material</w:t>
            </w:r>
          </w:p>
        </w:tc>
        <w:tc>
          <w:tcPr>
            <w:tcW w:w="0" w:type="dxa"/>
            <w:vAlign w:val="bottom"/>
          </w:tcPr>
          <w:p>
            <w:pPr>
              <w:spacing w:after="0"/>
              <w:rPr>
                <w:sz w:val="1"/>
                <w:szCs w:val="1"/>
                <w:color w:val="auto"/>
              </w:rPr>
            </w:pPr>
          </w:p>
        </w:tc>
      </w:tr>
      <w:tr>
        <w:trPr>
          <w:trHeight w:val="32"/>
        </w:trPr>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2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feature</w:t>
            </w:r>
          </w:p>
        </w:tc>
        <w:tc>
          <w:tcPr>
            <w:tcW w:w="880" w:type="dxa"/>
            <w:vAlign w:val="bottom"/>
          </w:tcPr>
          <w:p>
            <w:pPr>
              <w:spacing w:after="0"/>
              <w:rPr>
                <w:sz w:val="16"/>
                <w:szCs w:val="16"/>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effect on the fair value of the</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investment</w:t>
            </w: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53 of 57</w:t>
      </w:r>
    </w:p>
    <w:p>
      <w:pPr>
        <w:sectPr>
          <w:pgSz w:w="11900" w:h="16838" w:orient="portrait"/>
          <w:cols w:equalWidth="0" w:num="1">
            <w:col w:w="11200"/>
          </w:cols>
          <w:pgMar w:left="380" w:top="212" w:right="3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u w:val="single" w:color="auto"/>
          <w:color w:val="auto"/>
        </w:rPr>
        <w:t>Financial risk management</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206" w:lineRule="exact"/>
        <w:rPr>
          <w:sz w:val="20"/>
          <w:szCs w:val="20"/>
          <w:color w:val="auto"/>
        </w:rPr>
      </w:pPr>
    </w:p>
    <w:p>
      <w:pPr>
        <w:jc w:val="both"/>
        <w:ind w:left="220" w:right="20"/>
        <w:spacing w:after="0" w:line="309" w:lineRule="auto"/>
        <w:rPr>
          <w:sz w:val="20"/>
          <w:szCs w:val="20"/>
          <w:color w:val="auto"/>
        </w:rPr>
      </w:pPr>
      <w:r>
        <w:rPr>
          <w:rFonts w:ascii="Times New Roman" w:cs="Times New Roman" w:eastAsia="Times New Roman" w:hAnsi="Times New Roman"/>
          <w:sz w:val="16"/>
          <w:szCs w:val="16"/>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at March 31, 2024, the Company’s maximum exposure to credit risk is the carrying value of its financial assets.</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Liquidity risk</w:t>
      </w:r>
    </w:p>
    <w:p>
      <w:pPr>
        <w:spacing w:after="0" w:line="206"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Liquidity risk is the risk that an entity will encounter difficulty in raising funds to meet commitments associated with financial instruments. The Company manages liquidity by maintaining adequate cash balances to meet liabilities as they become due.</w:t>
      </w:r>
    </w:p>
    <w:p>
      <w:pPr>
        <w:spacing w:after="0" w:line="119" w:lineRule="exact"/>
        <w:rPr>
          <w:sz w:val="20"/>
          <w:szCs w:val="20"/>
          <w:color w:val="auto"/>
        </w:rPr>
      </w:pPr>
    </w:p>
    <w:p>
      <w:pPr>
        <w:jc w:val="both"/>
        <w:ind w:left="220" w:right="20"/>
        <w:spacing w:after="0" w:line="382" w:lineRule="auto"/>
        <w:rPr>
          <w:sz w:val="20"/>
          <w:szCs w:val="20"/>
          <w:color w:val="auto"/>
        </w:rPr>
      </w:pPr>
      <w:r>
        <w:rPr>
          <w:rFonts w:ascii="Times New Roman" w:cs="Times New Roman" w:eastAsia="Times New Roman" w:hAnsi="Times New Roman"/>
          <w:sz w:val="16"/>
          <w:szCs w:val="16"/>
          <w:color w:val="auto"/>
        </w:rPr>
        <w:t>As at March 31, 2024, the Company had cash of $208,992 (March 31, 2023 - $16,633) in order to meet current liabilities. Accounts payable and accrued liabilities include trade payables and other obligations of $10,096 (March 31, 2023 - $5,663), all amounts are due within the next 12 months.</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significant market risks to which the Company is exposed are interest rate risk and currency risk.</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u w:val="single" w:color="auto"/>
          <w:color w:val="auto"/>
        </w:rPr>
        <w:t>Interest rate risk</w:t>
      </w:r>
    </w:p>
    <w:p>
      <w:pPr>
        <w:spacing w:after="0" w:line="206" w:lineRule="exact"/>
        <w:rPr>
          <w:sz w:val="20"/>
          <w:szCs w:val="20"/>
          <w:color w:val="auto"/>
        </w:rPr>
      </w:pPr>
    </w:p>
    <w:p>
      <w:pPr>
        <w:jc w:val="both"/>
        <w:ind w:left="220"/>
        <w:spacing w:after="0" w:line="309" w:lineRule="auto"/>
        <w:rPr>
          <w:sz w:val="20"/>
          <w:szCs w:val="20"/>
          <w:color w:val="auto"/>
        </w:rPr>
      </w:pPr>
      <w:r>
        <w:rPr>
          <w:rFonts w:ascii="Times New Roman" w:cs="Times New Roman" w:eastAsia="Times New Roman" w:hAnsi="Times New Roman"/>
          <w:sz w:val="16"/>
          <w:szCs w:val="16"/>
          <w:color w:val="auto"/>
        </w:rPr>
        <w:t>Interest rate risk is the risk that the fair value or the future cash flows of a financial instrument will fluctuate because of changes in market interest rate. In seeking to minimize the risks from interest rate fluctuations, the Company manages exposure through its normal operating and financing activities. As at March 31, 2024, the Company has determined its exposure to interest rate risk is minimal.</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u w:val="single" w:color="auto"/>
          <w:color w:val="auto"/>
        </w:rPr>
        <w:t>Currency risk</w:t>
      </w:r>
    </w:p>
    <w:p>
      <w:pPr>
        <w:spacing w:after="0" w:line="206" w:lineRule="exact"/>
        <w:rPr>
          <w:sz w:val="20"/>
          <w:szCs w:val="20"/>
          <w:color w:val="auto"/>
        </w:rPr>
      </w:pPr>
    </w:p>
    <w:p>
      <w:pPr>
        <w:jc w:val="both"/>
        <w:ind w:left="220" w:right="20"/>
        <w:spacing w:after="0" w:line="318" w:lineRule="auto"/>
        <w:rPr>
          <w:sz w:val="20"/>
          <w:szCs w:val="20"/>
          <w:color w:val="auto"/>
        </w:rPr>
      </w:pPr>
      <w:r>
        <w:rPr>
          <w:rFonts w:ascii="Times New Roman" w:cs="Times New Roman" w:eastAsia="Times New Roman" w:hAnsi="Times New Roman"/>
          <w:sz w:val="16"/>
          <w:szCs w:val="16"/>
          <w:color w:val="auto"/>
        </w:rPr>
        <w:t>The Company is exposed to currency risk to the extent that monetary operational expenses are denominated in both CAD and USD while the functional currency of CAD is used for reporting. The Company has not entered into any foreign currency contracts to mitigate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54 of 57</w:t>
      </w:r>
    </w:p>
    <w:p>
      <w:pPr>
        <w:sectPr>
          <w:pgSz w:w="11900" w:h="16838" w:orient="portrait"/>
          <w:cols w:equalWidth="0" w:num="1">
            <w:col w:w="11200"/>
          </w:cols>
          <w:pgMar w:left="380" w:top="212" w:right="319" w:bottom="1440" w:gutter="0" w:footer="0" w:header="0"/>
        </w:sectPr>
      </w:pPr>
    </w:p>
    <w:bookmarkStart w:id="260" w:name="page261"/>
    <w:bookmarkEnd w:id="260"/>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 March 31, 2024, the Company had the following balances in monetary assets and monetary liabilities which are subject to fluctuation against CAD:</w:t>
      </w:r>
    </w:p>
    <w:p>
      <w:pPr>
        <w:spacing w:after="0" w:line="287" w:lineRule="exact"/>
        <w:rPr>
          <w:sz w:val="20"/>
          <w:szCs w:val="20"/>
          <w:color w:val="auto"/>
        </w:rPr>
      </w:pPr>
    </w:p>
    <w:tbl>
      <w:tblPr>
        <w:tblLayout w:type="fixed"/>
        <w:tblInd w:w="280" w:type="dxa"/>
        <w:tblCellMar>
          <w:top w:w="0" w:type="dxa"/>
          <w:left w:w="0" w:type="dxa"/>
          <w:bottom w:w="0" w:type="dxa"/>
          <w:right w:w="0" w:type="dxa"/>
        </w:tblCellMar>
      </w:tblPr>
      <w:tr>
        <w:trPr>
          <w:trHeight w:val="261"/>
        </w:trPr>
        <w:tc>
          <w:tcPr>
            <w:tcW w:w="5600" w:type="dxa"/>
            <w:vAlign w:val="bottom"/>
            <w:tcBorders>
              <w:bottom w:val="single" w:sz="8" w:color="auto"/>
            </w:tcBorders>
          </w:tcPr>
          <w:p>
            <w:pPr>
              <w:ind w:left="4020"/>
              <w:spacing w:after="0"/>
              <w:rPr>
                <w:sz w:val="20"/>
                <w:szCs w:val="20"/>
                <w:color w:val="auto"/>
              </w:rPr>
            </w:pPr>
            <w:r>
              <w:rPr>
                <w:rFonts w:ascii="Times New Roman" w:cs="Times New Roman" w:eastAsia="Times New Roman" w:hAnsi="Times New Roman"/>
                <w:sz w:val="16"/>
                <w:szCs w:val="16"/>
                <w:b w:val="1"/>
                <w:bCs w:val="1"/>
                <w:color w:val="auto"/>
              </w:rPr>
              <w:t>Denominated in:</w:t>
            </w:r>
          </w:p>
        </w:tc>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US$000’s</w:t>
            </w: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GBP 000’s</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EUR 000’s</w:t>
            </w:r>
          </w:p>
        </w:tc>
      </w:tr>
      <w:tr>
        <w:trPr>
          <w:trHeight w:val="19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62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148,713</w:t>
            </w:r>
          </w:p>
        </w:tc>
        <w:tc>
          <w:tcPr>
            <w:tcW w:w="17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509</w:t>
            </w:r>
          </w:p>
        </w:tc>
        <w:tc>
          <w:tcPr>
            <w:tcW w:w="820" w:type="dxa"/>
            <w:vAlign w:val="bottom"/>
          </w:tcPr>
          <w:p>
            <w:pPr>
              <w:spacing w:after="0"/>
              <w:rPr>
                <w:sz w:val="16"/>
                <w:szCs w:val="16"/>
                <w:color w:val="auto"/>
              </w:rPr>
            </w:pPr>
          </w:p>
        </w:tc>
        <w:tc>
          <w:tcPr>
            <w:tcW w:w="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425</w:t>
            </w:r>
          </w:p>
        </w:tc>
      </w:tr>
      <w:tr>
        <w:trPr>
          <w:trHeight w:val="20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62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(343)</w:t>
            </w:r>
          </w:p>
        </w:tc>
        <w:tc>
          <w:tcPr>
            <w:tcW w:w="17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(299)</w:t>
            </w: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(201)</w:t>
            </w:r>
          </w:p>
        </w:tc>
      </w:tr>
      <w:tr>
        <w:trPr>
          <w:trHeight w:val="212"/>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Lease liability</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78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(217)</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4"/>
        </w:trPr>
        <w:tc>
          <w:tcPr>
            <w:tcW w:w="5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148,370</w:t>
            </w:r>
          </w:p>
        </w:tc>
        <w:tc>
          <w:tcPr>
            <w:tcW w:w="980" w:type="dxa"/>
            <w:vAlign w:val="bottom"/>
          </w:tcPr>
          <w:p>
            <w:pPr>
              <w:spacing w:after="0"/>
              <w:rPr>
                <w:sz w:val="16"/>
                <w:szCs w:val="16"/>
                <w:color w:val="auto"/>
              </w:rPr>
            </w:pPr>
          </w:p>
        </w:tc>
        <w:tc>
          <w:tcPr>
            <w:tcW w:w="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(7)</w:t>
            </w:r>
          </w:p>
        </w:tc>
        <w:tc>
          <w:tcPr>
            <w:tcW w:w="820" w:type="dxa"/>
            <w:vAlign w:val="bottom"/>
          </w:tcPr>
          <w:p>
            <w:pPr>
              <w:spacing w:after="0"/>
              <w:rPr>
                <w:sz w:val="16"/>
                <w:szCs w:val="16"/>
                <w:color w:val="auto"/>
              </w:rPr>
            </w:pPr>
          </w:p>
        </w:tc>
        <w:tc>
          <w:tcPr>
            <w:tcW w:w="4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225</w:t>
            </w:r>
          </w:p>
        </w:tc>
      </w:tr>
      <w:tr>
        <w:trPr>
          <w:trHeight w:val="21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Foreign currency rate</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1.3550</w:t>
            </w:r>
          </w:p>
        </w:tc>
        <w:tc>
          <w:tcPr>
            <w:tcW w:w="178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1.7114</w:t>
            </w:r>
          </w:p>
        </w:tc>
        <w:tc>
          <w:tcPr>
            <w:tcW w:w="128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1.4632</w:t>
            </w:r>
          </w:p>
        </w:tc>
      </w:tr>
      <w:tr>
        <w:trPr>
          <w:trHeight w:val="199"/>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Equivalent in Canadian dollars</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201,041</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(12)</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329</w:t>
            </w:r>
          </w:p>
        </w:tc>
      </w:tr>
      <w:tr>
        <w:trPr>
          <w:trHeight w:val="198"/>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Impact of 10% change in foreign currency rate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20,104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33</w:t>
            </w:r>
          </w:p>
        </w:tc>
      </w:tr>
    </w:tbl>
    <w:p>
      <w:pPr>
        <w:spacing w:after="0" w:line="238" w:lineRule="exact"/>
        <w:rPr>
          <w:sz w:val="20"/>
          <w:szCs w:val="20"/>
          <w:color w:val="auto"/>
        </w:rPr>
      </w:pPr>
    </w:p>
    <w:p>
      <w:pPr>
        <w:ind w:left="280"/>
        <w:spacing w:after="0" w:line="334" w:lineRule="auto"/>
        <w:rPr>
          <w:sz w:val="20"/>
          <w:szCs w:val="20"/>
          <w:color w:val="auto"/>
        </w:rPr>
      </w:pPr>
      <w:r>
        <w:rPr>
          <w:rFonts w:ascii="Times New Roman" w:cs="Times New Roman" w:eastAsia="Times New Roman" w:hAnsi="Times New Roman"/>
          <w:sz w:val="16"/>
          <w:szCs w:val="16"/>
          <w:color w:val="auto"/>
        </w:rPr>
        <w:t>Based on the above net exposures as at March 31, 2024, and assuming that all other variables remain constant, a 10% change of the USD, GBP and EUR, against the CAD would impact net loss by approximately by $20,138.</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16.</w:t>
        <w:tab/>
        <w:t>INCOME TAX</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Major items causing the Company’s income tax rate to differ from the Canadian statutory rate of approximately 26.5% are as follows:</w:t>
      </w:r>
    </w:p>
    <w:p>
      <w:pPr>
        <w:spacing w:after="0" w:line="287"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0" w:type="dxa"/>
            <w:vAlign w:val="bottom"/>
          </w:tcPr>
          <w:p>
            <w:pPr>
              <w:spacing w:after="0"/>
              <w:rPr>
                <w:sz w:val="1"/>
                <w:szCs w:val="1"/>
                <w:color w:val="auto"/>
              </w:rPr>
            </w:pPr>
          </w:p>
        </w:tc>
      </w:tr>
      <w:tr>
        <w:trPr>
          <w:trHeight w:val="315"/>
        </w:trPr>
        <w:tc>
          <w:tcPr>
            <w:tcW w:w="4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ind w:left="1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9"/>
        </w:trPr>
        <w:tc>
          <w:tcPr>
            <w:tcW w:w="48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(78,080)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(47,490)</w:t>
            </w:r>
          </w:p>
        </w:tc>
        <w:tc>
          <w:tcPr>
            <w:tcW w:w="0" w:type="dxa"/>
            <w:vAlign w:val="bottom"/>
          </w:tcPr>
          <w:p>
            <w:pPr>
              <w:spacing w:after="0"/>
              <w:rPr>
                <w:sz w:val="1"/>
                <w:szCs w:val="1"/>
                <w:color w:val="auto"/>
              </w:rPr>
            </w:pPr>
          </w:p>
        </w:tc>
      </w:tr>
      <w:tr>
        <w:trPr>
          <w:trHeight w:val="380"/>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recovery at statutory rate</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20,691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12,585</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Non-capital loss acquired on acquisition of subsidiary</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11,658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(3,680)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issuance costs</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4,420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Difference between Canadian and foreign tax rates</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(5,440)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(4,032)</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on unbooked deferred tax assets</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(112)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(132)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unrecognized deferred tax assets</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(27,405)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(7,732)</w:t>
            </w: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8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recovery</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48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55 of 57</w:t>
      </w:r>
    </w:p>
    <w:p>
      <w:pPr>
        <w:sectPr>
          <w:pgSz w:w="11900" w:h="16838" w:orient="portrait"/>
          <w:cols w:equalWidth="0" w:num="1">
            <w:col w:w="11240"/>
          </w:cols>
          <w:pgMar w:left="320" w:top="212"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714629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line="334" w:lineRule="auto"/>
        <w:rPr>
          <w:sz w:val="20"/>
          <w:szCs w:val="20"/>
          <w:color w:val="auto"/>
        </w:rPr>
      </w:pPr>
      <w:r>
        <w:rPr>
          <w:rFonts w:ascii="Times New Roman" w:cs="Times New Roman" w:eastAsia="Times New Roman" w:hAnsi="Times New Roman"/>
          <w:sz w:val="16"/>
          <w:szCs w:val="16"/>
          <w:color w:val="auto"/>
        </w:rPr>
        <w:t>The significant components of the Company’s temporary differences, unused tax credits and unused tax losses, that have not been included on the consolidated statements of financial position, are as follows:</w:t>
      </w:r>
    </w:p>
    <w:p>
      <w:pPr>
        <w:spacing w:after="0" w:line="115" w:lineRule="exact"/>
        <w:rPr>
          <w:sz w:val="20"/>
          <w:szCs w:val="20"/>
          <w:color w:val="auto"/>
        </w:rPr>
      </w:pPr>
    </w:p>
    <w:tbl>
      <w:tblPr>
        <w:tblLayout w:type="fixed"/>
        <w:tblInd w:w="220" w:type="dxa"/>
        <w:tblCellMar>
          <w:top w:w="0" w:type="dxa"/>
          <w:left w:w="0" w:type="dxa"/>
          <w:bottom w:w="0" w:type="dxa"/>
          <w:right w:w="0" w:type="dxa"/>
        </w:tblCellMar>
      </w:tblPr>
      <w:tr>
        <w:trPr>
          <w:trHeight w:val="254"/>
        </w:trPr>
        <w:tc>
          <w:tcPr>
            <w:tcW w:w="3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at</w:t>
            </w:r>
          </w:p>
        </w:tc>
        <w:tc>
          <w:tcPr>
            <w:tcW w:w="3360" w:type="dxa"/>
            <w:vAlign w:val="bottom"/>
            <w:tcBorders>
              <w:top w:val="single" w:sz="8" w:color="auto"/>
            </w:tcBorders>
            <w:gridSpan w:val="2"/>
          </w:tcPr>
          <w:p>
            <w:pPr>
              <w:ind w:left="17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6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49"/>
        </w:trPr>
        <w:tc>
          <w:tcPr>
            <w:tcW w:w="37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Non-capital loss carryforwards</w:t>
            </w: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43,083</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19,371</w:t>
            </w:r>
          </w:p>
        </w:tc>
      </w:tr>
      <w:tr>
        <w:trPr>
          <w:trHeight w:val="3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1,474</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1,474</w:t>
            </w:r>
          </w:p>
        </w:tc>
      </w:tr>
      <w:tr>
        <w:trPr>
          <w:trHeight w:val="31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R&amp;D expenditures</w:t>
            </w: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1,681</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1,053</w:t>
            </w:r>
          </w:p>
        </w:tc>
      </w:tr>
      <w:tr>
        <w:trPr>
          <w:trHeight w:val="31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issuance costs</w:t>
            </w: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4,361</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1,303</w:t>
            </w:r>
          </w:p>
        </w:tc>
      </w:tr>
      <w:tr>
        <w:trPr>
          <w:trHeight w:val="31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Depreciation/CCA differences</w:t>
            </w: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7</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w:t>
            </w:r>
          </w:p>
        </w:tc>
      </w:tr>
      <w:tr>
        <w:trPr>
          <w:trHeight w:val="31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w:t>
            </w:r>
          </w:p>
        </w:tc>
      </w:tr>
      <w:tr>
        <w:trPr>
          <w:trHeight w:val="61"/>
        </w:trPr>
        <w:tc>
          <w:tcPr>
            <w:tcW w:w="372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34"/>
        </w:trPr>
        <w:tc>
          <w:tcPr>
            <w:tcW w:w="3720" w:type="dxa"/>
            <w:vAlign w:val="bottom"/>
          </w:tcPr>
          <w:p>
            <w:pPr>
              <w:spacing w:after="0"/>
              <w:rPr>
                <w:sz w:val="20"/>
                <w:szCs w:val="20"/>
                <w:color w:val="auto"/>
              </w:rPr>
            </w:pP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50,606</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23,201</w:t>
            </w:r>
          </w:p>
        </w:tc>
      </w:tr>
      <w:tr>
        <w:trPr>
          <w:trHeight w:val="31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(50,606)</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(23,201)</w:t>
            </w:r>
          </w:p>
        </w:tc>
      </w:tr>
      <w:tr>
        <w:trPr>
          <w:trHeight w:val="61"/>
        </w:trPr>
        <w:tc>
          <w:tcPr>
            <w:tcW w:w="372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34"/>
        </w:trPr>
        <w:tc>
          <w:tcPr>
            <w:tcW w:w="3720" w:type="dxa"/>
            <w:vAlign w:val="bottom"/>
          </w:tcPr>
          <w:p>
            <w:pPr>
              <w:spacing w:after="0"/>
              <w:rPr>
                <w:sz w:val="20"/>
                <w:szCs w:val="20"/>
                <w:color w:val="auto"/>
              </w:rPr>
            </w:pPr>
          </w:p>
        </w:tc>
        <w:tc>
          <w:tcPr>
            <w:tcW w:w="188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r>
      <w:tr>
        <w:trPr>
          <w:trHeight w:val="49"/>
        </w:trPr>
        <w:tc>
          <w:tcPr>
            <w:tcW w:w="37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The non-capital losses in Canada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149225</wp:posOffset>
            </wp:positionV>
            <wp:extent cx="60528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52820" cy="7620"/>
                    </a:xfrm>
                    <a:prstGeom prst="rect">
                      <a:avLst/>
                    </a:prstGeom>
                    <a:noFill/>
                  </pic:spPr>
                </pic:pic>
              </a:graphicData>
            </a:graphic>
          </wp:anchor>
        </w:drawing>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Year of expiry</w:t>
      </w:r>
    </w:p>
    <w:p>
      <w:pPr>
        <w:spacing w:after="0" w:line="67" w:lineRule="exact"/>
        <w:rPr>
          <w:sz w:val="20"/>
          <w:szCs w:val="20"/>
          <w:color w:val="auto"/>
        </w:rPr>
      </w:pPr>
    </w:p>
    <w:tbl>
      <w:tblPr>
        <w:tblLayout w:type="fixed"/>
        <w:tblInd w:w="220" w:type="dxa"/>
        <w:tblCellMar>
          <w:top w:w="0" w:type="dxa"/>
          <w:left w:w="0" w:type="dxa"/>
          <w:bottom w:w="0" w:type="dxa"/>
          <w:right w:w="0" w:type="dxa"/>
        </w:tblCellMar>
      </w:tblPr>
      <w:tr>
        <w:trPr>
          <w:trHeight w:val="254"/>
        </w:trPr>
        <w:tc>
          <w:tcPr>
            <w:tcW w:w="4040" w:type="dxa"/>
            <w:vAlign w:val="bottom"/>
            <w:tcBorders>
              <w:top w:val="single" w:sz="8" w:color="auto"/>
            </w:tcBorders>
          </w:tcPr>
          <w:p>
            <w:pPr>
              <w:jc w:val="right"/>
              <w:ind w:right="3619"/>
              <w:spacing w:after="0"/>
              <w:rPr>
                <w:sz w:val="20"/>
                <w:szCs w:val="20"/>
                <w:color w:val="auto"/>
              </w:rPr>
            </w:pPr>
            <w:r>
              <w:rPr>
                <w:rFonts w:ascii="Times New Roman" w:cs="Times New Roman" w:eastAsia="Times New Roman" w:hAnsi="Times New Roman"/>
                <w:sz w:val="16"/>
                <w:szCs w:val="16"/>
                <w:color w:val="auto"/>
                <w:w w:val="99"/>
              </w:rPr>
              <w:t>2040</w:t>
            </w:r>
          </w:p>
        </w:tc>
        <w:tc>
          <w:tcPr>
            <w:tcW w:w="3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740</w:t>
            </w:r>
          </w:p>
        </w:tc>
      </w:tr>
      <w:tr>
        <w:trPr>
          <w:trHeight w:val="303"/>
        </w:trPr>
        <w:tc>
          <w:tcPr>
            <w:tcW w:w="4040" w:type="dxa"/>
            <w:vAlign w:val="bottom"/>
          </w:tcPr>
          <w:p>
            <w:pPr>
              <w:jc w:val="right"/>
              <w:ind w:right="3619"/>
              <w:spacing w:after="0"/>
              <w:rPr>
                <w:sz w:val="20"/>
                <w:szCs w:val="20"/>
                <w:color w:val="auto"/>
              </w:rPr>
            </w:pPr>
            <w:r>
              <w:rPr>
                <w:rFonts w:ascii="Times New Roman" w:cs="Times New Roman" w:eastAsia="Times New Roman" w:hAnsi="Times New Roman"/>
                <w:sz w:val="16"/>
                <w:szCs w:val="16"/>
                <w:color w:val="auto"/>
                <w:w w:val="99"/>
              </w:rPr>
              <w:t>2041</w:t>
            </w:r>
          </w:p>
        </w:tc>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19,193</w:t>
            </w:r>
          </w:p>
        </w:tc>
      </w:tr>
      <w:tr>
        <w:trPr>
          <w:trHeight w:val="315"/>
        </w:trPr>
        <w:tc>
          <w:tcPr>
            <w:tcW w:w="4040" w:type="dxa"/>
            <w:vAlign w:val="bottom"/>
          </w:tcPr>
          <w:p>
            <w:pPr>
              <w:jc w:val="right"/>
              <w:ind w:right="3619"/>
              <w:spacing w:after="0"/>
              <w:rPr>
                <w:sz w:val="20"/>
                <w:szCs w:val="20"/>
                <w:color w:val="auto"/>
              </w:rPr>
            </w:pPr>
            <w:r>
              <w:rPr>
                <w:rFonts w:ascii="Times New Roman" w:cs="Times New Roman" w:eastAsia="Times New Roman" w:hAnsi="Times New Roman"/>
                <w:sz w:val="16"/>
                <w:szCs w:val="16"/>
                <w:color w:val="auto"/>
                <w:w w:val="99"/>
              </w:rPr>
              <w:t>2042</w:t>
            </w:r>
          </w:p>
        </w:tc>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12,234</w:t>
            </w:r>
          </w:p>
        </w:tc>
      </w:tr>
      <w:tr>
        <w:trPr>
          <w:trHeight w:val="315"/>
        </w:trPr>
        <w:tc>
          <w:tcPr>
            <w:tcW w:w="4040" w:type="dxa"/>
            <w:vAlign w:val="bottom"/>
          </w:tcPr>
          <w:p>
            <w:pPr>
              <w:jc w:val="right"/>
              <w:ind w:right="3619"/>
              <w:spacing w:after="0"/>
              <w:rPr>
                <w:sz w:val="20"/>
                <w:szCs w:val="20"/>
                <w:color w:val="auto"/>
              </w:rPr>
            </w:pPr>
            <w:r>
              <w:rPr>
                <w:rFonts w:ascii="Times New Roman" w:cs="Times New Roman" w:eastAsia="Times New Roman" w:hAnsi="Times New Roman"/>
                <w:sz w:val="16"/>
                <w:szCs w:val="16"/>
                <w:color w:val="auto"/>
                <w:w w:val="99"/>
              </w:rPr>
              <w:t>2043</w:t>
            </w:r>
          </w:p>
        </w:tc>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10,704</w:t>
            </w:r>
          </w:p>
        </w:tc>
      </w:tr>
      <w:tr>
        <w:trPr>
          <w:trHeight w:val="315"/>
        </w:trPr>
        <w:tc>
          <w:tcPr>
            <w:tcW w:w="4040" w:type="dxa"/>
            <w:vAlign w:val="bottom"/>
          </w:tcPr>
          <w:p>
            <w:pPr>
              <w:jc w:val="right"/>
              <w:ind w:right="3619"/>
              <w:spacing w:after="0"/>
              <w:rPr>
                <w:sz w:val="20"/>
                <w:szCs w:val="20"/>
                <w:color w:val="auto"/>
              </w:rPr>
            </w:pPr>
            <w:r>
              <w:rPr>
                <w:rFonts w:ascii="Times New Roman" w:cs="Times New Roman" w:eastAsia="Times New Roman" w:hAnsi="Times New Roman"/>
                <w:sz w:val="16"/>
                <w:szCs w:val="16"/>
                <w:color w:val="auto"/>
                <w:w w:val="99"/>
              </w:rPr>
              <w:t>2044</w:t>
            </w:r>
          </w:p>
        </w:tc>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24,397</w:t>
            </w:r>
          </w:p>
        </w:tc>
      </w:tr>
      <w:tr>
        <w:trPr>
          <w:trHeight w:val="61"/>
        </w:trPr>
        <w:tc>
          <w:tcPr>
            <w:tcW w:w="404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34"/>
        </w:trPr>
        <w:tc>
          <w:tcPr>
            <w:tcW w:w="4040" w:type="dxa"/>
            <w:vAlign w:val="bottom"/>
          </w:tcPr>
          <w:p>
            <w:pPr>
              <w:spacing w:after="0"/>
              <w:rPr>
                <w:sz w:val="20"/>
                <w:szCs w:val="20"/>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67,268</w:t>
            </w:r>
          </w:p>
        </w:tc>
      </w:tr>
      <w:tr>
        <w:trPr>
          <w:trHeight w:val="49"/>
        </w:trPr>
        <w:tc>
          <w:tcPr>
            <w:tcW w:w="404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This loss carryforward in the United States consists of:</w:t>
      </w:r>
    </w:p>
    <w:p>
      <w:pPr>
        <w:spacing w:after="0" w:line="200" w:lineRule="exact"/>
        <w:rPr>
          <w:sz w:val="20"/>
          <w:szCs w:val="20"/>
          <w:color w:val="auto"/>
        </w:rPr>
      </w:pP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54"/>
        </w:trPr>
        <w:tc>
          <w:tcPr>
            <w:tcW w:w="6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Pre-acquisition loss generated in the period ended December 4, 2020</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992</w:t>
            </w:r>
          </w:p>
        </w:tc>
      </w:tr>
      <w:tr>
        <w:trPr>
          <w:trHeight w:val="315"/>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Post-acquisition loss generated in the period ending March 31, 2021</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1,323</w:t>
            </w:r>
          </w:p>
        </w:tc>
      </w:tr>
      <w:tr>
        <w:trPr>
          <w:trHeight w:val="315"/>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generated in the year ending March 31, 2022</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5,849</w:t>
            </w:r>
          </w:p>
        </w:tc>
      </w:tr>
      <w:tr>
        <w:trPr>
          <w:trHeight w:val="315"/>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generated in the year ending March 31,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5,311</w:t>
            </w:r>
          </w:p>
        </w:tc>
      </w:tr>
      <w:tr>
        <w:trPr>
          <w:trHeight w:val="315"/>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generated in the year ending March 31, 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2,792</w:t>
            </w:r>
          </w:p>
        </w:tc>
      </w:tr>
      <w:tr>
        <w:trPr>
          <w:trHeight w:val="61"/>
        </w:trPr>
        <w:tc>
          <w:tcPr>
            <w:tcW w:w="62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34"/>
        </w:trPr>
        <w:tc>
          <w:tcPr>
            <w:tcW w:w="6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16,267</w:t>
            </w:r>
          </w:p>
        </w:tc>
      </w:tr>
      <w:tr>
        <w:trPr>
          <w:trHeight w:val="49"/>
        </w:trPr>
        <w:tc>
          <w:tcPr>
            <w:tcW w:w="62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68" w:lineRule="exact"/>
        <w:rPr>
          <w:sz w:val="20"/>
          <w:szCs w:val="20"/>
          <w:color w:val="auto"/>
        </w:rPr>
      </w:pPr>
    </w:p>
    <w:p>
      <w:pPr>
        <w:ind w:left="220"/>
        <w:spacing w:after="0" w:line="309" w:lineRule="auto"/>
        <w:rPr>
          <w:sz w:val="20"/>
          <w:szCs w:val="20"/>
          <w:color w:val="auto"/>
        </w:rPr>
      </w:pPr>
      <w:r>
        <w:rPr>
          <w:rFonts w:ascii="Times New Roman" w:cs="Times New Roman" w:eastAsia="Times New Roman" w:hAnsi="Times New Roman"/>
          <w:sz w:val="16"/>
          <w:szCs w:val="16"/>
          <w:color w:val="auto"/>
        </w:rPr>
        <w:t>Although the US federal losses carryforward indefinitely, they are subject to restrictions on their deductibility. The deductibility of the pre-acquisition loss and the post-acquisition loss is restricted to 80% of taxable income in the year of deduction. The pre-acquisition loss is further restricted to an annual limitation under Section 382. As at March 31, 2024, the annual limitation was $144.</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Massachusetts allows for a 20-year carryforward period for restricted and unrestricted losses without limitation.</w:t>
      </w:r>
    </w:p>
    <w:p>
      <w:pPr>
        <w:sectPr>
          <w:pgSz w:w="11900" w:h="16838" w:orient="portrait"/>
          <w:cols w:equalWidth="0" w:num="1">
            <w:col w:w="11180"/>
          </w:cols>
          <w:pgMar w:left="380" w:top="2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Page 56 of 57</w:t>
      </w:r>
    </w:p>
    <w:p>
      <w:pPr>
        <w:sectPr>
          <w:pgSz w:w="11900" w:h="16838" w:orient="portrait"/>
          <w:cols w:equalWidth="0" w:num="1">
            <w:col w:w="11180"/>
          </w:cols>
          <w:pgMar w:left="380" w:top="212" w:right="339" w:bottom="1440" w:gutter="0" w:footer="0" w:header="0"/>
          <w:type w:val="continuous"/>
        </w:sectPr>
      </w:pPr>
    </w:p>
    <w:bookmarkStart w:id="262" w:name="page263"/>
    <w:bookmarkEnd w:id="262"/>
    <w:p>
      <w:pPr>
        <w:ind w:left="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March 31, 2024 and 2023</w:t>
      </w:r>
    </w:p>
    <w:p>
      <w:pPr>
        <w:spacing w:after="0" w:line="5" w:lineRule="exact"/>
        <w:rPr>
          <w:sz w:val="20"/>
          <w:szCs w:val="20"/>
          <w:color w:val="auto"/>
        </w:rPr>
      </w:pPr>
    </w:p>
    <w:p>
      <w:pPr>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(All amounts expressed in thousands of Canadian dollars, except share and per share amounts, and those amounts indicated as being in US dollars,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non-capital losses in Ireland expire as follows:</w:t>
      </w: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Year of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55245</wp:posOffset>
            </wp:positionV>
            <wp:extent cx="599884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98845" cy="7620"/>
                    </a:xfrm>
                    <a:prstGeom prst="rect">
                      <a:avLst/>
                    </a:prstGeom>
                    <a:noFill/>
                  </pic:spPr>
                </pic:pic>
              </a:graphicData>
            </a:graphic>
          </wp:anchor>
        </w:drawing>
      </w:r>
    </w:p>
    <w:p>
      <w:pPr>
        <w:spacing w:after="0" w:line="121"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4520" w:type="dxa"/>
            <w:vAlign w:val="bottom"/>
          </w:tcPr>
          <w:p>
            <w:pPr>
              <w:jc w:val="right"/>
              <w:ind w:right="4099"/>
              <w:spacing w:after="0"/>
              <w:rPr>
                <w:sz w:val="20"/>
                <w:szCs w:val="20"/>
                <w:color w:val="auto"/>
              </w:rPr>
            </w:pPr>
            <w:r>
              <w:rPr>
                <w:rFonts w:ascii="Times New Roman" w:cs="Times New Roman" w:eastAsia="Times New Roman" w:hAnsi="Times New Roman"/>
                <w:sz w:val="16"/>
                <w:szCs w:val="16"/>
                <w:color w:val="auto"/>
                <w:w w:val="99"/>
              </w:rPr>
              <w:t>2042</w:t>
            </w:r>
          </w:p>
        </w:tc>
        <w:tc>
          <w:tcPr>
            <w:tcW w:w="4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22,965</w:t>
            </w:r>
          </w:p>
        </w:tc>
      </w:tr>
      <w:tr>
        <w:trPr>
          <w:trHeight w:val="340"/>
        </w:trPr>
        <w:tc>
          <w:tcPr>
            <w:tcW w:w="4520" w:type="dxa"/>
            <w:vAlign w:val="bottom"/>
          </w:tcPr>
          <w:p>
            <w:pPr>
              <w:jc w:val="right"/>
              <w:ind w:right="4099"/>
              <w:spacing w:after="0"/>
              <w:rPr>
                <w:sz w:val="20"/>
                <w:szCs w:val="20"/>
                <w:color w:val="auto"/>
              </w:rPr>
            </w:pPr>
            <w:r>
              <w:rPr>
                <w:rFonts w:ascii="Times New Roman" w:cs="Times New Roman" w:eastAsia="Times New Roman" w:hAnsi="Times New Roman"/>
                <w:sz w:val="16"/>
                <w:szCs w:val="16"/>
                <w:color w:val="auto"/>
                <w:w w:val="99"/>
              </w:rPr>
              <w:t>2043</w:t>
            </w:r>
          </w:p>
        </w:tc>
        <w:tc>
          <w:tcPr>
            <w:tcW w:w="4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23,017</w:t>
            </w:r>
          </w:p>
        </w:tc>
      </w:tr>
      <w:tr>
        <w:trPr>
          <w:trHeight w:val="340"/>
        </w:trPr>
        <w:tc>
          <w:tcPr>
            <w:tcW w:w="4520" w:type="dxa"/>
            <w:vAlign w:val="bottom"/>
          </w:tcPr>
          <w:p>
            <w:pPr>
              <w:jc w:val="right"/>
              <w:ind w:right="4099"/>
              <w:spacing w:after="0"/>
              <w:rPr>
                <w:sz w:val="20"/>
                <w:szCs w:val="20"/>
                <w:color w:val="auto"/>
              </w:rPr>
            </w:pPr>
            <w:r>
              <w:rPr>
                <w:rFonts w:ascii="Times New Roman" w:cs="Times New Roman" w:eastAsia="Times New Roman" w:hAnsi="Times New Roman"/>
                <w:sz w:val="16"/>
                <w:szCs w:val="16"/>
                <w:color w:val="auto"/>
                <w:w w:val="99"/>
              </w:rPr>
              <w:t>2044</w:t>
            </w:r>
          </w:p>
        </w:tc>
        <w:tc>
          <w:tcPr>
            <w:tcW w:w="4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33,857</w:t>
            </w:r>
          </w:p>
        </w:tc>
      </w:tr>
      <w:tr>
        <w:trPr>
          <w:trHeight w:val="61"/>
        </w:trPr>
        <w:tc>
          <w:tcPr>
            <w:tcW w:w="452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r>
      <w:tr>
        <w:trPr>
          <w:trHeight w:val="234"/>
        </w:trPr>
        <w:tc>
          <w:tcPr>
            <w:tcW w:w="4520" w:type="dxa"/>
            <w:vAlign w:val="bottom"/>
          </w:tcPr>
          <w:p>
            <w:pPr>
              <w:spacing w:after="0"/>
              <w:rPr>
                <w:sz w:val="20"/>
                <w:szCs w:val="20"/>
                <w:color w:val="auto"/>
              </w:rPr>
            </w:pPr>
          </w:p>
        </w:tc>
        <w:tc>
          <w:tcPr>
            <w:tcW w:w="4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79,839</w:t>
            </w:r>
          </w:p>
        </w:tc>
      </w:tr>
      <w:tr>
        <w:trPr>
          <w:trHeight w:val="49"/>
        </w:trPr>
        <w:tc>
          <w:tcPr>
            <w:tcW w:w="45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17.</w:t>
        <w:tab/>
        <w:t>SUBSEQUENT EVENTS</w:t>
      </w:r>
    </w:p>
    <w:p>
      <w:pPr>
        <w:spacing w:after="0" w:line="242" w:lineRule="exact"/>
        <w:rPr>
          <w:sz w:val="20"/>
          <w:szCs w:val="20"/>
          <w:color w:val="auto"/>
        </w:rPr>
      </w:pPr>
    </w:p>
    <w:p>
      <w:pPr>
        <w:ind w:right="4420"/>
        <w:spacing w:after="0" w:line="309" w:lineRule="auto"/>
        <w:rPr>
          <w:sz w:val="20"/>
          <w:szCs w:val="20"/>
          <w:color w:val="auto"/>
        </w:rPr>
      </w:pPr>
      <w:r>
        <w:rPr>
          <w:rFonts w:ascii="Times New Roman" w:cs="Times New Roman" w:eastAsia="Times New Roman" w:hAnsi="Times New Roman"/>
          <w:sz w:val="16"/>
          <w:szCs w:val="16"/>
          <w:color w:val="auto"/>
        </w:rPr>
        <w:t>On April 1, 2024, pursuant to the provisions of the Business Corporations Act (Ontario), Small Pharma completed a horizontal amalgamation with Cybin Corp., with Cybin Corp. being the resulting entity. As a result of this amalgamation, Cybin UK Ltd. is now a wholly-owned subsidiary of Cybin Corp.</w:t>
      </w:r>
    </w:p>
    <w:p>
      <w:pPr>
        <w:spacing w:after="0" w:line="114" w:lineRule="exact"/>
        <w:rPr>
          <w:sz w:val="20"/>
          <w:szCs w:val="20"/>
          <w:color w:val="auto"/>
        </w:rPr>
      </w:pPr>
    </w:p>
    <w:p>
      <w:pPr>
        <w:jc w:val="both"/>
        <w:ind w:left="280"/>
        <w:spacing w:after="0" w:line="293" w:lineRule="auto"/>
        <w:rPr>
          <w:sz w:val="20"/>
          <w:szCs w:val="20"/>
          <w:color w:val="auto"/>
        </w:rPr>
      </w:pPr>
      <w:r>
        <w:rPr>
          <w:rFonts w:ascii="Times New Roman" w:cs="Times New Roman" w:eastAsia="Times New Roman" w:hAnsi="Times New Roman"/>
          <w:sz w:val="16"/>
          <w:szCs w:val="16"/>
          <w:color w:val="auto"/>
        </w:rPr>
        <w:t>On April 5, 2024, the Company granted options to purchase up to 11,715,000 Common Shares, of which 7,250,000 were granted to officers and 4,465,000 were granted to employees. The granted options have an exercise price of $0.56 per Common Share. All the options expire on April 5, 2029. 1,464,375 options vest immediately and 10,250,625 options vest over two years.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May 5, 2024, the Company cancelled options (price ranged from $0.715 to $3.15) to purchase up to 45,586,900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Page 57 of 57</w:t>
      </w:r>
    </w:p>
    <w:p>
      <w:pPr>
        <w:sectPr>
          <w:pgSz w:w="11900" w:h="16838" w:orient="portrait"/>
          <w:cols w:equalWidth="0" w:num="1">
            <w:col w:w="11240"/>
          </w:cols>
          <w:pgMar w:left="320" w:top="212" w:right="33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3127375</wp:posOffset>
            </wp:positionH>
            <wp:positionV relativeFrom="page">
              <wp:posOffset>2376170</wp:posOffset>
            </wp:positionV>
            <wp:extent cx="1301115" cy="7626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30111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Financial Condition and Operating Performance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March 31, 2024</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June 25, 2024</w:t>
      </w:r>
    </w:p>
    <w:p>
      <w:pPr>
        <w:sectPr>
          <w:pgSz w:w="11900" w:h="16838" w:orient="portrait"/>
          <w:cols w:equalWidth="0" w:num="1">
            <w:col w:w="9019"/>
          </w:cols>
          <w:pgMar w:left="1440" w:top="1440"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This Management’s Discussion and Analysis (“MD&amp;A”) has been prepared by management of Cybin Inc. (“Cybin” or the “Company”) and should be read in conjunction with Cybin’s audited consolidated financial statements and notes for the year ended March 31, 2024 (the “ Financial Statements”). This MD&amp;A does not address all of the changes to the Company and its business, such changes are addressed in the Company’s most recently filed annual information form (the “AIF”) on SEDAR+. The Financial Statements have been prepared using International Financial Reporting Standards ("IFRS") as issued by the International Accounting Standards Board. All amounts are in Canadian dollars unless otherwise indicated. The Financial Statements may be viewed on the SEDAR+ profile of Cybin at www.sedarplus.ca.</w:t>
      </w:r>
    </w:p>
    <w:p>
      <w:pPr>
        <w:spacing w:after="0" w:line="18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June 25, 2024. Unless otherwise indicated, all amounts in this MD&amp;A are in thousands of Canadian dollars.</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5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44" w:lineRule="exact"/>
        <w:rPr>
          <w:sz w:val="20"/>
          <w:szCs w:val="20"/>
          <w:color w:val="auto"/>
        </w:rPr>
      </w:pPr>
    </w:p>
    <w:p>
      <w:pPr>
        <w:ind w:left="1160" w:hanging="581"/>
        <w:spacing w:after="0"/>
        <w:tabs>
          <w:tab w:leader="none" w:pos="11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721" w:right="319" w:bottom="1440" w:gutter="0" w:footer="0" w:header="0"/>
        </w:sectPr>
      </w:pPr>
    </w:p>
    <w:bookmarkStart w:id="265" w:name="page266"/>
    <w:bookmarkEnd w:id="265"/>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nature of investment risk;</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uncertainties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8"/>
          <w:szCs w:val="18"/>
          <w:color w:val="auto"/>
        </w:rPr>
        <w:t>risks of operating in European countries;</w:t>
      </w:r>
    </w:p>
    <w:p>
      <w:pPr>
        <w:spacing w:after="0" w:line="36" w:lineRule="exact"/>
        <w:rPr>
          <w:rFonts w:ascii="Arial" w:cs="Arial" w:eastAsia="Arial" w:hAnsi="Arial"/>
          <w:sz w:val="19"/>
          <w:szCs w:val="19"/>
          <w:color w:val="auto"/>
        </w:rPr>
      </w:pPr>
    </w:p>
    <w:p>
      <w:pPr>
        <w:ind w:left="581" w:hanging="581"/>
        <w:spacing w:after="0"/>
        <w:tabs>
          <w:tab w:leader="none" w:pos="581"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private issuer” status under U.S. Securities Laws;</w:t>
      </w:r>
    </w:p>
    <w:p>
      <w:pPr>
        <w:spacing w:after="0" w:line="71" w:lineRule="exact"/>
        <w:rPr>
          <w:rFonts w:ascii="Times New Roman" w:cs="Times New Roman" w:eastAsia="Times New Roman" w:hAnsi="Times New Roman"/>
          <w:sz w:val="17"/>
          <w:szCs w:val="17"/>
          <w:color w:val="auto"/>
        </w:rPr>
      </w:pPr>
    </w:p>
    <w:p>
      <w:pPr>
        <w:ind w:left="581" w:hanging="581"/>
        <w:spacing w:after="0"/>
        <w:tabs>
          <w:tab w:leader="none" w:pos="581"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plans for growth;</w:t>
      </w:r>
    </w:p>
    <w:p>
      <w:pPr>
        <w:spacing w:after="0" w:line="36" w:lineRule="exact"/>
        <w:rPr>
          <w:rFonts w:ascii="Times New Roman" w:cs="Times New Roman" w:eastAsia="Times New Roman" w:hAnsi="Times New Roman"/>
          <w:sz w:val="19"/>
          <w:szCs w:val="19"/>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of commercial success;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profits or significant revenues;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for clinical development activities;</w:t>
      </w:r>
    </w:p>
    <w:p>
      <w:pPr>
        <w:spacing w:after="0" w:line="47" w:lineRule="exact"/>
        <w:rPr>
          <w:rFonts w:ascii="Times New Roman" w:cs="Times New Roman" w:eastAsia="Times New Roman" w:hAnsi="Times New Roman"/>
          <w:sz w:val="17"/>
          <w:szCs w:val="17"/>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contract manufacturers;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of products;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clinical trials;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grade product manufacturing;</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regulatory approvals;</w:t>
      </w:r>
    </w:p>
    <w:p>
      <w:pPr>
        <w:spacing w:after="0" w:line="59"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8"/>
          <w:szCs w:val="18"/>
          <w:color w:val="auto"/>
        </w:rPr>
        <w:t>market access and acceptance;</w:t>
      </w:r>
    </w:p>
    <w:p>
      <w:pPr>
        <w:spacing w:after="0" w:line="36" w:lineRule="exact"/>
        <w:rPr>
          <w:rFonts w:ascii="Arial" w:cs="Arial" w:eastAsia="Arial" w:hAnsi="Arial"/>
          <w:sz w:val="19"/>
          <w:szCs w:val="19"/>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and growth;</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contracts;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material recalls;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forecast;</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brand;</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viability;</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quality control systems;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inputs;</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fraudulent or illegal activity;</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 and insurance coverage;</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public company;</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31"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exchange rate fluctuations;</w:t>
      </w:r>
    </w:p>
    <w:p>
      <w:pPr>
        <w:spacing w:after="0" w:line="64" w:lineRule="exact"/>
        <w:rPr>
          <w:rFonts w:ascii="Times New Roman" w:cs="Times New Roman" w:eastAsia="Times New Roman" w:hAnsi="Times New Roman"/>
          <w:sz w:val="19"/>
          <w:szCs w:val="19"/>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w:t>
      </w:r>
    </w:p>
    <w:p>
      <w:pPr>
        <w:spacing w:after="0" w:line="35"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risks;</w:t>
      </w:r>
    </w:p>
    <w:p>
      <w:pPr>
        <w:spacing w:after="0" w:line="47" w:lineRule="exact"/>
        <w:rPr>
          <w:rFonts w:ascii="Times New Roman" w:cs="Times New Roman" w:eastAsia="Times New Roman" w:hAnsi="Times New Roman"/>
          <w:sz w:val="18"/>
          <w:szCs w:val="18"/>
          <w:color w:val="auto"/>
        </w:rPr>
      </w:pPr>
    </w:p>
    <w:p>
      <w:pPr>
        <w:ind w:left="581" w:hanging="581"/>
        <w:spacing w:after="0"/>
        <w:tabs>
          <w:tab w:leader="none" w:pos="581"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8"/>
          <w:szCs w:val="18"/>
          <w:color w:val="auto"/>
        </w:rPr>
        <w:t>decriminalization of psychedelics;</w:t>
      </w:r>
    </w:p>
    <w:p>
      <w:pPr>
        <w:spacing w:after="0" w:line="60" w:lineRule="exact"/>
        <w:rPr>
          <w:rFonts w:ascii="Arial" w:cs="Arial" w:eastAsia="Arial" w:hAnsi="Arial"/>
          <w:sz w:val="19"/>
          <w:szCs w:val="19"/>
          <w:color w:val="auto"/>
        </w:rPr>
      </w:pPr>
    </w:p>
    <w:p>
      <w:pPr>
        <w:ind w:left="581" w:hanging="581"/>
        <w:spacing w:after="0"/>
        <w:tabs>
          <w:tab w:leader="none" w:pos="581"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8"/>
          <w:szCs w:val="18"/>
          <w:color w:val="auto"/>
        </w:rPr>
        <w:t>forward-looking statements may prove to be inaccurate;</w:t>
      </w:r>
    </w:p>
    <w:p>
      <w:pPr>
        <w:spacing w:after="0" w:line="48" w:lineRule="exact"/>
        <w:rPr>
          <w:rFonts w:ascii="Arial" w:cs="Arial" w:eastAsia="Arial" w:hAnsi="Arial"/>
          <w:sz w:val="19"/>
          <w:szCs w:val="19"/>
          <w:color w:val="auto"/>
        </w:rPr>
      </w:pPr>
    </w:p>
    <w:p>
      <w:pPr>
        <w:ind w:left="581" w:hanging="581"/>
        <w:spacing w:after="0"/>
        <w:tabs>
          <w:tab w:leader="none" w:pos="581"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8"/>
          <w:szCs w:val="18"/>
          <w:color w:val="auto"/>
        </w:rPr>
        <w:t>effects of inflation;</w:t>
      </w:r>
    </w:p>
    <w:p>
      <w:pPr>
        <w:spacing w:after="0" w:line="48" w:lineRule="exact"/>
        <w:rPr>
          <w:rFonts w:ascii="Arial" w:cs="Arial" w:eastAsia="Arial" w:hAnsi="Arial"/>
          <w:sz w:val="19"/>
          <w:szCs w:val="19"/>
          <w:color w:val="auto"/>
        </w:rPr>
      </w:pPr>
    </w:p>
    <w:p>
      <w:pPr>
        <w:ind w:left="581" w:hanging="581"/>
        <w:spacing w:after="0"/>
        <w:tabs>
          <w:tab w:leader="none" w:pos="581" w:val="left"/>
        </w:tabs>
        <w:numPr>
          <w:ilvl w:val="0"/>
          <w:numId w:val="131"/>
        </w:numPr>
        <w:rPr>
          <w:rFonts w:ascii="Arial" w:cs="Arial" w:eastAsia="Arial" w:hAnsi="Arial"/>
          <w:sz w:val="19"/>
          <w:szCs w:val="19"/>
          <w:color w:val="auto"/>
        </w:rPr>
      </w:pPr>
      <w:r>
        <w:rPr>
          <w:rFonts w:ascii="Times New Roman" w:cs="Times New Roman" w:eastAsia="Times New Roman" w:hAnsi="Times New Roman"/>
          <w:sz w:val="18"/>
          <w:szCs w:val="18"/>
          <w:color w:val="auto"/>
        </w:rPr>
        <w:t>political and economic conditions;</w:t>
      </w:r>
    </w:p>
    <w:p>
      <w:pPr>
        <w:sectPr>
          <w:pgSz w:w="11900" w:h="16838" w:orient="portrait"/>
          <w:cols w:equalWidth="0" w:num="1">
            <w:col w:w="9560"/>
          </w:cols>
          <w:pgMar w:left="899" w:top="7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1"/>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560"/>
          </w:cols>
          <w:pgMar w:left="899" w:top="725" w:right="1440" w:bottom="1440" w:gutter="0" w:footer="0" w:header="0"/>
          <w:type w:val="continuous"/>
        </w:sectPr>
      </w:pPr>
    </w:p>
    <w:bookmarkStart w:id="266" w:name="page267"/>
    <w:bookmarkEnd w:id="266"/>
    <w:p>
      <w:pPr>
        <w:ind w:left="1160" w:hanging="581"/>
        <w:spacing w:after="0"/>
        <w:tabs>
          <w:tab w:leader="none" w:pos="1160" w:val="left"/>
        </w:tabs>
        <w:numPr>
          <w:ilvl w:val="0"/>
          <w:numId w:val="132"/>
        </w:numPr>
        <w:rPr>
          <w:rFonts w:ascii="Arial" w:cs="Arial" w:eastAsia="Arial" w:hAnsi="Arial"/>
          <w:sz w:val="19"/>
          <w:szCs w:val="19"/>
          <w:color w:val="auto"/>
        </w:rPr>
      </w:pPr>
      <w:r>
        <w:rPr>
          <w:rFonts w:ascii="Times New Roman" w:cs="Times New Roman" w:eastAsia="Times New Roman" w:hAnsi="Times New Roman"/>
          <w:sz w:val="18"/>
          <w:szCs w:val="18"/>
          <w:color w:val="auto"/>
        </w:rPr>
        <w:t>application and interpretation of tax laws;</w:t>
      </w:r>
    </w:p>
    <w:p>
      <w:pPr>
        <w:spacing w:after="0" w:line="48" w:lineRule="exact"/>
        <w:rPr>
          <w:rFonts w:ascii="Arial" w:cs="Arial" w:eastAsia="Arial" w:hAnsi="Arial"/>
          <w:sz w:val="19"/>
          <w:szCs w:val="19"/>
          <w:color w:val="auto"/>
        </w:rPr>
      </w:pPr>
    </w:p>
    <w:p>
      <w:pPr>
        <w:ind w:left="1160" w:hanging="581"/>
        <w:spacing w:after="0"/>
        <w:tabs>
          <w:tab w:leader="none" w:pos="1160" w:val="left"/>
        </w:tabs>
        <w:numPr>
          <w:ilvl w:val="0"/>
          <w:numId w:val="132"/>
        </w:numPr>
        <w:rPr>
          <w:rFonts w:ascii="Arial" w:cs="Arial" w:eastAsia="Arial" w:hAnsi="Arial"/>
          <w:sz w:val="19"/>
          <w:szCs w:val="19"/>
          <w:color w:val="auto"/>
        </w:rPr>
      </w:pPr>
      <w:r>
        <w:rPr>
          <w:rFonts w:ascii="Times New Roman" w:cs="Times New Roman" w:eastAsia="Times New Roman" w:hAnsi="Times New Roman"/>
          <w:sz w:val="18"/>
          <w:szCs w:val="18"/>
          <w:color w:val="auto"/>
        </w:rPr>
        <w:t>enforcement of civil liabilities;</w:t>
      </w:r>
    </w:p>
    <w:p>
      <w:pPr>
        <w:spacing w:after="0" w:line="48" w:lineRule="exact"/>
        <w:rPr>
          <w:rFonts w:ascii="Arial" w:cs="Arial" w:eastAsia="Arial" w:hAnsi="Arial"/>
          <w:sz w:val="19"/>
          <w:szCs w:val="19"/>
          <w:color w:val="auto"/>
        </w:rPr>
      </w:pPr>
    </w:p>
    <w:p>
      <w:pPr>
        <w:ind w:left="1160" w:hanging="581"/>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36" w:lineRule="exact"/>
        <w:rPr>
          <w:sz w:val="20"/>
          <w:szCs w:val="20"/>
          <w:color w:val="auto"/>
        </w:rPr>
      </w:pPr>
    </w:p>
    <w:p>
      <w:pPr>
        <w:ind w:left="1160" w:hanging="581"/>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protection;</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reform;</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48" w:lineRule="exact"/>
        <w:rPr>
          <w:sz w:val="20"/>
          <w:szCs w:val="20"/>
          <w:color w:val="auto"/>
        </w:rPr>
      </w:pPr>
    </w:p>
    <w:p>
      <w:pPr>
        <w:ind w:left="1160" w:hanging="581"/>
        <w:spacing w:after="0"/>
        <w:tabs>
          <w:tab w:leader="none" w:pos="1160" w:val="left"/>
        </w:tabs>
        <w:numPr>
          <w:ilvl w:val="0"/>
          <w:numId w:val="134"/>
        </w:numPr>
        <w:rPr>
          <w:rFonts w:ascii="Arial" w:cs="Arial" w:eastAsia="Arial" w:hAnsi="Arial"/>
          <w:sz w:val="19"/>
          <w:szCs w:val="19"/>
          <w:color w:val="auto"/>
        </w:rPr>
      </w:pPr>
      <w:r>
        <w:rPr>
          <w:rFonts w:ascii="Times New Roman" w:cs="Times New Roman" w:eastAsia="Times New Roman" w:hAnsi="Times New Roman"/>
          <w:sz w:val="18"/>
          <w:szCs w:val="18"/>
          <w:color w:val="auto"/>
        </w:rPr>
        <w:t>substantial number of authorized but unissued Common Shares (as defined herein);</w:t>
      </w:r>
    </w:p>
    <w:p>
      <w:pPr>
        <w:spacing w:after="0" w:line="36" w:lineRule="exact"/>
        <w:rPr>
          <w:rFonts w:ascii="Arial" w:cs="Arial" w:eastAsia="Arial" w:hAnsi="Arial"/>
          <w:sz w:val="19"/>
          <w:szCs w:val="19"/>
          <w:color w:val="auto"/>
        </w:rPr>
      </w:pPr>
    </w:p>
    <w:p>
      <w:pPr>
        <w:ind w:left="1160" w:hanging="581"/>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59"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4"/>
        </w:numPr>
        <w:rPr>
          <w:rFonts w:ascii="Arial" w:cs="Arial" w:eastAsia="Arial" w:hAnsi="Arial"/>
          <w:sz w:val="19"/>
          <w:szCs w:val="19"/>
          <w:color w:val="auto"/>
        </w:rPr>
      </w:pPr>
      <w:r>
        <w:rPr>
          <w:rFonts w:ascii="Times New Roman" w:cs="Times New Roman" w:eastAsia="Times New Roman" w:hAnsi="Times New Roman"/>
          <w:sz w:val="18"/>
          <w:szCs w:val="18"/>
          <w:color w:val="auto"/>
        </w:rPr>
        <w:t>negative cash flow from operating activities;</w:t>
      </w:r>
    </w:p>
    <w:p>
      <w:pPr>
        <w:spacing w:after="0" w:line="36" w:lineRule="exact"/>
        <w:rPr>
          <w:rFonts w:ascii="Arial" w:cs="Arial" w:eastAsia="Arial" w:hAnsi="Arial"/>
          <w:sz w:val="19"/>
          <w:szCs w:val="19"/>
          <w:color w:val="auto"/>
        </w:rPr>
      </w:pPr>
    </w:p>
    <w:p>
      <w:pPr>
        <w:ind w:left="1160" w:hanging="581"/>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requirements;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product revenue;</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pacing w:after="0" w:line="3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inadequate internal controls;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48" w:lineRule="exact"/>
        <w:rPr>
          <w:sz w:val="20"/>
          <w:szCs w:val="20"/>
          <w:color w:val="auto"/>
        </w:rPr>
      </w:pPr>
    </w:p>
    <w:p>
      <w:pPr>
        <w:ind w:left="1160" w:hanging="581"/>
        <w:spacing w:after="0"/>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the Common Shares;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Common Shares;</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47"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and</w:t>
      </w:r>
    </w:p>
    <w:p>
      <w:pPr>
        <w:spacing w:after="0" w:line="3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w:t>
      </w:r>
    </w:p>
    <w:p>
      <w:pPr>
        <w:spacing w:after="0" w:line="2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71" w:lineRule="exact"/>
        <w:rPr>
          <w:sz w:val="20"/>
          <w:szCs w:val="20"/>
          <w:color w:val="auto"/>
        </w:rPr>
      </w:pPr>
    </w:p>
    <w:p>
      <w:pPr>
        <w:ind w:left="580" w:hanging="294"/>
        <w:spacing w:after="0" w:line="286" w:lineRule="auto"/>
        <w:tabs>
          <w:tab w:leader="none" w:pos="576"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pandemics;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47" w:lineRule="exact"/>
        <w:rPr>
          <w:rFonts w:ascii="Calibri" w:cs="Calibri" w:eastAsia="Calibri" w:hAnsi="Calibri"/>
          <w:sz w:val="18"/>
          <w:szCs w:val="18"/>
          <w:color w:val="auto"/>
        </w:rPr>
      </w:pPr>
    </w:p>
    <w:p>
      <w:pPr>
        <w:ind w:left="580" w:hanging="294"/>
        <w:spacing w:after="0" w:line="293" w:lineRule="auto"/>
        <w:tabs>
          <w:tab w:leader="none" w:pos="576"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580" w:hanging="294"/>
        <w:spacing w:after="0"/>
        <w:tabs>
          <w:tab w:leader="none" w:pos="580" w:val="left"/>
        </w:tabs>
        <w:numPr>
          <w:ilvl w:val="0"/>
          <w:numId w:val="1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37" w:right="339" w:bottom="1440" w:gutter="0" w:footer="0" w:header="0"/>
        </w:sectPr>
      </w:pPr>
    </w:p>
    <w:bookmarkStart w:id="267" w:name="page268"/>
    <w:bookmarkEnd w:id="267"/>
    <w:p>
      <w:pPr>
        <w:ind w:left="580" w:hanging="294"/>
        <w:spacing w:after="0"/>
        <w:tabs>
          <w:tab w:leader="none" w:pos="580" w:val="left"/>
        </w:tabs>
        <w:numPr>
          <w:ilvl w:val="0"/>
          <w:numId w:val="13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59" w:lineRule="exact"/>
        <w:rPr>
          <w:rFonts w:ascii="Calibri" w:cs="Calibri" w:eastAsia="Calibri" w:hAnsi="Calibri"/>
          <w:sz w:val="18"/>
          <w:szCs w:val="18"/>
          <w:color w:val="auto"/>
        </w:rPr>
      </w:pPr>
    </w:p>
    <w:p>
      <w:pPr>
        <w:ind w:left="580" w:hanging="294"/>
        <w:spacing w:after="0"/>
        <w:tabs>
          <w:tab w:leader="none" w:pos="580" w:val="left"/>
        </w:tabs>
        <w:numPr>
          <w:ilvl w:val="0"/>
          <w:numId w:val="13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47" w:lineRule="exact"/>
        <w:rPr>
          <w:rFonts w:ascii="Calibri" w:cs="Calibri" w:eastAsia="Calibri" w:hAnsi="Calibri"/>
          <w:sz w:val="18"/>
          <w:szCs w:val="18"/>
          <w:color w:val="auto"/>
        </w:rPr>
      </w:pPr>
    </w:p>
    <w:p>
      <w:pPr>
        <w:ind w:left="580" w:right="20" w:hanging="294"/>
        <w:spacing w:after="0" w:line="293" w:lineRule="auto"/>
        <w:tabs>
          <w:tab w:leader="none" w:pos="576" w:val="left"/>
        </w:tabs>
        <w:numPr>
          <w:ilvl w:val="0"/>
          <w:numId w:val="13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580" w:hanging="294"/>
        <w:spacing w:after="0"/>
        <w:tabs>
          <w:tab w:leader="none" w:pos="580" w:val="left"/>
        </w:tabs>
        <w:numPr>
          <w:ilvl w:val="0"/>
          <w:numId w:val="13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3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spacing w:after="0" w:line="47" w:lineRule="exact"/>
        <w:rPr>
          <w:rFonts w:ascii="Calibri" w:cs="Calibri" w:eastAsia="Calibri" w:hAnsi="Calibri"/>
          <w:sz w:val="18"/>
          <w:szCs w:val="18"/>
          <w:color w:val="auto"/>
        </w:rPr>
      </w:pPr>
    </w:p>
    <w:p>
      <w:pPr>
        <w:ind w:left="580" w:hanging="294"/>
        <w:spacing w:after="0"/>
        <w:tabs>
          <w:tab w:leader="none" w:pos="580" w:val="left"/>
        </w:tabs>
        <w:numPr>
          <w:ilvl w:val="0"/>
          <w:numId w:val="13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67" w:lineRule="exact"/>
        <w:rPr>
          <w:rFonts w:ascii="Calibri" w:cs="Calibri" w:eastAsia="Calibri" w:hAnsi="Calibri"/>
          <w:sz w:val="18"/>
          <w:szCs w:val="18"/>
          <w:color w:val="auto"/>
        </w:rPr>
      </w:pPr>
    </w:p>
    <w:p>
      <w:pPr>
        <w:ind w:left="580" w:right="20" w:hanging="294"/>
        <w:spacing w:after="0" w:line="316" w:lineRule="auto"/>
        <w:tabs>
          <w:tab w:leader="none" w:pos="578" w:val="left"/>
        </w:tabs>
        <w:numPr>
          <w:ilvl w:val="0"/>
          <w:numId w:val="137"/>
        </w:numPr>
        <w:rPr>
          <w:rFonts w:ascii="Arial" w:cs="Arial" w:eastAsia="Arial" w:hAnsi="Arial"/>
          <w:sz w:val="19"/>
          <w:szCs w:val="19"/>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the Netherlands, Ireland and other jurisdictions in which the Company operates.</w:t>
      </w:r>
    </w:p>
    <w:p>
      <w:pPr>
        <w:spacing w:after="0" w:line="1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8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Overview</w:t>
      </w:r>
    </w:p>
    <w:p>
      <w:pPr>
        <w:spacing w:after="0" w:line="23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is a clinical-stage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7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Immediately prior to the completion of the Reverse Takeover, the Company completed a consolidation of all of its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on the basis of 6.672 old Common Shares into one new Common Share. All Common Share and per Common Share amounts expressed herein reflect the post-consolidation Common Shares.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725" w:right="319" w:bottom="1440" w:gutter="0" w:footer="0" w:header="0"/>
        </w:sectPr>
      </w:pPr>
    </w:p>
    <w:bookmarkStart w:id="268" w:name="page269"/>
    <w:bookmarkEnd w:id="268"/>
    <w:p>
      <w:pPr>
        <w:jc w:val="both"/>
        <w:ind w:left="3" w:right="20"/>
        <w:spacing w:after="0" w:line="298" w:lineRule="auto"/>
        <w:rPr>
          <w:sz w:val="20"/>
          <w:szCs w:val="20"/>
          <w:color w:val="auto"/>
        </w:rPr>
      </w:pPr>
      <w:r>
        <w:rPr>
          <w:rFonts w:ascii="Times New Roman" w:cs="Times New Roman" w:eastAsia="Times New Roman" w:hAnsi="Times New Roman"/>
          <w:sz w:val="17"/>
          <w:szCs w:val="17"/>
          <w:color w:val="auto"/>
        </w:rPr>
        <w:t>In connection with the Reverse Takeover, Clarmin Explorations Inc. (“</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7"/>
          <w:szCs w:val="17"/>
          <w:color w:val="auto"/>
        </w:rPr>
        <w:t>”) changed its name to “Cybin Inc.” and the Common Shares became listed for trading on Cboe Canada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7"/>
          <w:szCs w:val="17"/>
          <w:color w:val="auto"/>
        </w:rPr>
        <w:t xml:space="preserve">”) under the trading symbol “CYBN”. In accordance with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consolidated statement of financial position is presented as a continuation of Cybin Corp. and comparative figures presented in the consolidated financial statements after the Reverse Takeover are those of Cybin Corp.</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Prior to completing the Reverse Takeover, and during fiscal 2020, the Company was inactive and evaluating business opportunities.</w:t>
      </w:r>
    </w:p>
    <w:p>
      <w:pPr>
        <w:spacing w:after="0" w:line="254" w:lineRule="exact"/>
        <w:rPr>
          <w:sz w:val="20"/>
          <w:szCs w:val="20"/>
          <w:color w:val="auto"/>
        </w:rPr>
      </w:pPr>
    </w:p>
    <w:p>
      <w:pPr>
        <w:jc w:val="both"/>
        <w:ind w:left="3" w:right="20"/>
        <w:spacing w:after="0" w:line="324" w:lineRule="auto"/>
        <w:rPr>
          <w:sz w:val="20"/>
          <w:szCs w:val="20"/>
          <w:color w:val="auto"/>
        </w:rPr>
      </w:pPr>
      <w:r>
        <w:rPr>
          <w:rFonts w:ascii="Times New Roman" w:cs="Times New Roman" w:eastAsia="Times New Roman" w:hAnsi="Times New Roman"/>
          <w:sz w:val="18"/>
          <w:szCs w:val="18"/>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3" w:right="20"/>
        <w:spacing w:after="0" w:line="362" w:lineRule="auto"/>
        <w:rPr>
          <w:sz w:val="20"/>
          <w:szCs w:val="20"/>
          <w:color w:val="auto"/>
        </w:rPr>
      </w:pPr>
      <w:r>
        <w:rPr>
          <w:rFonts w:ascii="Times New Roman" w:cs="Times New Roman" w:eastAsia="Times New Roman" w:hAnsi="Times New Roman"/>
          <w:sz w:val="17"/>
          <w:szCs w:val="17"/>
          <w:color w:val="auto"/>
        </w:rPr>
        <w:t>On August 5, 2021, the Common Shares commenced trading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Concurrent with the commencement of trading on the NYSE American, the Common Shares ceased to be quoted on the OTCQB® Venture Market.</w:t>
      </w:r>
    </w:p>
    <w:p>
      <w:pPr>
        <w:spacing w:after="0" w:line="85" w:lineRule="exact"/>
        <w:rPr>
          <w:sz w:val="20"/>
          <w:szCs w:val="20"/>
          <w:color w:val="auto"/>
        </w:rPr>
      </w:pPr>
    </w:p>
    <w:p>
      <w:pPr>
        <w:jc w:val="both"/>
        <w:ind w:left="3" w:right="20"/>
        <w:spacing w:after="0" w:line="289"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acquisition by Cybin of Small Pharma Inc. (“</w:t>
      </w:r>
      <w:r>
        <w:rPr>
          <w:rFonts w:ascii="Times New Roman" w:cs="Times New Roman" w:eastAsia="Times New Roman" w:hAnsi="Times New Roman"/>
          <w:sz w:val="19"/>
          <w:szCs w:val="19"/>
          <w:b w:val="1"/>
          <w:bCs w:val="1"/>
          <w:color w:val="auto"/>
        </w:rPr>
        <w:t>Small Pharma</w:t>
      </w:r>
      <w:r>
        <w:rPr>
          <w:rFonts w:ascii="Times New Roman" w:cs="Times New Roman" w:eastAsia="Times New Roman" w:hAnsi="Times New Roman"/>
          <w:sz w:val="18"/>
          <w:szCs w:val="18"/>
          <w:color w:val="auto"/>
        </w:rPr>
        <w:t xml:space="preserve">”) by way of a statutory plan of arrangement under the provisions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9"/>
          <w:szCs w:val="19"/>
          <w:b w:val="1"/>
          <w:bCs w:val="1"/>
          <w:color w:val="auto"/>
        </w:rPr>
        <w:t>Arrangement</w:t>
      </w:r>
      <w:r>
        <w:rPr>
          <w:rFonts w:ascii="Times New Roman" w:cs="Times New Roman" w:eastAsia="Times New Roman" w:hAnsi="Times New Roman"/>
          <w:sz w:val="18"/>
          <w:szCs w:val="18"/>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19"/>
          <w:szCs w:val="19"/>
          <w:b w:val="1"/>
          <w:bCs w:val="1"/>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7"/>
          <w:szCs w:val="17"/>
          <w:color w:val="auto"/>
        </w:rPr>
        <w:t>”). As a result of the Arrangement, Small Pharma is now a wholly-owned subsidiary of Cybin. See "</w:t>
      </w:r>
      <w:r>
        <w:rPr>
          <w:rFonts w:ascii="Times New Roman" w:cs="Times New Roman" w:eastAsia="Times New Roman" w:hAnsi="Times New Roman"/>
          <w:sz w:val="17"/>
          <w:szCs w:val="17"/>
          <w:i w:val="1"/>
          <w:iCs w:val="1"/>
          <w:color w:val="auto"/>
        </w:rPr>
        <w:t>Subsequent Events".</w:t>
      </w:r>
    </w:p>
    <w:p>
      <w:pPr>
        <w:spacing w:after="0" w:line="181"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Times New Roman" w:cs="Times New Roman" w:eastAsia="Times New Roman" w:hAnsi="Times New Roman"/>
          <w:sz w:val="18"/>
          <w:szCs w:val="18"/>
          <w:color w:val="0000FF"/>
        </w:rPr>
        <w:t>www.sedarplus.ca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8" w:lineRule="exact"/>
        <w:rPr>
          <w:sz w:val="20"/>
          <w:szCs w:val="20"/>
          <w:color w:val="auto"/>
        </w:rPr>
      </w:pPr>
    </w:p>
    <w:p>
      <w:pPr>
        <w:jc w:val="both"/>
        <w:ind w:left="3"/>
        <w:spacing w:after="0" w:line="296" w:lineRule="auto"/>
        <w:rPr>
          <w:sz w:val="20"/>
          <w:szCs w:val="20"/>
          <w:color w:val="auto"/>
        </w:rPr>
      </w:pPr>
      <w:r>
        <w:rPr>
          <w:rFonts w:ascii="Times New Roman" w:cs="Times New Roman" w:eastAsia="Times New Roman" w:hAnsi="Times New Roman"/>
          <w:sz w:val="18"/>
          <w:szCs w:val="18"/>
          <w:color w:val="auto"/>
        </w:rPr>
        <w:t>Cybin is a clinical-stage biopharmaceutical company on a mission to create safe and effective psychedelic-based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3"/>
          <w:szCs w:val="23"/>
          <w:color w:val="auto"/>
          <w:vertAlign w:val="superscript"/>
        </w:rPr>
        <w:t>1</w:t>
      </w:r>
    </w:p>
    <w:p>
      <w:pPr>
        <w:spacing w:after="0" w:line="121" w:lineRule="exact"/>
        <w:rPr>
          <w:sz w:val="20"/>
          <w:szCs w:val="20"/>
          <w:color w:val="auto"/>
        </w:rPr>
      </w:pPr>
    </w:p>
    <w:p>
      <w:pPr>
        <w:jc w:val="both"/>
        <w:ind w:left="3" w:right="20"/>
        <w:spacing w:after="0" w:line="317" w:lineRule="auto"/>
        <w:rPr>
          <w:sz w:val="20"/>
          <w:szCs w:val="20"/>
          <w:color w:val="auto"/>
        </w:rPr>
      </w:pPr>
      <w:r>
        <w:rPr>
          <w:rFonts w:ascii="Times New Roman" w:cs="Times New Roman" w:eastAsia="Times New Roman" w:hAnsi="Times New Roman"/>
          <w:sz w:val="17"/>
          <w:szCs w:val="17"/>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17"/>
          <w:szCs w:val="17"/>
          <w:b w:val="1"/>
          <w:bCs w:val="1"/>
          <w:color w:val="auto"/>
        </w:rPr>
        <w:t>IP</w:t>
      </w:r>
      <w:r>
        <w:rPr>
          <w:rFonts w:ascii="Times New Roman" w:cs="Times New Roman" w:eastAsia="Times New Roman" w:hAnsi="Times New Roman"/>
          <w:sz w:val="17"/>
          <w:szCs w:val="17"/>
          <w:color w:val="auto"/>
        </w:rPr>
        <w:t>”) focused on developing the Company’s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17"/>
          <w:szCs w:val="17"/>
          <w:b w:val="1"/>
          <w:bCs w:val="1"/>
          <w:color w:val="auto"/>
        </w:rPr>
        <w:t>DMT</w:t>
      </w:r>
      <w:r>
        <w:rPr>
          <w:rFonts w:ascii="Times New Roman" w:cs="Times New Roman" w:eastAsia="Times New Roman" w:hAnsi="Times New Roman"/>
          <w:sz w:val="17"/>
          <w:szCs w:val="17"/>
          <w:color w:val="auto"/>
        </w:rPr>
        <w:t>”), CYB005, phenethylamine derivatives, and an expansive list of preclinical molecules to facilitate future drug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53987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68" w:lineRule="exact"/>
        <w:rPr>
          <w:sz w:val="20"/>
          <w:szCs w:val="20"/>
          <w:color w:val="auto"/>
        </w:rPr>
      </w:pPr>
    </w:p>
    <w:p>
      <w:pPr>
        <w:jc w:val="both"/>
        <w:ind w:left="3" w:right="20" w:hanging="3"/>
        <w:spacing w:after="0" w:line="239" w:lineRule="auto"/>
        <w:tabs>
          <w:tab w:leader="none" w:pos="86"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9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3"/>
          </w:cols>
          <w:pgMar w:left="317" w:top="704" w:right="319" w:bottom="1440" w:gutter="0" w:footer="0" w:header="0"/>
        </w:sectPr>
      </w:pPr>
    </w:p>
    <w:bookmarkStart w:id="269" w:name="page270"/>
    <w:bookmarkEnd w:id="269"/>
    <w:p>
      <w:pPr>
        <w:jc w:val="both"/>
        <w:ind w:left="3" w:right="20"/>
        <w:spacing w:after="0" w:line="267" w:lineRule="auto"/>
        <w:rPr>
          <w:sz w:val="20"/>
          <w:szCs w:val="20"/>
          <w:color w:val="auto"/>
        </w:rPr>
      </w:pPr>
      <w:r>
        <w:rPr>
          <w:rFonts w:ascii="Times New Roman" w:cs="Times New Roman" w:eastAsia="Times New Roman" w:hAnsi="Times New Roman"/>
          <w:sz w:val="18"/>
          <w:szCs w:val="18"/>
          <w:color w:val="auto"/>
        </w:rPr>
        <w:t>On October 23, 2023, the Company completed the acquisition of Small Pharma by way of the Arrangement pursuant to which Small Pharma became a wholly-owned subsidiary of Cybin. Small Pharma is a biotechnology company focused on developing short-duration psychedelic-assisted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 w:cs="Times New Roman" w:eastAsia="Times New Roman" w:hAnsi="Times New Roman"/>
          <w:sz w:val="19"/>
          <w:szCs w:val="19"/>
          <w:b w:val="1"/>
          <w:bCs w:val="1"/>
          <w:color w:val="auto"/>
        </w:rPr>
        <w:t>LSD</w:t>
      </w:r>
      <w:r>
        <w:rPr>
          <w:rFonts w:ascii="Times New Roman" w:cs="Times New Roman" w:eastAsia="Times New Roman" w:hAnsi="Times New Roman"/>
          <w:sz w:val="18"/>
          <w:szCs w:val="18"/>
          <w:color w:val="auto"/>
        </w:rPr>
        <w:t>”). Second-generation psychedelics refer to those that have been chemically modified with the aim to optimize their therapeutic benefit.</w:t>
      </w:r>
    </w:p>
    <w:p>
      <w:pPr>
        <w:spacing w:after="0" w:line="182" w:lineRule="exact"/>
        <w:rPr>
          <w:sz w:val="20"/>
          <w:szCs w:val="20"/>
          <w:color w:val="auto"/>
        </w:rPr>
      </w:pPr>
    </w:p>
    <w:p>
      <w:pPr>
        <w:ind w:left="3" w:right="160"/>
        <w:spacing w:after="0" w:line="281" w:lineRule="auto"/>
        <w:rPr>
          <w:sz w:val="20"/>
          <w:szCs w:val="20"/>
          <w:color w:val="auto"/>
        </w:rPr>
      </w:pPr>
      <w:r>
        <w:rPr>
          <w:rFonts w:ascii="Times New Roman" w:cs="Times New Roman" w:eastAsia="Times New Roman" w:hAnsi="Times New Roman"/>
          <w:sz w:val="18"/>
          <w:szCs w:val="18"/>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95" w:lineRule="exact"/>
        <w:rPr>
          <w:sz w:val="20"/>
          <w:szCs w:val="20"/>
          <w:color w:val="auto"/>
        </w:rPr>
      </w:pPr>
    </w:p>
    <w:p>
      <w:pPr>
        <w:ind w:left="3" w:right="840"/>
        <w:spacing w:after="0" w:line="298" w:lineRule="auto"/>
        <w:rPr>
          <w:sz w:val="20"/>
          <w:szCs w:val="20"/>
          <w:color w:val="auto"/>
        </w:rPr>
      </w:pPr>
      <w:r>
        <w:rPr>
          <w:rFonts w:ascii="Times New Roman" w:cs="Times New Roman" w:eastAsia="Times New Roman" w:hAnsi="Times New Roman"/>
          <w:sz w:val="18"/>
          <w:szCs w:val="18"/>
          <w:color w:val="auto"/>
        </w:rPr>
        <w:t>As a result of the acquisition of Small Pharma by way of the Arrangement, Cybin currently now has over 60 granted patents and over 200 pending applications. See “</w:t>
      </w:r>
      <w:r>
        <w:rPr>
          <w:rFonts w:ascii="Times New Roman" w:cs="Times New Roman" w:eastAsia="Times New Roman" w:hAnsi="Times New Roman"/>
          <w:sz w:val="19"/>
          <w:szCs w:val="19"/>
          <w:i w:val="1"/>
          <w:iCs w:val="1"/>
          <w:color w:val="auto"/>
        </w:rPr>
        <w:t>Intellectual Property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Advancement of Mental Healthcare</w:t>
      </w:r>
    </w:p>
    <w:p>
      <w:pPr>
        <w:spacing w:after="0" w:line="270"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71" w:lineRule="exact"/>
        <w:rPr>
          <w:sz w:val="20"/>
          <w:szCs w:val="20"/>
          <w:color w:val="auto"/>
        </w:rPr>
      </w:pPr>
    </w:p>
    <w:p>
      <w:pPr>
        <w:jc w:val="both"/>
        <w:ind w:left="3" w:right="20"/>
        <w:spacing w:after="0" w:line="297"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psychedelic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 subcutaneous administration</w:t>
      </w:r>
      <w:r>
        <w:rPr>
          <w:rFonts w:ascii="Times New Roman" w:cs="Times New Roman" w:eastAsia="Times New Roman" w:hAnsi="Times New Roman"/>
          <w:sz w:val="23"/>
          <w:szCs w:val="23"/>
          <w:color w:val="auto"/>
          <w:vertAlign w:val="superscript"/>
        </w:rPr>
        <w:t>2.</w:t>
      </w:r>
    </w:p>
    <w:p>
      <w:pPr>
        <w:spacing w:after="0" w:line="78"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The Company is also developing compounds that may have the potential to address neuroinflammation, central nervous system (“</w:t>
      </w:r>
      <w:r>
        <w:rPr>
          <w:rFonts w:ascii="Times New Roman" w:cs="Times New Roman" w:eastAsia="Times New Roman" w:hAnsi="Times New Roman"/>
          <w:sz w:val="18"/>
          <w:szCs w:val="18"/>
          <w:b w:val="1"/>
          <w:bCs w:val="1"/>
          <w:color w:val="auto"/>
        </w:rPr>
        <w:t>CNS</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new psychedelic-based compounds and novel delivery mechanisms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Stage of Development</w:t>
      </w:r>
    </w:p>
    <w:p>
      <w:pPr>
        <w:spacing w:after="0" w:line="185" w:lineRule="exact"/>
        <w:rPr>
          <w:sz w:val="20"/>
          <w:szCs w:val="20"/>
          <w:color w:val="auto"/>
        </w:rPr>
      </w:pPr>
    </w:p>
    <w:p>
      <w:pPr>
        <w:jc w:val="both"/>
        <w:ind w:left="3" w:right="20"/>
        <w:spacing w:after="0" w:line="357" w:lineRule="auto"/>
        <w:rPr>
          <w:sz w:val="20"/>
          <w:szCs w:val="20"/>
          <w:color w:val="auto"/>
        </w:rPr>
      </w:pPr>
      <w:r>
        <w:rPr>
          <w:rFonts w:ascii="Times New Roman" w:cs="Times New Roman" w:eastAsia="Times New Roman" w:hAnsi="Times New Roman"/>
          <w:sz w:val="17"/>
          <w:szCs w:val="17"/>
          <w:color w:val="auto"/>
        </w:rPr>
        <w:t>Like most life sciences and pharmaceutical companies, the Company's psychedelic business is focused on research and development and any future revenue will be dependent on a number of factors, including the outcome of the Company’s clinical trials and the receipt of all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153987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83" w:lineRule="exact"/>
        <w:rPr>
          <w:sz w:val="20"/>
          <w:szCs w:val="20"/>
          <w:color w:val="auto"/>
        </w:rPr>
      </w:pPr>
    </w:p>
    <w:p>
      <w:pPr>
        <w:ind w:left="3" w:right="10220" w:hanging="3"/>
        <w:spacing w:after="0" w:line="209" w:lineRule="auto"/>
        <w:tabs>
          <w:tab w:leader="none" w:pos="87" w:val="left"/>
        </w:tabs>
        <w:numPr>
          <w:ilvl w:val="0"/>
          <w:numId w:val="1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See footnote 1.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xml:space="preserve"> See footnote 1.</w:t>
      </w:r>
    </w:p>
    <w:p>
      <w:pPr>
        <w:ind w:left="103" w:hanging="103"/>
        <w:spacing w:after="0" w:line="230" w:lineRule="auto"/>
        <w:tabs>
          <w:tab w:leader="none" w:pos="103" w:val="left"/>
        </w:tabs>
        <w:numPr>
          <w:ilvl w:val="0"/>
          <w:numId w:val="1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See footnote 1.</w:t>
      </w:r>
    </w:p>
    <w:p>
      <w:pPr>
        <w:ind w:left="83" w:hanging="83"/>
        <w:spacing w:after="0" w:line="200" w:lineRule="auto"/>
        <w:tabs>
          <w:tab w:leader="none" w:pos="83"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 material factor and assumption underlying this forward-looking statement is that the Company will be able to successfully negotiate strategic partnerships.</w:t>
      </w:r>
    </w:p>
    <w:p>
      <w:pPr>
        <w:spacing w:after="0" w:line="1" w:lineRule="exact"/>
        <w:rPr>
          <w:sz w:val="20"/>
          <w:szCs w:val="20"/>
          <w:color w:val="auto"/>
        </w:rPr>
      </w:pPr>
    </w:p>
    <w:p>
      <w:pPr>
        <w:jc w:val="both"/>
        <w:ind w:left="3" w:right="20" w:hanging="3"/>
        <w:spacing w:after="0" w:line="225" w:lineRule="auto"/>
        <w:tabs>
          <w:tab w:leader="none" w:pos="82" w:val="left"/>
        </w:tabs>
        <w:numPr>
          <w:ilvl w:val="0"/>
          <w:numId w:val="1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9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3"/>
          </w:cols>
          <w:pgMar w:left="317" w:top="931" w:right="319" w:bottom="1440" w:gutter="0" w:footer="0" w:header="0"/>
        </w:sectPr>
      </w:pPr>
    </w:p>
    <w:bookmarkStart w:id="270" w:name="page271"/>
    <w:bookmarkEnd w:id="270"/>
    <w:p>
      <w:pPr>
        <w:jc w:val="both"/>
        <w:ind w:left="3"/>
        <w:spacing w:after="0" w:line="296" w:lineRule="auto"/>
        <w:rPr>
          <w:sz w:val="20"/>
          <w:szCs w:val="20"/>
          <w:color w:val="auto"/>
        </w:rPr>
      </w:pPr>
      <w:r>
        <w:rPr>
          <w:rFonts w:ascii="Times New Roman" w:cs="Times New Roman" w:eastAsia="Times New Roman" w:hAnsi="Times New Roman"/>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7</w:t>
      </w:r>
    </w:p>
    <w:p>
      <w:pPr>
        <w:spacing w:after="0" w:line="92" w:lineRule="exact"/>
        <w:rPr>
          <w:sz w:val="20"/>
          <w:szCs w:val="20"/>
          <w:color w:val="auto"/>
        </w:rPr>
      </w:pPr>
    </w:p>
    <w:p>
      <w:pPr>
        <w:jc w:val="both"/>
        <w:ind w:left="3" w:right="20"/>
        <w:spacing w:after="0" w:line="298"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63" w:lineRule="exact"/>
        <w:rPr>
          <w:sz w:val="20"/>
          <w:szCs w:val="20"/>
          <w:color w:val="auto"/>
        </w:rPr>
      </w:pPr>
    </w:p>
    <w:p>
      <w:pPr>
        <w:jc w:val="both"/>
        <w:ind w:left="3" w:right="20"/>
        <w:spacing w:after="0" w:line="293"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On November 4, 2021, the Company announced that it had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92" w:lineRule="exact"/>
        <w:rPr>
          <w:sz w:val="20"/>
          <w:szCs w:val="20"/>
          <w:color w:val="auto"/>
        </w:rPr>
      </w:pPr>
    </w:p>
    <w:p>
      <w:pPr>
        <w:jc w:val="both"/>
        <w:ind w:left="3" w:right="20"/>
        <w:spacing w:after="0" w:line="297" w:lineRule="auto"/>
        <w:rPr>
          <w:sz w:val="20"/>
          <w:szCs w:val="20"/>
          <w:color w:val="auto"/>
        </w:rPr>
      </w:pPr>
      <w:r>
        <w:rPr>
          <w:rFonts w:ascii="Times New Roman" w:cs="Times New Roman" w:eastAsia="Times New Roman" w:hAnsi="Times New Roman"/>
          <w:sz w:val="18"/>
          <w:szCs w:val="18"/>
          <w:color w:val="auto"/>
        </w:rPr>
        <w:t>On March 13, 2024, the Company announced that it had been granted Breakthrough Therapy Designation ("</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b w:val="1"/>
          <w:bCs w:val="1"/>
          <w:i w:val="1"/>
          <w:iCs w:val="1"/>
          <w:color w:val="auto"/>
          <w:vertAlign w:val="superscript"/>
        </w:rPr>
        <w:t>8</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230" w:lineRule="exact"/>
        <w:rPr>
          <w:sz w:val="20"/>
          <w:szCs w:val="20"/>
          <w:color w:val="auto"/>
        </w:rPr>
      </w:pPr>
    </w:p>
    <w:p>
      <w:pPr>
        <w:ind w:left="583" w:hanging="292"/>
        <w:spacing w:after="0"/>
        <w:tabs>
          <w:tab w:leader="none" w:pos="5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Psilocybin Analog Program (CYB003)</w:t>
      </w:r>
    </w:p>
    <w:p>
      <w:pPr>
        <w:spacing w:after="0" w:line="3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 SPL028, and SPL026)</w:t>
      </w:r>
    </w:p>
    <w:p>
      <w:pPr>
        <w:spacing w:after="0" w:line="47"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3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230" w:lineRule="exact"/>
        <w:rPr>
          <w:sz w:val="20"/>
          <w:szCs w:val="20"/>
          <w:color w:val="auto"/>
        </w:rPr>
      </w:pPr>
    </w:p>
    <w:p>
      <w:pPr>
        <w:jc w:val="both"/>
        <w:ind w:left="3" w:right="20"/>
        <w:spacing w:after="0" w:line="300" w:lineRule="auto"/>
        <w:rPr>
          <w:sz w:val="20"/>
          <w:szCs w:val="20"/>
          <w:color w:val="auto"/>
        </w:rPr>
      </w:pPr>
      <w:r>
        <w:rPr>
          <w:rFonts w:ascii="Times New Roman" w:cs="Times New Roman" w:eastAsia="Times New Roman" w:hAnsi="Times New Roman"/>
          <w:sz w:val="18"/>
          <w:szCs w:val="18"/>
          <w:color w:val="auto"/>
        </w:rPr>
        <w:t>The Company has developed EMBARK, a psychological support model that integrates leading clinical approaches to promote supportive healing with psychedelic medicine.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elational,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eeping Momentum) represent the broad spectrum of ways in which therapeutic benefits may arise in psychedelic treatment and the equally broad training needed to prepare therapists to support them all. The Company launched its EMBARK training program in June 2021,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53987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1" w:lineRule="exact"/>
        <w:rPr>
          <w:sz w:val="20"/>
          <w:szCs w:val="20"/>
          <w:color w:val="auto"/>
        </w:rPr>
      </w:pPr>
    </w:p>
    <w:p>
      <w:pPr>
        <w:ind w:left="3" w:right="20" w:hanging="3"/>
        <w:spacing w:after="0" w:line="215" w:lineRule="auto"/>
        <w:tabs>
          <w:tab w:leader="none" w:pos="108" w:val="left"/>
        </w:tabs>
        <w:numPr>
          <w:ilvl w:val="0"/>
          <w:numId w:val="1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ind w:left="3"/>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3"/>
          </w:cols>
          <w:pgMar w:left="317" w:top="725" w:right="319" w:bottom="1440" w:gutter="0" w:footer="0" w:header="0"/>
        </w:sectPr>
      </w:pPr>
    </w:p>
    <w:bookmarkStart w:id="271" w:name="page272"/>
    <w:bookmarkEnd w:id="271"/>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18"/>
          <w:szCs w:val="18"/>
          <w:b w:val="1"/>
          <w:bCs w:val="1"/>
          <w:color w:val="auto"/>
        </w:rPr>
        <w:t>EMBARK OA</w:t>
      </w:r>
      <w:r>
        <w:rPr>
          <w:rFonts w:ascii="Times New Roman" w:cs="Times New Roman" w:eastAsia="Times New Roman" w:hAnsi="Times New Roman"/>
          <w:sz w:val="18"/>
          <w:szCs w:val="18"/>
          <w:color w:val="auto"/>
        </w:rPr>
        <w:t>”), a free online foundational training course for psychedelic facilitation. EMBARK Open Access is the first and only free massive open online course that offers foundational psychedelic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which is designed for individuals with existing knowledge, skills, and experience in psychedelic facilitation. The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is continuing to assess the research and development programs of Small Pharma acquired through the acquisition of Small Pharma by way of the Arrangement and will provide further information and updates upon completion of the integration of Small Pharma’s business, including the anticipated spend associated with any programs.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Psilocybin Analog Program (CYB003)</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7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psilocybin analog program that has been granted FDA BTD for the adjunctive treatment of MDD. CYB003 aims to address the limitations of oral psilocybin, including side effects, scalability and accessibility of treatment.</w:t>
      </w:r>
    </w:p>
    <w:p>
      <w:pPr>
        <w:spacing w:after="0" w:line="1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 moderate to severe MDD. 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1/2a clinical trial of CYB003. On August 30, 2022, the Company announced that the first two participants have been dosed in the Phase 1/2a study.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CYB003 Phase 1/2a Clinical Trial</w:t>
      </w:r>
    </w:p>
    <w:p>
      <w:pPr>
        <w:spacing w:after="0" w:line="2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psychedelic effect were assessed after each dose. Participants with MDD received two administrations (placebo/active and active/active) three weeks apart and response/remission were assessed three weeks after each dose. MDD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725" w:right="3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t>participants in the trial that were being treated with antidepressants were allowed to remain on their antidepressant medication.</w:t>
      </w:r>
    </w:p>
    <w:p>
      <w:pPr>
        <w:spacing w:after="0" w:line="23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color w:val="auto"/>
        </w:rPr>
        <w:t>The study investigated the safety, tolerability, pharmacokinetics ("</w:t>
      </w:r>
      <w:r>
        <w:rPr>
          <w:rFonts w:ascii="Times New Roman" w:cs="Times New Roman" w:eastAsia="Times New Roman" w:hAnsi="Times New Roman"/>
          <w:sz w:val="17"/>
          <w:szCs w:val="17"/>
          <w:b w:val="1"/>
          <w:bCs w:val="1"/>
          <w:color w:val="auto"/>
        </w:rPr>
        <w:t>PK</w:t>
      </w:r>
      <w:r>
        <w:rPr>
          <w:rFonts w:ascii="Times New Roman" w:cs="Times New Roman" w:eastAsia="Times New Roman" w:hAnsi="Times New Roman"/>
          <w:sz w:val="17"/>
          <w:szCs w:val="17"/>
          <w:color w:val="auto"/>
        </w:rPr>
        <w:t>") and pharmacodynamics ("</w:t>
      </w:r>
      <w:r>
        <w:rPr>
          <w:rFonts w:ascii="Times New Roman" w:cs="Times New Roman" w:eastAsia="Times New Roman" w:hAnsi="Times New Roman"/>
          <w:sz w:val="17"/>
          <w:szCs w:val="17"/>
          <w:b w:val="1"/>
          <w:bCs w:val="1"/>
          <w:color w:val="auto"/>
        </w:rPr>
        <w:t>PD</w:t>
      </w:r>
      <w:r>
        <w:rPr>
          <w:rFonts w:ascii="Times New Roman" w:cs="Times New Roman" w:eastAsia="Times New Roman" w:hAnsi="Times New Roman"/>
          <w:sz w:val="17"/>
          <w:szCs w:val="17"/>
          <w:color w:val="auto"/>
        </w:rPr>
        <w:t>"), and psychedelic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17"/>
          <w:szCs w:val="17"/>
          <w:b w:val="1"/>
          <w:bCs w:val="1"/>
          <w:color w:val="auto"/>
        </w:rPr>
        <w:t>MADRS</w:t>
      </w:r>
      <w:r>
        <w:rPr>
          <w:rFonts w:ascii="Times New Roman" w:cs="Times New Roman" w:eastAsia="Times New Roman" w:hAnsi="Times New Roman"/>
          <w:sz w:val="17"/>
          <w:szCs w:val="17"/>
          <w:color w:val="auto"/>
        </w:rPr>
        <w:t>"), and evaluated the incremental benefit of a second dose of CYB003 when administered at Week 3. An optional period of assessment will help determine the durability of treatment effect out to 12 months. The study is listed on ClinicalTrials.gov under Identifier: NCT05385783.</w:t>
      </w:r>
    </w:p>
    <w:p>
      <w:pPr>
        <w:spacing w:after="0" w:line="18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w:t>
      </w:r>
    </w:p>
    <w:p>
      <w:pPr>
        <w:spacing w:after="0" w:line="18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so far of completed Cohorts 4 and 5, evaluated two 12mg doses of CYB003. On August 2, 2023, the Company announced that it had initiated dosing in Cohort 6, the final cohort of the CYB003 Phase 2a study.</w:t>
      </w:r>
    </w:p>
    <w:p>
      <w:pPr>
        <w:spacing w:after="0" w:line="18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On September 21, 2023, the Company announced that it had completed enrollment in its Phase 2a study of CYB003, its proprietary deuterated psilocybin analog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189"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6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7"/>
          <w:szCs w:val="17"/>
          <w:color w:val="auto"/>
        </w:rPr>
        <w:t xml:space="preserve">On October 31, 2023, the Company announced Phase 2a interim results for CYB003, its proprietary deuterated psilocybin analog,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w:t>
      </w:r>
      <w:r>
        <w:rPr>
          <w:rFonts w:ascii="Times New Roman" w:cs="Times New Roman" w:eastAsia="Times New Roman" w:hAnsi="Times New Roman"/>
          <w:sz w:val="18"/>
          <w:szCs w:val="18"/>
          <w:color w:val="auto"/>
        </w:rPr>
        <w:t>MADRS</w:t>
      </w:r>
      <w:r>
        <w:rPr>
          <w:rFonts w:ascii="Times New Roman" w:cs="Times New Roman" w:eastAsia="Times New Roman" w:hAnsi="Times New Roman"/>
          <w:sz w:val="17"/>
          <w:szCs w:val="17"/>
          <w:color w:val="auto"/>
        </w:rPr>
        <w:t xml:space="preserve"> total score, was superior in participants assigned to CYB003 compared to the participants who received placebo by 14.08 points (p=0.0005, Cohen’s d=2.15).</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 These results support progression to a Phase 3 study in MDD which is expected to begin in summer of 2024.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713" w:right="319" w:bottom="1440" w:gutter="0" w:footer="0" w:header="0"/>
        </w:sectPr>
      </w:pPr>
    </w:p>
    <w:bookmarkStart w:id="273" w:name="page274"/>
    <w:bookmarkEnd w:id="273"/>
    <w:p>
      <w:pPr>
        <w:jc w:val="both"/>
        <w:ind w:left="3"/>
        <w:spacing w:after="0" w:line="288" w:lineRule="auto"/>
        <w:rPr>
          <w:sz w:val="20"/>
          <w:szCs w:val="20"/>
          <w:color w:val="auto"/>
        </w:rPr>
      </w:pPr>
      <w:r>
        <w:rPr>
          <w:rFonts w:ascii="Times New Roman" w:cs="Times New Roman" w:eastAsia="Times New Roman" w:hAnsi="Times New Roman"/>
          <w:sz w:val="18"/>
          <w:szCs w:val="18"/>
          <w:color w:val="auto"/>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spacing w:after="0" w:line="1" w:lineRule="exact"/>
        <w:rPr>
          <w:sz w:val="20"/>
          <w:szCs w:val="20"/>
          <w:color w:val="auto"/>
        </w:rPr>
      </w:pPr>
    </w:p>
    <w:p>
      <w:pPr>
        <w:ind w:left="563" w:hanging="272"/>
        <w:spacing w:after="0"/>
        <w:tabs>
          <w:tab w:leader="none" w:pos="56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mean reduction from baseline in the MADRS total score across 2 cohorts was approximately 22 points from baseline in both dosing cohorts.</w:t>
      </w:r>
    </w:p>
    <w:p>
      <w:pPr>
        <w:spacing w:after="0" w:line="47" w:lineRule="exact"/>
        <w:rPr>
          <w:rFonts w:ascii="Times New Roman" w:cs="Times New Roman" w:eastAsia="Times New Roman" w:hAnsi="Times New Roman"/>
          <w:sz w:val="17"/>
          <w:szCs w:val="17"/>
          <w:color w:val="auto"/>
        </w:rPr>
      </w:pPr>
    </w:p>
    <w:p>
      <w:pPr>
        <w:ind w:left="563" w:hanging="272"/>
        <w:spacing w:after="0"/>
        <w:tabs>
          <w:tab w:leader="none" w:pos="5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patients on 12 mg and 75% on 16 mg were in remission from depression following 2 doses (MADRS score &lt;/= 10).</w:t>
      </w:r>
    </w:p>
    <w:p>
      <w:pPr>
        <w:spacing w:after="0" w:line="24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The Company spent approximately $14,525 on the Deuterated Psilocybin Analog Program during the twelve months ended </w:t>
      </w:r>
      <w:r>
        <w:rPr>
          <w:rFonts w:ascii="Times New Roman" w:cs="Times New Roman" w:eastAsia="Times New Roman" w:hAnsi="Times New Roman"/>
          <w:sz w:val="19"/>
          <w:szCs w:val="19"/>
          <w:color w:val="auto"/>
        </w:rPr>
        <w:t>March 31, 2024.</w:t>
      </w:r>
    </w:p>
    <w:p>
      <w:pPr>
        <w:spacing w:after="0" w:line="259" w:lineRule="exact"/>
        <w:rPr>
          <w:sz w:val="20"/>
          <w:szCs w:val="20"/>
          <w:color w:val="auto"/>
        </w:rPr>
      </w:pPr>
    </w:p>
    <w:p>
      <w:pPr>
        <w:ind w:left="3" w:right="20"/>
        <w:spacing w:after="0" w:line="296"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its clinical development have been identified. The Company intends to:</w:t>
      </w:r>
    </w:p>
    <w:p>
      <w:pPr>
        <w:spacing w:after="0" w:line="181" w:lineRule="exact"/>
        <w:rPr>
          <w:sz w:val="20"/>
          <w:szCs w:val="20"/>
          <w:color w:val="auto"/>
        </w:rPr>
      </w:pPr>
    </w:p>
    <w:p>
      <w:pPr>
        <w:ind w:left="583" w:right="2960" w:hanging="292"/>
        <w:spacing w:after="0" w:line="321" w:lineRule="auto"/>
        <w:tabs>
          <w:tab w:leader="none" w:pos="572" w:val="left"/>
        </w:tabs>
        <w:numPr>
          <w:ilvl w:val="0"/>
          <w:numId w:val="14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Initiate a Phase 3 study of CYB003 in MDD in summer of 2024 to further evaluate the safety and efficacy of CYB003 capsules as a potential adjunctive treatment in a larger MDD patient population</w:t>
      </w:r>
      <w:r>
        <w:rPr>
          <w:rFonts w:ascii="Times New Roman" w:cs="Times New Roman" w:eastAsia="Times New Roman" w:hAnsi="Times New Roman"/>
          <w:sz w:val="23"/>
          <w:szCs w:val="23"/>
          <w:color w:val="auto"/>
          <w:vertAlign w:val="superscript"/>
        </w:rPr>
        <w:t>9,10,11</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8"/>
          <w:szCs w:val="18"/>
          <w:color w:val="auto"/>
        </w:rPr>
        <w:t>The Company spent approximately $2,430 to complete its FDA IND submission in Q1 2024</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The Company spent approximately $9,289 to receive its top line data readout from the Phase 1/2a study and to complete FDA submission of CYB003 Phase 1/2a data for end of phase 2 meeting in Q4 2023 of which approximately $7,897 was spent during the twelve months ended March 31, 2024 and approximately $1,392 was spent in the financial year ended March 31, 2023</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153987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both"/>
        <w:ind w:left="3" w:right="20" w:hanging="3"/>
        <w:spacing w:after="0" w:line="224" w:lineRule="auto"/>
        <w:tabs>
          <w:tab w:leader="none" w:pos="114" w:val="left"/>
        </w:tabs>
        <w:numPr>
          <w:ilvl w:val="0"/>
          <w:numId w:val="1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w:t>
      </w:r>
    </w:p>
    <w:p>
      <w:pPr>
        <w:spacing w:after="0" w:line="16" w:lineRule="exact"/>
        <w:rPr>
          <w:rFonts w:ascii="Times New Roman" w:cs="Times New Roman" w:eastAsia="Times New Roman" w:hAnsi="Times New Roman"/>
          <w:sz w:val="24"/>
          <w:szCs w:val="24"/>
          <w:color w:val="auto"/>
          <w:vertAlign w:val="superscript"/>
        </w:rPr>
      </w:pPr>
    </w:p>
    <w:p>
      <w:pPr>
        <w:ind w:left="3" w:right="20"/>
        <w:spacing w:after="0" w:line="27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183" w:hanging="183"/>
        <w:spacing w:after="0" w:line="204" w:lineRule="auto"/>
        <w:tabs>
          <w:tab w:leader="none" w:pos="183" w:val="left"/>
        </w:tabs>
        <w:numPr>
          <w:ilvl w:val="0"/>
          <w:numId w:val="1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9.</w:t>
      </w:r>
    </w:p>
    <w:p>
      <w:pPr>
        <w:spacing w:after="0" w:line="89" w:lineRule="exact"/>
        <w:rPr>
          <w:rFonts w:ascii="Times New Roman" w:cs="Times New Roman" w:eastAsia="Times New Roman" w:hAnsi="Times New Roman"/>
          <w:sz w:val="25"/>
          <w:szCs w:val="25"/>
          <w:color w:val="auto"/>
          <w:vertAlign w:val="superscript"/>
        </w:rPr>
      </w:pPr>
    </w:p>
    <w:p>
      <w:pPr>
        <w:ind w:left="163" w:hanging="163"/>
        <w:spacing w:after="0" w:line="184" w:lineRule="auto"/>
        <w:tabs>
          <w:tab w:leader="none" w:pos="163" w:val="left"/>
        </w:tabs>
        <w:numPr>
          <w:ilvl w:val="0"/>
          <w:numId w:val="14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Company has updated this milestone. The Company had previously expected it would complete this milestone in Q2 2024. The Company now expects initiation of the Phase 3 study in</w:t>
      </w:r>
    </w:p>
    <w:p>
      <w:pPr>
        <w:spacing w:after="0" w:line="57" w:lineRule="exact"/>
        <w:rPr>
          <w:sz w:val="20"/>
          <w:szCs w:val="20"/>
          <w:color w:val="auto"/>
        </w:rPr>
      </w:pPr>
    </w:p>
    <w:p>
      <w:pPr>
        <w:ind w:left="3" w:right="20"/>
        <w:spacing w:after="0" w:line="271" w:lineRule="auto"/>
        <w:rPr>
          <w:sz w:val="20"/>
          <w:szCs w:val="20"/>
          <w:color w:val="auto"/>
        </w:rPr>
      </w:pPr>
      <w:r>
        <w:rPr>
          <w:rFonts w:ascii="Times New Roman" w:cs="Times New Roman" w:eastAsia="Times New Roman" w:hAnsi="Times New Roman"/>
          <w:sz w:val="15"/>
          <w:szCs w:val="15"/>
          <w:color w:val="auto"/>
        </w:rPr>
        <w:t>summer 2024. Minor change in anticipated timing due to updates to the study. Anticipated spending and timelines regarding drug development are based on reasonable assumptions informed by current knowledge and information available to the Company. See also footnote 9.</w:t>
      </w:r>
    </w:p>
    <w:p>
      <w:pPr>
        <w:spacing w:after="0" w:line="43" w:lineRule="exact"/>
        <w:rPr>
          <w:sz w:val="20"/>
          <w:szCs w:val="20"/>
          <w:color w:val="auto"/>
        </w:rPr>
      </w:pPr>
    </w:p>
    <w:p>
      <w:pPr>
        <w:jc w:val="both"/>
        <w:ind w:left="3" w:right="20" w:hanging="3"/>
        <w:spacing w:after="0" w:line="248" w:lineRule="auto"/>
        <w:tabs>
          <w:tab w:leader="none" w:pos="178" w:val="left"/>
        </w:tabs>
        <w:numPr>
          <w:ilvl w:val="0"/>
          <w:numId w:val="1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would be $2,300 to complete FDA IND submission.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w:t>
      </w:r>
    </w:p>
    <w:p>
      <w:pPr>
        <w:spacing w:after="0" w:line="12" w:lineRule="exact"/>
        <w:rPr>
          <w:rFonts w:ascii="Times New Roman" w:cs="Times New Roman" w:eastAsia="Times New Roman" w:hAnsi="Times New Roman"/>
          <w:sz w:val="24"/>
          <w:szCs w:val="24"/>
          <w:color w:val="auto"/>
          <w:vertAlign w:val="superscript"/>
        </w:rPr>
      </w:pPr>
    </w:p>
    <w:p>
      <w:pPr>
        <w:ind w:left="3" w:right="20"/>
        <w:spacing w:after="0" w:line="28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of implementation and results of such studies on timelines indicated as possible by such guidelines, other industry examples, and the Company’s development efforts to date. Reflects actual spend during the financial year ended March 31, 2024.</w:t>
      </w:r>
    </w:p>
    <w:p>
      <w:pPr>
        <w:spacing w:after="0" w:line="41" w:lineRule="exact"/>
        <w:rPr>
          <w:rFonts w:ascii="Times New Roman" w:cs="Times New Roman" w:eastAsia="Times New Roman" w:hAnsi="Times New Roman"/>
          <w:sz w:val="24"/>
          <w:szCs w:val="24"/>
          <w:color w:val="auto"/>
          <w:vertAlign w:val="superscript"/>
        </w:rPr>
      </w:pPr>
    </w:p>
    <w:p>
      <w:pPr>
        <w:jc w:val="both"/>
        <w:ind w:left="3" w:right="20" w:hanging="3"/>
        <w:spacing w:after="0" w:line="248" w:lineRule="auto"/>
        <w:tabs>
          <w:tab w:leader="none" w:pos="178" w:val="left"/>
        </w:tabs>
        <w:numPr>
          <w:ilvl w:val="0"/>
          <w:numId w:val="1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both these milestones. The Company had previously estimated that its spending to provide topline data readout from the Phase 1/2a study would be $7,704 and to complete FDA submission of CYB003 Phase 1/2a data for end of phase 2 meeting would be $2,500 for a total of $10,204. Anticipated timing and spending regarding drug development is based on reasonable assumptions informed by current knowledge and information available to the Company. Such statements are informed by, among other things, regulatory guidelines for</w:t>
      </w:r>
    </w:p>
    <w:p>
      <w:pPr>
        <w:spacing w:after="0" w:line="12" w:lineRule="exact"/>
        <w:rPr>
          <w:rFonts w:ascii="Times New Roman" w:cs="Times New Roman" w:eastAsia="Times New Roman" w:hAnsi="Times New Roman"/>
          <w:sz w:val="24"/>
          <w:szCs w:val="24"/>
          <w:color w:val="auto"/>
          <w:vertAlign w:val="superscript"/>
        </w:rPr>
      </w:pPr>
    </w:p>
    <w:p>
      <w:pPr>
        <w:jc w:val="both"/>
        <w:ind w:left="3" w:right="20"/>
        <w:spacing w:after="0" w:line="29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2024, and during the period from April 1, 2023 to March 31, 2024.</w:t>
      </w:r>
    </w:p>
    <w:p>
      <w:pPr>
        <w:spacing w:after="0" w:line="200" w:lineRule="exact"/>
        <w:rPr>
          <w:sz w:val="20"/>
          <w:szCs w:val="20"/>
          <w:color w:val="auto"/>
        </w:rPr>
      </w:pPr>
    </w:p>
    <w:p>
      <w:pPr>
        <w:spacing w:after="0" w:line="37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3"/>
          </w:cols>
          <w:pgMar w:left="317" w:top="725" w:right="319" w:bottom="1440" w:gutter="0" w:footer="0" w:header="0"/>
        </w:sectPr>
      </w:pPr>
    </w:p>
    <w:bookmarkStart w:id="274" w:name="page275"/>
    <w:bookmarkEnd w:id="274"/>
    <w:p>
      <w:pPr>
        <w:jc w:val="both"/>
        <w:ind w:left="3" w:right="20"/>
        <w:spacing w:after="0" w:line="272" w:lineRule="auto"/>
        <w:rPr>
          <w:sz w:val="20"/>
          <w:szCs w:val="20"/>
          <w:color w:val="auto"/>
        </w:rPr>
      </w:pPr>
      <w:r>
        <w:rPr>
          <w:rFonts w:ascii="Times New Roman" w:cs="Times New Roman" w:eastAsia="Times New Roman" w:hAnsi="Times New Roman"/>
          <w:sz w:val="17"/>
          <w:szCs w:val="17"/>
          <w:color w:val="auto"/>
        </w:rPr>
        <w:t>The Company expects to spend approximately $13,276</w:t>
      </w:r>
      <w:r>
        <w:rPr>
          <w:rFonts w:ascii="Times New Roman" w:cs="Times New Roman" w:eastAsia="Times New Roman" w:hAnsi="Times New Roman"/>
          <w:sz w:val="22"/>
          <w:szCs w:val="22"/>
          <w:color w:val="auto"/>
          <w:vertAlign w:val="superscript"/>
        </w:rPr>
        <w:t>14</w:t>
      </w:r>
      <w:r>
        <w:rPr>
          <w:rFonts w:ascii="Times New Roman" w:cs="Times New Roman" w:eastAsia="Times New Roman" w:hAnsi="Times New Roman"/>
          <w:sz w:val="17"/>
          <w:szCs w:val="17"/>
          <w:color w:val="auto"/>
        </w:rPr>
        <w:t xml:space="preserve"> to initiate a Phase 3 study of CYB003 in MDD in summer 2024, of which approximately $2,978 was spent during the twelve months ended March 31, 2024. The Company intends to continue funding the Deuterated Psilocybin Analog (CYB003) Program.</w:t>
      </w:r>
    </w:p>
    <w:p>
      <w:pPr>
        <w:spacing w:after="0" w:line="1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Dimethyltryptamine Program</w:t>
      </w:r>
    </w:p>
    <w:p>
      <w:pPr>
        <w:spacing w:after="0" w:line="246" w:lineRule="exact"/>
        <w:rPr>
          <w:sz w:val="20"/>
          <w:szCs w:val="20"/>
          <w:color w:val="auto"/>
        </w:rPr>
      </w:pPr>
    </w:p>
    <w:p>
      <w:pPr>
        <w:jc w:val="both"/>
        <w:ind w:left="3" w:right="20"/>
        <w:spacing w:after="0" w:line="288" w:lineRule="auto"/>
        <w:rPr>
          <w:sz w:val="20"/>
          <w:szCs w:val="20"/>
          <w:color w:val="auto"/>
        </w:rPr>
      </w:pPr>
      <w:r>
        <w:rPr>
          <w:rFonts w:ascii="Times New Roman" w:cs="Times New Roman" w:eastAsia="Times New Roman" w:hAnsi="Times New Roman"/>
          <w:sz w:val="18"/>
          <w:szCs w:val="18"/>
          <w:color w:val="auto"/>
        </w:rPr>
        <w:t>The Company's proprietary deuterated dimethyltryptamine ("dDMT") program CYB004 is being developed as an intermittent treatment with the potential for less invasive, more convenient and patient-friendly dosing methods for the potential treatment of GAD with or without MDD. A single intramuscular (“IM”) dose is expected to result in acute psychedelic effects lasting an average of 90 minutes.</w:t>
      </w:r>
    </w:p>
    <w:p>
      <w:pPr>
        <w:spacing w:after="0" w:line="189"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8"/>
          <w:szCs w:val="18"/>
          <w:color w:val="auto"/>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Key findings from these completed studies are as follows:</w:t>
      </w:r>
    </w:p>
    <w:p>
      <w:pPr>
        <w:spacing w:after="0" w:line="254" w:lineRule="exact"/>
        <w:rPr>
          <w:sz w:val="20"/>
          <w:szCs w:val="20"/>
          <w:color w:val="auto"/>
        </w:rPr>
      </w:pPr>
    </w:p>
    <w:p>
      <w:pPr>
        <w:jc w:val="both"/>
        <w:ind w:left="583" w:hanging="292"/>
        <w:spacing w:after="0" w:line="281" w:lineRule="auto"/>
        <w:tabs>
          <w:tab w:leader="none" w:pos="57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safety and efficacy data for SPL026 (IV DMT) in 34 participants with MDD, demonstrating a clinically relevant and 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spacing w:after="0" w:line="206" w:lineRule="exact"/>
        <w:rPr>
          <w:rFonts w:ascii="Times New Roman" w:cs="Times New Roman" w:eastAsia="Times New Roman" w:hAnsi="Times New Roman"/>
          <w:sz w:val="18"/>
          <w:szCs w:val="18"/>
          <w:color w:val="auto"/>
        </w:rPr>
      </w:pPr>
    </w:p>
    <w:p>
      <w:pPr>
        <w:ind w:left="583" w:right="20" w:hanging="292"/>
        <w:spacing w:after="0" w:line="310" w:lineRule="auto"/>
        <w:tabs>
          <w:tab w:leader="none" w:pos="57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study evaluating IM SPL026 supporting IM administration for patient-friendly dosing. The study demonstrated that IM DMT is well-tolerated and generates a breakthrough psychedelic experience lasting approximately 45 minutes.</w:t>
      </w:r>
    </w:p>
    <w:p>
      <w:pPr>
        <w:spacing w:after="0" w:line="180" w:lineRule="exact"/>
        <w:rPr>
          <w:rFonts w:ascii="Times New Roman" w:cs="Times New Roman" w:eastAsia="Times New Roman" w:hAnsi="Times New Roman"/>
          <w:sz w:val="18"/>
          <w:szCs w:val="18"/>
          <w:color w:val="auto"/>
        </w:rPr>
      </w:pPr>
    </w:p>
    <w:p>
      <w:pPr>
        <w:jc w:val="both"/>
        <w:ind w:left="583" w:right="20" w:hanging="292"/>
        <w:spacing w:after="0" w:line="302" w:lineRule="auto"/>
        <w:tabs>
          <w:tab w:leader="none" w:pos="57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study evaluating IM SPL028 supporting IM administration for patient-friendly dosing. The completed Phase 1 study of IV/IM SPL028 in healthy volunteers showed that SPL028 is safe and well-tolerated, and demonstrated that IM dosing of SPL028 produced robust psychedelic effects lasting a short duration (average approximately 90 minutes) in the majority of subjects.</w:t>
      </w:r>
    </w:p>
    <w:p>
      <w:pPr>
        <w:spacing w:after="0" w:line="176" w:lineRule="exact"/>
        <w:rPr>
          <w:rFonts w:ascii="Times New Roman" w:cs="Times New Roman" w:eastAsia="Times New Roman" w:hAnsi="Times New Roman"/>
          <w:sz w:val="18"/>
          <w:szCs w:val="18"/>
          <w:color w:val="auto"/>
        </w:rPr>
      </w:pPr>
    </w:p>
    <w:p>
      <w:pPr>
        <w:ind w:left="563" w:hanging="272"/>
        <w:spacing w:after="0"/>
        <w:tabs>
          <w:tab w:leader="none" w:pos="56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study evaluating the safety and efficacy of SPL026 in conjunction with selective serotonin reuptake inhibitors ("SSRIs") in 17 participants</w:t>
      </w:r>
    </w:p>
    <w:p>
      <w:pPr>
        <w:spacing w:after="0" w:line="47" w:lineRule="exact"/>
        <w:rPr>
          <w:rFonts w:ascii="Times New Roman" w:cs="Times New Roman" w:eastAsia="Times New Roman" w:hAnsi="Times New Roman"/>
          <w:sz w:val="18"/>
          <w:szCs w:val="18"/>
          <w:color w:val="auto"/>
        </w:rPr>
      </w:pPr>
    </w:p>
    <w:p>
      <w:pPr>
        <w:ind w:left="583" w:right="2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MDD, demonstrating no relevant drug-drug interactions, a favorable safety profile and enhanced efficacy when SPL026 was administered with SSRIs, and a 92% remission rate at 4 weeks in the DMT + SSRI combination cohort (n=12).</w:t>
      </w:r>
    </w:p>
    <w:p>
      <w:pPr>
        <w:spacing w:after="0" w:line="180" w:lineRule="exact"/>
        <w:rPr>
          <w:rFonts w:ascii="Times New Roman" w:cs="Times New Roman" w:eastAsia="Times New Roman" w:hAnsi="Times New Roman"/>
          <w:sz w:val="18"/>
          <w:szCs w:val="18"/>
          <w:color w:val="auto"/>
        </w:rPr>
      </w:pPr>
    </w:p>
    <w:p>
      <w:pPr>
        <w:ind w:left="583" w:right="20" w:hanging="292"/>
        <w:spacing w:after="0" w:line="310" w:lineRule="auto"/>
        <w:tabs>
          <w:tab w:leader="none" w:pos="57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results for IV CYB004 demonstrated robust and rapid-onset psychedelic effects at lower doses compared to native DMT, suggesting potential as a short-acting, scalable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153987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3" w:right="20" w:hanging="3"/>
        <w:spacing w:after="0" w:line="224" w:lineRule="auto"/>
        <w:tabs>
          <w:tab w:leader="none" w:pos="178" w:val="left"/>
        </w:tabs>
        <w:numPr>
          <w:ilvl w:val="0"/>
          <w:numId w:val="1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Refer to footnote 11. The Company had previously estimated that its spending to complete this milestone would be $17,550. Anticipated timing and spending regarding drug development is based on reasonable assumptions informed by current knowledge and information available to the Company. Such statements are informed by, among other things, regulatory guidelines for</w:t>
      </w:r>
    </w:p>
    <w:p>
      <w:pPr>
        <w:spacing w:after="0" w:line="16" w:lineRule="exact"/>
        <w:rPr>
          <w:rFonts w:ascii="Times New Roman" w:cs="Times New Roman" w:eastAsia="Times New Roman" w:hAnsi="Times New Roman"/>
          <w:sz w:val="24"/>
          <w:szCs w:val="24"/>
          <w:color w:val="auto"/>
          <w:vertAlign w:val="superscript"/>
        </w:rPr>
      </w:pPr>
    </w:p>
    <w:p>
      <w:pPr>
        <w:ind w:left="3" w:right="20"/>
        <w:spacing w:after="0" w:line="29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7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3"/>
          </w:cols>
          <w:pgMar w:left="317" w:top="713" w:right="319" w:bottom="1440" w:gutter="0" w:footer="0" w:header="0"/>
        </w:sectPr>
      </w:pPr>
    </w:p>
    <w:bookmarkStart w:id="275" w:name="page276"/>
    <w:bookmarkEnd w:id="275"/>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is currently advancing CYB004, a deuterated version of DMT, for the potential treatment of GAD. DMT has been shown to exert its psychedelic effects by activating the 5-HT2A receptor.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18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CYB004 is secured by a U.S. composition of matter patent with protection through 2041. The patent covers a range of deuteration forms of DMT and protects CYB004 as a putative new chemical entity.</w:t>
      </w:r>
    </w:p>
    <w:p>
      <w:pPr>
        <w:spacing w:after="0" w:line="1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the Company announced that it has selected GAD as the target indication for its proprietary deuterated DMT molecule, CYB004.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CYB004-E DMT Study</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18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6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713" w:right="319" w:bottom="1440" w:gutter="0" w:footer="0" w:header="0"/>
        </w:sectPr>
      </w:pPr>
    </w:p>
    <w:bookmarkStart w:id="276" w:name="page277"/>
    <w:bookmarkEnd w:id="276"/>
    <w:p>
      <w:pPr>
        <w:ind w:left="3"/>
        <w:spacing w:after="0" w:line="296" w:lineRule="auto"/>
        <w:rPr>
          <w:sz w:val="20"/>
          <w:szCs w:val="20"/>
          <w:color w:val="auto"/>
        </w:rPr>
      </w:pPr>
      <w:r>
        <w:rPr>
          <w:rFonts w:ascii="Times New Roman" w:cs="Times New Roman" w:eastAsia="Times New Roman" w:hAnsi="Times New Roman"/>
          <w:sz w:val="18"/>
          <w:szCs w:val="18"/>
          <w:color w:val="auto"/>
        </w:rPr>
        <w:t>dose-related increase in behavioral measures of subjective psychedelic experience with IV DMT. IV DMT was also well-tolerated with no safety issues and no serious adverse events within the dose range evaluated.</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May 9, 2023, the Company announced that it had completed dosing for the last subject in Part B of the Phase 1 CYB004-E trial.</w:t>
      </w:r>
    </w:p>
    <w:p>
      <w:pPr>
        <w:spacing w:after="0" w:line="2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May 24, 2023, the Company announced that it had initiated first-in-human dosing of CYB004 in Part C of the Phase 1 CYB004-E trial.</w:t>
      </w:r>
    </w:p>
    <w:p>
      <w:pPr>
        <w:spacing w:after="0" w:line="242" w:lineRule="exact"/>
        <w:rPr>
          <w:sz w:val="20"/>
          <w:szCs w:val="20"/>
          <w:color w:val="auto"/>
        </w:rPr>
      </w:pPr>
    </w:p>
    <w:p>
      <w:pPr>
        <w:ind w:left="3" w:right="20"/>
        <w:spacing w:after="0" w:line="274"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w:t>
      </w:r>
    </w:p>
    <w:p>
      <w:pPr>
        <w:jc w:val="both"/>
        <w:ind w:left="583" w:right="20" w:hanging="292"/>
        <w:spacing w:after="0" w:line="267" w:lineRule="auto"/>
        <w:tabs>
          <w:tab w:leader="none" w:pos="57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CYB004 study results showed that IV CYB004 demonstrated robust and rapid-onset psychedelic effects at lower doses compared to native DMT. These psychedelic effects were rapid in onset when administered as an IV bolus over five minutes and persisted for about 40 minutes after the bolus without the need for an extended infusion.</w:t>
      </w:r>
    </w:p>
    <w:p>
      <w:pPr>
        <w:spacing w:after="0" w:line="2" w:lineRule="exact"/>
        <w:rPr>
          <w:rFonts w:ascii="Times New Roman" w:cs="Times New Roman" w:eastAsia="Times New Roman" w:hAnsi="Times New Roman"/>
          <w:sz w:val="18"/>
          <w:szCs w:val="18"/>
          <w:color w:val="auto"/>
        </w:rPr>
      </w:pPr>
    </w:p>
    <w:p>
      <w:pPr>
        <w:ind w:left="583" w:right="20" w:hanging="292"/>
        <w:spacing w:after="0" w:line="267" w:lineRule="auto"/>
        <w:tabs>
          <w:tab w:leader="none" w:pos="57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SPL028 study identified an IM dose of SPL028 that resulted in a breakthrough psychedelic experience, with a total duration ranging from 55 to 120 minutes.</w:t>
      </w:r>
    </w:p>
    <w:p>
      <w:pPr>
        <w:ind w:left="583" w:right="20" w:hanging="292"/>
        <w:spacing w:after="0" w:line="294" w:lineRule="auto"/>
        <w:tabs>
          <w:tab w:leader="none" w:pos="57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CYB004 (IV) and SPL028 (IM and IV) were well-tolerated with no serious adverse events, and the majority of adverse events were mild to moderate and self-limiting.</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 study of CYB004 in GAD.</w:t>
      </w:r>
    </w:p>
    <w:p>
      <w:pPr>
        <w:spacing w:after="0" w:line="2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March 15, 2024, the Company announced that it had initiated a Phase 2 study of IM CYB004 in participants with moderate to severe GAD.</w:t>
      </w:r>
    </w:p>
    <w:p>
      <w:pPr>
        <w:spacing w:after="0" w:line="2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2 CYB004 Study in GAD</w:t>
      </w:r>
    </w:p>
    <w:p>
      <w:pPr>
        <w:spacing w:after="0" w:line="246"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18"/>
          <w:szCs w:val="18"/>
          <w:color w:val="auto"/>
        </w:rPr>
        <w:t>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sub-psychedelic doses of CYB004. The primary endpoint is a change in the Hamilton Anxiety Rating Scale score from baseline at six weeks following the second dose. Other endpoints include the MADRS depression assessment, safety assessments, MEQ30 (psychedelic experience assessment) and EQ-5D-5L (quality of life assessment). Participants will be followed for up to a year. Results from this study are expected to provide proof of concept for CYB004’s efficacy in GAD, the time to onset of effects, as well as durability of effects to one year.</w:t>
      </w:r>
    </w:p>
    <w:p>
      <w:pPr>
        <w:spacing w:after="0" w:line="198" w:lineRule="exact"/>
        <w:rPr>
          <w:sz w:val="20"/>
          <w:szCs w:val="20"/>
          <w:color w:val="auto"/>
        </w:rPr>
      </w:pPr>
    </w:p>
    <w:p>
      <w:pPr>
        <w:jc w:val="both"/>
        <w:ind w:left="3" w:right="20"/>
        <w:spacing w:after="0" w:line="330" w:lineRule="auto"/>
        <w:rPr>
          <w:sz w:val="20"/>
          <w:szCs w:val="20"/>
          <w:color w:val="auto"/>
        </w:rPr>
      </w:pPr>
      <w:r>
        <w:rPr>
          <w:rFonts w:ascii="Times New Roman" w:cs="Times New Roman" w:eastAsia="Times New Roman" w:hAnsi="Times New Roman"/>
          <w:sz w:val="18"/>
          <w:szCs w:val="18"/>
          <w:color w:val="auto"/>
        </w:rPr>
        <w:t xml:space="preserve">The Company spent approximately $7,130 on its Deuterated Dimethyltryptamine Program during the twelve months ended </w:t>
      </w:r>
      <w:r>
        <w:rPr>
          <w:rFonts w:ascii="Times New Roman" w:cs="Times New Roman" w:eastAsia="Times New Roman" w:hAnsi="Times New Roman"/>
          <w:sz w:val="19"/>
          <w:szCs w:val="19"/>
          <w:color w:val="auto"/>
        </w:rPr>
        <w:t>March 31, 2024</w:t>
      </w:r>
      <w:r>
        <w:rPr>
          <w:rFonts w:ascii="Times New Roman" w:cs="Times New Roman" w:eastAsia="Times New Roman" w:hAnsi="Times New Roman"/>
          <w:sz w:val="18"/>
          <w:szCs w:val="18"/>
          <w:color w:val="auto"/>
        </w:rPr>
        <w:t>, related to the milestones detailed below.</w:t>
      </w:r>
    </w:p>
    <w:p>
      <w:pPr>
        <w:spacing w:after="0" w:line="111"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spacing w:after="0" w:line="193" w:lineRule="exact"/>
        <w:rPr>
          <w:sz w:val="20"/>
          <w:szCs w:val="20"/>
          <w:color w:val="auto"/>
        </w:rPr>
      </w:pPr>
    </w:p>
    <w:p>
      <w:pPr>
        <w:ind w:left="563" w:hanging="272"/>
        <w:spacing w:after="0"/>
        <w:tabs>
          <w:tab w:leader="none" w:pos="563" w:val="left"/>
        </w:tabs>
        <w:numPr>
          <w:ilvl w:val="0"/>
          <w:numId w:val="15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provide topline safety and efficacy data from Phase 2 GAD study around year end 2024</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153987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390" w:lineRule="exact"/>
        <w:rPr>
          <w:sz w:val="20"/>
          <w:szCs w:val="20"/>
          <w:color w:val="auto"/>
        </w:rPr>
      </w:pPr>
    </w:p>
    <w:p>
      <w:pPr>
        <w:ind w:left="183" w:hanging="183"/>
        <w:spacing w:after="0"/>
        <w:tabs>
          <w:tab w:leader="none" w:pos="183" w:val="left"/>
        </w:tabs>
        <w:numPr>
          <w:ilvl w:val="0"/>
          <w:numId w:val="1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footnotes 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3"/>
          </w:cols>
          <w:pgMar w:left="317" w:top="713" w:right="319" w:bottom="1440" w:gutter="0" w:footer="0" w:header="0"/>
        </w:sectPr>
      </w:pPr>
    </w:p>
    <w:bookmarkStart w:id="277" w:name="page278"/>
    <w:bookmarkEnd w:id="277"/>
    <w:p>
      <w:pPr>
        <w:jc w:val="both"/>
        <w:ind w:left="3" w:right="20"/>
        <w:spacing w:after="0" w:line="229" w:lineRule="auto"/>
        <w:rPr>
          <w:sz w:val="20"/>
          <w:szCs w:val="20"/>
          <w:color w:val="auto"/>
        </w:rPr>
      </w:pPr>
      <w:r>
        <w:rPr>
          <w:rFonts w:ascii="Times New Roman" w:cs="Times New Roman" w:eastAsia="Times New Roman" w:hAnsi="Times New Roman"/>
          <w:sz w:val="18"/>
          <w:szCs w:val="18"/>
          <w:color w:val="auto"/>
        </w:rPr>
        <w:t>The Company spent approximately $1,847 to initiate a Phase 2a GAD study in Q1 2024 during the twelve months ended March 31, 2024</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The Company spent approximately $7,322</w:t>
      </w:r>
      <w:r>
        <w:rPr>
          <w:rFonts w:ascii="Times New Roman" w:cs="Times New Roman" w:eastAsia="Times New Roman" w:hAnsi="Times New Roman"/>
          <w:sz w:val="23"/>
          <w:szCs w:val="23"/>
          <w:color w:val="auto"/>
          <w:vertAlign w:val="superscript"/>
        </w:rPr>
        <w:t>17,18</w:t>
      </w:r>
      <w:r>
        <w:rPr>
          <w:rFonts w:ascii="Times New Roman" w:cs="Times New Roman" w:eastAsia="Times New Roman" w:hAnsi="Times New Roman"/>
          <w:sz w:val="18"/>
          <w:szCs w:val="18"/>
          <w:color w:val="auto"/>
        </w:rPr>
        <w:t xml:space="preserve"> to complete FDA IND submission for CYB004 in January 2024 of which approximately $2,349 was spent during the twelve months ended March 31, 2024, and approximately $4,973 was spent in the financial year ended March 31, 2023. The Company spent approximately $5,611</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 xml:space="preserve"> to provide topline data from the Phase 1 CYB004-E trial in January 2024 of which approximately $2,814 was spent during the twelve months ended March 31, 2024 and approximately $2,797 was spent in the financial year ended March 31, 2023.</w:t>
      </w:r>
    </w:p>
    <w:p>
      <w:pPr>
        <w:spacing w:after="0" w:line="230" w:lineRule="exact"/>
        <w:rPr>
          <w:sz w:val="20"/>
          <w:szCs w:val="20"/>
          <w:color w:val="auto"/>
        </w:rPr>
      </w:pPr>
    </w:p>
    <w:p>
      <w:pPr>
        <w:jc w:val="both"/>
        <w:ind w:left="3" w:right="20"/>
        <w:spacing w:after="0" w:line="285" w:lineRule="auto"/>
        <w:rPr>
          <w:sz w:val="20"/>
          <w:szCs w:val="20"/>
          <w:color w:val="auto"/>
        </w:rPr>
      </w:pPr>
      <w:r>
        <w:rPr>
          <w:rFonts w:ascii="Times New Roman" w:cs="Times New Roman" w:eastAsia="Times New Roman" w:hAnsi="Times New Roman"/>
          <w:sz w:val="18"/>
          <w:szCs w:val="18"/>
          <w:color w:val="auto"/>
        </w:rPr>
        <w:t>The Company expects to spend approximately $5,521 to provide topline safety and efficacy data from Phase 2 GAD study around year end 2024 of which approximately $58 was spent during the twelve months ended March 31, 2024, resulting in an approximate remaining spend as of March 31, 2024 of $5,463 by Q4 2024</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continue funding the Deuterated Dimethyltryptamine (CYB004) Program.</w:t>
      </w:r>
    </w:p>
    <w:p>
      <w:pPr>
        <w:spacing w:after="0" w:line="242" w:lineRule="exact"/>
        <w:rPr>
          <w:sz w:val="20"/>
          <w:szCs w:val="20"/>
          <w:color w:val="auto"/>
        </w:rPr>
      </w:pPr>
    </w:p>
    <w:p>
      <w:pPr>
        <w:ind w:left="3" w:right="800"/>
        <w:spacing w:after="0" w:line="299" w:lineRule="auto"/>
        <w:rPr>
          <w:sz w:val="20"/>
          <w:szCs w:val="20"/>
          <w:color w:val="auto"/>
        </w:rPr>
      </w:pPr>
      <w:r>
        <w:rPr>
          <w:rFonts w:ascii="Times New Roman" w:cs="Times New Roman" w:eastAsia="Times New Roman" w:hAnsi="Times New Roman"/>
          <w:sz w:val="18"/>
          <w:szCs w:val="18"/>
          <w:color w:val="auto"/>
        </w:rPr>
        <w:t>In addition, following the acquisition of Small Pharma, the Company is continuing to assess and will provide further information and updates upon completion of the integration of Small Pharma’s business, including the anticipated spend associated with the SPL028 study</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Phenethylamine Derivatives Program (CYB005)</w:t>
      </w:r>
    </w:p>
    <w:p>
      <w:pPr>
        <w:spacing w:after="0" w:line="234" w:lineRule="exact"/>
        <w:rPr>
          <w:sz w:val="20"/>
          <w:szCs w:val="20"/>
          <w:color w:val="auto"/>
        </w:rPr>
      </w:pPr>
    </w:p>
    <w:p>
      <w:pPr>
        <w:jc w:val="both"/>
        <w:ind w:left="3"/>
        <w:spacing w:after="0" w:line="292" w:lineRule="auto"/>
        <w:rPr>
          <w:sz w:val="20"/>
          <w:szCs w:val="20"/>
          <w:color w:val="auto"/>
        </w:rPr>
      </w:pPr>
      <w:r>
        <w:rPr>
          <w:rFonts w:ascii="Times New Roman" w:cs="Times New Roman" w:eastAsia="Times New Roman" w:hAnsi="Times New Roman"/>
          <w:sz w:val="18"/>
          <w:szCs w:val="18"/>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53987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7" w:lineRule="exact"/>
        <w:rPr>
          <w:sz w:val="20"/>
          <w:szCs w:val="20"/>
          <w:color w:val="auto"/>
        </w:rPr>
      </w:pPr>
    </w:p>
    <w:p>
      <w:pPr>
        <w:jc w:val="both"/>
        <w:ind w:left="3" w:right="20" w:hanging="3"/>
        <w:spacing w:after="0" w:line="248" w:lineRule="auto"/>
        <w:tabs>
          <w:tab w:leader="none" w:pos="178" w:val="left"/>
        </w:tabs>
        <w:numPr>
          <w:ilvl w:val="0"/>
          <w:numId w:val="1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initiate a Phase 2a GAD study would be $1,270.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w:t>
      </w:r>
    </w:p>
    <w:p>
      <w:pPr>
        <w:spacing w:after="0" w:line="12" w:lineRule="exact"/>
        <w:rPr>
          <w:rFonts w:ascii="Times New Roman" w:cs="Times New Roman" w:eastAsia="Times New Roman" w:hAnsi="Times New Roman"/>
          <w:sz w:val="24"/>
          <w:szCs w:val="24"/>
          <w:color w:val="auto"/>
          <w:vertAlign w:val="superscript"/>
        </w:rPr>
      </w:pPr>
    </w:p>
    <w:p>
      <w:pPr>
        <w:ind w:left="3" w:right="20"/>
        <w:spacing w:after="0" w:line="28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of implementation and results of such studies on timelines indicated as possible by such guidelines, other industry examples, and the Company’s development efforts to date. Reflects actual spend during the financial year ended March 31, 2024.</w:t>
      </w:r>
    </w:p>
    <w:p>
      <w:pPr>
        <w:spacing w:after="0" w:line="41" w:lineRule="exact"/>
        <w:rPr>
          <w:rFonts w:ascii="Times New Roman" w:cs="Times New Roman" w:eastAsia="Times New Roman" w:hAnsi="Times New Roman"/>
          <w:sz w:val="24"/>
          <w:szCs w:val="24"/>
          <w:color w:val="auto"/>
          <w:vertAlign w:val="superscript"/>
        </w:rPr>
      </w:pPr>
    </w:p>
    <w:p>
      <w:pPr>
        <w:jc w:val="both"/>
        <w:ind w:left="3" w:right="20" w:hanging="3"/>
        <w:spacing w:after="0" w:line="245" w:lineRule="auto"/>
        <w:tabs>
          <w:tab w:leader="none" w:pos="178" w:val="left"/>
        </w:tabs>
        <w:numPr>
          <w:ilvl w:val="0"/>
          <w:numId w:val="1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183" w:hanging="183"/>
        <w:spacing w:after="0" w:line="210" w:lineRule="auto"/>
        <w:tabs>
          <w:tab w:leader="none" w:pos="183" w:val="left"/>
        </w:tabs>
        <w:numPr>
          <w:ilvl w:val="0"/>
          <w:numId w:val="1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has completed this milestone. The Company had previously estimated that its spending to complete FDA IND submission for CYB004 would be $7,245. Anticipated timing</w:t>
      </w:r>
    </w:p>
    <w:p>
      <w:pPr>
        <w:spacing w:after="0" w:line="58" w:lineRule="exact"/>
        <w:rPr>
          <w:sz w:val="20"/>
          <w:szCs w:val="20"/>
          <w:color w:val="auto"/>
        </w:rPr>
      </w:pPr>
    </w:p>
    <w:p>
      <w:pPr>
        <w:jc w:val="both"/>
        <w:ind w:left="3"/>
        <w:spacing w:after="0" w:line="275" w:lineRule="auto"/>
        <w:rPr>
          <w:sz w:val="20"/>
          <w:szCs w:val="20"/>
          <w:color w:val="auto"/>
        </w:rPr>
      </w:pPr>
      <w:r>
        <w:rPr>
          <w:rFonts w:ascii="Times New Roman" w:cs="Times New Roman" w:eastAsia="Times New Roman" w:hAnsi="Times New Roman"/>
          <w:sz w:val="15"/>
          <w:szCs w:val="15"/>
          <w:color w:val="auto"/>
        </w:rPr>
        <w:t>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2024.</w:t>
      </w:r>
    </w:p>
    <w:p>
      <w:pPr>
        <w:spacing w:after="0" w:line="54" w:lineRule="exact"/>
        <w:rPr>
          <w:sz w:val="20"/>
          <w:szCs w:val="20"/>
          <w:color w:val="auto"/>
        </w:rPr>
      </w:pPr>
    </w:p>
    <w:p>
      <w:pPr>
        <w:jc w:val="both"/>
        <w:ind w:left="3" w:right="20" w:hanging="3"/>
        <w:spacing w:after="0" w:line="250" w:lineRule="auto"/>
        <w:tabs>
          <w:tab w:leader="none" w:pos="190" w:val="left"/>
        </w:tabs>
        <w:numPr>
          <w:ilvl w:val="0"/>
          <w:numId w:val="1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completed this milestone. The Company had previously estimated that its spending to advance the Phase 1 CYB004-E trial would be $5,733.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2024, during the period from April 1, 2023 to March 31, 2024.</w:t>
      </w:r>
    </w:p>
    <w:p>
      <w:pPr>
        <w:ind w:left="183" w:hanging="183"/>
        <w:spacing w:after="0" w:line="212" w:lineRule="auto"/>
        <w:tabs>
          <w:tab w:leader="none" w:pos="183" w:val="left"/>
        </w:tabs>
        <w:numPr>
          <w:ilvl w:val="0"/>
          <w:numId w:val="1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15.</w:t>
      </w:r>
    </w:p>
    <w:p>
      <w:pPr>
        <w:spacing w:after="0" w:line="81" w:lineRule="exact"/>
        <w:rPr>
          <w:rFonts w:ascii="Times New Roman" w:cs="Times New Roman" w:eastAsia="Times New Roman" w:hAnsi="Times New Roman"/>
          <w:sz w:val="25"/>
          <w:szCs w:val="25"/>
          <w:color w:val="auto"/>
          <w:vertAlign w:val="superscript"/>
        </w:rPr>
      </w:pPr>
    </w:p>
    <w:p>
      <w:pPr>
        <w:ind w:left="183" w:hanging="183"/>
        <w:spacing w:after="0" w:line="181" w:lineRule="auto"/>
        <w:tabs>
          <w:tab w:leader="none" w:pos="183" w:val="left"/>
        </w:tabs>
        <w:numPr>
          <w:ilvl w:val="0"/>
          <w:numId w:val="15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See footnotes 9 and 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3"/>
          </w:cols>
          <w:pgMar w:left="317" w:top="713" w:right="319" w:bottom="1440" w:gutter="0" w:footer="0" w:header="0"/>
        </w:sectPr>
      </w:pPr>
    </w:p>
    <w:bookmarkStart w:id="278" w:name="page279"/>
    <w:bookmarkEnd w:id="278"/>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chronic dosing. The Company is investigating the effects of phenethylamine derivatives on neuroplasticity, and for the potential treatment of psychiatric disorders, neuroinflammation and other neurological conditions.</w:t>
      </w:r>
      <w:r>
        <w:rPr>
          <w:rFonts w:ascii="Times New Roman" w:cs="Times New Roman" w:eastAsia="Times New Roman" w:hAnsi="Times New Roman"/>
          <w:sz w:val="23"/>
          <w:szCs w:val="23"/>
          <w:color w:val="auto"/>
          <w:vertAlign w:val="superscript"/>
        </w:rPr>
        <w:t>22</w:t>
      </w:r>
    </w:p>
    <w:p>
      <w:pPr>
        <w:spacing w:after="0" w:line="107"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99"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96"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$83 on its preclinical Phenethylamine Derivatives Program during the twelve months ended March 31, 2024.</w:t>
      </w:r>
    </w:p>
    <w:p>
      <w:pPr>
        <w:spacing w:after="0" w:line="254" w:lineRule="exact"/>
        <w:rPr>
          <w:sz w:val="20"/>
          <w:szCs w:val="20"/>
          <w:color w:val="auto"/>
        </w:rPr>
      </w:pPr>
    </w:p>
    <w:p>
      <w:pPr>
        <w:jc w:val="both"/>
        <w:ind w:left="3" w:right="20"/>
        <w:spacing w:after="0" w:line="303"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2024</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153987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381" w:lineRule="exact"/>
        <w:rPr>
          <w:sz w:val="20"/>
          <w:szCs w:val="20"/>
          <w:color w:val="auto"/>
        </w:rPr>
      </w:pPr>
    </w:p>
    <w:p>
      <w:pPr>
        <w:jc w:val="both"/>
        <w:ind w:left="3" w:hanging="3"/>
        <w:spacing w:after="0" w:line="244" w:lineRule="auto"/>
        <w:tabs>
          <w:tab w:leader="none" w:pos="178" w:val="left"/>
        </w:tabs>
        <w:numPr>
          <w:ilvl w:val="0"/>
          <w:numId w:val="1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 w:lineRule="exact"/>
        <w:rPr>
          <w:rFonts w:ascii="Times New Roman" w:cs="Times New Roman" w:eastAsia="Times New Roman" w:hAnsi="Times New Roman"/>
          <w:sz w:val="25"/>
          <w:szCs w:val="25"/>
          <w:color w:val="auto"/>
          <w:vertAlign w:val="superscript"/>
        </w:rPr>
      </w:pPr>
    </w:p>
    <w:p>
      <w:pPr>
        <w:ind w:left="183" w:hanging="183"/>
        <w:spacing w:after="0" w:line="202" w:lineRule="auto"/>
        <w:tabs>
          <w:tab w:leader="none" w:pos="183" w:val="left"/>
        </w:tabs>
        <w:numPr>
          <w:ilvl w:val="0"/>
          <w:numId w:val="1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3"/>
          </w:cols>
          <w:pgMar w:left="317" w:top="725" w:right="319" w:bottom="1440" w:gutter="0" w:footer="0" w:header="0"/>
        </w:sectPr>
      </w:pPr>
    </w:p>
    <w:bookmarkStart w:id="279" w:name="page280"/>
    <w:bookmarkEnd w:id="279"/>
    <w:p>
      <w:pPr>
        <w:jc w:val="both"/>
        <w:ind w:left="3" w:right="20"/>
        <w:spacing w:after="0" w:line="262" w:lineRule="auto"/>
        <w:rPr>
          <w:sz w:val="20"/>
          <w:szCs w:val="20"/>
          <w:color w:val="auto"/>
        </w:rPr>
      </w:pPr>
      <w:r>
        <w:rPr>
          <w:rFonts w:ascii="Times New Roman" w:cs="Times New Roman" w:eastAsia="Times New Roman" w:hAnsi="Times New Roman"/>
          <w:sz w:val="18"/>
          <w:szCs w:val="18"/>
          <w:color w:val="auto"/>
        </w:rPr>
        <w:t>The Company expects to spend approximately $900</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xml:space="preserve"> to complete preclinical development of a phenethylamine drug candidate by 2024</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xml:space="preserve">, of which approximately $83 was spent during the twelve months ended </w:t>
      </w:r>
      <w:r>
        <w:rPr>
          <w:rFonts w:ascii="Times New Roman" w:cs="Times New Roman" w:eastAsia="Times New Roman" w:hAnsi="Times New Roman"/>
          <w:sz w:val="19"/>
          <w:szCs w:val="19"/>
          <w:color w:val="auto"/>
        </w:rPr>
        <w:t>March 31, 2024</w:t>
      </w:r>
      <w:r>
        <w:rPr>
          <w:rFonts w:ascii="Times New Roman" w:cs="Times New Roman" w:eastAsia="Times New Roman" w:hAnsi="Times New Roman"/>
          <w:sz w:val="18"/>
          <w:szCs w:val="18"/>
          <w:color w:val="auto"/>
        </w:rPr>
        <w:t xml:space="preserve">, and approximately $782 was spent during the financial year ended March 31, 2023 resulting in an approximate remaining spend as of </w:t>
      </w:r>
      <w:r>
        <w:rPr>
          <w:rFonts w:ascii="Times New Roman" w:cs="Times New Roman" w:eastAsia="Times New Roman" w:hAnsi="Times New Roman"/>
          <w:sz w:val="19"/>
          <w:szCs w:val="19"/>
          <w:color w:val="auto"/>
        </w:rPr>
        <w:t>March 31, 2024</w:t>
      </w:r>
      <w:r>
        <w:rPr>
          <w:rFonts w:ascii="Times New Roman" w:cs="Times New Roman" w:eastAsia="Times New Roman" w:hAnsi="Times New Roman"/>
          <w:sz w:val="18"/>
          <w:szCs w:val="18"/>
          <w:color w:val="auto"/>
        </w:rPr>
        <w:t xml:space="preserve"> of $35. The Company intends to continue funding the Phenethylamine Derivatives Program (CYB005) Program.</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Programs</w:t>
      </w:r>
    </w:p>
    <w:p>
      <w:pPr>
        <w:spacing w:after="0" w:line="2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36" w:lineRule="exact"/>
        <w:rPr>
          <w:sz w:val="20"/>
          <w:szCs w:val="20"/>
          <w:color w:val="auto"/>
        </w:rPr>
      </w:pPr>
    </w:p>
    <w:p>
      <w:pPr>
        <w:jc w:val="both"/>
        <w:ind w:left="3" w:right="20"/>
        <w:spacing w:after="0" w:line="305"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49" w:lineRule="exact"/>
        <w:rPr>
          <w:sz w:val="20"/>
          <w:szCs w:val="20"/>
          <w:color w:val="auto"/>
        </w:rPr>
      </w:pPr>
    </w:p>
    <w:p>
      <w:pPr>
        <w:jc w:val="both"/>
        <w:ind w:left="3"/>
        <w:spacing w:after="0" w:line="302"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89"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54" w:lineRule="exact"/>
        <w:rPr>
          <w:sz w:val="20"/>
          <w:szCs w:val="20"/>
          <w:color w:val="auto"/>
        </w:rPr>
      </w:pP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28" w:lineRule="exact"/>
        <w:rPr>
          <w:sz w:val="20"/>
          <w:szCs w:val="20"/>
          <w:color w:val="auto"/>
        </w:rPr>
      </w:pPr>
    </w:p>
    <w:p>
      <w:pPr>
        <w:jc w:val="both"/>
        <w:ind w:left="3" w:right="20"/>
        <w:spacing w:after="0" w:line="275" w:lineRule="auto"/>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79"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53987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26" w:lineRule="exact"/>
        <w:rPr>
          <w:sz w:val="20"/>
          <w:szCs w:val="20"/>
          <w:color w:val="auto"/>
        </w:rPr>
      </w:pPr>
    </w:p>
    <w:p>
      <w:pPr>
        <w:jc w:val="both"/>
        <w:ind w:left="3" w:right="20" w:hanging="3"/>
        <w:spacing w:after="0" w:line="237" w:lineRule="auto"/>
        <w:tabs>
          <w:tab w:leader="none" w:pos="190" w:val="left"/>
        </w:tabs>
        <w:numPr>
          <w:ilvl w:val="0"/>
          <w:numId w:val="1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Reflects actual spend during the financial year ended March 31, 2023, the twelve months ended March 31, 2024, and expected spend during the period from January 1, 2024 until the achievement of preclinical development of a phenethylamine drug candidate by December 31, 2024.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203" w:hanging="203"/>
        <w:spacing w:after="0" w:line="202" w:lineRule="auto"/>
        <w:tabs>
          <w:tab w:leader="none" w:pos="203" w:val="left"/>
        </w:tabs>
        <w:numPr>
          <w:ilvl w:val="0"/>
          <w:numId w:val="1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Q3 2023. The Company now expects to complete preclinical</w:t>
      </w:r>
    </w:p>
    <w:p>
      <w:pPr>
        <w:spacing w:after="0" w:line="57" w:lineRule="exact"/>
        <w:rPr>
          <w:sz w:val="20"/>
          <w:szCs w:val="20"/>
          <w:color w:val="auto"/>
        </w:rPr>
      </w:pPr>
    </w:p>
    <w:p>
      <w:pPr>
        <w:ind w:left="3" w:right="20"/>
        <w:spacing w:after="0" w:line="258" w:lineRule="auto"/>
        <w:rPr>
          <w:sz w:val="20"/>
          <w:szCs w:val="20"/>
          <w:color w:val="auto"/>
        </w:rPr>
      </w:pPr>
      <w:r>
        <w:rPr>
          <w:rFonts w:ascii="Times New Roman" w:cs="Times New Roman" w:eastAsia="Times New Roman" w:hAnsi="Times New Roman"/>
          <w:sz w:val="15"/>
          <w:szCs w:val="15"/>
          <w:color w:val="auto"/>
        </w:rPr>
        <w:t>development of phenethylamine drug candidate by the end of Q4 2024.Change in anticipated timing due to the prioritization of the CYB003 Program. Anticipated spending and timelines regarding drug development are based on reasonable assumptions informed by current knowledge and information available to the Company. See also footnote 9.</w:t>
      </w:r>
    </w:p>
    <w:p>
      <w:pPr>
        <w:spacing w:after="0" w:line="1" w:lineRule="exact"/>
        <w:rPr>
          <w:sz w:val="20"/>
          <w:szCs w:val="20"/>
          <w:color w:val="auto"/>
        </w:rPr>
      </w:pPr>
    </w:p>
    <w:p>
      <w:pPr>
        <w:jc w:val="both"/>
        <w:ind w:left="3" w:hanging="3"/>
        <w:spacing w:after="0" w:line="235" w:lineRule="auto"/>
        <w:tabs>
          <w:tab w:leader="none" w:pos="139" w:val="left"/>
        </w:tabs>
        <w:numPr>
          <w:ilvl w:val="0"/>
          <w:numId w:val="15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3"/>
          </w:cols>
          <w:pgMar w:left="317" w:top="713" w:right="319" w:bottom="1440" w:gutter="0" w:footer="0" w:header="0"/>
        </w:sectPr>
      </w:pPr>
    </w:p>
    <w:bookmarkStart w:id="280" w:name="page281"/>
    <w:bookmarkEnd w:id="280"/>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("PR") and pulse rate variability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18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Times New Roman" w:cs="Times New Roman" w:eastAsia="Times New Roman" w:hAnsi="Times New Roman"/>
          <w:sz w:val="19"/>
          <w:szCs w:val="19"/>
          <w:i w:val="1"/>
          <w:iCs w:val="1"/>
          <w:color w:val="auto"/>
        </w:rPr>
        <w:t>Scientific Reports</w:t>
      </w:r>
      <w:r>
        <w:rPr>
          <w:rFonts w:ascii="Times New Roman" w:cs="Times New Roman" w:eastAsia="Times New Roman" w:hAnsi="Times New Roman"/>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Times New Roman" w:cs="Times New Roman" w:eastAsia="Times New Roman" w:hAnsi="Times New Roman"/>
          <w:sz w:val="19"/>
          <w:szCs w:val="19"/>
          <w:b w:val="1"/>
          <w:bCs w:val="1"/>
          <w:color w:val="auto"/>
        </w:rPr>
        <w:t>fNIRS”)</w:t>
      </w:r>
      <w:r>
        <w:rPr>
          <w:rFonts w:ascii="Times New Roman" w:cs="Times New Roman" w:eastAsia="Times New Roman" w:hAnsi="Times New Roman"/>
          <w:sz w:val="18"/>
          <w:szCs w:val="18"/>
          <w:color w:val="auto"/>
        </w:rPr>
        <w:t xml:space="preserve">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Kernel Flow Feasibility Study</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9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8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on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August Prospectus Supplement</w:t>
      </w:r>
    </w:p>
    <w:p>
      <w:pPr>
        <w:spacing w:after="0" w:line="25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The table below covers the period beginning July 1, 2023 until June 30, 2024, and describes the differences between the Company’s anticipated use of proceeds of $10,018 as previously disclosed in the Company’s prospectus supplement dated August 1, 2023 (the “</w:t>
      </w:r>
      <w:r>
        <w:rPr>
          <w:rFonts w:ascii="Times New Roman" w:cs="Times New Roman" w:eastAsia="Times New Roman" w:hAnsi="Times New Roman"/>
          <w:sz w:val="19"/>
          <w:szCs w:val="19"/>
          <w:b w:val="1"/>
          <w:bCs w:val="1"/>
          <w:color w:val="auto"/>
        </w:rPr>
        <w:t>August Prospectus Supplement</w:t>
      </w:r>
      <w:r>
        <w:rPr>
          <w:rFonts w:ascii="Times New Roman" w:cs="Times New Roman" w:eastAsia="Times New Roman" w:hAnsi="Times New Roman"/>
          <w:sz w:val="18"/>
          <w:szCs w:val="18"/>
          <w:color w:val="auto"/>
        </w:rPr>
        <w:t xml:space="preserve">”) to the Company’s short form base shelf prospectus dated July 5, 2021 (the “ </w:t>
      </w:r>
      <w:r>
        <w:rPr>
          <w:rFonts w:ascii="Times New Roman" w:cs="Times New Roman" w:eastAsia="Times New Roman" w:hAnsi="Times New Roman"/>
          <w:sz w:val="19"/>
          <w:szCs w:val="19"/>
          <w:b w:val="1"/>
          <w:bCs w:val="1"/>
          <w:color w:val="auto"/>
        </w:rPr>
        <w:t>2021 Base Shelf Prospectus</w:t>
      </w:r>
      <w:r>
        <w:rPr>
          <w:rFonts w:ascii="Times New Roman" w:cs="Times New Roman" w:eastAsia="Times New Roman" w:hAnsi="Times New Roman"/>
          <w:sz w:val="18"/>
          <w:szCs w:val="18"/>
          <w:color w:val="auto"/>
        </w:rPr>
        <w:t xml:space="preserve">”), the revised estimated costs as at </w:t>
      </w:r>
      <w:r>
        <w:rPr>
          <w:rFonts w:ascii="Times New Roman" w:cs="Times New Roman" w:eastAsia="Times New Roman" w:hAnsi="Times New Roman"/>
          <w:sz w:val="19"/>
          <w:szCs w:val="19"/>
          <w:color w:val="auto"/>
        </w:rPr>
        <w:t>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2024</w:t>
      </w:r>
      <w:r>
        <w:rPr>
          <w:rFonts w:ascii="Times New Roman" w:cs="Times New Roman" w:eastAsia="Times New Roman" w:hAnsi="Times New Roman"/>
          <w:sz w:val="17"/>
          <w:szCs w:val="17"/>
          <w:color w:val="auto"/>
        </w:rPr>
        <w:t>, for the same period, and the actual use of proceeds as at</w:t>
      </w:r>
      <w:r>
        <w:rPr>
          <w:rFonts w:ascii="Times New Roman" w:cs="Times New Roman" w:eastAsia="Times New Roman" w:hAnsi="Times New Roman"/>
          <w:sz w:val="19"/>
          <w:szCs w:val="19"/>
          <w:color w:val="auto"/>
        </w:rPr>
        <w:t xml:space="preserve"> March 31, 2024</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725" w:right="319" w:bottom="1440" w:gutter="0" w:footer="0" w:header="0"/>
        </w:sectPr>
      </w:pPr>
    </w:p>
    <w:bookmarkStart w:id="281" w:name="page282"/>
    <w:bookmarkEnd w:id="281"/>
    <w:tbl>
      <w:tblPr>
        <w:tblLayout w:type="fixed"/>
        <w:tblInd w:w="13" w:type="dxa"/>
        <w:tblCellMar>
          <w:top w:w="0" w:type="dxa"/>
          <w:left w:w="0" w:type="dxa"/>
          <w:bottom w:w="0" w:type="dxa"/>
          <w:right w:w="0" w:type="dxa"/>
        </w:tblCellMar>
      </w:tblPr>
      <w:tr>
        <w:trPr>
          <w:trHeight w:val="226"/>
        </w:trPr>
        <w:tc>
          <w:tcPr>
            <w:tcW w:w="458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52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Revised Estimated Use of</w:t>
            </w:r>
          </w:p>
        </w:tc>
        <w:tc>
          <w:tcPr>
            <w:tcW w:w="0" w:type="dxa"/>
            <w:vAlign w:val="bottom"/>
          </w:tcPr>
          <w:p>
            <w:pPr>
              <w:spacing w:after="0"/>
              <w:rPr>
                <w:sz w:val="1"/>
                <w:szCs w:val="1"/>
                <w:color w:val="auto"/>
              </w:rPr>
            </w:pPr>
          </w:p>
        </w:tc>
      </w:tr>
      <w:tr>
        <w:trPr>
          <w:trHeight w:val="102"/>
        </w:trPr>
        <w:tc>
          <w:tcPr>
            <w:tcW w:w="458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August Prospectus</w:t>
            </w:r>
          </w:p>
        </w:tc>
        <w:tc>
          <w:tcPr>
            <w:tcW w:w="15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58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as at March 31, 2024</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Proceeds</w:t>
            </w:r>
          </w:p>
        </w:tc>
        <w:tc>
          <w:tcPr>
            <w:tcW w:w="0" w:type="dxa"/>
            <w:vAlign w:val="bottom"/>
          </w:tcPr>
          <w:p>
            <w:pPr>
              <w:spacing w:after="0"/>
              <w:rPr>
                <w:sz w:val="1"/>
                <w:szCs w:val="1"/>
                <w:color w:val="auto"/>
              </w:rPr>
            </w:pPr>
          </w:p>
        </w:tc>
      </w:tr>
      <w:tr>
        <w:trPr>
          <w:trHeight w:val="87"/>
        </w:trPr>
        <w:tc>
          <w:tcPr>
            <w:tcW w:w="4580" w:type="dxa"/>
            <w:vAlign w:val="bottom"/>
            <w:tcBorders>
              <w:left w:val="single" w:sz="8" w:color="auto"/>
              <w:right w:val="single" w:sz="8" w:color="auto"/>
            </w:tcBorders>
          </w:tcPr>
          <w:p>
            <w:pPr>
              <w:spacing w:after="0"/>
              <w:rPr>
                <w:sz w:val="7"/>
                <w:szCs w:val="7"/>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Supplement</w:t>
            </w:r>
          </w:p>
        </w:tc>
        <w:tc>
          <w:tcPr>
            <w:tcW w:w="152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580" w:type="dxa"/>
            <w:vAlign w:val="bottom"/>
            <w:tcBorders>
              <w:left w:val="single" w:sz="8" w:color="auto"/>
              <w:right w:val="single" w:sz="8" w:color="auto"/>
            </w:tcBorders>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5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(July 1, 2023 to June 30</w:t>
            </w:r>
          </w:p>
        </w:tc>
        <w:tc>
          <w:tcPr>
            <w:tcW w:w="15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580" w:type="dxa"/>
            <w:vAlign w:val="bottom"/>
            <w:tcBorders>
              <w:left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5"/>
                <w:szCs w:val="15"/>
                <w:b w:val="1"/>
                <w:bCs w:val="1"/>
                <w:color w:val="auto"/>
              </w:rPr>
              <w:t>Use of Available Funds ($000’s)</w:t>
            </w:r>
            <w:r>
              <w:rPr>
                <w:rFonts w:ascii="Times New Roman" w:cs="Times New Roman" w:eastAsia="Times New Roman" w:hAnsi="Times New Roman"/>
                <w:sz w:val="18"/>
                <w:szCs w:val="18"/>
                <w:b w:val="1"/>
                <w:bCs w:val="1"/>
                <w:color w:val="auto"/>
                <w:vertAlign w:val="superscript"/>
              </w:rPr>
              <w:t>(1)(2)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2024)</w:t>
            </w:r>
          </w:p>
        </w:tc>
        <w:tc>
          <w:tcPr>
            <w:tcW w:w="15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Complete FDA submission of Phase 1/2a data</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Provide topline data from Phase 1 CYB004-E trial</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0" w:type="dxa"/>
            <w:vAlign w:val="bottom"/>
          </w:tcPr>
          <w:p>
            <w:pPr>
              <w:spacing w:after="0"/>
              <w:rPr>
                <w:sz w:val="1"/>
                <w:szCs w:val="1"/>
                <w:color w:val="auto"/>
              </w:rPr>
            </w:pPr>
          </w:p>
        </w:tc>
      </w:tr>
      <w:tr>
        <w:trPr>
          <w:trHeight w:val="186"/>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Complete FDA IND submission</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84" w:lineRule="exact"/>
        <w:rPr>
          <w:sz w:val="20"/>
          <w:szCs w:val="20"/>
          <w:color w:val="auto"/>
        </w:rPr>
      </w:pPr>
    </w:p>
    <w:p>
      <w:pPr>
        <w:ind w:left="403" w:hanging="403"/>
        <w:spacing w:after="0"/>
        <w:tabs>
          <w:tab w:leader="none" w:pos="403"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have been converted from USD to CAD at an exchange rate of 1.35:1.</w:t>
      </w:r>
    </w:p>
    <w:p>
      <w:pPr>
        <w:spacing w:after="0" w:line="17"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jc w:val="both"/>
        <w:ind w:left="403" w:hanging="403"/>
        <w:spacing w:after="0" w:line="298" w:lineRule="auto"/>
        <w:tabs>
          <w:tab w:leader="none" w:pos="396"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November Prospectus Supplement</w:t>
      </w:r>
    </w:p>
    <w:p>
      <w:pPr>
        <w:spacing w:after="0" w:line="242"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8"/>
          <w:szCs w:val="18"/>
          <w:color w:val="auto"/>
        </w:rPr>
        <w:t>The table below covers the period beginning November 1, 2023 until October 31, 2024, and describes the differences between the Company’s anticipated use of proceeds of $28,070 as previously disclosed in the Company’s prospectus supplement dated November 10, 2023 (the “</w:t>
      </w:r>
      <w:r>
        <w:rPr>
          <w:rFonts w:ascii="Times New Roman" w:cs="Times New Roman" w:eastAsia="Times New Roman" w:hAnsi="Times New Roman"/>
          <w:sz w:val="18"/>
          <w:szCs w:val="18"/>
          <w:b w:val="1"/>
          <w:bCs w:val="1"/>
          <w:color w:val="auto"/>
        </w:rPr>
        <w:t>November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to the Company’s base shelf prospectus dated August 17, 2023 (the “</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the revised estimated costs as at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2024, for the same period, and the actual use of proceeds as at December 31, 2023.</w:t>
      </w:r>
    </w:p>
    <w:p>
      <w:pPr>
        <w:spacing w:after="0" w:line="196" w:lineRule="exact"/>
        <w:rPr>
          <w:sz w:val="20"/>
          <w:szCs w:val="20"/>
          <w:color w:val="auto"/>
        </w:rPr>
      </w:pPr>
    </w:p>
    <w:tbl>
      <w:tblPr>
        <w:tblLayout w:type="fixed"/>
        <w:tblInd w:w="13" w:type="dxa"/>
        <w:tblCellMar>
          <w:top w:w="0" w:type="dxa"/>
          <w:left w:w="0" w:type="dxa"/>
          <w:bottom w:w="0" w:type="dxa"/>
          <w:right w:w="0" w:type="dxa"/>
        </w:tblCellMar>
      </w:tblPr>
      <w:tr>
        <w:trPr>
          <w:trHeight w:val="226"/>
        </w:trPr>
        <w:tc>
          <w:tcPr>
            <w:tcW w:w="458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54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4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Revised Estimated Use of</w:t>
            </w:r>
          </w:p>
        </w:tc>
        <w:tc>
          <w:tcPr>
            <w:tcW w:w="0" w:type="dxa"/>
            <w:vAlign w:val="bottom"/>
          </w:tcPr>
          <w:p>
            <w:pPr>
              <w:spacing w:after="0"/>
              <w:rPr>
                <w:sz w:val="1"/>
                <w:szCs w:val="1"/>
                <w:color w:val="auto"/>
              </w:rPr>
            </w:pPr>
          </w:p>
        </w:tc>
      </w:tr>
      <w:tr>
        <w:trPr>
          <w:trHeight w:val="114"/>
        </w:trPr>
        <w:tc>
          <w:tcPr>
            <w:tcW w:w="458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November Prospectus</w:t>
            </w:r>
          </w:p>
        </w:tc>
        <w:tc>
          <w:tcPr>
            <w:tcW w:w="15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58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as at March 31, 2024</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Proceeds</w:t>
            </w:r>
          </w:p>
        </w:tc>
        <w:tc>
          <w:tcPr>
            <w:tcW w:w="0" w:type="dxa"/>
            <w:vAlign w:val="bottom"/>
          </w:tcPr>
          <w:p>
            <w:pPr>
              <w:spacing w:after="0"/>
              <w:rPr>
                <w:sz w:val="1"/>
                <w:szCs w:val="1"/>
                <w:color w:val="auto"/>
              </w:rPr>
            </w:pPr>
          </w:p>
        </w:tc>
      </w:tr>
      <w:tr>
        <w:trPr>
          <w:trHeight w:val="87"/>
        </w:trPr>
        <w:tc>
          <w:tcPr>
            <w:tcW w:w="4580" w:type="dxa"/>
            <w:vAlign w:val="bottom"/>
            <w:tcBorders>
              <w:left w:val="single" w:sz="8" w:color="auto"/>
              <w:right w:val="single" w:sz="8" w:color="auto"/>
            </w:tcBorders>
          </w:tcPr>
          <w:p>
            <w:pPr>
              <w:spacing w:after="0"/>
              <w:rPr>
                <w:sz w:val="7"/>
                <w:szCs w:val="7"/>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Supplement</w:t>
            </w:r>
          </w:p>
        </w:tc>
        <w:tc>
          <w:tcPr>
            <w:tcW w:w="154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58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458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(November 1, 2023, to</w:t>
            </w:r>
          </w:p>
        </w:tc>
        <w:tc>
          <w:tcPr>
            <w:tcW w:w="15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580" w:type="dxa"/>
            <w:vAlign w:val="bottom"/>
            <w:tcBorders>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5"/>
                <w:szCs w:val="15"/>
                <w:b w:val="1"/>
                <w:bCs w:val="1"/>
                <w:color w:val="auto"/>
              </w:rPr>
              <w:t>Use of Available Funds (USD $000’s)</w:t>
            </w:r>
            <w:r>
              <w:rPr>
                <w:rFonts w:ascii="Times New Roman" w:cs="Times New Roman" w:eastAsia="Times New Roman" w:hAnsi="Times New Roman"/>
                <w:sz w:val="18"/>
                <w:szCs w:val="18"/>
                <w:b w:val="1"/>
                <w:bCs w:val="1"/>
                <w:color w:val="auto"/>
                <w:vertAlign w:val="superscript"/>
              </w:rPr>
              <w:t>(1)(2)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October 31, 2024)</w:t>
            </w:r>
          </w:p>
        </w:tc>
        <w:tc>
          <w:tcPr>
            <w:tcW w:w="154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Phase 3 Study of CYB003 in MDD</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$6,393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$2,204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$6,393</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Phase 2 Proof-Of-Concept Study</w:t>
            </w:r>
            <w:r>
              <w:rPr>
                <w:rFonts w:ascii="Times New Roman" w:cs="Times New Roman" w:eastAsia="Times New Roman" w:hAnsi="Times New Roman"/>
                <w:sz w:val="18"/>
                <w:szCs w:val="18"/>
                <w:color w:val="auto"/>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$597</w:t>
            </w:r>
          </w:p>
        </w:tc>
        <w:tc>
          <w:tcPr>
            <w:tcW w:w="0" w:type="dxa"/>
            <w:vAlign w:val="bottom"/>
          </w:tcPr>
          <w:p>
            <w:pPr>
              <w:spacing w:after="0"/>
              <w:rPr>
                <w:sz w:val="1"/>
                <w:szCs w:val="1"/>
                <w:color w:val="auto"/>
              </w:rPr>
            </w:pPr>
          </w:p>
        </w:tc>
      </w:tr>
      <w:tr>
        <w:trPr>
          <w:trHeight w:val="186"/>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Initiate a Subcutaneous Formulation Study</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$780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0" w:type="dxa"/>
            <w:vAlign w:val="bottom"/>
          </w:tcPr>
          <w:p>
            <w:pPr>
              <w:spacing w:after="0"/>
              <w:rPr>
                <w:sz w:val="1"/>
                <w:szCs w:val="1"/>
                <w:color w:val="auto"/>
              </w:rPr>
            </w:pPr>
          </w:p>
        </w:tc>
      </w:tr>
      <w:tr>
        <w:trPr>
          <w:trHeight w:val="187"/>
        </w:trPr>
        <w:tc>
          <w:tcPr>
            <w:tcW w:w="4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(4)</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$20,300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$20,300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$21,080</w:t>
            </w:r>
          </w:p>
        </w:tc>
        <w:tc>
          <w:tcPr>
            <w:tcW w:w="0" w:type="dxa"/>
            <w:vAlign w:val="bottom"/>
          </w:tcPr>
          <w:p>
            <w:pPr>
              <w:spacing w:after="0"/>
              <w:rPr>
                <w:sz w:val="1"/>
                <w:szCs w:val="1"/>
                <w:color w:val="auto"/>
              </w:rPr>
            </w:pPr>
          </w:p>
        </w:tc>
      </w:tr>
      <w:tr>
        <w:trPr>
          <w:trHeight w:val="185"/>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$28,070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$23,101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3"/>
          </w:cols>
          <w:pgMar w:left="317" w:top="726" w:right="339" w:bottom="1440" w:gutter="0" w:footer="0" w:header="0"/>
        </w:sectPr>
      </w:pPr>
    </w:p>
    <w:bookmarkStart w:id="282" w:name="page283"/>
    <w:bookmarkEnd w:id="282"/>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24" w:lineRule="exact"/>
        <w:rPr>
          <w:sz w:val="20"/>
          <w:szCs w:val="20"/>
          <w:color w:val="auto"/>
        </w:rPr>
      </w:pPr>
    </w:p>
    <w:p>
      <w:pPr>
        <w:ind w:left="403" w:hanging="403"/>
        <w:spacing w:after="0"/>
        <w:tabs>
          <w:tab w:leader="none" w:pos="403"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the chart are in USD. Certain amounts have been converted from USD to CAD at an exchange rate of 1:0.74.</w:t>
      </w:r>
    </w:p>
    <w:p>
      <w:pPr>
        <w:spacing w:after="0" w:line="19"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35"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milestone is now denoted as 'initiate a Phase 2a GAD study'. For further information see "Deuterated Dimethyltryptamine Program".</w:t>
      </w:r>
    </w:p>
    <w:p>
      <w:pPr>
        <w:spacing w:after="0" w:line="21" w:lineRule="exact"/>
        <w:rPr>
          <w:rFonts w:ascii="Times New Roman" w:cs="Times New Roman" w:eastAsia="Times New Roman" w:hAnsi="Times New Roman"/>
          <w:sz w:val="15"/>
          <w:szCs w:val="15"/>
          <w:color w:val="auto"/>
        </w:rPr>
      </w:pPr>
    </w:p>
    <w:p>
      <w:pPr>
        <w:jc w:val="both"/>
        <w:ind w:left="403" w:right="20" w:hanging="403"/>
        <w:spacing w:after="0" w:line="298" w:lineRule="auto"/>
        <w:tabs>
          <w:tab w:leader="none" w:pos="396"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94" w:lineRule="exact"/>
        <w:rPr>
          <w:sz w:val="20"/>
          <w:szCs w:val="20"/>
          <w:color w:val="auto"/>
        </w:rPr>
      </w:pPr>
    </w:p>
    <w:p>
      <w:pPr>
        <w:jc w:val="both"/>
        <w:ind w:left="3" w:right="20"/>
        <w:spacing w:after="0" w:line="303" w:lineRule="auto"/>
        <w:rPr>
          <w:sz w:val="20"/>
          <w:szCs w:val="20"/>
          <w:color w:val="auto"/>
        </w:rPr>
      </w:pPr>
      <w:r>
        <w:rPr>
          <w:rFonts w:ascii="Times New Roman" w:cs="Times New Roman" w:eastAsia="Times New Roman" w:hAnsi="Times New Roman"/>
          <w:sz w:val="19"/>
          <w:szCs w:val="19"/>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6" w:lineRule="exact"/>
        <w:rPr>
          <w:sz w:val="20"/>
          <w:szCs w:val="20"/>
          <w:color w:val="auto"/>
        </w:rPr>
      </w:pPr>
    </w:p>
    <w:p>
      <w:pPr>
        <w:jc w:val="both"/>
        <w:ind w:left="3" w:right="20"/>
        <w:spacing w:after="0" w:line="303" w:lineRule="auto"/>
        <w:rPr>
          <w:sz w:val="20"/>
          <w:szCs w:val="20"/>
          <w:color w:val="auto"/>
        </w:rPr>
      </w:pPr>
      <w:r>
        <w:rPr>
          <w:rFonts w:ascii="Times New Roman" w:cs="Times New Roman" w:eastAsia="Times New Roman" w:hAnsi="Times New Roman"/>
          <w:sz w:val="19"/>
          <w:szCs w:val="19"/>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Relationships with Third Parties</w:t>
      </w:r>
    </w:p>
    <w:p>
      <w:pPr>
        <w:spacing w:after="0" w:line="258"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w:t>
      </w:r>
    </w:p>
    <w:p>
      <w:pPr>
        <w:spacing w:after="0" w:line="40" w:lineRule="exact"/>
        <w:rPr>
          <w:sz w:val="20"/>
          <w:szCs w:val="20"/>
          <w:color w:val="auto"/>
        </w:rPr>
      </w:pPr>
    </w:p>
    <w:p>
      <w:pPr>
        <w:jc w:val="both"/>
        <w:ind w:left="3" w:right="20"/>
        <w:spacing w:after="0" w:line="324" w:lineRule="auto"/>
        <w:rPr>
          <w:sz w:val="20"/>
          <w:szCs w:val="20"/>
          <w:color w:val="auto"/>
        </w:rPr>
      </w:pPr>
      <w:r>
        <w:rPr>
          <w:rFonts w:ascii="Times New Roman" w:cs="Times New Roman" w:eastAsia="Times New Roman" w:hAnsi="Times New Roman"/>
          <w:sz w:val="18"/>
          <w:szCs w:val="18"/>
          <w:color w:val="auto"/>
        </w:rPr>
        <w:t>The Company has licensed the use of its EMBARK psychological support model to the University of Washington for a randomized, placebo-controlled clinical trial of psilocybin for frontline clinicians experiencing COVID-19 related distress.</w:t>
      </w:r>
    </w:p>
    <w:p>
      <w:pPr>
        <w:spacing w:after="0" w:line="1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Greenbrook TMS</w:t>
      </w:r>
    </w:p>
    <w:p>
      <w:pPr>
        <w:spacing w:after="0" w:line="52"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40" w:lineRule="exact"/>
        <w:rPr>
          <w:sz w:val="20"/>
          <w:szCs w:val="20"/>
          <w:color w:val="auto"/>
        </w:rPr>
      </w:pPr>
    </w:p>
    <w:p>
      <w:pPr>
        <w:jc w:val="both"/>
        <w:ind w:left="3"/>
        <w:spacing w:after="0" w:line="324"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w:t>
      </w:r>
    </w:p>
    <w:p>
      <w:pPr>
        <w:spacing w:after="0" w:line="1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3"/>
          </w:cols>
          <w:pgMar w:left="317" w:top="1035" w:right="319" w:bottom="1440" w:gutter="0" w:footer="0" w:header="0"/>
        </w:sectPr>
      </w:pPr>
    </w:p>
    <w:bookmarkStart w:id="283" w:name="page284"/>
    <w:bookmarkEnd w:id="283"/>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36" w:lineRule="exact"/>
        <w:rPr>
          <w:sz w:val="20"/>
          <w:szCs w:val="20"/>
          <w:color w:val="auto"/>
        </w:rPr>
      </w:pPr>
    </w:p>
    <w:p>
      <w:pPr>
        <w:jc w:val="both"/>
        <w:ind w:left="3"/>
        <w:spacing w:after="0" w:line="293"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Worldwide Clinical Trials</w:t>
      </w:r>
    </w:p>
    <w:p>
      <w:pPr>
        <w:spacing w:after="0" w:line="52"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40"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0" w:lineRule="exact"/>
        <w:rPr>
          <w:sz w:val="20"/>
          <w:szCs w:val="20"/>
          <w:color w:val="auto"/>
        </w:rPr>
      </w:pPr>
    </w:p>
    <w:p>
      <w:pPr>
        <w:jc w:val="both"/>
        <w:ind w:left="3" w:right="20"/>
        <w:spacing w:after="0" w:line="310"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44" w:lineRule="exact"/>
        <w:rPr>
          <w:sz w:val="20"/>
          <w:szCs w:val="20"/>
          <w:color w:val="auto"/>
        </w:rPr>
      </w:pPr>
    </w:p>
    <w:p>
      <w:pPr>
        <w:jc w:val="both"/>
        <w:ind w:left="3"/>
        <w:spacing w:after="0" w:line="292"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99"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3987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44" w:lineRule="exact"/>
        <w:rPr>
          <w:sz w:val="20"/>
          <w:szCs w:val="20"/>
          <w:color w:val="auto"/>
        </w:rPr>
      </w:pPr>
    </w:p>
    <w:p>
      <w:pPr>
        <w:ind w:left="3" w:hanging="3"/>
        <w:spacing w:after="0" w:line="204" w:lineRule="auto"/>
        <w:tabs>
          <w:tab w:leader="none" w:pos="179" w:val="left"/>
        </w:tabs>
        <w:numPr>
          <w:ilvl w:val="0"/>
          <w:numId w:val="1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3"/>
          </w:cols>
          <w:pgMar w:left="317" w:top="725" w:right="319" w:bottom="1440" w:gutter="0" w:footer="0" w:header="0"/>
        </w:sectPr>
      </w:pPr>
    </w:p>
    <w:bookmarkStart w:id="284" w:name="page285"/>
    <w:bookmarkEnd w:id="284"/>
    <w:p>
      <w:pPr>
        <w:jc w:val="both"/>
        <w:spacing w:after="0" w:line="295" w:lineRule="auto"/>
        <w:rPr>
          <w:sz w:val="20"/>
          <w:szCs w:val="20"/>
          <w:color w:val="auto"/>
        </w:rPr>
      </w:pPr>
      <w:r>
        <w:rPr>
          <w:rFonts w:ascii="Times New Roman" w:cs="Times New Roman" w:eastAsia="Times New Roman" w:hAnsi="Times New Roman"/>
          <w:sz w:val="18"/>
          <w:szCs w:val="18"/>
          <w:color w:val="auto"/>
        </w:rPr>
        <w:t>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9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Cybin has title to fourteen granted US patents and fifty three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580" w:type="dxa"/>
            <w:vAlign w:val="bottom"/>
            <w:tcBorders>
              <w:top w:val="single" w:sz="8" w:color="auto"/>
              <w:right w:val="single" w:sz="8" w:color="auto"/>
            </w:tcBorders>
            <w:vMerge w:val="restart"/>
            <w:shd w:val="clear" w:color="auto" w:fill="BFBFBF"/>
          </w:tcPr>
          <w:p>
            <w:pPr>
              <w:ind w:left="24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360" w:type="dxa"/>
            <w:vAlign w:val="bottom"/>
            <w:tcBorders>
              <w:top w:val="single" w:sz="8" w:color="auto"/>
              <w:right w:val="single" w:sz="8" w:color="auto"/>
            </w:tcBorders>
            <w:shd w:val="clear" w:color="auto" w:fill="BFBFBF"/>
          </w:tcPr>
          <w:p>
            <w:pPr>
              <w:ind w:left="160"/>
              <w:spacing w:after="0" w:line="170" w:lineRule="exact"/>
              <w:rPr>
                <w:sz w:val="20"/>
                <w:szCs w:val="20"/>
                <w:color w:val="auto"/>
              </w:rPr>
            </w:pPr>
            <w:r>
              <w:rPr>
                <w:rFonts w:ascii="Times New Roman" w:cs="Times New Roman" w:eastAsia="Times New Roman" w:hAnsi="Times New Roman"/>
                <w:sz w:val="16"/>
                <w:szCs w:val="16"/>
                <w:b w:val="1"/>
                <w:bCs w:val="1"/>
                <w:color w:val="auto"/>
              </w:rPr>
              <w:t>Jurisdiction of</w:t>
            </w:r>
          </w:p>
        </w:tc>
        <w:tc>
          <w:tcPr>
            <w:tcW w:w="3480" w:type="dxa"/>
            <w:vAlign w:val="bottom"/>
            <w:tcBorders>
              <w:top w:val="single" w:sz="8" w:color="auto"/>
            </w:tcBorders>
            <w:vMerge w:val="restart"/>
            <w:shd w:val="clear" w:color="auto" w:fill="BFBFBF"/>
          </w:tcPr>
          <w:p>
            <w:pPr>
              <w:ind w:left="2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60" w:type="dxa"/>
            <w:vAlign w:val="bottom"/>
            <w:tcBorders>
              <w:top w:val="single" w:sz="8" w:color="auto"/>
            </w:tcBorders>
            <w:shd w:val="clear" w:color="auto" w:fill="BFBFBF"/>
          </w:tcPr>
          <w:p>
            <w:pPr>
              <w:spacing w:after="0"/>
              <w:rPr>
                <w:sz w:val="14"/>
                <w:szCs w:val="14"/>
                <w:color w:val="auto"/>
              </w:rPr>
            </w:pPr>
          </w:p>
        </w:tc>
        <w:tc>
          <w:tcPr>
            <w:tcW w:w="600" w:type="dxa"/>
            <w:vAlign w:val="bottom"/>
            <w:tcBorders>
              <w:top w:val="single" w:sz="8" w:color="auto"/>
            </w:tcBorders>
            <w:shd w:val="clear" w:color="auto" w:fill="BFBFBF"/>
          </w:tcPr>
          <w:p>
            <w:pPr>
              <w:spacing w:after="0"/>
              <w:rPr>
                <w:sz w:val="14"/>
                <w:szCs w:val="14"/>
                <w:color w:val="auto"/>
              </w:rPr>
            </w:pPr>
          </w:p>
        </w:tc>
        <w:tc>
          <w:tcPr>
            <w:tcW w:w="800" w:type="dxa"/>
            <w:vAlign w:val="bottom"/>
            <w:tcBorders>
              <w:top w:val="single" w:sz="8" w:color="auto"/>
            </w:tcBorders>
            <w:shd w:val="clear" w:color="auto" w:fill="BFBFBF"/>
          </w:tcPr>
          <w:p>
            <w:pPr>
              <w:spacing w:after="0"/>
              <w:rPr>
                <w:sz w:val="14"/>
                <w:szCs w:val="14"/>
                <w:color w:val="auto"/>
              </w:rPr>
            </w:pPr>
          </w:p>
        </w:tc>
        <w:tc>
          <w:tcPr>
            <w:tcW w:w="420" w:type="dxa"/>
            <w:vAlign w:val="bottom"/>
            <w:tcBorders>
              <w:top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shd w:val="clear" w:color="auto" w:fill="BFBFBF"/>
          </w:tcPr>
          <w:p>
            <w:pPr>
              <w:spacing w:after="0"/>
              <w:rPr>
                <w:sz w:val="11"/>
                <w:szCs w:val="11"/>
                <w:color w:val="auto"/>
              </w:rPr>
            </w:pPr>
          </w:p>
        </w:tc>
        <w:tc>
          <w:tcPr>
            <w:tcW w:w="1580" w:type="dxa"/>
            <w:vAlign w:val="bottom"/>
            <w:tcBorders>
              <w:right w:val="single" w:sz="8" w:color="auto"/>
            </w:tcBorders>
            <w:vMerge w:val="continue"/>
            <w:shd w:val="clear" w:color="auto" w:fill="BFBFBF"/>
          </w:tcPr>
          <w:p>
            <w:pPr>
              <w:spacing w:after="0"/>
              <w:rPr>
                <w:sz w:val="11"/>
                <w:szCs w:val="11"/>
                <w:color w:val="auto"/>
              </w:rPr>
            </w:pPr>
          </w:p>
        </w:tc>
        <w:tc>
          <w:tcPr>
            <w:tcW w:w="1360" w:type="dxa"/>
            <w:vAlign w:val="bottom"/>
            <w:tcBorders>
              <w:right w:val="single" w:sz="8" w:color="auto"/>
            </w:tcBorders>
            <w:vMerge w:val="restart"/>
            <w:shd w:val="clear" w:color="auto" w:fill="BFBFBF"/>
          </w:tcPr>
          <w:p>
            <w:pPr>
              <w:ind w:left="46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3480" w:type="dxa"/>
            <w:vAlign w:val="bottom"/>
            <w:vMerge w:val="continue"/>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600" w:type="dxa"/>
            <w:vAlign w:val="bottom"/>
            <w:shd w:val="clear" w:color="auto" w:fill="BFBFBF"/>
          </w:tcPr>
          <w:p>
            <w:pPr>
              <w:spacing w:after="0"/>
              <w:rPr>
                <w:sz w:val="11"/>
                <w:szCs w:val="11"/>
                <w:color w:val="auto"/>
              </w:rPr>
            </w:pPr>
          </w:p>
        </w:tc>
        <w:tc>
          <w:tcPr>
            <w:tcW w:w="800" w:type="dxa"/>
            <w:vAlign w:val="bottom"/>
            <w:shd w:val="clear" w:color="auto" w:fill="BFBFBF"/>
          </w:tcPr>
          <w:p>
            <w:pPr>
              <w:spacing w:after="0"/>
              <w:rPr>
                <w:sz w:val="11"/>
                <w:szCs w:val="11"/>
                <w:color w:val="auto"/>
              </w:rPr>
            </w:pPr>
          </w:p>
        </w:tc>
        <w:tc>
          <w:tcPr>
            <w:tcW w:w="42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580" w:type="dxa"/>
            <w:vAlign w:val="bottom"/>
            <w:tcBorders>
              <w:bottom w:val="single" w:sz="8" w:color="auto"/>
              <w:right w:val="single" w:sz="8" w:color="auto"/>
            </w:tcBorders>
            <w:shd w:val="clear" w:color="auto" w:fill="BFBFBF"/>
          </w:tcPr>
          <w:p>
            <w:pPr>
              <w:spacing w:after="0"/>
              <w:rPr>
                <w:sz w:val="7"/>
                <w:szCs w:val="7"/>
                <w:color w:val="auto"/>
              </w:rPr>
            </w:pPr>
          </w:p>
        </w:tc>
        <w:tc>
          <w:tcPr>
            <w:tcW w:w="136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3480" w:type="dxa"/>
            <w:vAlign w:val="bottom"/>
            <w:tcBorders>
              <w:bottom w:val="single" w:sz="8" w:color="auto"/>
            </w:tcBorders>
            <w:shd w:val="clear" w:color="auto" w:fill="BFBFBF"/>
          </w:tcPr>
          <w:p>
            <w:pPr>
              <w:spacing w:after="0"/>
              <w:rPr>
                <w:sz w:val="7"/>
                <w:szCs w:val="7"/>
                <w:color w:val="auto"/>
              </w:rPr>
            </w:pPr>
          </w:p>
        </w:tc>
        <w:tc>
          <w:tcPr>
            <w:tcW w:w="260" w:type="dxa"/>
            <w:vAlign w:val="bottom"/>
            <w:tcBorders>
              <w:bottom w:val="single" w:sz="8" w:color="auto"/>
            </w:tcBorders>
            <w:shd w:val="clear" w:color="auto" w:fill="BFBFBF"/>
          </w:tcPr>
          <w:p>
            <w:pPr>
              <w:spacing w:after="0"/>
              <w:rPr>
                <w:sz w:val="7"/>
                <w:szCs w:val="7"/>
                <w:color w:val="auto"/>
              </w:rPr>
            </w:pPr>
          </w:p>
        </w:tc>
        <w:tc>
          <w:tcPr>
            <w:tcW w:w="600" w:type="dxa"/>
            <w:vAlign w:val="bottom"/>
            <w:tcBorders>
              <w:bottom w:val="single" w:sz="8" w:color="auto"/>
            </w:tcBorders>
            <w:shd w:val="clear" w:color="auto" w:fill="BFBFBF"/>
          </w:tcPr>
          <w:p>
            <w:pPr>
              <w:spacing w:after="0"/>
              <w:rPr>
                <w:sz w:val="7"/>
                <w:szCs w:val="7"/>
                <w:color w:val="auto"/>
              </w:rPr>
            </w:pPr>
          </w:p>
        </w:tc>
        <w:tc>
          <w:tcPr>
            <w:tcW w:w="800" w:type="dxa"/>
            <w:vAlign w:val="bottom"/>
            <w:tcBorders>
              <w:bottom w:val="single" w:sz="8" w:color="auto"/>
            </w:tcBorders>
            <w:shd w:val="clear" w:color="auto" w:fill="BFBFBF"/>
          </w:tcPr>
          <w:p>
            <w:pPr>
              <w:spacing w:after="0"/>
              <w:rPr>
                <w:sz w:val="7"/>
                <w:szCs w:val="7"/>
                <w:color w:val="auto"/>
              </w:rPr>
            </w:pPr>
          </w:p>
        </w:tc>
        <w:tc>
          <w:tcPr>
            <w:tcW w:w="4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11,242,318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11,724,985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11,746,088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11,834,410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11,958,807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2018311307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2020378647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2020381103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2021334933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2021204158</w:t>
            </w:r>
          </w:p>
        </w:tc>
        <w:tc>
          <w:tcPr>
            <w:tcW w:w="1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34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 Deuterated</w:t>
            </w:r>
          </w:p>
        </w:tc>
        <w:tc>
          <w:tcPr>
            <w:tcW w:w="26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348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1120220000000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3104072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5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Drug Substance Compositions Comprising N,N-Dimethyltryptamine</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3160337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3179161</w:t>
            </w:r>
          </w:p>
        </w:tc>
        <w:tc>
          <w:tcPr>
            <w:tcW w:w="1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34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 Deuterated</w:t>
            </w:r>
          </w:p>
        </w:tc>
        <w:tc>
          <w:tcPr>
            <w:tcW w:w="26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348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3160334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3179335</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25" w:right="339" w:bottom="1440" w:gutter="0" w:footer="0" w:header="0"/>
        </w:sectPr>
      </w:pPr>
    </w:p>
    <w:bookmarkStart w:id="285" w:name="page286"/>
    <w:bookmarkEnd w:id="285"/>
    <w:tbl>
      <w:tblPr>
        <w:tblLayout w:type="fixed"/>
        <w:tblInd w:w="10" w:type="dxa"/>
        <w:tblCellMar>
          <w:top w:w="0" w:type="dxa"/>
          <w:left w:w="0" w:type="dxa"/>
          <w:bottom w:w="0" w:type="dxa"/>
          <w:right w:w="0" w:type="dxa"/>
        </w:tblCellMar>
      </w:tblPr>
      <w:tr>
        <w:trPr>
          <w:trHeight w:val="218"/>
        </w:trPr>
        <w:tc>
          <w:tcPr>
            <w:tcW w:w="2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1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ZL202080087091.0</w:t>
            </w: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top w:val="single" w:sz="8" w:color="auto"/>
              <w:bottom w:val="single" w:sz="8" w:color="auto"/>
              <w:right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ZL202080087092.5</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19</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ZL202180044031.5</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ZL202180046463.X</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3"/>
                <w:szCs w:val="13"/>
                <w:color w:val="auto"/>
              </w:rPr>
            </w:pP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046951</w:t>
            </w:r>
          </w:p>
        </w:tc>
        <w:tc>
          <w:tcPr>
            <w:tcW w:w="90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Eurasian</w:t>
            </w:r>
          </w:p>
        </w:tc>
        <w:tc>
          <w:tcPr>
            <w:tcW w:w="4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Patent</w:t>
            </w:r>
          </w:p>
        </w:tc>
        <w:tc>
          <w:tcPr>
            <w:tcW w:w="26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w:t>
            </w:r>
          </w:p>
        </w:tc>
        <w:tc>
          <w:tcPr>
            <w:tcW w:w="460" w:type="dxa"/>
            <w:vAlign w:val="bottom"/>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3463323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55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Solid Oral Dosage Forms of 2R,6R-Hydroxynorketamine or Derivatives Thereof</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3687515</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3532457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25</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3826632</w:t>
            </w:r>
          </w:p>
        </w:tc>
        <w:tc>
          <w:tcPr>
            <w:tcW w:w="9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w w:val="99"/>
              </w:rPr>
              <w:t>Patent</w:t>
            </w: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3844147</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3873883</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3902541</w:t>
            </w:r>
          </w:p>
        </w:tc>
        <w:tc>
          <w:tcPr>
            <w:tcW w:w="9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w w:val="99"/>
              </w:rPr>
              <w:t>Patent</w:t>
            </w: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w:t>
            </w: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4031529</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5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Office</w:t>
            </w:r>
          </w:p>
        </w:tc>
        <w:tc>
          <w:tcPr>
            <w:tcW w:w="4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30</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40010285</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40042383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40035970</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Solid Oral Dosage Forms of Ketamine Derivatives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40056359</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40060666</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35</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40065709</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right w:val="single" w:sz="8" w:color="auto"/>
            </w:tcBorders>
          </w:tcPr>
          <w:p>
            <w:pPr>
              <w:spacing w:after="0"/>
              <w:rPr>
                <w:sz w:val="13"/>
                <w:szCs w:val="13"/>
                <w:color w:val="auto"/>
              </w:rPr>
            </w:pP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40064531</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40045846</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40060891</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39</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40078818</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46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40</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507114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528813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292753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7288154</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3"/>
                <w:szCs w:val="13"/>
                <w:color w:val="auto"/>
              </w:rPr>
            </w:pP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2023 500532</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2022 546635</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2023 533436</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404310</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48</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411316</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Borders>
              <w:right w:val="single" w:sz="8" w:color="auto"/>
            </w:tcBorders>
          </w:tcPr>
          <w:p>
            <w:pPr>
              <w:spacing w:after="0"/>
              <w:rPr>
                <w:sz w:val="13"/>
                <w:szCs w:val="13"/>
                <w:color w:val="auto"/>
              </w:rPr>
            </w:pP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49</w:t>
            </w:r>
          </w:p>
        </w:tc>
        <w:tc>
          <w:tcPr>
            <w:tcW w:w="1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412331</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Mexico</w:t>
            </w:r>
          </w:p>
        </w:tc>
        <w:tc>
          <w:tcPr>
            <w:tcW w:w="460" w:type="dxa"/>
            <w:vAlign w:val="bottom"/>
          </w:tcPr>
          <w:p>
            <w:pPr>
              <w:spacing w:after="0"/>
              <w:rPr>
                <w:sz w:val="13"/>
                <w:szCs w:val="13"/>
                <w:color w:val="auto"/>
              </w:rPr>
            </w:pPr>
          </w:p>
        </w:tc>
        <w:tc>
          <w:tcPr>
            <w:tcW w:w="26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50</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788543</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Zealand</w:t>
            </w:r>
          </w:p>
        </w:tc>
        <w:tc>
          <w:tcPr>
            <w:tcW w:w="460" w:type="dxa"/>
            <w:vAlign w:val="bottom"/>
            <w:tcBorders>
              <w:bottom w:val="single" w:sz="8" w:color="auto"/>
              <w:right w:val="single" w:sz="8" w:color="auto"/>
            </w:tcBorders>
          </w:tcPr>
          <w:p>
            <w:pPr>
              <w:spacing w:after="0"/>
              <w:rPr>
                <w:sz w:val="17"/>
                <w:szCs w:val="17"/>
                <w:color w:val="auto"/>
              </w:rPr>
            </w:pPr>
          </w:p>
        </w:tc>
        <w:tc>
          <w:tcPr>
            <w:tcW w:w="556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Dimethyltryptamine derivatives and their use in psychedelic-assisted psychotherapy</w:t>
            </w: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51</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794833</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460" w:type="dxa"/>
            <w:vAlign w:val="bottom"/>
            <w:tcBorders>
              <w:right w:val="single" w:sz="8" w:color="auto"/>
            </w:tcBorders>
          </w:tcPr>
          <w:p>
            <w:pPr>
              <w:spacing w:after="0"/>
              <w:rPr>
                <w:sz w:val="13"/>
                <w:szCs w:val="13"/>
                <w:color w:val="auto"/>
              </w:rPr>
            </w:pPr>
          </w:p>
        </w:tc>
        <w:tc>
          <w:tcPr>
            <w:tcW w:w="266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 Compositions Comprising</w:t>
            </w:r>
          </w:p>
        </w:tc>
        <w:tc>
          <w:tcPr>
            <w:tcW w:w="80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64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2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52</w:t>
            </w:r>
          </w:p>
        </w:tc>
        <w:tc>
          <w:tcPr>
            <w:tcW w:w="1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2589605</w:t>
            </w:r>
          </w:p>
        </w:tc>
        <w:tc>
          <w:tcPr>
            <w:tcW w:w="13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Republic of Korea</w:t>
            </w:r>
          </w:p>
        </w:tc>
        <w:tc>
          <w:tcPr>
            <w:tcW w:w="5560" w:type="dxa"/>
            <w:vAlign w:val="bottom"/>
            <w:tcBorders>
              <w:right w:val="single" w:sz="8" w:color="auto"/>
            </w:tcBorders>
            <w:gridSpan w:val="6"/>
          </w:tcPr>
          <w:p>
            <w:pPr>
              <w:spacing w:after="0" w:line="154" w:lineRule="exact"/>
              <w:rPr>
                <w:sz w:val="20"/>
                <w:szCs w:val="20"/>
                <w:color w:val="auto"/>
              </w:rPr>
            </w:pPr>
            <w:r>
              <w:rPr>
                <w:rFonts w:ascii="Times New Roman" w:cs="Times New Roman" w:eastAsia="Times New Roman" w:hAnsi="Times New Roman"/>
                <w:sz w:val="16"/>
                <w:szCs w:val="16"/>
                <w:color w:val="auto"/>
              </w:rPr>
              <w:t>Therapeutic Compositions Comprising Deuterated or Partially Deuterated N,N-</w:t>
            </w:r>
          </w:p>
        </w:tc>
        <w:tc>
          <w:tcPr>
            <w:tcW w:w="0" w:type="dxa"/>
            <w:vAlign w:val="bottom"/>
          </w:tcPr>
          <w:p>
            <w:pPr>
              <w:spacing w:after="0"/>
              <w:rPr>
                <w:sz w:val="1"/>
                <w:szCs w:val="1"/>
                <w:color w:val="auto"/>
              </w:rPr>
            </w:pPr>
          </w:p>
        </w:tc>
      </w:tr>
      <w:tr>
        <w:trPr>
          <w:trHeight w:val="214"/>
        </w:trPr>
        <w:tc>
          <w:tcPr>
            <w:tcW w:w="2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360" w:type="dxa"/>
            <w:vAlign w:val="bottom"/>
            <w:tcBorders>
              <w:bottom w:val="single" w:sz="8" w:color="auto"/>
              <w:right w:val="single" w:sz="8" w:color="auto"/>
            </w:tcBorders>
            <w:gridSpan w:val="2"/>
            <w:vMerge w:val="continue"/>
          </w:tcPr>
          <w:p>
            <w:pPr>
              <w:spacing w:after="0"/>
              <w:rPr>
                <w:sz w:val="18"/>
                <w:szCs w:val="18"/>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2636385</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Republic of Korea</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2023/01086</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46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2585978</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2586940</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2592822</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726" w:right="1440" w:bottom="1440" w:gutter="0" w:footer="0" w:header="0"/>
        </w:sectPr>
      </w:pPr>
    </w:p>
    <w:bookmarkStart w:id="286" w:name="page287"/>
    <w:bookmarkEnd w:id="286"/>
    <w:tbl>
      <w:tblPr>
        <w:tblLayout w:type="fixed"/>
        <w:tblInd w:w="10" w:type="dxa"/>
        <w:tblCellMar>
          <w:top w:w="0" w:type="dxa"/>
          <w:left w:w="0" w:type="dxa"/>
          <w:bottom w:w="0" w:type="dxa"/>
          <w:right w:w="0" w:type="dxa"/>
        </w:tblCellMar>
      </w:tblPr>
      <w:tr>
        <w:trPr>
          <w:trHeight w:val="218"/>
        </w:trPr>
        <w:tc>
          <w:tcPr>
            <w:tcW w:w="280" w:type="dxa"/>
            <w:vAlign w:val="bottom"/>
            <w:tcBorders>
              <w:top w:val="single" w:sz="8" w:color="auto"/>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58</w:t>
            </w:r>
          </w:p>
        </w:tc>
        <w:tc>
          <w:tcPr>
            <w:tcW w:w="1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2595776</w:t>
            </w:r>
          </w:p>
        </w:tc>
        <w:tc>
          <w:tcPr>
            <w:tcW w:w="1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5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59</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11,377,416</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Crystalline Forms of Hydroxynorketamine</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60</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11,771,681</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Compositions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61</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11,773,062</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Compounds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62</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11,643,390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Synthesis of N,N-Dimethyltryptamine-Type Compounds, Methods, and Uses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63</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11,471,417</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N,N-Dimethyltryptamine Compounds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64</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11,406,619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65</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11,697,638</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5-Methoxy-N,N-Dimethyltryptamine Crystalline Forms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66</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11,660,289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or Partially Deuterated N,N-Dimethyltryptamine Compounds</w:t>
            </w:r>
          </w:p>
        </w:tc>
      </w:tr>
      <w:tr>
        <w:trPr>
          <w:trHeight w:val="198"/>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67</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11,578,039</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5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r>
    </w:tbl>
    <w:p>
      <w:pPr>
        <w:spacing w:after="0" w:line="30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addition, Cybin has title to thirteen provisional patent applications, twenty five US non-provisional patent applications, one hundred and fifty five national (non-US) patent applications, and fourteen Patent Cooperation Treaty (“PCT”) applications, including claims directed to compositions of matter and methods of use in support of its research and development and preclinical and clinical trial programs.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42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Times New Roman" w:cs="Times New Roman" w:eastAsia="Times New Roman" w:hAnsi="Times New Roman"/>
                <w:sz w:val="16"/>
                <w:szCs w:val="16"/>
                <w:b w:val="1"/>
                <w:bCs w:val="1"/>
                <w:color w:val="auto"/>
              </w:rPr>
              <w:t>Patent Application</w:t>
            </w:r>
          </w:p>
        </w:tc>
        <w:tc>
          <w:tcPr>
            <w:tcW w:w="110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Times New Roman" w:cs="Times New Roman" w:eastAsia="Times New Roman" w:hAnsi="Times New Roman"/>
                <w:sz w:val="16"/>
                <w:szCs w:val="16"/>
                <w:b w:val="1"/>
                <w:bCs w:val="1"/>
                <w:color w:val="auto"/>
              </w:rPr>
              <w:t>Jurisdiction of</w:t>
            </w:r>
          </w:p>
        </w:tc>
        <w:tc>
          <w:tcPr>
            <w:tcW w:w="1260" w:type="dxa"/>
            <w:vAlign w:val="bottom"/>
            <w:tcBorders>
              <w:top w:val="single" w:sz="8" w:color="auto"/>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760" w:type="dxa"/>
            <w:vAlign w:val="bottom"/>
            <w:tcBorders>
              <w:top w:val="single" w:sz="8" w:color="auto"/>
            </w:tcBorders>
            <w:shd w:val="clear" w:color="auto" w:fill="BFBFBF"/>
          </w:tcPr>
          <w:p>
            <w:pPr>
              <w:spacing w:after="0"/>
              <w:rPr>
                <w:sz w:val="14"/>
                <w:szCs w:val="14"/>
                <w:color w:val="auto"/>
              </w:rPr>
            </w:pPr>
          </w:p>
        </w:tc>
        <w:tc>
          <w:tcPr>
            <w:tcW w:w="300" w:type="dxa"/>
            <w:vAlign w:val="bottom"/>
            <w:tcBorders>
              <w:top w:val="single" w:sz="8" w:color="auto"/>
            </w:tcBorders>
            <w:shd w:val="clear" w:color="auto" w:fill="BFBFBF"/>
          </w:tcPr>
          <w:p>
            <w:pPr>
              <w:spacing w:after="0"/>
              <w:rPr>
                <w:sz w:val="14"/>
                <w:szCs w:val="14"/>
                <w:color w:val="auto"/>
              </w:rPr>
            </w:pPr>
          </w:p>
        </w:tc>
        <w:tc>
          <w:tcPr>
            <w:tcW w:w="1140" w:type="dxa"/>
            <w:vAlign w:val="bottom"/>
            <w:tcBorders>
              <w:top w:val="single" w:sz="8" w:color="auto"/>
            </w:tcBorders>
            <w:gridSpan w:val="3"/>
            <w:vMerge w:val="restart"/>
            <w:shd w:val="clear" w:color="auto" w:fill="BFBFB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00" w:type="dxa"/>
            <w:vAlign w:val="bottom"/>
            <w:tcBorders>
              <w:top w:val="single" w:sz="8" w:color="auto"/>
            </w:tcBorders>
            <w:shd w:val="clear" w:color="auto" w:fill="BFBFBF"/>
          </w:tcPr>
          <w:p>
            <w:pPr>
              <w:spacing w:after="0"/>
              <w:rPr>
                <w:sz w:val="14"/>
                <w:szCs w:val="14"/>
                <w:color w:val="auto"/>
              </w:rPr>
            </w:pPr>
          </w:p>
        </w:tc>
        <w:tc>
          <w:tcPr>
            <w:tcW w:w="300" w:type="dxa"/>
            <w:vAlign w:val="bottom"/>
            <w:tcBorders>
              <w:top w:val="single" w:sz="8" w:color="auto"/>
            </w:tcBorders>
            <w:shd w:val="clear" w:color="auto" w:fill="BFBFBF"/>
          </w:tcPr>
          <w:p>
            <w:pPr>
              <w:spacing w:after="0"/>
              <w:rPr>
                <w:sz w:val="14"/>
                <w:szCs w:val="14"/>
                <w:color w:val="auto"/>
              </w:rPr>
            </w:pPr>
          </w:p>
        </w:tc>
        <w:tc>
          <w:tcPr>
            <w:tcW w:w="300" w:type="dxa"/>
            <w:vAlign w:val="bottom"/>
            <w:tcBorders>
              <w:top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shd w:val="clear" w:color="auto" w:fill="BFBFBF"/>
          </w:tcPr>
          <w:p>
            <w:pPr>
              <w:spacing w:after="0"/>
              <w:rPr>
                <w:sz w:val="11"/>
                <w:szCs w:val="11"/>
                <w:color w:val="auto"/>
              </w:rPr>
            </w:pPr>
          </w:p>
        </w:tc>
        <w:tc>
          <w:tcPr>
            <w:tcW w:w="1420" w:type="dxa"/>
            <w:vAlign w:val="bottom"/>
            <w:tcBorders>
              <w:right w:val="single" w:sz="8" w:color="auto"/>
            </w:tcBorders>
            <w:vMerge w:val="restart"/>
            <w:shd w:val="clear" w:color="auto" w:fill="BFBFBF"/>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00" w:type="dxa"/>
            <w:vAlign w:val="bottom"/>
            <w:tcBorders>
              <w:right w:val="single" w:sz="8" w:color="auto"/>
            </w:tcBorders>
            <w:vMerge w:val="restart"/>
            <w:shd w:val="clear" w:color="auto" w:fill="BFBFBF"/>
          </w:tcPr>
          <w:p>
            <w:pPr>
              <w:ind w:left="34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260" w:type="dxa"/>
            <w:vAlign w:val="bottom"/>
            <w:tcBorders>
              <w:right w:val="single" w:sz="8" w:color="auto"/>
            </w:tcBorders>
            <w:vMerge w:val="continue"/>
            <w:shd w:val="clear" w:color="auto" w:fill="BFBFBF"/>
          </w:tcPr>
          <w:p>
            <w:pPr>
              <w:spacing w:after="0"/>
              <w:rPr>
                <w:sz w:val="11"/>
                <w:szCs w:val="11"/>
                <w:color w:val="auto"/>
              </w:rPr>
            </w:pPr>
          </w:p>
        </w:tc>
        <w:tc>
          <w:tcPr>
            <w:tcW w:w="760" w:type="dxa"/>
            <w:vAlign w:val="bottom"/>
            <w:shd w:val="clear" w:color="auto" w:fill="BFBFBF"/>
          </w:tcPr>
          <w:p>
            <w:pPr>
              <w:spacing w:after="0"/>
              <w:rPr>
                <w:sz w:val="11"/>
                <w:szCs w:val="11"/>
                <w:color w:val="auto"/>
              </w:rPr>
            </w:pPr>
          </w:p>
        </w:tc>
        <w:tc>
          <w:tcPr>
            <w:tcW w:w="300" w:type="dxa"/>
            <w:vAlign w:val="bottom"/>
            <w:shd w:val="clear" w:color="auto" w:fill="BFBFBF"/>
          </w:tcPr>
          <w:p>
            <w:pPr>
              <w:spacing w:after="0"/>
              <w:rPr>
                <w:sz w:val="11"/>
                <w:szCs w:val="11"/>
                <w:color w:val="auto"/>
              </w:rPr>
            </w:pPr>
          </w:p>
        </w:tc>
        <w:tc>
          <w:tcPr>
            <w:tcW w:w="1140" w:type="dxa"/>
            <w:vAlign w:val="bottom"/>
            <w:gridSpan w:val="3"/>
            <w:vMerge w:val="continue"/>
            <w:shd w:val="clear" w:color="auto" w:fill="BFBFBF"/>
          </w:tcPr>
          <w:p>
            <w:pPr>
              <w:spacing w:after="0"/>
              <w:rPr>
                <w:sz w:val="11"/>
                <w:szCs w:val="11"/>
                <w:color w:val="auto"/>
              </w:rPr>
            </w:pPr>
          </w:p>
        </w:tc>
        <w:tc>
          <w:tcPr>
            <w:tcW w:w="400" w:type="dxa"/>
            <w:vAlign w:val="bottom"/>
            <w:shd w:val="clear" w:color="auto" w:fill="BFBFBF"/>
          </w:tcPr>
          <w:p>
            <w:pPr>
              <w:spacing w:after="0"/>
              <w:rPr>
                <w:sz w:val="11"/>
                <w:szCs w:val="11"/>
                <w:color w:val="auto"/>
              </w:rPr>
            </w:pPr>
          </w:p>
        </w:tc>
        <w:tc>
          <w:tcPr>
            <w:tcW w:w="300" w:type="dxa"/>
            <w:vAlign w:val="bottom"/>
            <w:shd w:val="clear" w:color="auto" w:fill="BFBFBF"/>
          </w:tcPr>
          <w:p>
            <w:pPr>
              <w:spacing w:after="0"/>
              <w:rPr>
                <w:sz w:val="11"/>
                <w:szCs w:val="11"/>
                <w:color w:val="auto"/>
              </w:rPr>
            </w:pPr>
          </w:p>
        </w:tc>
        <w:tc>
          <w:tcPr>
            <w:tcW w:w="30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8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42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10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260" w:type="dxa"/>
            <w:vAlign w:val="bottom"/>
            <w:tcBorders>
              <w:bottom w:val="single" w:sz="8" w:color="auto"/>
              <w:right w:val="single" w:sz="8" w:color="auto"/>
            </w:tcBorders>
            <w:shd w:val="clear" w:color="auto" w:fill="BFBFBF"/>
          </w:tcPr>
          <w:p>
            <w:pPr>
              <w:spacing w:after="0"/>
              <w:rPr>
                <w:sz w:val="7"/>
                <w:szCs w:val="7"/>
                <w:color w:val="auto"/>
              </w:rPr>
            </w:pPr>
          </w:p>
        </w:tc>
        <w:tc>
          <w:tcPr>
            <w:tcW w:w="76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tcBorders>
            <w:shd w:val="clear" w:color="auto" w:fill="BFBFBF"/>
          </w:tcPr>
          <w:p>
            <w:pPr>
              <w:spacing w:after="0"/>
              <w:rPr>
                <w:sz w:val="7"/>
                <w:szCs w:val="7"/>
                <w:color w:val="auto"/>
              </w:rPr>
            </w:pPr>
          </w:p>
        </w:tc>
        <w:tc>
          <w:tcPr>
            <w:tcW w:w="720" w:type="dxa"/>
            <w:vAlign w:val="bottom"/>
            <w:tcBorders>
              <w:bottom w:val="single" w:sz="8" w:color="auto"/>
            </w:tcBorders>
            <w:shd w:val="clear" w:color="auto" w:fill="BFBFBF"/>
          </w:tcPr>
          <w:p>
            <w:pPr>
              <w:spacing w:after="0"/>
              <w:rPr>
                <w:sz w:val="7"/>
                <w:szCs w:val="7"/>
                <w:color w:val="auto"/>
              </w:rPr>
            </w:pPr>
          </w:p>
        </w:tc>
        <w:tc>
          <w:tcPr>
            <w:tcW w:w="140" w:type="dxa"/>
            <w:vAlign w:val="bottom"/>
            <w:tcBorders>
              <w:bottom w:val="single" w:sz="8" w:color="auto"/>
            </w:tcBorders>
            <w:shd w:val="clear" w:color="auto" w:fill="BFBFBF"/>
          </w:tcPr>
          <w:p>
            <w:pPr>
              <w:spacing w:after="0"/>
              <w:rPr>
                <w:sz w:val="7"/>
                <w:szCs w:val="7"/>
                <w:color w:val="auto"/>
              </w:rPr>
            </w:pPr>
          </w:p>
        </w:tc>
        <w:tc>
          <w:tcPr>
            <w:tcW w:w="280" w:type="dxa"/>
            <w:vAlign w:val="bottom"/>
            <w:tcBorders>
              <w:bottom w:val="single" w:sz="8" w:color="auto"/>
            </w:tcBorders>
            <w:shd w:val="clear" w:color="auto" w:fill="BFBFBF"/>
          </w:tcPr>
          <w:p>
            <w:pPr>
              <w:spacing w:after="0"/>
              <w:rPr>
                <w:sz w:val="7"/>
                <w:szCs w:val="7"/>
                <w:color w:val="auto"/>
              </w:rPr>
            </w:pPr>
          </w:p>
        </w:tc>
        <w:tc>
          <w:tcPr>
            <w:tcW w:w="40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18/056,958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line="153" w:lineRule="exact"/>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3"/>
                <w:szCs w:val="13"/>
                <w:color w:val="auto"/>
              </w:rPr>
            </w:pPr>
          </w:p>
        </w:tc>
        <w:tc>
          <w:tcPr>
            <w:tcW w:w="98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17/999,310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line="154" w:lineRule="exact"/>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3"/>
                <w:szCs w:val="13"/>
                <w:color w:val="auto"/>
              </w:rPr>
            </w:pPr>
          </w:p>
        </w:tc>
        <w:tc>
          <w:tcPr>
            <w:tcW w:w="98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PCT/EP2023/050702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PCT/EP2023/053744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0"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PCT/EP2023/053752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18/041,728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18/027,810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For</w:t>
            </w:r>
          </w:p>
        </w:tc>
        <w:tc>
          <w:tcPr>
            <w:tcW w:w="86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Delivery</w:t>
            </w:r>
          </w:p>
        </w:tc>
        <w:tc>
          <w:tcPr>
            <w:tcW w:w="28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1000" w:type="dxa"/>
            <w:vAlign w:val="bottom"/>
            <w:tcBorders>
              <w:right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920" w:type="dxa"/>
            <w:vAlign w:val="bottom"/>
            <w:gridSpan w:val="4"/>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w:t>
            </w:r>
          </w:p>
        </w:tc>
        <w:tc>
          <w:tcPr>
            <w:tcW w:w="28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w w:val="95"/>
              </w:rPr>
              <w:t>and</w:t>
            </w:r>
          </w:p>
        </w:tc>
        <w:tc>
          <w:tcPr>
            <w:tcW w:w="700" w:type="dxa"/>
            <w:vAlign w:val="bottom"/>
            <w:gridSpan w:val="2"/>
          </w:tcPr>
          <w:p>
            <w:pPr>
              <w:ind w:left="100"/>
              <w:spacing w:after="0" w:line="165" w:lineRule="exact"/>
              <w:rPr>
                <w:sz w:val="20"/>
                <w:szCs w:val="20"/>
                <w:color w:val="auto"/>
              </w:rPr>
            </w:pPr>
            <w:r>
              <w:rPr>
                <w:rFonts w:ascii="Times New Roman" w:cs="Times New Roman" w:eastAsia="Times New Roman" w:hAnsi="Times New Roman"/>
                <w:sz w:val="16"/>
                <w:szCs w:val="16"/>
                <w:color w:val="auto"/>
              </w:rPr>
              <w:t>Systems</w:t>
            </w:r>
          </w:p>
        </w:tc>
        <w:tc>
          <w:tcPr>
            <w:tcW w:w="30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PCT/EP2023/057939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For</w:t>
            </w:r>
          </w:p>
        </w:tc>
        <w:tc>
          <w:tcPr>
            <w:tcW w:w="86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6"/>
                <w:szCs w:val="16"/>
                <w:color w:val="auto"/>
              </w:rPr>
              <w:t>Delivery</w:t>
            </w:r>
          </w:p>
        </w:tc>
        <w:tc>
          <w:tcPr>
            <w:tcW w:w="280" w:type="dxa"/>
            <w:vAlign w:val="bottom"/>
          </w:tcPr>
          <w:p>
            <w:pPr>
              <w:jc w:val="center"/>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1000" w:type="dxa"/>
            <w:vAlign w:val="bottom"/>
            <w:tcBorders>
              <w:right w:val="single" w:sz="8" w:color="auto"/>
            </w:tcBorders>
            <w:gridSpan w:val="3"/>
          </w:tcPr>
          <w:p>
            <w:pPr>
              <w:jc w:val="right"/>
              <w:spacing w:after="0" w:line="150"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920" w:type="dxa"/>
            <w:vAlign w:val="bottom"/>
            <w:gridSpan w:val="4"/>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w:t>
            </w:r>
          </w:p>
        </w:tc>
        <w:tc>
          <w:tcPr>
            <w:tcW w:w="28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w w:val="95"/>
              </w:rPr>
              <w:t>and</w:t>
            </w:r>
          </w:p>
        </w:tc>
        <w:tc>
          <w:tcPr>
            <w:tcW w:w="700" w:type="dxa"/>
            <w:vAlign w:val="bottom"/>
            <w:gridSpan w:val="2"/>
          </w:tcPr>
          <w:p>
            <w:pPr>
              <w:ind w:left="100"/>
              <w:spacing w:after="0" w:line="165" w:lineRule="exact"/>
              <w:rPr>
                <w:sz w:val="20"/>
                <w:szCs w:val="20"/>
                <w:color w:val="auto"/>
              </w:rPr>
            </w:pPr>
            <w:r>
              <w:rPr>
                <w:rFonts w:ascii="Times New Roman" w:cs="Times New Roman" w:eastAsia="Times New Roman" w:hAnsi="Times New Roman"/>
                <w:sz w:val="16"/>
                <w:szCs w:val="16"/>
                <w:color w:val="auto"/>
              </w:rPr>
              <w:t>Systems</w:t>
            </w:r>
          </w:p>
        </w:tc>
        <w:tc>
          <w:tcPr>
            <w:tcW w:w="30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PCT/EP2023/058107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63/507,059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63/507,062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PCT/EP2023/066900</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w w:val="99"/>
              </w:rPr>
              <w:t>Formulations of Psilocybin</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63/510,089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Processes</w:t>
            </w:r>
          </w:p>
        </w:tc>
        <w:tc>
          <w:tcPr>
            <w:tcW w:w="300" w:type="dxa"/>
            <w:vAlign w:val="bottom"/>
          </w:tcPr>
          <w:p>
            <w:pPr>
              <w:ind w:left="100"/>
              <w:spacing w:after="0" w:line="150" w:lineRule="exact"/>
              <w:rPr>
                <w:sz w:val="20"/>
                <w:szCs w:val="20"/>
                <w:color w:val="auto"/>
              </w:rPr>
            </w:pPr>
            <w:r>
              <w:rPr>
                <w:rFonts w:ascii="Times New Roman" w:cs="Times New Roman" w:eastAsia="Times New Roman" w:hAnsi="Times New Roman"/>
                <w:sz w:val="16"/>
                <w:szCs w:val="16"/>
                <w:color w:val="auto"/>
                <w:w w:val="96"/>
              </w:rPr>
              <w:t>for</w:t>
            </w:r>
          </w:p>
        </w:tc>
        <w:tc>
          <w:tcPr>
            <w:tcW w:w="860" w:type="dxa"/>
            <w:vAlign w:val="bottom"/>
            <w:gridSpan w:val="2"/>
          </w:tcPr>
          <w:p>
            <w:pPr>
              <w:jc w:val="center"/>
              <w:ind w:left="99"/>
              <w:spacing w:after="0" w:line="150" w:lineRule="exact"/>
              <w:rPr>
                <w:sz w:val="20"/>
                <w:szCs w:val="20"/>
                <w:color w:val="auto"/>
              </w:rPr>
            </w:pPr>
            <w:r>
              <w:rPr>
                <w:rFonts w:ascii="Times New Roman" w:cs="Times New Roman" w:eastAsia="Times New Roman" w:hAnsi="Times New Roman"/>
                <w:sz w:val="16"/>
                <w:szCs w:val="16"/>
                <w:color w:val="auto"/>
              </w:rPr>
              <w:t>Preparing</w:t>
            </w:r>
          </w:p>
        </w:tc>
        <w:tc>
          <w:tcPr>
            <w:tcW w:w="1280" w:type="dxa"/>
            <w:vAlign w:val="bottom"/>
            <w:tcBorders>
              <w:right w:val="single" w:sz="8" w:color="auto"/>
            </w:tcBorders>
            <w:gridSpan w:val="4"/>
          </w:tcPr>
          <w:p>
            <w:pPr>
              <w:jc w:val="right"/>
              <w:spacing w:after="0" w:line="150" w:lineRule="exact"/>
              <w:rPr>
                <w:sz w:val="20"/>
                <w:szCs w:val="20"/>
                <w:color w:val="auto"/>
              </w:rPr>
            </w:pPr>
            <w:r>
              <w:rPr>
                <w:rFonts w:ascii="Times New Roman" w:cs="Times New Roman" w:eastAsia="Times New Roman" w:hAnsi="Times New Roman"/>
                <w:sz w:val="16"/>
                <w:szCs w:val="16"/>
                <w:color w:val="auto"/>
              </w:rPr>
              <w:t>Phenethylamine</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Compounds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63/512,466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line="154" w:lineRule="exact"/>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18/353,492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1020" w:type="dxa"/>
            <w:vAlign w:val="bottom"/>
            <w:gridSpan w:val="2"/>
          </w:tcPr>
          <w:p>
            <w:pPr>
              <w:jc w:val="center"/>
              <w:ind w:left="39"/>
              <w:spacing w:after="0" w:line="154" w:lineRule="exact"/>
              <w:rPr>
                <w:sz w:val="20"/>
                <w:szCs w:val="20"/>
                <w:color w:val="auto"/>
              </w:rPr>
            </w:pPr>
            <w:r>
              <w:rPr>
                <w:rFonts w:ascii="Times New Roman" w:cs="Times New Roman" w:eastAsia="Times New Roman" w:hAnsi="Times New Roman"/>
                <w:sz w:val="16"/>
                <w:szCs w:val="16"/>
                <w:color w:val="auto"/>
                <w:w w:val="99"/>
              </w:rPr>
              <w:t>Tryptamine</w:t>
            </w:r>
          </w:p>
        </w:tc>
        <w:tc>
          <w:tcPr>
            <w:tcW w:w="140" w:type="dxa"/>
            <w:vAlign w:val="bottom"/>
          </w:tcPr>
          <w:p>
            <w:pPr>
              <w:spacing w:after="0"/>
              <w:rPr>
                <w:sz w:val="13"/>
                <w:szCs w:val="13"/>
                <w:color w:val="auto"/>
              </w:rPr>
            </w:pPr>
          </w:p>
        </w:tc>
        <w:tc>
          <w:tcPr>
            <w:tcW w:w="98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63/519,992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line="154" w:lineRule="exact"/>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18/547,100</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 Salts,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PCT/EP2023/073122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6"/>
              </w:rPr>
              <w:t>Tryptamine</w:t>
            </w:r>
          </w:p>
        </w:tc>
        <w:tc>
          <w:tcPr>
            <w:tcW w:w="102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6"/>
                <w:szCs w:val="16"/>
                <w:color w:val="auto"/>
              </w:rPr>
              <w:t>Compounds,</w:t>
            </w:r>
          </w:p>
        </w:tc>
        <w:tc>
          <w:tcPr>
            <w:tcW w:w="1120" w:type="dxa"/>
            <w:vAlign w:val="bottom"/>
            <w:gridSpan w:val="4"/>
          </w:tcPr>
          <w:p>
            <w:pPr>
              <w:ind w:left="80"/>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Methods of Use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PCT/EP2023/080027</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06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w w:val="98"/>
              </w:rPr>
              <w:t>Phenethylamine</w:t>
            </w:r>
          </w:p>
        </w:tc>
        <w:tc>
          <w:tcPr>
            <w:tcW w:w="1140" w:type="dxa"/>
            <w:vAlign w:val="bottom"/>
            <w:gridSpan w:val="3"/>
          </w:tcPr>
          <w:p>
            <w:pPr>
              <w:ind w:left="160"/>
              <w:spacing w:after="0" w:line="154" w:lineRule="exact"/>
              <w:rPr>
                <w:sz w:val="20"/>
                <w:szCs w:val="20"/>
                <w:color w:val="auto"/>
              </w:rPr>
            </w:pPr>
            <w:r>
              <w:rPr>
                <w:rFonts w:ascii="Times New Roman" w:cs="Times New Roman" w:eastAsia="Times New Roman" w:hAnsi="Times New Roman"/>
                <w:sz w:val="16"/>
                <w:szCs w:val="16"/>
                <w:color w:val="auto"/>
              </w:rPr>
              <w:t>Compounds,</w:t>
            </w:r>
          </w:p>
        </w:tc>
        <w:tc>
          <w:tcPr>
            <w:tcW w:w="1000" w:type="dxa"/>
            <w:vAlign w:val="bottom"/>
            <w:tcBorders>
              <w:right w:val="single" w:sz="8" w:color="auto"/>
            </w:tcBorders>
            <w:gridSpan w:val="3"/>
          </w:tcPr>
          <w:p>
            <w:pPr>
              <w:jc w:val="right"/>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and Methods of Use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63/599,483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18/561,152</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w w:val="99"/>
              </w:rPr>
              <w:t>Formulations of Psilocybin</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63/600,179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Companion Animal Treatments</w:t>
            </w: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63/602,888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line="150"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line="150" w:lineRule="exact"/>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63/603,262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line="154" w:lineRule="exact"/>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63/603,886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line="154" w:lineRule="exact"/>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18/576,487</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8"/>
          </w:tcPr>
          <w:p>
            <w:pPr>
              <w:ind w:left="20"/>
              <w:spacing w:after="0" w:line="154" w:lineRule="exact"/>
              <w:rPr>
                <w:sz w:val="20"/>
                <w:szCs w:val="20"/>
                <w:color w:val="auto"/>
              </w:rPr>
            </w:pPr>
            <w:r>
              <w:rPr>
                <w:rFonts w:ascii="Times New Roman" w:cs="Times New Roman" w:eastAsia="Times New Roman" w:hAnsi="Times New Roman"/>
                <w:sz w:val="16"/>
                <w:szCs w:val="16"/>
                <w:color w:val="auto"/>
              </w:rPr>
              <w:t>Integrated Data Collection Devices for Use in</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6"/>
                <w:szCs w:val="16"/>
                <w:color w:val="auto"/>
              </w:rPr>
              <w:t>Various Therapeutic and Wellness Applications</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63/553,321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3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720" w:type="dxa"/>
            <w:vAlign w:val="bottom"/>
          </w:tcPr>
          <w:p>
            <w:pPr>
              <w:jc w:val="center"/>
              <w:ind w:right="59"/>
              <w:spacing w:after="0" w:line="154" w:lineRule="exact"/>
              <w:rPr>
                <w:sz w:val="20"/>
                <w:szCs w:val="20"/>
                <w:color w:val="auto"/>
              </w:rPr>
            </w:pPr>
            <w:r>
              <w:rPr>
                <w:rFonts w:ascii="Times New Roman" w:cs="Times New Roman" w:eastAsia="Times New Roman" w:hAnsi="Times New Roman"/>
                <w:sz w:val="16"/>
                <w:szCs w:val="16"/>
                <w:color w:val="auto"/>
                <w:w w:val="99"/>
              </w:rPr>
              <w:t>Treating</w:t>
            </w:r>
          </w:p>
        </w:tc>
        <w:tc>
          <w:tcPr>
            <w:tcW w:w="820" w:type="dxa"/>
            <w:vAlign w:val="bottom"/>
            <w:gridSpan w:val="3"/>
          </w:tcPr>
          <w:p>
            <w:pPr>
              <w:jc w:val="center"/>
              <w:ind w:right="79"/>
              <w:spacing w:after="0" w:line="154" w:lineRule="exact"/>
              <w:rPr>
                <w:sz w:val="20"/>
                <w:szCs w:val="20"/>
                <w:color w:val="auto"/>
              </w:rPr>
            </w:pPr>
            <w:r>
              <w:rPr>
                <w:rFonts w:ascii="Times New Roman" w:cs="Times New Roman" w:eastAsia="Times New Roman" w:hAnsi="Times New Roman"/>
                <w:sz w:val="16"/>
                <w:szCs w:val="16"/>
                <w:color w:val="auto"/>
                <w:w w:val="99"/>
              </w:rPr>
              <w:t>Disorders</w:t>
            </w:r>
          </w:p>
        </w:tc>
        <w:tc>
          <w:tcPr>
            <w:tcW w:w="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1"/>
              </w:rPr>
              <w:t>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6" w:right="339" w:bottom="934"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726" w:right="339" w:bottom="934" w:gutter="0" w:footer="0" w:header="0"/>
          <w:type w:val="continuous"/>
        </w:sectPr>
      </w:pPr>
    </w:p>
    <w:bookmarkStart w:id="287" w:name="page288"/>
    <w:bookmarkEnd w:id="2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8" w:name="page289"/>
    <w:bookmarkEnd w:id="288"/>
    <w:tbl>
      <w:tblPr>
        <w:tblLayout w:type="fixed"/>
        <w:tblInd w:w="10" w:type="dxa"/>
        <w:tblCellMar>
          <w:top w:w="0" w:type="dxa"/>
          <w:left w:w="0" w:type="dxa"/>
          <w:bottom w:w="0" w:type="dxa"/>
          <w:right w:w="0" w:type="dxa"/>
        </w:tblCellMar>
      </w:tblPr>
      <w:tr>
        <w:trPr>
          <w:trHeight w:val="170"/>
        </w:trPr>
        <w:tc>
          <w:tcPr>
            <w:tcW w:w="280" w:type="dxa"/>
            <w:vAlign w:val="bottom"/>
            <w:tcBorders>
              <w:top w:val="single" w:sz="8" w:color="auto"/>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29</w:t>
            </w:r>
          </w:p>
        </w:tc>
        <w:tc>
          <w:tcPr>
            <w:tcW w:w="14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18/588,132</w:t>
            </w:r>
          </w:p>
        </w:tc>
        <w:tc>
          <w:tcPr>
            <w:tcW w:w="9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Borders>
              <w:top w:val="single" w:sz="8" w:color="auto"/>
            </w:tcBorders>
          </w:tcPr>
          <w:p>
            <w:pPr>
              <w:ind w:left="20"/>
              <w:spacing w:after="0" w:line="170" w:lineRule="exact"/>
              <w:rPr>
                <w:sz w:val="20"/>
                <w:szCs w:val="20"/>
                <w:color w:val="auto"/>
              </w:rPr>
            </w:pPr>
            <w:r>
              <w:rPr>
                <w:rFonts w:ascii="Times New Roman" w:cs="Times New Roman" w:eastAsia="Times New Roman" w:hAnsi="Times New Roman"/>
                <w:sz w:val="16"/>
                <w:szCs w:val="16"/>
                <w:color w:val="auto"/>
              </w:rPr>
              <w:t>Methods</w:t>
            </w:r>
          </w:p>
        </w:tc>
        <w:tc>
          <w:tcPr>
            <w:tcW w:w="2160" w:type="dxa"/>
            <w:vAlign w:val="bottom"/>
            <w:tcBorders>
              <w:top w:val="single" w:sz="8" w:color="auto"/>
            </w:tcBorders>
            <w:gridSpan w:val="5"/>
          </w:tcPr>
          <w:p>
            <w:pPr>
              <w:ind w:left="20"/>
              <w:spacing w:after="0" w:line="170" w:lineRule="exact"/>
              <w:rPr>
                <w:sz w:val="20"/>
                <w:szCs w:val="20"/>
                <w:color w:val="auto"/>
              </w:rPr>
            </w:pPr>
            <w:r>
              <w:rPr>
                <w:rFonts w:ascii="Times New Roman" w:cs="Times New Roman" w:eastAsia="Times New Roman" w:hAnsi="Times New Roman"/>
                <w:sz w:val="16"/>
                <w:szCs w:val="16"/>
                <w:color w:val="auto"/>
              </w:rPr>
              <w:t>of  Treating  Disorders  with</w:t>
            </w:r>
          </w:p>
        </w:tc>
        <w:tc>
          <w:tcPr>
            <w:tcW w:w="300" w:type="dxa"/>
            <w:vAlign w:val="bottom"/>
            <w:tcBorders>
              <w:top w:val="single" w:sz="8" w:color="auto"/>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tcBorders>
            <w:gridSpan w:val="4"/>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PCT/EP2024/054897</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2160" w:type="dxa"/>
            <w:vAlign w:val="bottom"/>
            <w:gridSpan w:val="5"/>
          </w:tcPr>
          <w:p>
            <w:pPr>
              <w:ind w:left="20"/>
              <w:spacing w:after="0" w:line="154" w:lineRule="exact"/>
              <w:rPr>
                <w:sz w:val="20"/>
                <w:szCs w:val="20"/>
                <w:color w:val="auto"/>
              </w:rPr>
            </w:pPr>
            <w:r>
              <w:rPr>
                <w:rFonts w:ascii="Times New Roman" w:cs="Times New Roman" w:eastAsia="Times New Roman" w:hAnsi="Times New Roman"/>
                <w:sz w:val="16"/>
                <w:szCs w:val="16"/>
                <w:color w:val="auto"/>
              </w:rPr>
              <w:t>of  Treating  Disorders  with</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Psilocybin Analog</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tcBorders>
            <w:gridSpan w:val="4"/>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18/688,125</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18/600,018</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PCT/EP2024/062406</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Ireland</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9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Injectable Pharmaceutical Formulations</w:t>
            </w: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18/707,825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0" w:lineRule="exact"/>
              <w:rPr>
                <w:sz w:val="20"/>
                <w:szCs w:val="20"/>
                <w:color w:val="auto"/>
              </w:rPr>
            </w:pPr>
            <w:r>
              <w:rPr>
                <w:rFonts w:ascii="Times New Roman" w:cs="Times New Roman" w:eastAsia="Times New Roman" w:hAnsi="Times New Roman"/>
                <w:sz w:val="16"/>
                <w:szCs w:val="16"/>
                <w:color w:val="auto"/>
              </w:rPr>
              <w:t>Formulations  Of  Psilocybin  Analogs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8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35</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18/720,922</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9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793553</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297492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312785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39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3177454</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NC2022/0016662</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Colombia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MX/a/2022/014605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202203191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43</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10-2022-7040243</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Korea</w:t>
            </w:r>
          </w:p>
        </w:tc>
        <w:tc>
          <w:tcPr>
            <w:tcW w:w="2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gridSpan w:val="3"/>
          </w:tcPr>
          <w:p>
            <w:pPr>
              <w:ind w:left="20"/>
              <w:spacing w:after="0" w:line="133" w:lineRule="exact"/>
              <w:rPr>
                <w:sz w:val="20"/>
                <w:szCs w:val="20"/>
                <w:color w:val="auto"/>
              </w:rPr>
            </w:pPr>
            <w:r>
              <w:rPr>
                <w:rFonts w:ascii="Times New Roman" w:cs="Times New Roman" w:eastAsia="Times New Roman" w:hAnsi="Times New Roman"/>
                <w:sz w:val="15"/>
                <w:szCs w:val="15"/>
                <w:color w:val="auto"/>
              </w:rPr>
              <w:t>Methods of Use</w:t>
            </w:r>
          </w:p>
        </w:tc>
        <w:tc>
          <w:tcPr>
            <w:tcW w:w="7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44</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10-2024-7019118</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5"/>
                <w:szCs w:val="15"/>
                <w:color w:val="auto"/>
              </w:rPr>
              <w:t>Korea</w:t>
            </w:r>
          </w:p>
        </w:tc>
        <w:tc>
          <w:tcPr>
            <w:tcW w:w="2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gridSpan w:val="3"/>
          </w:tcPr>
          <w:p>
            <w:pPr>
              <w:ind w:left="20"/>
              <w:spacing w:after="0" w:line="133" w:lineRule="exact"/>
              <w:rPr>
                <w:sz w:val="20"/>
                <w:szCs w:val="20"/>
                <w:color w:val="auto"/>
              </w:rPr>
            </w:pPr>
            <w:r>
              <w:rPr>
                <w:rFonts w:ascii="Times New Roman" w:cs="Times New Roman" w:eastAsia="Times New Roman" w:hAnsi="Times New Roman"/>
                <w:sz w:val="15"/>
                <w:szCs w:val="15"/>
                <w:color w:val="auto"/>
              </w:rPr>
              <w:t>Methods of Use</w:t>
            </w:r>
          </w:p>
        </w:tc>
        <w:tc>
          <w:tcPr>
            <w:tcW w:w="7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EP21808464.8</w:t>
            </w:r>
          </w:p>
        </w:tc>
        <w:tc>
          <w:tcPr>
            <w:tcW w:w="90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24175524.8</w:t>
            </w:r>
          </w:p>
        </w:tc>
        <w:tc>
          <w:tcPr>
            <w:tcW w:w="9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8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202180036163.3</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2"/>
                <w:szCs w:val="12"/>
                <w:color w:val="auto"/>
              </w:rPr>
            </w:pPr>
          </w:p>
        </w:tc>
        <w:tc>
          <w:tcPr>
            <w:tcW w:w="106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1120220235658</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49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2021276656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2024203974</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11202254530T</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202213256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2201007493</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1-2022-553135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202227065770</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2022-571175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2024-080101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62023078320.6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Deuterated</w:t>
            </w:r>
          </w:p>
        </w:tc>
        <w:tc>
          <w:tcPr>
            <w:tcW w:w="12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6"/>
                <w:szCs w:val="16"/>
                <w:color w:val="auto"/>
              </w:rPr>
              <w:t>Tryptamine</w:t>
            </w: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Derivatives</w:t>
            </w:r>
          </w:p>
        </w:tc>
        <w:tc>
          <w:tcPr>
            <w:tcW w:w="30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59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3186357</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10-2023-7003815</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61</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2021327136</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2023-512063</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63</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21766581.9</w:t>
            </w:r>
          </w:p>
        </w:tc>
        <w:tc>
          <w:tcPr>
            <w:tcW w:w="9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64</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62023079716.4</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Therapeutic Phenethylamine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65</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3186359</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66</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10-2023-7006128</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2021328671</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68</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2023-512107</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69</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21763068.0</w:t>
            </w:r>
          </w:p>
        </w:tc>
        <w:tc>
          <w:tcPr>
            <w:tcW w:w="9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70</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62023079718.0</w:t>
            </w: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00" w:type="dxa"/>
            <w:vAlign w:val="bottom"/>
            <w:tcBorders>
              <w:right w:val="single" w:sz="8" w:color="auto"/>
            </w:tcBorders>
            <w:gridSpan w:val="7"/>
          </w:tcPr>
          <w:p>
            <w:pPr>
              <w:ind w:left="20"/>
              <w:spacing w:after="0" w:line="154" w:lineRule="exact"/>
              <w:rPr>
                <w:sz w:val="20"/>
                <w:szCs w:val="20"/>
                <w:color w:val="auto"/>
              </w:rPr>
            </w:pPr>
            <w:r>
              <w:rPr>
                <w:rFonts w:ascii="Times New Roman" w:cs="Times New Roman" w:eastAsia="Times New Roman" w:hAnsi="Times New Roman"/>
                <w:sz w:val="16"/>
                <w:szCs w:val="16"/>
                <w:color w:val="auto"/>
              </w:rPr>
              <w:t>Phenethylamine Derivatives, Compositions, and</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0" w:type="dxa"/>
            <w:vAlign w:val="bottom"/>
            <w:tcBorders>
              <w:left w:val="single" w:sz="8" w:color="auto"/>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Methods</w:t>
            </w:r>
          </w:p>
        </w:tc>
        <w:tc>
          <w:tcPr>
            <w:tcW w:w="42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6"/>
                <w:szCs w:val="16"/>
                <w:color w:val="auto"/>
              </w:rPr>
              <w:t>For</w:t>
            </w:r>
          </w:p>
        </w:tc>
        <w:tc>
          <w:tcPr>
            <w:tcW w:w="7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rPr>
              <w:t>Delivery</w:t>
            </w:r>
          </w:p>
        </w:tc>
        <w:tc>
          <w:tcPr>
            <w:tcW w:w="32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of</w:t>
            </w:r>
          </w:p>
        </w:tc>
        <w:tc>
          <w:tcPr>
            <w:tcW w:w="960" w:type="dxa"/>
            <w:vAlign w:val="bottom"/>
            <w:tcBorders>
              <w:right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auto"/>
              </w:rPr>
              <w:t>Psychedelic</w:t>
            </w:r>
          </w:p>
        </w:tc>
        <w:tc>
          <w:tcPr>
            <w:tcW w:w="0" w:type="dxa"/>
            <w:vAlign w:val="bottom"/>
          </w:tcPr>
          <w:p>
            <w:pPr>
              <w:spacing w:after="0"/>
              <w:rPr>
                <w:sz w:val="1"/>
                <w:szCs w:val="1"/>
                <w:color w:val="auto"/>
              </w:rPr>
            </w:pPr>
          </w:p>
        </w:tc>
      </w:tr>
      <w:tr>
        <w:trPr>
          <w:trHeight w:val="73"/>
        </w:trPr>
        <w:tc>
          <w:tcPr>
            <w:tcW w:w="280" w:type="dxa"/>
            <w:vAlign w:val="bottom"/>
            <w:tcBorders>
              <w:left w:val="single" w:sz="8" w:color="auto"/>
              <w:right w:val="single" w:sz="8" w:color="auto"/>
            </w:tcBorders>
            <w:vMerge w:val="restart"/>
          </w:tcPr>
          <w:p>
            <w:pPr>
              <w:jc w:val="right"/>
              <w:ind w:right="19"/>
              <w:spacing w:after="0" w:line="165" w:lineRule="exact"/>
              <w:rPr>
                <w:sz w:val="20"/>
                <w:szCs w:val="20"/>
                <w:color w:val="auto"/>
              </w:rPr>
            </w:pPr>
            <w:r>
              <w:rPr>
                <w:rFonts w:ascii="Times New Roman" w:cs="Times New Roman" w:eastAsia="Times New Roman" w:hAnsi="Times New Roman"/>
                <w:sz w:val="16"/>
                <w:szCs w:val="16"/>
                <w:color w:val="auto"/>
                <w:w w:val="99"/>
              </w:rPr>
              <w:t>71</w:t>
            </w:r>
          </w:p>
        </w:tc>
        <w:tc>
          <w:tcPr>
            <w:tcW w:w="142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21786852.0</w:t>
            </w:r>
          </w:p>
        </w:tc>
        <w:tc>
          <w:tcPr>
            <w:tcW w:w="900" w:type="dxa"/>
            <w:vAlign w:val="bottom"/>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Pending</w:t>
            </w:r>
          </w:p>
        </w:tc>
        <w:tc>
          <w:tcPr>
            <w:tcW w:w="860" w:type="dxa"/>
            <w:vAlign w:val="bottom"/>
            <w:gridSpan w:val="2"/>
            <w:vMerge w:val="restart"/>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w:t>
            </w:r>
          </w:p>
        </w:tc>
        <w:tc>
          <w:tcPr>
            <w:tcW w:w="300" w:type="dxa"/>
            <w:vAlign w:val="bottom"/>
            <w:vMerge w:val="restart"/>
          </w:tcPr>
          <w:p>
            <w:pPr>
              <w:ind w:left="60"/>
              <w:spacing w:after="0" w:line="165" w:lineRule="exact"/>
              <w:rPr>
                <w:sz w:val="20"/>
                <w:szCs w:val="20"/>
                <w:color w:val="auto"/>
              </w:rPr>
            </w:pPr>
            <w:r>
              <w:rPr>
                <w:rFonts w:ascii="Times New Roman" w:cs="Times New Roman" w:eastAsia="Times New Roman" w:hAnsi="Times New Roman"/>
                <w:sz w:val="16"/>
                <w:szCs w:val="16"/>
                <w:color w:val="auto"/>
              </w:rPr>
              <w:t>By</w:t>
            </w:r>
          </w:p>
        </w:tc>
        <w:tc>
          <w:tcPr>
            <w:tcW w:w="760" w:type="dxa"/>
            <w:vAlign w:val="bottom"/>
            <w:vMerge w:val="restart"/>
          </w:tcPr>
          <w:p>
            <w:pPr>
              <w:jc w:val="center"/>
              <w:spacing w:after="0" w:line="165" w:lineRule="exact"/>
              <w:rPr>
                <w:sz w:val="20"/>
                <w:szCs w:val="20"/>
                <w:color w:val="auto"/>
              </w:rPr>
            </w:pPr>
            <w:r>
              <w:rPr>
                <w:rFonts w:ascii="Times New Roman" w:cs="Times New Roman" w:eastAsia="Times New Roman" w:hAnsi="Times New Roman"/>
                <w:sz w:val="16"/>
                <w:szCs w:val="16"/>
                <w:color w:val="auto"/>
              </w:rPr>
              <w:t>Inhalation</w:t>
            </w:r>
          </w:p>
        </w:tc>
        <w:tc>
          <w:tcPr>
            <w:tcW w:w="320" w:type="dxa"/>
            <w:vAlign w:val="bottom"/>
            <w:vMerge w:val="restart"/>
          </w:tcPr>
          <w:p>
            <w:pPr>
              <w:ind w:left="40"/>
              <w:spacing w:after="0" w:line="165" w:lineRule="exact"/>
              <w:rPr>
                <w:sz w:val="20"/>
                <w:szCs w:val="20"/>
                <w:color w:val="auto"/>
              </w:rPr>
            </w:pPr>
            <w:r>
              <w:rPr>
                <w:rFonts w:ascii="Times New Roman" w:cs="Times New Roman" w:eastAsia="Times New Roman" w:hAnsi="Times New Roman"/>
                <w:sz w:val="16"/>
                <w:szCs w:val="16"/>
                <w:color w:val="auto"/>
              </w:rPr>
              <w:t>and</w:t>
            </w:r>
          </w:p>
        </w:tc>
        <w:tc>
          <w:tcPr>
            <w:tcW w:w="660" w:type="dxa"/>
            <w:vAlign w:val="bottom"/>
            <w:vMerge w:val="restart"/>
          </w:tcPr>
          <w:p>
            <w:pPr>
              <w:ind w:left="60"/>
              <w:spacing w:after="0" w:line="165" w:lineRule="exact"/>
              <w:rPr>
                <w:sz w:val="20"/>
                <w:szCs w:val="20"/>
                <w:color w:val="auto"/>
              </w:rPr>
            </w:pPr>
            <w:r>
              <w:rPr>
                <w:rFonts w:ascii="Times New Roman" w:cs="Times New Roman" w:eastAsia="Times New Roman" w:hAnsi="Times New Roman"/>
                <w:sz w:val="16"/>
                <w:szCs w:val="16"/>
                <w:color w:val="auto"/>
              </w:rPr>
              <w:t>Systems</w:t>
            </w:r>
          </w:p>
        </w:tc>
        <w:tc>
          <w:tcPr>
            <w:tcW w:w="300" w:type="dxa"/>
            <w:vAlign w:val="bottom"/>
            <w:tcBorders>
              <w:right w:val="single" w:sz="8" w:color="auto"/>
            </w:tcBorders>
            <w:vMerge w:val="restart"/>
          </w:tcPr>
          <w:p>
            <w:pPr>
              <w:jc w:val="right"/>
              <w:spacing w:after="0" w:line="165" w:lineRule="exact"/>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93"/>
        </w:trPr>
        <w:tc>
          <w:tcPr>
            <w:tcW w:w="28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8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tcBorders>
            <w:gridSpan w:val="4"/>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3" w:right="1440" w:bottom="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591" w:right="1440" w:bottom="1440" w:gutter="0" w:footer="0" w:header="0"/>
        </w:sectPr>
      </w:pPr>
    </w:p>
    <w:bookmarkStart w:id="290" w:name="page291"/>
    <w:bookmarkEnd w:id="290"/>
    <w:tbl>
      <w:tblPr>
        <w:tblLayout w:type="fixed"/>
        <w:tblInd w:w="10" w:type="dxa"/>
        <w:tblCellMar>
          <w:top w:w="0" w:type="dxa"/>
          <w:left w:w="0" w:type="dxa"/>
          <w:bottom w:w="0" w:type="dxa"/>
          <w:right w:w="0" w:type="dxa"/>
        </w:tblCellMar>
      </w:tblPr>
      <w:tr>
        <w:trPr>
          <w:trHeight w:val="170"/>
        </w:trPr>
        <w:tc>
          <w:tcPr>
            <w:tcW w:w="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72</w:t>
            </w:r>
          </w:p>
        </w:tc>
        <w:tc>
          <w:tcPr>
            <w:tcW w:w="13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10-2023-7007858</w:t>
            </w:r>
          </w:p>
        </w:tc>
        <w:tc>
          <w:tcPr>
            <w:tcW w:w="11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12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top w:val="single" w:sz="8" w:color="auto"/>
              <w:right w:val="single" w:sz="8" w:color="auto"/>
            </w:tcBorders>
            <w:gridSpan w:val="4"/>
          </w:tcPr>
          <w:p>
            <w:pPr>
              <w:ind w:left="20"/>
              <w:spacing w:after="0" w:line="170" w:lineRule="exact"/>
              <w:rPr>
                <w:sz w:val="20"/>
                <w:szCs w:val="20"/>
                <w:color w:val="auto"/>
              </w:rPr>
            </w:pPr>
            <w:r>
              <w:rPr>
                <w:rFonts w:ascii="Times New Roman" w:cs="Times New Roman" w:eastAsia="Times New Roman" w:hAnsi="Times New Roman"/>
                <w:sz w:val="16"/>
                <w:szCs w:val="16"/>
                <w:color w:val="auto"/>
              </w:rPr>
              <w:t>Methods   For   Delivery   of   Psychedelic</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4"/>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  and  Systems  For</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2021354006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4"/>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   For   Delivery   of   Psychedelic</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4"/>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  and  Systems  For</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2023-519831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4"/>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   For   Delivery   of   Psychedelic</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4"/>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  and  Systems  For</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3194558</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4"/>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   For   Delivery   of   Psychedelic</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4"/>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  and  Systems  For</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62023079720.6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4"/>
          </w:tcPr>
          <w:p>
            <w:pPr>
              <w:ind w:left="20"/>
              <w:spacing w:after="0" w:line="150" w:lineRule="exact"/>
              <w:rPr>
                <w:sz w:val="20"/>
                <w:szCs w:val="20"/>
                <w:color w:val="auto"/>
              </w:rPr>
            </w:pPr>
            <w:r>
              <w:rPr>
                <w:rFonts w:ascii="Times New Roman" w:cs="Times New Roman" w:eastAsia="Times New Roman" w:hAnsi="Times New Roman"/>
                <w:sz w:val="16"/>
                <w:szCs w:val="16"/>
                <w:color w:val="auto"/>
              </w:rPr>
              <w:t>Methods   For   Delivery   of   Psychedelic</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4"/>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Medications  By  Inhalation  and  Systems  For</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Performing the Methods</w:t>
            </w: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802136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0"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0"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305457</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3212563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NC2023/0013714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Columbia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MX/a/2023/010843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202302731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Chile</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10-2023-7032581</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22716857.2</w:t>
            </w:r>
          </w:p>
        </w:tc>
        <w:tc>
          <w:tcPr>
            <w:tcW w:w="110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85</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202280022029.2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86</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1120230188946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2022239825</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88</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11202305618U</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89</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202309486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90</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2301005753</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Thailand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91</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1-2023-552572</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92</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202327063524</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93</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2023-556906</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62024086011.9</w:t>
            </w: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Psilocybin Analogs,</w:t>
            </w:r>
          </w:p>
        </w:tc>
        <w:tc>
          <w:tcPr>
            <w:tcW w:w="5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color w:val="auto"/>
              </w:rPr>
              <w:t>Salts,</w:t>
            </w: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Compositions,</w:t>
            </w:r>
          </w:p>
        </w:tc>
        <w:tc>
          <w:tcPr>
            <w:tcW w:w="32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w w:val="95"/>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Methods of Use</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95</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2022277515</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3216799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22729558.1</w:t>
            </w:r>
          </w:p>
        </w:tc>
        <w:tc>
          <w:tcPr>
            <w:tcW w:w="110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202327074210</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99</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2023-571283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10-2023-7041239</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62024089505.7</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2022342266</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3231021</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22716971.1</w:t>
            </w:r>
          </w:p>
        </w:tc>
        <w:tc>
          <w:tcPr>
            <w:tcW w:w="110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9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726" w:right="1440"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139"/>
          </w:cols>
          <w:pgMar w:left="320" w:top="726" w:right="1440" w:bottom="1440" w:gutter="0" w:footer="0" w:header="0"/>
          <w:type w:val="continuous"/>
        </w:sectPr>
      </w:pPr>
    </w:p>
    <w:bookmarkStart w:id="291" w:name="page292"/>
    <w:bookmarkEnd w:id="291"/>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2024-515026</w:t>
            </w: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10-2024-7008355</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2022381220</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0"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0"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20" w:type="dxa"/>
            <w:vAlign w:val="bottom"/>
            <w:tcBorders>
              <w:left w:val="single" w:sz="8" w:color="auto"/>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1120240088332</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66"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66"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3236624</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202280073355.6</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22783493.4</w:t>
            </w:r>
          </w:p>
        </w:tc>
        <w:tc>
          <w:tcPr>
            <w:tcW w:w="6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gridSpan w:val="2"/>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202417038272</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2024-526529</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10-2024-7017594</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Korea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810005</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1120242311</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Saudi Arabia</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Formulations</w:t>
            </w:r>
          </w:p>
        </w:tc>
        <w:tc>
          <w:tcPr>
            <w:tcW w:w="320" w:type="dxa"/>
            <w:vAlign w:val="bottom"/>
          </w:tcPr>
          <w:p>
            <w:pPr>
              <w:ind w:left="160"/>
              <w:spacing w:after="0" w:line="154" w:lineRule="exact"/>
              <w:rPr>
                <w:sz w:val="20"/>
                <w:szCs w:val="20"/>
                <w:color w:val="auto"/>
              </w:rPr>
            </w:pPr>
            <w:r>
              <w:rPr>
                <w:rFonts w:ascii="Times New Roman" w:cs="Times New Roman" w:eastAsia="Times New Roman" w:hAnsi="Times New Roman"/>
                <w:sz w:val="16"/>
                <w:szCs w:val="16"/>
                <w:color w:val="auto"/>
                <w:w w:val="82"/>
              </w:rPr>
              <w:t>Of</w:t>
            </w:r>
          </w:p>
        </w:tc>
        <w:tc>
          <w:tcPr>
            <w:tcW w:w="940" w:type="dxa"/>
            <w:vAlign w:val="bottom"/>
            <w:gridSpan w:val="2"/>
          </w:tcPr>
          <w:p>
            <w:pPr>
              <w:ind w:left="180"/>
              <w:spacing w:after="0" w:line="154" w:lineRule="exact"/>
              <w:rPr>
                <w:sz w:val="20"/>
                <w:szCs w:val="20"/>
                <w:color w:val="auto"/>
              </w:rPr>
            </w:pPr>
            <w:r>
              <w:rPr>
                <w:rFonts w:ascii="Times New Roman" w:cs="Times New Roman" w:eastAsia="Times New Roman" w:hAnsi="Times New Roman"/>
                <w:sz w:val="16"/>
                <w:szCs w:val="16"/>
                <w:color w:val="auto"/>
              </w:rPr>
              <w:t>Psilocybin</w:t>
            </w:r>
          </w:p>
        </w:tc>
        <w:tc>
          <w:tcPr>
            <w:tcW w:w="6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w w:val="97"/>
              </w:rPr>
              <w:t>Analogs</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and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117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202411034735</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20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Processes   For</w:t>
            </w:r>
          </w:p>
        </w:tc>
        <w:tc>
          <w:tcPr>
            <w:tcW w:w="940" w:type="dxa"/>
            <w:vAlign w:val="bottom"/>
            <w:gridSpan w:val="2"/>
          </w:tcPr>
          <w:p>
            <w:pPr>
              <w:ind w:left="80"/>
              <w:spacing w:after="0" w:line="154" w:lineRule="exact"/>
              <w:rPr>
                <w:sz w:val="20"/>
                <w:szCs w:val="20"/>
                <w:color w:val="auto"/>
              </w:rPr>
            </w:pPr>
            <w:r>
              <w:rPr>
                <w:rFonts w:ascii="Times New Roman" w:cs="Times New Roman" w:eastAsia="Times New Roman" w:hAnsi="Times New Roman"/>
                <w:sz w:val="16"/>
                <w:szCs w:val="16"/>
                <w:color w:val="auto"/>
              </w:rPr>
              <w:t>Preparing</w:t>
            </w:r>
          </w:p>
        </w:tc>
        <w:tc>
          <w:tcPr>
            <w:tcW w:w="1080" w:type="dxa"/>
            <w:vAlign w:val="bottom"/>
            <w:tcBorders>
              <w:right w:val="single" w:sz="8" w:color="auto"/>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auto"/>
                <w:w w:val="98"/>
              </w:rPr>
              <w:t>Phenethylamine</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118</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PI2024003160</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Malaysia</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119</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811765</w:t>
            </w:r>
          </w:p>
        </w:tc>
        <w:tc>
          <w:tcPr>
            <w:tcW w:w="1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1120220089198</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121</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202291378</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Eurasian</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Patent</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Organization</w:t>
            </w:r>
          </w:p>
        </w:tc>
        <w:tc>
          <w:tcPr>
            <w:tcW w:w="12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202217028822</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Compounds,</w:t>
            </w:r>
          </w:p>
        </w:tc>
        <w:tc>
          <w:tcPr>
            <w:tcW w:w="102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86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4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6"/>
          </w:tcPr>
          <w:p>
            <w:pPr>
              <w:spacing w:after="0" w:line="165" w:lineRule="exact"/>
              <w:rPr>
                <w:sz w:val="20"/>
                <w:szCs w:val="20"/>
                <w:color w:val="auto"/>
              </w:rPr>
            </w:pPr>
            <w:r>
              <w:rPr>
                <w:rFonts w:ascii="Times New Roman" w:cs="Times New Roman" w:eastAsia="Times New Roman" w:hAnsi="Times New Roman"/>
                <w:sz w:val="16"/>
                <w:szCs w:val="16"/>
                <w:color w:val="auto"/>
              </w:rPr>
              <w:t>and Uses Thereof in the Treatment of Psychiatric</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or Neurological Disorders</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123</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2023-202672</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10-2023-7033500</w:t>
            </w:r>
          </w:p>
        </w:tc>
        <w:tc>
          <w:tcPr>
            <w:tcW w:w="6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Republic</w:t>
            </w:r>
          </w:p>
        </w:tc>
        <w:tc>
          <w:tcPr>
            <w:tcW w:w="460" w:type="dxa"/>
            <w:vAlign w:val="bottom"/>
            <w:tcBorders>
              <w:right w:val="single" w:sz="8" w:color="auto"/>
            </w:tcBorders>
          </w:tcPr>
          <w:p>
            <w:pPr>
              <w:ind w:left="28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w:t>
            </w:r>
          </w:p>
        </w:tc>
        <w:tc>
          <w:tcPr>
            <w:tcW w:w="4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125</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18/152,465</w:t>
            </w:r>
          </w:p>
        </w:tc>
        <w:tc>
          <w:tcPr>
            <w:tcW w:w="1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Compounds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46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126</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110143066</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Taiwan</w:t>
            </w:r>
          </w:p>
        </w:tc>
        <w:tc>
          <w:tcPr>
            <w:tcW w:w="4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Deuterated Compounds</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2021391581</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3203020</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129</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202180090269.1</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23198784.3</w:t>
            </w:r>
          </w:p>
        </w:tc>
        <w:tc>
          <w:tcPr>
            <w:tcW w:w="6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European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gridSpan w:val="2"/>
            <w:vMerge w:val="continue"/>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131</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40078818</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132</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202317043169</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133</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303288</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134</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2023-533243</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135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800961</w:t>
            </w:r>
          </w:p>
        </w:tc>
        <w:tc>
          <w:tcPr>
            <w:tcW w:w="11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8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32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or</w:t>
            </w:r>
          </w:p>
        </w:tc>
        <w:tc>
          <w:tcPr>
            <w:tcW w:w="7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Partially</w:t>
            </w: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color w:val="auto"/>
              </w:rPr>
              <w:t>Deuterated</w:t>
            </w:r>
          </w:p>
        </w:tc>
        <w:tc>
          <w:tcPr>
            <w:tcW w:w="46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6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gridSpan w:val="4"/>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139"/>
          </w:cols>
          <w:pgMar w:left="320" w:top="725" w:right="1440" w:bottom="1440" w:gutter="0" w:footer="0" w:header="0"/>
        </w:sectPr>
      </w:pPr>
    </w:p>
    <w:bookmarkStart w:id="292" w:name="page293"/>
    <w:bookmarkEnd w:id="292"/>
    <w:tbl>
      <w:tblPr>
        <w:tblLayout w:type="fixed"/>
        <w:tblInd w:w="10" w:type="dxa"/>
        <w:tblCellMar>
          <w:top w:w="0" w:type="dxa"/>
          <w:left w:w="0" w:type="dxa"/>
          <w:bottom w:w="0" w:type="dxa"/>
          <w:right w:w="0" w:type="dxa"/>
        </w:tblCellMar>
      </w:tblPr>
      <w:tr>
        <w:trPr>
          <w:trHeight w:val="255"/>
        </w:trPr>
        <w:tc>
          <w:tcPr>
            <w:tcW w:w="34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136</w:t>
            </w:r>
          </w:p>
        </w:tc>
        <w:tc>
          <w:tcPr>
            <w:tcW w:w="1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18/163,388</w:t>
            </w: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w:t>
            </w:r>
          </w:p>
        </w:tc>
        <w:tc>
          <w:tcPr>
            <w:tcW w:w="4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Dimethyltryptamine Compounds</w:t>
            </w: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137</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21 816489.5</w:t>
            </w:r>
          </w:p>
        </w:tc>
        <w:tc>
          <w:tcPr>
            <w:tcW w:w="6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44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31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138</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18/252,949</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Inhalable Formulations</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139</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18/056,771</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PCT/EP2022/082486</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WIPO</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141</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2022393234</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142</w:t>
            </w:r>
          </w:p>
        </w:tc>
        <w:tc>
          <w:tcPr>
            <w:tcW w:w="1420" w:type="dxa"/>
            <w:vAlign w:val="bottom"/>
            <w:tcBorders>
              <w:bottom w:val="single" w:sz="8" w:color="auto"/>
            </w:tcBorders>
          </w:tcPr>
          <w:p>
            <w:pPr>
              <w:spacing w:after="0" w:line="191" w:lineRule="exact"/>
              <w:rPr>
                <w:sz w:val="20"/>
                <w:szCs w:val="20"/>
                <w:color w:val="auto"/>
              </w:rPr>
            </w:pPr>
            <w:r>
              <w:rPr>
                <w:rFonts w:ascii="Calibri" w:cs="Calibri" w:eastAsia="Calibri" w:hAnsi="Calibri"/>
                <w:sz w:val="18"/>
                <w:szCs w:val="18"/>
                <w:color w:val="auto"/>
              </w:rPr>
              <w:t>11 2024 009571 1</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2"/>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143</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3238583</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4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58"/>
        </w:trPr>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144 22 818741.5</w:t>
            </w:r>
          </w:p>
        </w:tc>
        <w:tc>
          <w:tcPr>
            <w:tcW w:w="6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European</w:t>
            </w:r>
          </w:p>
        </w:tc>
        <w:tc>
          <w:tcPr>
            <w:tcW w:w="440" w:type="dxa"/>
            <w:vAlign w:val="bottom"/>
          </w:tcPr>
          <w:p>
            <w:pPr>
              <w:spacing w:after="0"/>
              <w:rPr>
                <w:sz w:val="13"/>
                <w:szCs w:val="13"/>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33"/>
        </w:trPr>
        <w:tc>
          <w:tcPr>
            <w:tcW w:w="1760" w:type="dxa"/>
            <w:vAlign w:val="bottom"/>
            <w:gridSpan w:val="2"/>
            <w:vMerge w:val="continue"/>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vMerge w:val="continue"/>
          </w:tcPr>
          <w:p>
            <w:pPr>
              <w:spacing w:after="0"/>
              <w:rPr>
                <w:sz w:val="11"/>
                <w:szCs w:val="11"/>
                <w:color w:val="auto"/>
              </w:rPr>
            </w:pPr>
          </w:p>
        </w:tc>
        <w:tc>
          <w:tcPr>
            <w:tcW w:w="31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3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145 202417045861</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9"/>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146</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312859</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147</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To be provided</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148</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10-2024-7020007</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149</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MX/a/2024/005955</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150</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811102</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151</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11202403174T</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152</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2024/03906</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 2024002791</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Malaysia</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154</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1120242659</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Saudi Arabia</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202401452</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Chile</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156</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2401003192</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0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157</w:t>
            </w:r>
          </w:p>
        </w:tc>
        <w:tc>
          <w:tcPr>
            <w:tcW w:w="1420" w:type="dxa"/>
            <w:vAlign w:val="bottom"/>
            <w:tcBorders>
              <w:bottom w:val="single" w:sz="8" w:color="auto"/>
            </w:tcBorders>
          </w:tcPr>
          <w:p>
            <w:pPr>
              <w:spacing w:after="0" w:line="191" w:lineRule="exact"/>
              <w:rPr>
                <w:sz w:val="20"/>
                <w:szCs w:val="20"/>
                <w:color w:val="auto"/>
              </w:rPr>
            </w:pPr>
            <w:r>
              <w:rPr>
                <w:rFonts w:ascii="Calibri" w:cs="Calibri" w:eastAsia="Calibri" w:hAnsi="Calibri"/>
                <w:sz w:val="18"/>
                <w:szCs w:val="18"/>
                <w:color w:val="auto"/>
              </w:rPr>
              <w:t>12024551165</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Philippines</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39"/>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158</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18/711,130</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159</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NC2024/0007518</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Colombia</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160</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To be provided</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and Inhalable Formulations</w:t>
            </w:r>
          </w:p>
        </w:tc>
        <w:tc>
          <w:tcPr>
            <w:tcW w:w="0" w:type="dxa"/>
            <w:vAlign w:val="bottom"/>
          </w:tcPr>
          <w:p>
            <w:pPr>
              <w:spacing w:after="0"/>
              <w:rPr>
                <w:sz w:val="1"/>
                <w:szCs w:val="1"/>
                <w:color w:val="auto"/>
              </w:rPr>
            </w:pPr>
          </w:p>
        </w:tc>
      </w:tr>
      <w:tr>
        <w:trPr>
          <w:trHeight w:val="235"/>
        </w:trPr>
        <w:tc>
          <w:tcPr>
            <w:tcW w:w="3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161</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202390295</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Organization</w:t>
            </w:r>
          </w:p>
        </w:tc>
        <w:tc>
          <w:tcPr>
            <w:tcW w:w="1260" w:type="dxa"/>
            <w:vAlign w:val="bottom"/>
            <w:tcBorders>
              <w:bottom w:val="single" w:sz="8" w:color="auto"/>
              <w:right w:val="single" w:sz="8" w:color="auto"/>
            </w:tcBorders>
          </w:tcPr>
          <w:p>
            <w:pPr>
              <w:spacing w:after="0"/>
              <w:rPr>
                <w:sz w:val="11"/>
                <w:szCs w:val="11"/>
                <w:color w:val="auto"/>
              </w:rPr>
            </w:pPr>
          </w:p>
        </w:tc>
        <w:tc>
          <w:tcPr>
            <w:tcW w:w="3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162</w:t>
            </w:r>
          </w:p>
        </w:tc>
        <w:tc>
          <w:tcPr>
            <w:tcW w:w="1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21769080.9</w:t>
            </w:r>
          </w:p>
        </w:tc>
        <w:tc>
          <w:tcPr>
            <w:tcW w:w="6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44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31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163</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62023077767.9</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164</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298129</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165</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PI 2023000584</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Malaysia</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166</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MX/a/2022/014128</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4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167</w:t>
            </w:r>
          </w:p>
        </w:tc>
        <w:tc>
          <w:tcPr>
            <w:tcW w:w="1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793361</w:t>
            </w:r>
          </w:p>
        </w:tc>
        <w:tc>
          <w:tcPr>
            <w:tcW w:w="1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0" w:type="dxa"/>
            <w:vAlign w:val="bottom"/>
          </w:tcPr>
          <w:p>
            <w:pPr>
              <w:spacing w:after="0"/>
              <w:rPr>
                <w:sz w:val="1"/>
                <w:szCs w:val="1"/>
                <w:color w:val="auto"/>
              </w:rPr>
            </w:pPr>
          </w:p>
        </w:tc>
      </w:tr>
      <w:tr>
        <w:trPr>
          <w:trHeight w:val="907"/>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0139"/>
          </w:cols>
          <w:pgMar w:left="320" w:top="726" w:right="1440" w:bottom="1440" w:gutter="0" w:footer="0" w:header="0"/>
        </w:sectPr>
      </w:pPr>
    </w:p>
    <w:bookmarkStart w:id="293" w:name="page294"/>
    <w:bookmarkEnd w:id="2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168</w:t>
            </w:r>
          </w:p>
        </w:tc>
        <w:tc>
          <w:tcPr>
            <w:tcW w:w="14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11202300697X</w:t>
            </w:r>
          </w:p>
        </w:tc>
        <w:tc>
          <w:tcPr>
            <w:tcW w:w="10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Injectable Formulation</w:t>
            </w:r>
          </w:p>
        </w:tc>
        <w:tc>
          <w:tcPr>
            <w:tcW w:w="4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169</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17/806,526</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Injectable Formulations</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170</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63/513,140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63/585,000</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172</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18/619,547</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PCT/EP2024/058587</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Method of Administration</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174</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PCT/EP2023/078480</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6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Method</w:t>
            </w:r>
          </w:p>
        </w:tc>
        <w:tc>
          <w:tcPr>
            <w:tcW w:w="1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w w:val="89"/>
              </w:rPr>
              <w:t>of</w:t>
            </w:r>
          </w:p>
        </w:tc>
        <w:tc>
          <w:tcPr>
            <w:tcW w:w="2400" w:type="dxa"/>
            <w:vAlign w:val="bottom"/>
            <w:tcBorders>
              <w:right w:val="single" w:sz="8" w:color="auto"/>
            </w:tcBorders>
            <w:gridSpan w:val="5"/>
          </w:tcPr>
          <w:p>
            <w:pPr>
              <w:jc w:val="right"/>
              <w:spacing w:after="0" w:line="150" w:lineRule="exact"/>
              <w:rPr>
                <w:sz w:val="20"/>
                <w:szCs w:val="20"/>
                <w:color w:val="auto"/>
              </w:rPr>
            </w:pPr>
            <w:r>
              <w:rPr>
                <w:rFonts w:ascii="Times New Roman" w:cs="Times New Roman" w:eastAsia="Times New Roman" w:hAnsi="Times New Roman"/>
                <w:sz w:val="16"/>
                <w:szCs w:val="16"/>
                <w:color w:val="auto"/>
              </w:rPr>
              <w:t>Administration  of  a  Parenteral</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318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16"/>
                <w:szCs w:val="16"/>
                <w:color w:val="auto"/>
              </w:rPr>
              <w:t>Formulation Comprising a Psychedelic Agent</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20" w:type="dxa"/>
            <w:vAlign w:val="bottom"/>
            <w:tcBorders>
              <w:left w:val="single" w:sz="8" w:color="auto"/>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3180" w:type="dxa"/>
            <w:vAlign w:val="bottom"/>
            <w:tcBorders>
              <w:right w:val="single" w:sz="8" w:color="auto"/>
            </w:tcBorders>
            <w:gridSpan w:val="7"/>
          </w:tcPr>
          <w:p>
            <w:pPr>
              <w:spacing w:after="0" w:line="154" w:lineRule="exact"/>
              <w:rPr>
                <w:sz w:val="20"/>
                <w:szCs w:val="20"/>
                <w:color w:val="auto"/>
              </w:rPr>
            </w:pPr>
            <w:r>
              <w:rPr>
                <w:rFonts w:ascii="Times New Roman" w:cs="Times New Roman" w:eastAsia="Times New Roman" w:hAnsi="Times New Roman"/>
                <w:sz w:val="16"/>
                <w:szCs w:val="16"/>
                <w:color w:val="auto"/>
              </w:rPr>
              <w:t>Treatment  of  Psychiatric  or  Neurological</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175</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PCT/EP2024/051569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WIPO</w:t>
            </w: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6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w w:val="99"/>
              </w:rPr>
              <w:t>Disorders</w:t>
            </w:r>
          </w:p>
        </w:tc>
        <w:tc>
          <w:tcPr>
            <w:tcW w:w="2540" w:type="dxa"/>
            <w:vAlign w:val="bottom"/>
            <w:tcBorders>
              <w:right w:val="single" w:sz="8" w:color="auto"/>
            </w:tcBorders>
            <w:gridSpan w:val="6"/>
          </w:tcPr>
          <w:p>
            <w:pPr>
              <w:jc w:val="right"/>
              <w:spacing w:after="0" w:line="165" w:lineRule="exact"/>
              <w:rPr>
                <w:sz w:val="20"/>
                <w:szCs w:val="20"/>
                <w:color w:val="auto"/>
              </w:rPr>
            </w:pPr>
            <w:r>
              <w:rPr>
                <w:rFonts w:ascii="Times New Roman" w:cs="Times New Roman" w:eastAsia="Times New Roman" w:hAnsi="Times New Roman"/>
                <w:sz w:val="16"/>
                <w:szCs w:val="16"/>
                <w:color w:val="auto"/>
              </w:rPr>
              <w:t>by Parenteral Administration of a</w:t>
            </w:r>
          </w:p>
        </w:tc>
        <w:tc>
          <w:tcPr>
            <w:tcW w:w="0" w:type="dxa"/>
            <w:vAlign w:val="bottom"/>
          </w:tcPr>
          <w:p>
            <w:pPr>
              <w:spacing w:after="0"/>
              <w:rPr>
                <w:sz w:val="1"/>
                <w:szCs w:val="1"/>
                <w:color w:val="auto"/>
              </w:rPr>
            </w:pPr>
          </w:p>
        </w:tc>
      </w:tr>
      <w:tr>
        <w:trPr>
          <w:trHeight w:val="125"/>
        </w:trPr>
        <w:tc>
          <w:tcPr>
            <w:tcW w:w="32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3180" w:type="dxa"/>
            <w:vAlign w:val="bottom"/>
            <w:tcBorders>
              <w:right w:val="single" w:sz="8" w:color="auto"/>
            </w:tcBorders>
            <w:gridSpan w:val="7"/>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Single, Effective Parenteral Dose of A Short-</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3180" w:type="dxa"/>
            <w:vAlign w:val="bottom"/>
            <w:tcBorders>
              <w:right w:val="single" w:sz="8" w:color="auto"/>
            </w:tcBorders>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Acting Psychedelic Agent</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176</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22214748</w:t>
            </w:r>
          </w:p>
        </w:tc>
        <w:tc>
          <w:tcPr>
            <w:tcW w:w="62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184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177</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202217028688</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178</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292754</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Method of Synthesis</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179</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21203394.8</w:t>
            </w:r>
          </w:p>
        </w:tc>
        <w:tc>
          <w:tcPr>
            <w:tcW w:w="62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1020" w:type="dxa"/>
            <w:vAlign w:val="bottom"/>
            <w:gridSpan w:val="3"/>
          </w:tcPr>
          <w:p>
            <w:pPr>
              <w:spacing w:after="0" w:line="150" w:lineRule="exact"/>
              <w:rPr>
                <w:sz w:val="20"/>
                <w:szCs w:val="20"/>
                <w:color w:val="auto"/>
              </w:rPr>
            </w:pPr>
            <w:r>
              <w:rPr>
                <w:rFonts w:ascii="Times New Roman" w:cs="Times New Roman" w:eastAsia="Times New Roman" w:hAnsi="Times New Roman"/>
                <w:sz w:val="16"/>
                <w:szCs w:val="16"/>
                <w:color w:val="auto"/>
              </w:rPr>
              <w:t>Solid   Oral</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Dosage   Forms</w:t>
            </w:r>
          </w:p>
        </w:tc>
        <w:tc>
          <w:tcPr>
            <w:tcW w:w="400" w:type="dxa"/>
            <w:vAlign w:val="bottom"/>
          </w:tcPr>
          <w:p>
            <w:pPr>
              <w:ind w:left="80"/>
              <w:spacing w:after="0" w:line="150" w:lineRule="exact"/>
              <w:rPr>
                <w:sz w:val="20"/>
                <w:szCs w:val="20"/>
                <w:color w:val="auto"/>
              </w:rPr>
            </w:pPr>
            <w:r>
              <w:rPr>
                <w:rFonts w:ascii="Times New Roman" w:cs="Times New Roman" w:eastAsia="Times New Roman" w:hAnsi="Times New Roman"/>
                <w:sz w:val="16"/>
                <w:szCs w:val="16"/>
                <w:color w:val="auto"/>
              </w:rPr>
              <w:t>of</w:t>
            </w:r>
          </w:p>
        </w:tc>
        <w:tc>
          <w:tcPr>
            <w:tcW w:w="54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2R,6R-</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11"/>
                <w:szCs w:val="11"/>
                <w:color w:val="auto"/>
              </w:rPr>
            </w:pPr>
          </w:p>
        </w:tc>
        <w:tc>
          <w:tcPr>
            <w:tcW w:w="318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16"/>
                <w:szCs w:val="16"/>
                <w:color w:val="auto"/>
              </w:rPr>
              <w:t>Hydroxynorketamine or Derivatives Thereof</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180</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18/193,866</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Synthesis</w:t>
            </w:r>
          </w:p>
        </w:tc>
        <w:tc>
          <w:tcPr>
            <w:tcW w:w="14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216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N,N-Dimethyltryptamine-Type</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tcBorders>
            <w:gridSpan w:val="5"/>
          </w:tcPr>
          <w:p>
            <w:pPr>
              <w:spacing w:after="0" w:line="133" w:lineRule="exact"/>
              <w:rPr>
                <w:sz w:val="20"/>
                <w:szCs w:val="20"/>
                <w:color w:val="auto"/>
              </w:rPr>
            </w:pPr>
            <w:r>
              <w:rPr>
                <w:rFonts w:ascii="Times New Roman" w:cs="Times New Roman" w:eastAsia="Times New Roman" w:hAnsi="Times New Roman"/>
                <w:sz w:val="15"/>
                <w:szCs w:val="15"/>
                <w:color w:val="auto"/>
              </w:rPr>
              <w:t>Compounds, Methods, and Uses</w:t>
            </w:r>
          </w:p>
        </w:tc>
        <w:tc>
          <w:tcPr>
            <w:tcW w:w="4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181</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18/602,171</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United</w:t>
            </w:r>
          </w:p>
        </w:tc>
        <w:tc>
          <w:tcPr>
            <w:tcW w:w="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3180" w:type="dxa"/>
            <w:vAlign w:val="bottom"/>
            <w:tcBorders>
              <w:right w:val="single" w:sz="8" w:color="auto"/>
            </w:tcBorders>
            <w:gridSpan w:val="7"/>
          </w:tcPr>
          <w:p>
            <w:pPr>
              <w:ind w:left="260"/>
              <w:spacing w:after="0"/>
              <w:rPr>
                <w:sz w:val="20"/>
                <w:szCs w:val="20"/>
                <w:color w:val="auto"/>
              </w:rPr>
            </w:pPr>
            <w:r>
              <w:rPr>
                <w:rFonts w:ascii="Times New Roman" w:cs="Times New Roman" w:eastAsia="Times New Roman" w:hAnsi="Times New Roman"/>
                <w:sz w:val="16"/>
                <w:szCs w:val="16"/>
                <w:color w:val="auto"/>
              </w:rPr>
              <w:t>Synthesis of N,N-Dimethyltryptamine-Type</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color w:val="auto"/>
              </w:rPr>
              <w:t>of America</w:t>
            </w:r>
          </w:p>
        </w:tc>
        <w:tc>
          <w:tcPr>
            <w:tcW w:w="126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tcBorders>
            <w:gridSpan w:val="5"/>
          </w:tcPr>
          <w:p>
            <w:pPr>
              <w:spacing w:after="0" w:line="133" w:lineRule="exact"/>
              <w:rPr>
                <w:sz w:val="20"/>
                <w:szCs w:val="20"/>
                <w:color w:val="auto"/>
              </w:rPr>
            </w:pPr>
            <w:r>
              <w:rPr>
                <w:rFonts w:ascii="Times New Roman" w:cs="Times New Roman" w:eastAsia="Times New Roman" w:hAnsi="Times New Roman"/>
                <w:sz w:val="15"/>
                <w:szCs w:val="15"/>
                <w:color w:val="auto"/>
              </w:rPr>
              <w:t>Compounds, Methods, and Uses</w:t>
            </w:r>
          </w:p>
        </w:tc>
        <w:tc>
          <w:tcPr>
            <w:tcW w:w="4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182</w:t>
            </w: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110119792</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Taiwan</w:t>
            </w:r>
          </w:p>
        </w:tc>
        <w:tc>
          <w:tcPr>
            <w:tcW w:w="4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Therapeutic Compositions</w:t>
            </w: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183</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1120220245661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184</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202180046463.X</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185</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202293451</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Eurasian Patent</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continue"/>
          </w:tcPr>
          <w:p>
            <w:pPr>
              <w:spacing w:after="0"/>
              <w:rPr>
                <w:sz w:val="13"/>
                <w:szCs w:val="13"/>
                <w:color w:val="auto"/>
              </w:rPr>
            </w:pPr>
          </w:p>
        </w:tc>
        <w:tc>
          <w:tcPr>
            <w:tcW w:w="1440" w:type="dxa"/>
            <w:vAlign w:val="bottom"/>
            <w:tcBorders>
              <w:right w:val="single" w:sz="8" w:color="auto"/>
            </w:tcBorders>
            <w:vMerge w:val="continue"/>
          </w:tcPr>
          <w:p>
            <w:pPr>
              <w:spacing w:after="0"/>
              <w:rPr>
                <w:sz w:val="13"/>
                <w:szCs w:val="13"/>
                <w:color w:val="auto"/>
              </w:rPr>
            </w:pPr>
          </w:p>
        </w:tc>
        <w:tc>
          <w:tcPr>
            <w:tcW w:w="1080" w:type="dxa"/>
            <w:vAlign w:val="bottom"/>
            <w:tcBorders>
              <w:right w:val="single" w:sz="8" w:color="auto"/>
            </w:tcBorders>
            <w:gridSpan w:val="2"/>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7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3"/>
                <w:szCs w:val="13"/>
                <w:color w:val="auto"/>
              </w:rPr>
            </w:pPr>
          </w:p>
        </w:tc>
        <w:tc>
          <w:tcPr>
            <w:tcW w:w="82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6"/>
                <w:szCs w:val="16"/>
                <w:color w:val="auto"/>
              </w:rPr>
              <w:t>Organization</w:t>
            </w:r>
          </w:p>
        </w:tc>
        <w:tc>
          <w:tcPr>
            <w:tcW w:w="1260" w:type="dxa"/>
            <w:vAlign w:val="bottom"/>
            <w:tcBorders>
              <w:right w:val="single" w:sz="8" w:color="auto"/>
            </w:tcBorders>
          </w:tcPr>
          <w:p>
            <w:pPr>
              <w:spacing w:after="0"/>
              <w:rPr>
                <w:sz w:val="14"/>
                <w:szCs w:val="14"/>
                <w:color w:val="auto"/>
              </w:rPr>
            </w:pPr>
          </w:p>
        </w:tc>
        <w:tc>
          <w:tcPr>
            <w:tcW w:w="22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tcBorders>
            <w:gridSpan w:val="5"/>
            <w:vMerge w:val="continue"/>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186</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42023070531.1</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Hong Kong</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gridSpan w:val="2"/>
            <w:vMerge w:val="continue"/>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187</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202217076779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India</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188</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298541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189</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2020286709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Australia</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190</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1120210243330</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Brazil</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191</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3142290</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Canada</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192</w:t>
            </w: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202080050439.9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China</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89"/>
              </w:rPr>
              <w:t>or</w:t>
            </w: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continue"/>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7"/>
              </w:rPr>
              <w:t>European</w:t>
            </w:r>
          </w:p>
        </w:tc>
        <w:tc>
          <w:tcPr>
            <w:tcW w:w="4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6"/>
                <w:szCs w:val="16"/>
                <w:color w:val="auto"/>
                <w:w w:val="99"/>
              </w:rPr>
              <w:t>Therapeutic</w:t>
            </w:r>
          </w:p>
        </w:tc>
        <w:tc>
          <w:tcPr>
            <w:tcW w:w="240" w:type="dxa"/>
            <w:vAlign w:val="bottom"/>
          </w:tcPr>
          <w:p>
            <w:pPr>
              <w:spacing w:after="0"/>
              <w:rPr>
                <w:sz w:val="13"/>
                <w:szCs w:val="13"/>
                <w:color w:val="auto"/>
              </w:rPr>
            </w:pPr>
          </w:p>
        </w:tc>
        <w:tc>
          <w:tcPr>
            <w:tcW w:w="1220" w:type="dxa"/>
            <w:vAlign w:val="bottom"/>
            <w:gridSpan w:val="2"/>
          </w:tcPr>
          <w:p>
            <w:pPr>
              <w:jc w:val="center"/>
              <w:ind w:right="39"/>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73"/>
        </w:trPr>
        <w:tc>
          <w:tcPr>
            <w:tcW w:w="320" w:type="dxa"/>
            <w:vAlign w:val="bottom"/>
            <w:tcBorders>
              <w:left w:val="single" w:sz="8" w:color="auto"/>
              <w:right w:val="single" w:sz="8" w:color="auto"/>
            </w:tcBorders>
            <w:vMerge w:val="restart"/>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rPr>
              <w:t>193</w:t>
            </w:r>
          </w:p>
        </w:tc>
        <w:tc>
          <w:tcPr>
            <w:tcW w:w="144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22173907.1</w:t>
            </w:r>
          </w:p>
        </w:tc>
        <w:tc>
          <w:tcPr>
            <w:tcW w:w="620" w:type="dxa"/>
            <w:vAlign w:val="bottom"/>
            <w:vMerge w:val="continue"/>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Pending</w:t>
            </w:r>
          </w:p>
        </w:tc>
        <w:tc>
          <w:tcPr>
            <w:tcW w:w="780" w:type="dxa"/>
            <w:vAlign w:val="bottom"/>
            <w:gridSpan w:val="2"/>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Deuterated</w:t>
            </w:r>
          </w:p>
        </w:tc>
        <w:tc>
          <w:tcPr>
            <w:tcW w:w="240" w:type="dxa"/>
            <w:vAlign w:val="bottom"/>
            <w:vMerge w:val="restart"/>
          </w:tcPr>
          <w:p>
            <w:pPr>
              <w:ind w:left="100"/>
              <w:spacing w:after="0" w:line="165" w:lineRule="exact"/>
              <w:rPr>
                <w:sz w:val="20"/>
                <w:szCs w:val="20"/>
                <w:color w:val="auto"/>
              </w:rPr>
            </w:pPr>
            <w:r>
              <w:rPr>
                <w:rFonts w:ascii="Times New Roman" w:cs="Times New Roman" w:eastAsia="Times New Roman" w:hAnsi="Times New Roman"/>
                <w:sz w:val="16"/>
                <w:szCs w:val="16"/>
                <w:color w:val="auto"/>
                <w:w w:val="89"/>
              </w:rPr>
              <w:t>or</w:t>
            </w:r>
          </w:p>
        </w:tc>
        <w:tc>
          <w:tcPr>
            <w:tcW w:w="820" w:type="dxa"/>
            <w:vAlign w:val="bottom"/>
            <w:vMerge w:val="restart"/>
          </w:tcPr>
          <w:p>
            <w:pPr>
              <w:ind w:left="180"/>
              <w:spacing w:after="0" w:line="165" w:lineRule="exact"/>
              <w:rPr>
                <w:sz w:val="20"/>
                <w:szCs w:val="20"/>
                <w:color w:val="auto"/>
              </w:rPr>
            </w:pPr>
            <w:r>
              <w:rPr>
                <w:rFonts w:ascii="Times New Roman" w:cs="Times New Roman" w:eastAsia="Times New Roman" w:hAnsi="Times New Roman"/>
                <w:sz w:val="16"/>
                <w:szCs w:val="16"/>
                <w:color w:val="auto"/>
              </w:rPr>
              <w:t>Partially</w:t>
            </w:r>
          </w:p>
        </w:tc>
        <w:tc>
          <w:tcPr>
            <w:tcW w:w="800" w:type="dxa"/>
            <w:vAlign w:val="bottom"/>
            <w:gridSpan w:val="2"/>
            <w:vMerge w:val="restart"/>
          </w:tcPr>
          <w:p>
            <w:pPr>
              <w:ind w:left="80"/>
              <w:spacing w:after="0" w:line="165" w:lineRule="exact"/>
              <w:rPr>
                <w:sz w:val="20"/>
                <w:szCs w:val="20"/>
                <w:color w:val="auto"/>
              </w:rPr>
            </w:pPr>
            <w:r>
              <w:rPr>
                <w:rFonts w:ascii="Times New Roman" w:cs="Times New Roman" w:eastAsia="Times New Roman" w:hAnsi="Times New Roman"/>
                <w:sz w:val="16"/>
                <w:szCs w:val="16"/>
                <w:color w:val="auto"/>
                <w:w w:val="99"/>
              </w:rPr>
              <w:t>Deuterated</w:t>
            </w:r>
          </w:p>
        </w:tc>
        <w:tc>
          <w:tcPr>
            <w:tcW w:w="540" w:type="dxa"/>
            <w:vAlign w:val="bottom"/>
            <w:tcBorders>
              <w:right w:val="single" w:sz="8" w:color="auto"/>
            </w:tcBorders>
            <w:vMerge w:val="restart"/>
          </w:tcPr>
          <w:p>
            <w:pPr>
              <w:jc w:val="right"/>
              <w:spacing w:after="0" w:line="165" w:lineRule="exact"/>
              <w:rPr>
                <w:sz w:val="20"/>
                <w:szCs w:val="20"/>
                <w:color w:val="auto"/>
              </w:rPr>
            </w:pPr>
            <w:r>
              <w:rPr>
                <w:rFonts w:ascii="Times New Roman" w:cs="Times New Roman" w:eastAsia="Times New Roman" w:hAnsi="Times New Roman"/>
                <w:sz w:val="16"/>
                <w:szCs w:val="16"/>
                <w:color w:val="auto"/>
              </w:rPr>
              <w:t>N,N-</w:t>
            </w:r>
          </w:p>
        </w:tc>
        <w:tc>
          <w:tcPr>
            <w:tcW w:w="0" w:type="dxa"/>
            <w:vAlign w:val="bottom"/>
          </w:tcPr>
          <w:p>
            <w:pPr>
              <w:spacing w:after="0"/>
              <w:rPr>
                <w:sz w:val="1"/>
                <w:szCs w:val="1"/>
                <w:color w:val="auto"/>
              </w:rPr>
            </w:pPr>
          </w:p>
        </w:tc>
      </w:tr>
      <w:tr>
        <w:trPr>
          <w:trHeight w:val="93"/>
        </w:trPr>
        <w:tc>
          <w:tcPr>
            <w:tcW w:w="320" w:type="dxa"/>
            <w:vAlign w:val="bottom"/>
            <w:tcBorders>
              <w:left w:val="single" w:sz="8" w:color="auto"/>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1260" w:type="dxa"/>
            <w:vAlign w:val="bottom"/>
            <w:tcBorders>
              <w:right w:val="single" w:sz="8" w:color="auto"/>
            </w:tcBorders>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20" w:type="dxa"/>
            <w:vAlign w:val="bottom"/>
            <w:tcBorders>
              <w:left w:val="single" w:sz="8" w:color="auto"/>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4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gridSpan w:val="5"/>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139"/>
          </w:cols>
          <w:pgMar w:left="320" w:top="726" w:right="1440" w:bottom="1440" w:gutter="0" w:footer="0" w:header="0"/>
        </w:sectPr>
      </w:pPr>
    </w:p>
    <w:bookmarkStart w:id="294" w:name="page295"/>
    <w:bookmarkEnd w:id="294"/>
    <w:tbl>
      <w:tblPr>
        <w:tblLayout w:type="fixed"/>
        <w:tblInd w:w="10" w:type="dxa"/>
        <w:tblCellMar>
          <w:top w:w="0" w:type="dxa"/>
          <w:left w:w="0" w:type="dxa"/>
          <w:bottom w:w="0" w:type="dxa"/>
          <w:right w:w="0" w:type="dxa"/>
        </w:tblCellMar>
      </w:tblPr>
      <w:tr>
        <w:trPr>
          <w:trHeight w:val="170"/>
        </w:trPr>
        <w:tc>
          <w:tcPr>
            <w:tcW w:w="320" w:type="dxa"/>
            <w:vAlign w:val="bottom"/>
            <w:tcBorders>
              <w:top w:val="single" w:sz="8" w:color="auto"/>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194</w:t>
            </w:r>
          </w:p>
        </w:tc>
        <w:tc>
          <w:tcPr>
            <w:tcW w:w="12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288617</w:t>
            </w:r>
          </w:p>
        </w:tc>
        <w:tc>
          <w:tcPr>
            <w:tcW w:w="8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top w:val="single" w:sz="8" w:color="auto"/>
              <w:right w:val="single" w:sz="8" w:color="auto"/>
            </w:tcBorders>
          </w:tcPr>
          <w:p>
            <w:pPr>
              <w:spacing w:after="0"/>
              <w:rPr>
                <w:sz w:val="14"/>
                <w:szCs w:val="14"/>
                <w:color w:val="auto"/>
              </w:rPr>
            </w:pPr>
          </w:p>
        </w:tc>
        <w:tc>
          <w:tcPr>
            <w:tcW w:w="13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Borders>
              <w:top w:val="single" w:sz="8" w:color="auto"/>
            </w:tcBorders>
          </w:tcPr>
          <w:p>
            <w:pPr>
              <w:ind w:left="300"/>
              <w:spacing w:after="0" w:line="17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top w:val="single" w:sz="8" w:color="auto"/>
              <w:right w:val="single" w:sz="8" w:color="auto"/>
            </w:tcBorders>
          </w:tcPr>
          <w:p>
            <w:pPr>
              <w:ind w:left="140"/>
              <w:spacing w:after="0" w:line="17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3"/>
          </w:tcPr>
          <w:p>
            <w:pPr>
              <w:spacing w:after="0" w:line="165"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195</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2021-571882</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Pr>
          <w:p>
            <w:pPr>
              <w:ind w:left="3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3"/>
          </w:tcPr>
          <w:p>
            <w:pPr>
              <w:spacing w:after="0" w:line="165"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196</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783166</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Pr>
          <w:p>
            <w:pPr>
              <w:ind w:left="3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3220" w:type="dxa"/>
            <w:vAlign w:val="bottom"/>
            <w:tcBorders>
              <w:right w:val="single" w:sz="8" w:color="auto"/>
            </w:tcBorders>
            <w:gridSpan w:val="3"/>
          </w:tcPr>
          <w:p>
            <w:pPr>
              <w:spacing w:after="0" w:line="165" w:lineRule="exact"/>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Republic</w:t>
            </w:r>
          </w:p>
        </w:tc>
        <w:tc>
          <w:tcPr>
            <w:tcW w:w="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300" w:type="dxa"/>
            <w:vAlign w:val="bottom"/>
            <w:tcBorders>
              <w:right w:val="single" w:sz="8" w:color="auto"/>
            </w:tcBorders>
          </w:tcPr>
          <w:p>
            <w:pPr>
              <w:spacing w:after="0"/>
              <w:rPr>
                <w:sz w:val="13"/>
                <w:szCs w:val="13"/>
                <w:color w:val="auto"/>
              </w:rPr>
            </w:pPr>
          </w:p>
        </w:tc>
        <w:tc>
          <w:tcPr>
            <w:tcW w:w="8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Pr>
          <w:p>
            <w:pPr>
              <w:ind w:left="3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73"/>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197</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10-2021-7043410</w:t>
            </w:r>
          </w:p>
        </w:tc>
        <w:tc>
          <w:tcPr>
            <w:tcW w:w="880" w:type="dxa"/>
            <w:vAlign w:val="bottom"/>
            <w:vMerge w:val="continue"/>
          </w:tcPr>
          <w:p>
            <w:pPr>
              <w:spacing w:after="0"/>
              <w:rPr>
                <w:sz w:val="6"/>
                <w:szCs w:val="6"/>
                <w:color w:val="auto"/>
              </w:rPr>
            </w:pPr>
          </w:p>
        </w:tc>
        <w:tc>
          <w:tcPr>
            <w:tcW w:w="200" w:type="dxa"/>
            <w:vAlign w:val="bottom"/>
            <w:tcBorders>
              <w:right w:val="single" w:sz="8" w:color="auto"/>
            </w:tcBorders>
            <w:vMerge w:val="continue"/>
          </w:tcPr>
          <w:p>
            <w:pPr>
              <w:spacing w:after="0"/>
              <w:rPr>
                <w:sz w:val="6"/>
                <w:szCs w:val="6"/>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32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Deuterated  or  Partially  Deuterated  N,N-</w:t>
            </w:r>
          </w:p>
        </w:tc>
        <w:tc>
          <w:tcPr>
            <w:tcW w:w="0" w:type="dxa"/>
            <w:vAlign w:val="bottom"/>
          </w:tcPr>
          <w:p>
            <w:pPr>
              <w:spacing w:after="0"/>
              <w:rPr>
                <w:sz w:val="1"/>
                <w:szCs w:val="1"/>
                <w:color w:val="auto"/>
              </w:rPr>
            </w:pPr>
          </w:p>
        </w:tc>
      </w:tr>
      <w:tr>
        <w:trPr>
          <w:trHeight w:val="111"/>
        </w:trPr>
        <w:tc>
          <w:tcPr>
            <w:tcW w:w="320" w:type="dxa"/>
            <w:vAlign w:val="bottom"/>
            <w:tcBorders>
              <w:left w:val="single" w:sz="8" w:color="auto"/>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8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Korea</w:t>
            </w:r>
          </w:p>
        </w:tc>
        <w:tc>
          <w:tcPr>
            <w:tcW w:w="2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32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20" w:type="dxa"/>
            <w:vAlign w:val="bottom"/>
            <w:tcBorders>
              <w:left w:val="single" w:sz="8" w:color="auto"/>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198</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17/616,345</w:t>
            </w:r>
          </w:p>
        </w:tc>
        <w:tc>
          <w:tcPr>
            <w:tcW w:w="10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84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Therapeutic</w:t>
            </w:r>
          </w:p>
        </w:tc>
        <w:tc>
          <w:tcPr>
            <w:tcW w:w="1440" w:type="dxa"/>
            <w:vAlign w:val="bottom"/>
          </w:tcPr>
          <w:p>
            <w:pPr>
              <w:ind w:left="300"/>
              <w:spacing w:after="0" w:line="150" w:lineRule="exact"/>
              <w:rPr>
                <w:sz w:val="20"/>
                <w:szCs w:val="20"/>
                <w:color w:val="auto"/>
              </w:rPr>
            </w:pPr>
            <w:r>
              <w:rPr>
                <w:rFonts w:ascii="Times New Roman" w:cs="Times New Roman" w:eastAsia="Times New Roman" w:hAnsi="Times New Roman"/>
                <w:sz w:val="16"/>
                <w:szCs w:val="16"/>
                <w:color w:val="auto"/>
              </w:rPr>
              <w:t>Compositions</w:t>
            </w:r>
          </w:p>
        </w:tc>
        <w:tc>
          <w:tcPr>
            <w:tcW w:w="94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6"/>
                <w:szCs w:val="16"/>
                <w:color w:val="auto"/>
              </w:rPr>
              <w:t>Comprising</w:t>
            </w:r>
          </w:p>
        </w:tc>
        <w:tc>
          <w:tcPr>
            <w:tcW w:w="0" w:type="dxa"/>
            <w:vAlign w:val="bottom"/>
          </w:tcPr>
          <w:p>
            <w:pPr>
              <w:spacing w:after="0"/>
              <w:rPr>
                <w:sz w:val="1"/>
                <w:szCs w:val="1"/>
                <w:color w:val="auto"/>
              </w:rPr>
            </w:pPr>
          </w:p>
        </w:tc>
      </w:tr>
      <w:tr>
        <w:trPr>
          <w:trHeight w:val="158"/>
        </w:trPr>
        <w:tc>
          <w:tcPr>
            <w:tcW w:w="320" w:type="dxa"/>
            <w:vAlign w:val="bottom"/>
            <w:tcBorders>
              <w:left w:val="single" w:sz="8" w:color="auto"/>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1080" w:type="dxa"/>
            <w:vAlign w:val="bottom"/>
            <w:tcBorders>
              <w:right w:val="single" w:sz="8" w:color="auto"/>
            </w:tcBorders>
            <w:gridSpan w:val="2"/>
            <w:vMerge w:val="continue"/>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8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Deuterated</w:t>
            </w:r>
          </w:p>
        </w:tc>
        <w:tc>
          <w:tcPr>
            <w:tcW w:w="2380" w:type="dxa"/>
            <w:vAlign w:val="bottom"/>
            <w:tcBorders>
              <w:right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or  Partially  Deuterated  N,N-</w:t>
            </w: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8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America</w:t>
            </w:r>
          </w:p>
        </w:tc>
        <w:tc>
          <w:tcPr>
            <w:tcW w:w="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Dimethyltryptamine Compounds</w:t>
            </w: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gridSpan w:val="2"/>
            <w:vMerge w:val="continue"/>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199</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2021284861</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200</w:t>
            </w:r>
          </w:p>
        </w:tc>
        <w:tc>
          <w:tcPr>
            <w:tcW w:w="12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21725377.2</w:t>
            </w:r>
          </w:p>
        </w:tc>
        <w:tc>
          <w:tcPr>
            <w:tcW w:w="88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 Office</w:t>
            </w:r>
          </w:p>
        </w:tc>
        <w:tc>
          <w:tcPr>
            <w:tcW w:w="2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201</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202217076899</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202</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298542</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203</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2022-574098</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204</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794813</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205</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3118556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206</w:t>
            </w:r>
          </w:p>
        </w:tc>
        <w:tc>
          <w:tcPr>
            <w:tcW w:w="1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202180046533.1</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207</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17/320,155</w:t>
            </w:r>
          </w:p>
        </w:tc>
        <w:tc>
          <w:tcPr>
            <w:tcW w:w="10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United States of</w:t>
            </w:r>
          </w:p>
        </w:tc>
        <w:tc>
          <w:tcPr>
            <w:tcW w:w="1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Therapeutic Solid Dosage Forms</w:t>
            </w: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5"/>
                <w:szCs w:val="15"/>
                <w:color w:val="auto"/>
              </w:rPr>
              <w:t>America</w:t>
            </w:r>
          </w:p>
        </w:tc>
        <w:tc>
          <w:tcPr>
            <w:tcW w:w="20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has also filed applications for registration of twenty-six trademarks, including Changing Minds®, Cybin®, Embark®It’s not magic. It’s mushrooms™, It’s not magic, its science™, Journey™, Mushroom &amp; Friends™, Psilotonin™, Psychedelics to Therapeutics®, MindClef™, CYB™, and Revolutionizing Mental Healthcare™. The Company has registered the CYBIN trademark in the EU (reg. 18495520), the UK (reg. UK00003656496), and the US (reg. 6,852,975) the mark PSYCHEDELICS TO THERAPEUTICS in the UK (reg. UK00003717706), the mark CHANGING MINDS in Canada (TMA1195700), and the mark EMBARK in Canada (TMA1196747).</w:t>
      </w:r>
    </w:p>
    <w:p>
      <w:pPr>
        <w:spacing w:after="0" w:line="19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As a result of the Arrangement, the Company has registered trademarks with the United Kingdom Intellectual Property Office (registration no. UK00003244617), and the European Union Intellectual Property Office (registration no. 018396486), , and has filed an application for registration with the USPTO (application no. 90523956) and the Canadian Intellectual Property Office (application no 2084387).</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0"/>
          </w:cols>
          <w:pgMar w:left="320" w:top="725" w:right="319" w:bottom="1440" w:gutter="0" w:footer="0" w:header="0"/>
        </w:sectPr>
      </w:pPr>
    </w:p>
    <w:bookmarkStart w:id="295" w:name="page296"/>
    <w:bookmarkEnd w:id="295"/>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and Licensing Regime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1"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psilocybin,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Health Canada has not approved psilocybin as a drug for any indication. However, there are legal routes through which psilocybin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9"/>
          <w:szCs w:val="19"/>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8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22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725" w:right="319" w:bottom="1440" w:gutter="0" w:footer="0" w:header="0"/>
        </w:sectPr>
      </w:pPr>
    </w:p>
    <w:bookmarkStart w:id="296" w:name="page297"/>
    <w:bookmarkEnd w:id="296"/>
    <w:p>
      <w:pPr>
        <w:ind w:left="3"/>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44" w:lineRule="exact"/>
        <w:rPr>
          <w:sz w:val="20"/>
          <w:szCs w:val="20"/>
          <w:color w:val="auto"/>
        </w:rPr>
      </w:pPr>
    </w:p>
    <w:p>
      <w:pPr>
        <w:jc w:val="both"/>
        <w:ind w:left="3" w:right="20"/>
        <w:spacing w:after="0" w:line="279"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 w:cs="Times New Roman" w:eastAsia="Times New Roman" w:hAnsi="Times New Roman"/>
          <w:sz w:val="23"/>
          <w:szCs w:val="23"/>
          <w:color w:val="auto"/>
          <w:vertAlign w:val="superscript"/>
        </w:rPr>
        <w:t>28</w:t>
      </w:r>
      <w:r>
        <w:rPr>
          <w:rFonts w:ascii="Times New Roman" w:cs="Times New Roman" w:eastAsia="Times New Roman" w:hAnsi="Times New Roman"/>
          <w:sz w:val="18"/>
          <w:szCs w:val="18"/>
          <w:color w:val="auto"/>
        </w:rPr>
        <w:t>. Anticipated timelines related to regulatory filings are based on reasonable assumptions informed by current knowledge and information available to the Company.</w:t>
      </w:r>
    </w:p>
    <w:p>
      <w:pPr>
        <w:spacing w:after="0" w:line="199"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Europe/Netherlands</w:t>
      </w:r>
    </w:p>
    <w:p>
      <w:pPr>
        <w:spacing w:after="0" w:line="252"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83"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53987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jc w:val="both"/>
        <w:ind w:left="3" w:right="20" w:hanging="3"/>
        <w:spacing w:after="0" w:line="235" w:lineRule="auto"/>
        <w:tabs>
          <w:tab w:leader="none" w:pos="135" w:val="left"/>
        </w:tabs>
        <w:numPr>
          <w:ilvl w:val="0"/>
          <w:numId w:val="1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3"/>
          </w:cols>
          <w:pgMar w:left="317" w:top="723" w:right="319" w:bottom="1440" w:gutter="0" w:footer="0" w:header="0"/>
        </w:sectPr>
      </w:pPr>
    </w:p>
    <w:bookmarkStart w:id="297" w:name="page298"/>
    <w:bookmarkEnd w:id="297"/>
    <w:p>
      <w:pPr>
        <w:ind w:left="580" w:right="20" w:hanging="292"/>
        <w:spacing w:after="0" w:line="287" w:lineRule="auto"/>
        <w:tabs>
          <w:tab w:leader="none" w:pos="569"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34"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 w:lineRule="exact"/>
        <w:rPr>
          <w:rFonts w:ascii="Arial" w:cs="Arial" w:eastAsia="Arial" w:hAnsi="Arial"/>
          <w:sz w:val="18"/>
          <w:szCs w:val="18"/>
          <w:color w:val="auto"/>
        </w:rPr>
      </w:pPr>
    </w:p>
    <w:p>
      <w:pPr>
        <w:jc w:val="both"/>
        <w:ind w:left="580" w:right="20" w:hanging="292"/>
        <w:spacing w:after="0" w:line="302" w:lineRule="auto"/>
        <w:tabs>
          <w:tab w:leader="none" w:pos="569"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17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26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w:t>
      </w:r>
      <w:r>
        <w:rPr>
          <w:rFonts w:ascii="Times New Roman" w:cs="Times New Roman" w:eastAsia="Times New Roman" w:hAnsi="Times New Roman"/>
          <w:sz w:val="18"/>
          <w:szCs w:val="18"/>
          <w:i w:val="1"/>
          <w:iCs w:val="1"/>
          <w:color w:val="auto"/>
        </w:rPr>
        <w:t>Centrale Commissie Mensgebonden Onderzoek</w:t>
      </w:r>
      <w:r>
        <w:rPr>
          <w:rFonts w:ascii="Times New Roman" w:cs="Times New Roman" w:eastAsia="Times New Roman" w:hAnsi="Times New Roman"/>
          <w:sz w:val="18"/>
          <w:szCs w:val="18"/>
          <w:color w:val="auto"/>
        </w:rPr>
        <w:t>’. In cases where the study involves a substance subject to the Dutch Opium Act (such as DMT), an official exemption by Farmatec is needed, which needs to be included in the CTA.</w:t>
      </w:r>
    </w:p>
    <w:p>
      <w:pPr>
        <w:spacing w:after="0" w:line="20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7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0"/>
          </w:cols>
          <w:pgMar w:left="320" w:top="943" w:right="319" w:bottom="1440" w:gutter="0" w:footer="0" w:header="0"/>
        </w:sectPr>
      </w:pPr>
    </w:p>
    <w:bookmarkStart w:id="298" w:name="page299"/>
    <w:bookmarkEnd w:id="298"/>
    <w:p>
      <w:pPr>
        <w:ind w:left="3"/>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44"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67" w:lineRule="exact"/>
        <w:rPr>
          <w:sz w:val="20"/>
          <w:szCs w:val="20"/>
          <w:color w:val="auto"/>
        </w:rPr>
      </w:pPr>
    </w:p>
    <w:p>
      <w:pPr>
        <w:jc w:val="both"/>
        <w:ind w:left="3" w:right="20"/>
        <w:spacing w:after="0" w:line="298"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67"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52"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API.DMT is also considered a Class A drug under the MDA and as a Schedule I drug under the MDR.</w:t>
      </w:r>
    </w:p>
    <w:p>
      <w:pPr>
        <w:spacing w:after="0" w:line="159" w:lineRule="exact"/>
        <w:rPr>
          <w:sz w:val="20"/>
          <w:szCs w:val="20"/>
          <w:color w:val="auto"/>
        </w:rPr>
      </w:pPr>
    </w:p>
    <w:p>
      <w:pPr>
        <w:jc w:val="both"/>
        <w:ind w:left="3" w:right="20"/>
        <w:spacing w:after="0" w:line="299"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reference number 1355388, issued on July 24, 2023, expiring July 23, 2024.</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17" w:lineRule="exact"/>
        <w:rPr>
          <w:sz w:val="20"/>
          <w:szCs w:val="20"/>
          <w:color w:val="auto"/>
        </w:rPr>
      </w:pPr>
    </w:p>
    <w:p>
      <w:pPr>
        <w:jc w:val="both"/>
        <w:ind w:left="3"/>
        <w:spacing w:after="0" w:line="312" w:lineRule="auto"/>
        <w:rPr>
          <w:sz w:val="20"/>
          <w:szCs w:val="20"/>
          <w:color w:val="auto"/>
        </w:rPr>
      </w:pPr>
      <w:r>
        <w:rPr>
          <w:rFonts w:ascii="Times New Roman" w:cs="Times New Roman" w:eastAsia="Times New Roman" w:hAnsi="Times New Roman"/>
          <w:sz w:val="17"/>
          <w:szCs w:val="17"/>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2"/>
          <w:szCs w:val="22"/>
          <w:color w:val="auto"/>
          <w:vertAlign w:val="superscript"/>
        </w:rPr>
        <w:t>29</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both"/>
        <w:ind w:left="3"/>
        <w:spacing w:after="0" w:line="292"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53987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84" w:lineRule="exact"/>
        <w:rPr>
          <w:sz w:val="20"/>
          <w:szCs w:val="20"/>
          <w:color w:val="auto"/>
        </w:rPr>
      </w:pPr>
    </w:p>
    <w:p>
      <w:pPr>
        <w:jc w:val="both"/>
        <w:ind w:left="3" w:hanging="3"/>
        <w:spacing w:after="0" w:line="235" w:lineRule="auto"/>
        <w:tabs>
          <w:tab w:leader="none" w:pos="146" w:val="left"/>
        </w:tabs>
        <w:numPr>
          <w:ilvl w:val="0"/>
          <w:numId w:val="1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spacing w:after="0" w:line="200" w:lineRule="exact"/>
        <w:rPr>
          <w:sz w:val="20"/>
          <w:szCs w:val="20"/>
          <w:color w:val="auto"/>
        </w:rPr>
      </w:pPr>
    </w:p>
    <w:p>
      <w:pPr>
        <w:spacing w:after="0" w:line="39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3"/>
          </w:cols>
          <w:pgMar w:left="317" w:top="723" w:right="319" w:bottom="1440" w:gutter="0" w:footer="0" w:header="0"/>
        </w:sectPr>
      </w:pPr>
    </w:p>
    <w:bookmarkStart w:id="299" w:name="page300"/>
    <w:bookmarkEnd w:id="299"/>
    <w:p>
      <w:pPr>
        <w:jc w:val="both"/>
        <w:ind w:left="3" w:right="100"/>
        <w:spacing w:after="0" w:line="299"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30</w:t>
      </w:r>
    </w:p>
    <w:p>
      <w:pPr>
        <w:spacing w:after="0" w:line="104" w:lineRule="exact"/>
        <w:rPr>
          <w:sz w:val="20"/>
          <w:szCs w:val="20"/>
          <w:color w:val="auto"/>
        </w:rPr>
      </w:pPr>
    </w:p>
    <w:p>
      <w:pPr>
        <w:jc w:val="both"/>
        <w:ind w:left="3" w:right="100"/>
        <w:spacing w:after="0" w:line="296"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31</w:t>
      </w:r>
    </w:p>
    <w:p>
      <w:pPr>
        <w:spacing w:after="0" w:line="8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Small Pharma holds the appropriate UK Home Office licence required to sponsor clinical trials using Schedule I compounds.</w:t>
      </w:r>
    </w:p>
    <w:p>
      <w:pPr>
        <w:spacing w:after="0" w:line="2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36" w:lineRule="exact"/>
        <w:rPr>
          <w:sz w:val="20"/>
          <w:szCs w:val="20"/>
          <w:color w:val="auto"/>
        </w:rPr>
      </w:pPr>
    </w:p>
    <w:p>
      <w:pPr>
        <w:jc w:val="both"/>
        <w:ind w:left="3" w:right="100"/>
        <w:spacing w:after="0" w:line="295"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95" w:lineRule="exact"/>
        <w:rPr>
          <w:sz w:val="20"/>
          <w:szCs w:val="20"/>
          <w:color w:val="auto"/>
        </w:rPr>
      </w:pPr>
    </w:p>
    <w:p>
      <w:pPr>
        <w:jc w:val="both"/>
        <w:ind w:left="3" w:right="100"/>
        <w:spacing w:after="0" w:line="302"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77" w:lineRule="exact"/>
        <w:rPr>
          <w:sz w:val="20"/>
          <w:szCs w:val="20"/>
          <w:color w:val="auto"/>
        </w:rPr>
      </w:pPr>
    </w:p>
    <w:p>
      <w:pPr>
        <w:jc w:val="both"/>
        <w:ind w:left="3" w:right="80"/>
        <w:spacing w:after="0" w:line="292"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226" w:lineRule="exact"/>
        <w:rPr>
          <w:sz w:val="20"/>
          <w:szCs w:val="20"/>
          <w:color w:val="auto"/>
        </w:rPr>
      </w:pPr>
    </w:p>
    <w:p>
      <w:pPr>
        <w:ind w:left="563" w:hanging="272"/>
        <w:spacing w:after="0"/>
        <w:tabs>
          <w:tab w:leader="none" w:pos="5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w:t>
      </w:r>
    </w:p>
    <w:p>
      <w:pPr>
        <w:spacing w:after="0" w:line="51" w:lineRule="exact"/>
        <w:rPr>
          <w:rFonts w:ascii="Times New Roman" w:cs="Times New Roman" w:eastAsia="Times New Roman" w:hAnsi="Times New Roman"/>
          <w:sz w:val="18"/>
          <w:szCs w:val="18"/>
          <w:color w:val="auto"/>
        </w:rPr>
      </w:pPr>
    </w:p>
    <w:p>
      <w:pPr>
        <w:ind w:left="583" w:right="1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register with the MHRA and provide the MHRA with 60 days’ notice of the intended start of manufacture/distribution of the API, and comply with GMP and GDP for active substances; and</w:t>
      </w:r>
    </w:p>
    <w:p>
      <w:pPr>
        <w:ind w:left="563" w:hanging="272"/>
        <w:spacing w:after="0"/>
        <w:tabs>
          <w:tab w:leader="none" w:pos="5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w:t>
      </w:r>
    </w:p>
    <w:p>
      <w:pPr>
        <w:spacing w:after="0" w:line="43" w:lineRule="exact"/>
        <w:rPr>
          <w:rFonts w:ascii="Times New Roman" w:cs="Times New Roman" w:eastAsia="Times New Roman" w:hAnsi="Times New Roman"/>
          <w:sz w:val="18"/>
          <w:szCs w:val="18"/>
          <w:color w:val="auto"/>
        </w:rPr>
      </w:pPr>
    </w:p>
    <w:p>
      <w:pPr>
        <w:ind w:left="583" w:right="100"/>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64" w:lineRule="exact"/>
        <w:rPr>
          <w:sz w:val="20"/>
          <w:szCs w:val="20"/>
          <w:color w:val="auto"/>
        </w:rPr>
      </w:pPr>
    </w:p>
    <w:p>
      <w:pPr>
        <w:ind w:left="3" w:right="100"/>
        <w:spacing w:after="0" w:line="324" w:lineRule="auto"/>
        <w:rPr>
          <w:sz w:val="20"/>
          <w:szCs w:val="20"/>
          <w:color w:val="auto"/>
        </w:rPr>
      </w:pPr>
      <w:r>
        <w:rPr>
          <w:rFonts w:ascii="Times New Roman" w:cs="Times New Roman" w:eastAsia="Times New Roman" w:hAnsi="Times New Roman"/>
          <w:sz w:val="18"/>
          <w:szCs w:val="18"/>
          <w:color w:val="auto"/>
        </w:rPr>
        <w:t>Some products fall on the borderline between medicines and another category such as medical devices, cosmetics or food supplements. The regulatory status of the product will be determined by i) the actual effect of the product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53987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4" w:lineRule="exact"/>
        <w:rPr>
          <w:sz w:val="20"/>
          <w:szCs w:val="20"/>
          <w:color w:val="auto"/>
        </w:rPr>
      </w:pPr>
    </w:p>
    <w:p>
      <w:pPr>
        <w:ind w:left="3"/>
        <w:spacing w:after="0" w:line="274" w:lineRule="auto"/>
        <w:rPr>
          <w:sz w:val="20"/>
          <w:szCs w:val="20"/>
          <w:color w:val="auto"/>
        </w:rPr>
      </w:pPr>
      <w:r>
        <w:rPr>
          <w:rFonts w:ascii="Times New Roman" w:cs="Times New Roman" w:eastAsia="Times New Roman" w:hAnsi="Times New Roman"/>
          <w:sz w:val="8"/>
          <w:szCs w:val="8"/>
          <w:color w:val="auto"/>
        </w:rPr>
        <w:t xml:space="preserve">30 </w:t>
      </w: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w:t>
      </w:r>
      <w:r>
        <w:rPr>
          <w:rFonts w:ascii="Times New Roman" w:cs="Times New Roman" w:eastAsia="Times New Roman" w:hAnsi="Times New Roman"/>
          <w:sz w:val="14"/>
          <w:szCs w:val="14"/>
          <w:u w:val="single" w:color="auto"/>
          <w:color w:val="3051F2"/>
        </w:rPr>
        <w:t>;</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4"/>
          <w:szCs w:val="14"/>
          <w:u w:val="single" w:color="auto"/>
          <w:color w:val="3051F2"/>
        </w:rPr>
        <w:t>https://assets.publishing.service.gov.uk/government/uploads/system/uploads/attachment_data/file/1125889/Security_Guidance_for_all_Businesses_and_Other_Organisations_v1.5_Nov_2022.pdf</w:t>
      </w:r>
    </w:p>
    <w:p>
      <w:pPr>
        <w:ind w:left="3" w:right="3600" w:hanging="3"/>
        <w:spacing w:after="0" w:line="290" w:lineRule="auto"/>
        <w:tabs>
          <w:tab w:leader="none" w:pos="123" w:val="left"/>
        </w:tabs>
        <w:numPr>
          <w:ilvl w:val="0"/>
          <w:numId w:val="167"/>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 xml:space="preserve">Home Office guidance; Guidelines for Standard Operating Procedures (SOPs); </w:t>
      </w:r>
      <w:r>
        <w:rPr>
          <w:rFonts w:ascii="Times New Roman" w:cs="Times New Roman" w:eastAsia="Times New Roman" w:hAnsi="Times New Roman"/>
          <w:sz w:val="14"/>
          <w:szCs w:val="14"/>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57"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3"/>
          </w:cols>
          <w:pgMar w:left="317" w:top="713" w:right="239" w:bottom="1440" w:gutter="0" w:footer="0" w:header="0"/>
        </w:sectPr>
      </w:pPr>
    </w:p>
    <w:bookmarkStart w:id="300" w:name="page301"/>
    <w:bookmarkEnd w:id="300"/>
    <w:p>
      <w:pPr>
        <w:jc w:val="both"/>
        <w:spacing w:after="0" w:line="324" w:lineRule="auto"/>
        <w:rPr>
          <w:sz w:val="20"/>
          <w:szCs w:val="20"/>
          <w:color w:val="auto"/>
        </w:rPr>
      </w:pPr>
      <w:r>
        <w:rPr>
          <w:rFonts w:ascii="Times New Roman" w:cs="Times New Roman" w:eastAsia="Times New Roman" w:hAnsi="Times New Roman"/>
          <w:sz w:val="18"/>
          <w:szCs w:val="18"/>
          <w:color w:val="auto"/>
        </w:rPr>
        <w:t>body; and ii) any claims made about the effect of the product. Where a product is potentially both a medicinal product and another category of product, the legal position in the UK and EU is that it will be regulated as a medicinal product.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60"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3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IV, and by way of inhalation.</w:t>
      </w:r>
    </w:p>
    <w:p>
      <w:pPr>
        <w:spacing w:after="0" w:line="18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3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228" w:lineRule="exact"/>
        <w:rPr>
          <w:sz w:val="20"/>
          <w:szCs w:val="20"/>
          <w:color w:val="auto"/>
        </w:rPr>
      </w:pPr>
    </w:p>
    <w:p>
      <w:pPr>
        <w:ind w:left="580" w:hanging="292"/>
        <w:spacing w:after="0" w:line="327" w:lineRule="auto"/>
        <w:tabs>
          <w:tab w:leader="none" w:pos="56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51" w:lineRule="exact"/>
        <w:rPr>
          <w:rFonts w:ascii="Times New Roman" w:cs="Times New Roman" w:eastAsia="Times New Roman" w:hAnsi="Times New Roman"/>
          <w:sz w:val="18"/>
          <w:szCs w:val="18"/>
          <w:color w:val="auto"/>
        </w:rPr>
      </w:pPr>
    </w:p>
    <w:p>
      <w:pPr>
        <w:ind w:left="580" w:hanging="292"/>
        <w:spacing w:after="0" w:line="313" w:lineRule="auto"/>
        <w:tabs>
          <w:tab w:leader="none" w:pos="56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725" w:right="339" w:bottom="1440" w:gutter="0" w:footer="0" w:header="0"/>
        </w:sectPr>
      </w:pPr>
    </w:p>
    <w:bookmarkStart w:id="301" w:name="page302"/>
    <w:bookmarkEnd w:id="301"/>
    <w:p>
      <w:pPr>
        <w:ind w:left="560" w:hanging="272"/>
        <w:spacing w:after="0"/>
        <w:tabs>
          <w:tab w:leader="none" w:pos="5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p>
    <w:p>
      <w:pPr>
        <w:spacing w:after="0" w:line="45" w:lineRule="exact"/>
        <w:rPr>
          <w:rFonts w:ascii="Times New Roman" w:cs="Times New Roman" w:eastAsia="Times New Roman" w:hAnsi="Times New Roman"/>
          <w:sz w:val="18"/>
          <w:szCs w:val="18"/>
          <w:color w:val="auto"/>
        </w:rPr>
      </w:pPr>
    </w:p>
    <w:p>
      <w:pPr>
        <w:jc w:val="both"/>
        <w:ind w:left="580" w:right="20"/>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89" w:lineRule="exact"/>
        <w:rPr>
          <w:rFonts w:ascii="Times New Roman" w:cs="Times New Roman" w:eastAsia="Times New Roman" w:hAnsi="Times New Roman"/>
          <w:sz w:val="18"/>
          <w:szCs w:val="18"/>
          <w:color w:val="auto"/>
        </w:rPr>
      </w:pPr>
    </w:p>
    <w:p>
      <w:pPr>
        <w:jc w:val="both"/>
        <w:ind w:left="580" w:right="20" w:hanging="292"/>
        <w:spacing w:after="0" w:line="297" w:lineRule="auto"/>
        <w:tabs>
          <w:tab w:leader="none" w:pos="56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2 - Phase 2 </w:t>
      </w:r>
      <w:r>
        <w:rPr>
          <w:rFonts w:ascii="Times New Roman" w:cs="Times New Roman" w:eastAsia="Times New Roman" w:hAnsi="Times New Roman"/>
          <w:sz w:val="18"/>
          <w:szCs w:val="18"/>
          <w:color w:val="auto"/>
        </w:rPr>
        <w:t>trials are carried out on people with the target condition, who are usually otherwise healthy, with no other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89" w:lineRule="exact"/>
        <w:rPr>
          <w:rFonts w:ascii="Times New Roman" w:cs="Times New Roman" w:eastAsia="Times New Roman" w:hAnsi="Times New Roman"/>
          <w:sz w:val="18"/>
          <w:szCs w:val="18"/>
          <w:color w:val="auto"/>
        </w:rPr>
      </w:pPr>
    </w:p>
    <w:p>
      <w:pPr>
        <w:jc w:val="both"/>
        <w:ind w:left="580" w:right="20" w:hanging="292"/>
        <w:spacing w:after="0" w:line="289" w:lineRule="auto"/>
        <w:tabs>
          <w:tab w:leader="none" w:pos="56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w:t>
      </w:r>
    </w:p>
    <w:p>
      <w:pPr>
        <w:ind w:left="580" w:right="2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profile, in people who better represent the general population. Further information will also be obtained on how the drug should be used, the optimal dosage regimen and the possible side effects.</w:t>
      </w:r>
    </w:p>
    <w:p>
      <w:pPr>
        <w:spacing w:after="0" w:line="164"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New Drug Submission – </w:t>
      </w:r>
      <w:r>
        <w:rPr>
          <w:rFonts w:ascii="Times New Roman" w:cs="Times New Roman" w:eastAsia="Times New Roman" w:hAnsi="Times New Roman"/>
          <w:sz w:val="17"/>
          <w:szCs w:val="17"/>
          <w:color w:val="auto"/>
        </w:rPr>
        <w:t>If the results from phase III continue to be favourable, the drug manufacturer can submit a new drug submission (“</w:t>
      </w:r>
      <w:r>
        <w:rPr>
          <w:rFonts w:ascii="Times New Roman" w:cs="Times New Roman" w:eastAsia="Times New Roman" w:hAnsi="Times New Roman"/>
          <w:sz w:val="17"/>
          <w:szCs w:val="17"/>
          <w:b w:val="1"/>
          <w:bCs w:val="1"/>
          <w:color w:val="auto"/>
        </w:rPr>
        <w:t>NDS</w:t>
      </w:r>
      <w:r>
        <w:rPr>
          <w:rFonts w:ascii="Times New Roman" w:cs="Times New Roman" w:eastAsia="Times New Roman" w:hAnsi="Times New Roman"/>
          <w:sz w:val="17"/>
          <w:szCs w:val="17"/>
          <w:color w:val="auto"/>
        </w:rPr>
        <w:t>”) to</w:t>
      </w:r>
    </w:p>
    <w:p>
      <w:pPr>
        <w:spacing w:after="0" w:line="63" w:lineRule="exact"/>
        <w:rPr>
          <w:rFonts w:ascii="Times New Roman" w:cs="Times New Roman" w:eastAsia="Times New Roman" w:hAnsi="Times New Roman"/>
          <w:sz w:val="17"/>
          <w:szCs w:val="17"/>
          <w:color w:val="auto"/>
        </w:rPr>
      </w:pPr>
    </w:p>
    <w:p>
      <w:pPr>
        <w:jc w:val="both"/>
        <w:ind w:left="580" w:right="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6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48" w:lineRule="exact"/>
        <w:rPr>
          <w:sz w:val="20"/>
          <w:szCs w:val="20"/>
          <w:color w:val="auto"/>
        </w:rPr>
      </w:pPr>
    </w:p>
    <w:p>
      <w:pPr>
        <w:ind w:left="580" w:right="20" w:hanging="292"/>
        <w:spacing w:after="0" w:line="288" w:lineRule="auto"/>
        <w:tabs>
          <w:tab w:leader="none" w:pos="56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60" w:hanging="272"/>
        <w:spacing w:after="0"/>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w:t>
      </w:r>
    </w:p>
    <w:p>
      <w:pPr>
        <w:spacing w:after="0" w:line="47" w:lineRule="exact"/>
        <w:rPr>
          <w:rFonts w:ascii="Times New Roman" w:cs="Times New Roman" w:eastAsia="Times New Roman" w:hAnsi="Times New Roman"/>
          <w:sz w:val="18"/>
          <w:szCs w:val="18"/>
          <w:color w:val="auto"/>
        </w:rPr>
      </w:pPr>
    </w:p>
    <w:p>
      <w:pPr>
        <w:ind w:left="580" w:right="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including Good Clinical Practices, to establish the safety and efficacy of the prescription drug product candidate for each proposed indication;</w:t>
      </w:r>
    </w:p>
    <w:p>
      <w:pPr>
        <w:spacing w:after="0" w:line="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jc w:val="both"/>
        <w:ind w:left="580" w:right="20" w:hanging="292"/>
        <w:spacing w:after="0" w:line="285" w:lineRule="auto"/>
        <w:tabs>
          <w:tab w:leader="none" w:pos="56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941" w:right="319" w:bottom="1440" w:gutter="0" w:footer="0" w:header="0"/>
        </w:sectPr>
      </w:pPr>
    </w:p>
    <w:bookmarkStart w:id="302" w:name="page303"/>
    <w:bookmarkEnd w:id="302"/>
    <w:p>
      <w:pPr>
        <w:jc w:val="both"/>
        <w:spacing w:after="0" w:line="30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7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7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725" w:right="319" w:bottom="1440" w:gutter="0" w:footer="0" w:header="0"/>
        </w:sectPr>
      </w:pPr>
    </w:p>
    <w:bookmarkStart w:id="303" w:name="page304"/>
    <w:bookmarkEnd w:id="303"/>
    <w:p>
      <w:pPr>
        <w:jc w:val="both"/>
        <w:spacing w:after="0" w:line="291" w:lineRule="auto"/>
        <w:rPr>
          <w:sz w:val="20"/>
          <w:szCs w:val="20"/>
          <w:color w:val="auto"/>
        </w:rPr>
      </w:pPr>
      <w:r>
        <w:rPr>
          <w:rFonts w:ascii="Times New Roman" w:cs="Times New Roman" w:eastAsia="Times New Roman" w:hAnsi="Times New Roman"/>
          <w:sz w:val="18"/>
          <w:szCs w:val="18"/>
          <w:color w:val="auto"/>
        </w:rPr>
        <w:t>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9"/>
          <w:szCs w:val="19"/>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9"/>
          <w:szCs w:val="19"/>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725" w:right="319" w:bottom="1440" w:gutter="0" w:footer="0" w:header="0"/>
        </w:sectPr>
      </w:pPr>
    </w:p>
    <w:bookmarkStart w:id="304" w:name="page305"/>
    <w:bookmarkEnd w:id="304"/>
    <w:p>
      <w:pPr>
        <w:ind w:left="3"/>
        <w:spacing w:after="0"/>
        <w:rPr>
          <w:sz w:val="20"/>
          <w:szCs w:val="20"/>
          <w:color w:val="auto"/>
        </w:rPr>
      </w:pPr>
      <w:r>
        <w:rPr>
          <w:rFonts w:ascii="Times New Roman" w:cs="Times New Roman" w:eastAsia="Times New Roman" w:hAnsi="Times New Roman"/>
          <w:sz w:val="18"/>
          <w:szCs w:val="18"/>
          <w:color w:val="auto"/>
        </w:rPr>
        <w:t>immediate family members, made in the previous calendar year. There are a number of states that have various types of additional reporting requirements.</w:t>
      </w:r>
    </w:p>
    <w:p>
      <w:pPr>
        <w:spacing w:after="0" w:line="2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256"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71" w:lineRule="exact"/>
        <w:rPr>
          <w:sz w:val="20"/>
          <w:szCs w:val="20"/>
          <w:color w:val="auto"/>
        </w:rPr>
      </w:pPr>
    </w:p>
    <w:p>
      <w:pPr>
        <w:jc w:val="both"/>
        <w:ind w:left="3"/>
        <w:spacing w:after="0" w:line="292"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6"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95"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7"/>
          <w:szCs w:val="17"/>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w:t>
      </w:r>
    </w:p>
    <w:p>
      <w:pPr>
        <w:spacing w:after="0" w:line="2" w:lineRule="exact"/>
        <w:rPr>
          <w:sz w:val="20"/>
          <w:szCs w:val="20"/>
          <w:color w:val="auto"/>
        </w:rPr>
      </w:pPr>
    </w:p>
    <w:p>
      <w:pPr>
        <w:jc w:val="both"/>
        <w:ind w:left="3" w:right="20" w:hanging="3"/>
        <w:spacing w:after="0" w:line="305" w:lineRule="auto"/>
        <w:tabs>
          <w:tab w:leader="none" w:pos="169"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w:t>
      </w:r>
    </w:p>
    <w:p>
      <w:pPr>
        <w:jc w:val="both"/>
        <w:ind w:left="3" w:right="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w:t>
      </w:r>
    </w:p>
    <w:p>
      <w:pPr>
        <w:jc w:val="both"/>
        <w:ind w:left="3"/>
        <w:spacing w:after="0" w:line="28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w:t>
      </w:r>
    </w:p>
    <w:p>
      <w:pPr>
        <w:spacing w:after="0" w:line="2" w:lineRule="exact"/>
        <w:rPr>
          <w:rFonts w:ascii="Times New Roman" w:cs="Times New Roman" w:eastAsia="Times New Roman" w:hAnsi="Times New Roman"/>
          <w:sz w:val="17"/>
          <w:szCs w:val="17"/>
          <w:color w:val="auto"/>
        </w:rPr>
      </w:pPr>
    </w:p>
    <w:p>
      <w:pPr>
        <w:ind w:left="3" w:right="20"/>
        <w:spacing w:after="0" w:line="31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import or export of a Schedule I and II substance or Schedule III, IV and V narcotic, and submit import or export declarations for Schedule III, IV and V non-narcotics.</w:t>
      </w:r>
    </w:p>
    <w:p>
      <w:pPr>
        <w:spacing w:after="0" w:line="181"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3"/>
          </w:cols>
          <w:pgMar w:left="317" w:top="725" w:right="319" w:bottom="1440" w:gutter="0" w:footer="0" w:header="0"/>
        </w:sectPr>
      </w:pPr>
    </w:p>
    <w:bookmarkStart w:id="305" w:name="page306"/>
    <w:bookmarkEnd w:id="305"/>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Europe/Netherlands</w:t>
      </w:r>
    </w:p>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Regulation (EU) No 536/2014 on Clinical Trials on Medicinal Products for Human Use ( the “</w:t>
      </w:r>
      <w:r>
        <w:rPr>
          <w:rFonts w:ascii="Times New Roman" w:cs="Times New Roman" w:eastAsia="Times New Roman" w:hAnsi="Times New Roman"/>
          <w:sz w:val="19"/>
          <w:szCs w:val="19"/>
          <w:b w:val="1"/>
          <w:bCs w:val="1"/>
          <w:color w:val="auto"/>
        </w:rPr>
        <w:t>CTR</w:t>
      </w:r>
      <w:r>
        <w:rPr>
          <w:rFonts w:ascii="Times New Roman" w:cs="Times New Roman" w:eastAsia="Times New Roman" w:hAnsi="Times New Roman"/>
          <w:sz w:val="18"/>
          <w:szCs w:val="18"/>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8"/>
          <w:szCs w:val="18"/>
          <w:b w:val="1"/>
          <w:bCs w:val="1"/>
          <w:color w:val="auto"/>
        </w:rPr>
        <w:t>CTSI"</w:t>
      </w:r>
      <w:r>
        <w:rPr>
          <w:rFonts w:ascii="Times New Roman" w:cs="Times New Roman" w:eastAsia="Times New Roman" w:hAnsi="Times New Roman"/>
          <w:sz w:val="18"/>
          <w:szCs w:val="18"/>
          <w:color w:val="auto"/>
        </w:rPr>
        <w:t xml:space="preserve">)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w:t>
      </w:r>
      <w:r>
        <w:rPr>
          <w:rFonts w:ascii="Times New Roman" w:cs="Times New Roman" w:eastAsia="Times New Roman" w:hAnsi="Times New Roman"/>
          <w:sz w:val="18"/>
          <w:szCs w:val="18"/>
          <w:color w:val="0000FF"/>
        </w:rPr>
        <w:t>Annex I of the revised rules</w:t>
      </w:r>
      <w:r>
        <w:rPr>
          <w:rFonts w:ascii="Times New Roman" w:cs="Times New Roman" w:eastAsia="Times New Roman" w:hAnsi="Times New Roman"/>
          <w:sz w:val="18"/>
          <w:szCs w:val="18"/>
          <w:color w:val="auto"/>
        </w:rPr>
        <w:t xml:space="preserve"> outlines the timing of information publication for each category of clinical trial and patient population. Final implementation of these new rules is expected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9"/>
          <w:szCs w:val="19"/>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6.7) that should be read in conjunction with the quick guide and with the “Clinical Trials Information System (CTIS): online training modules” in order to gain a better understanding of the legislative changes that are effected by the CTR.</w:t>
      </w:r>
    </w:p>
    <w:p>
      <w:pPr>
        <w:spacing w:after="0" w:line="18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Investigational Medical Product Dossier (“</w:t>
      </w:r>
      <w:r>
        <w:rPr>
          <w:rFonts w:ascii="Times New Roman" w:cs="Times New Roman" w:eastAsia="Times New Roman" w:hAnsi="Times New Roman"/>
          <w:sz w:val="19"/>
          <w:szCs w:val="19"/>
          <w:b w:val="1"/>
          <w:bCs w:val="1"/>
          <w:color w:val="auto"/>
        </w:rPr>
        <w:t>IMPD</w:t>
      </w:r>
      <w:r>
        <w:rPr>
          <w:rFonts w:ascii="Times New Roman" w:cs="Times New Roman" w:eastAsia="Times New Roman" w:hAnsi="Times New Roman"/>
          <w:sz w:val="18"/>
          <w:szCs w:val="18"/>
          <w:color w:val="auto"/>
        </w:rPr>
        <w:t xml:space="preserve">”)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w:t>
      </w:r>
      <w:r>
        <w:rPr>
          <w:rFonts w:ascii="Times New Roman" w:cs="Times New Roman" w:eastAsia="Times New Roman" w:hAnsi="Times New Roman"/>
          <w:sz w:val="19"/>
          <w:szCs w:val="19"/>
          <w:color w:val="auto"/>
        </w:rPr>
        <w:t>CTR</w:t>
      </w:r>
      <w:r>
        <w:rPr>
          <w:rFonts w:ascii="Times New Roman" w:cs="Times New Roman" w:eastAsia="Times New Roman" w:hAnsi="Times New Roman"/>
          <w:sz w:val="18"/>
          <w:szCs w:val="18"/>
          <w:color w:val="auto"/>
        </w:rPr>
        <w:t xml:space="preserve">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9"/>
          <w:szCs w:val="19"/>
          <w:b w:val="1"/>
          <w:bCs w:val="1"/>
          <w:color w:val="auto"/>
        </w:rPr>
        <w:t>Clinical Trials Directive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0"/>
          </w:cols>
          <w:pgMar w:left="320" w:top="725" w:right="319" w:bottom="1440" w:gutter="0" w:footer="0" w:header="0"/>
        </w:sectPr>
      </w:pPr>
    </w:p>
    <w:bookmarkStart w:id="306" w:name="page307"/>
    <w:bookmarkEnd w:id="306"/>
    <w:p>
      <w:pPr>
        <w:jc w:val="both"/>
        <w:ind w:right="20"/>
        <w:spacing w:after="0" w:line="327" w:lineRule="auto"/>
        <w:rPr>
          <w:sz w:val="20"/>
          <w:szCs w:val="20"/>
          <w:color w:val="auto"/>
        </w:rPr>
      </w:pPr>
      <w:r>
        <w:rPr>
          <w:rFonts w:ascii="Times New Roman" w:cs="Times New Roman" w:eastAsia="Times New Roman" w:hAnsi="Times New Roman"/>
          <w:sz w:val="17"/>
          <w:szCs w:val="17"/>
          <w:color w:val="auto"/>
        </w:rPr>
        <w:t>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5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9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products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Dutch Medicines Act (</w:t>
      </w:r>
      <w:r>
        <w:rPr>
          <w:rFonts w:ascii="Times New Roman" w:cs="Times New Roman" w:eastAsia="Times New Roman" w:hAnsi="Times New Roman"/>
          <w:sz w:val="19"/>
          <w:szCs w:val="19"/>
          <w:i w:val="1"/>
          <w:iCs w:val="1"/>
          <w:color w:val="auto"/>
        </w:rPr>
        <w:t>Geneesmiddelenwet</w:t>
      </w:r>
      <w:r>
        <w:rPr>
          <w:rFonts w:ascii="Times New Roman" w:cs="Times New Roman" w:eastAsia="Times New Roman" w:hAnsi="Times New Roman"/>
          <w:sz w:val="18"/>
          <w:szCs w:val="18"/>
          <w:color w:val="auto"/>
        </w:rPr>
        <w:t>), “medicinal products” are defined as: a substance or a combination of substances that is</w:t>
      </w:r>
    </w:p>
    <w:p>
      <w:pPr>
        <w:spacing w:after="0" w:line="6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0"/>
          </w:cols>
          <w:pgMar w:left="320" w:top="725" w:right="319" w:bottom="1440" w:gutter="0" w:footer="0" w:header="0"/>
        </w:sectPr>
      </w:pPr>
    </w:p>
    <w:bookmarkStart w:id="307" w:name="page308"/>
    <w:bookmarkEnd w:id="307"/>
    <w:p>
      <w:pPr>
        <w:jc w:val="both"/>
        <w:spacing w:after="0" w:line="274" w:lineRule="auto"/>
        <w:rPr>
          <w:sz w:val="20"/>
          <w:szCs w:val="20"/>
          <w:color w:val="auto"/>
        </w:rPr>
      </w:pPr>
      <w:r>
        <w:rPr>
          <w:rFonts w:ascii="Times New Roman" w:cs="Times New Roman" w:eastAsia="Times New Roman" w:hAnsi="Times New Roman"/>
          <w:sz w:val="18"/>
          <w:szCs w:val="18"/>
          <w:color w:val="auto"/>
        </w:rPr>
        <w:t>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0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Authorization Regulatory Process</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713" w:right="319" w:bottom="1440" w:gutter="0" w:footer="0" w:header="0"/>
        </w:sectPr>
      </w:pPr>
    </w:p>
    <w:bookmarkStart w:id="308" w:name="page309"/>
    <w:bookmarkEnd w:id="308"/>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Ireland</w:t>
      </w:r>
    </w:p>
    <w:p>
      <w:pPr>
        <w:spacing w:after="0" w:line="2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8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7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725" w:right="319" w:bottom="1440" w:gutter="0" w:footer="0" w:header="0"/>
        </w:sectPr>
      </w:pPr>
    </w:p>
    <w:bookmarkStart w:id="309" w:name="page310"/>
    <w:bookmarkEnd w:id="309"/>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p>
    <w:p>
      <w:pPr>
        <w:spacing w:after="0" w:line="23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0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52" w:lineRule="exact"/>
        <w:rPr>
          <w:sz w:val="20"/>
          <w:szCs w:val="20"/>
          <w:color w:val="auto"/>
        </w:rPr>
      </w:pPr>
    </w:p>
    <w:p>
      <w:pPr>
        <w:jc w:val="both"/>
        <w:ind w:right="20"/>
        <w:spacing w:after="0" w:line="357"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9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20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52"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3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Cooperation Treaty</w:t>
      </w:r>
    </w:p>
    <w:p>
      <w:pPr>
        <w:spacing w:after="0" w:line="25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725" w:right="319" w:bottom="1440" w:gutter="0" w:footer="0" w:header="0"/>
        </w:sectPr>
      </w:pPr>
    </w:p>
    <w:bookmarkStart w:id="310" w:name="page311"/>
    <w:bookmarkEnd w:id="310"/>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3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Quarterly Information</w:t>
      </w:r>
    </w:p>
    <w:p>
      <w:pPr>
        <w:spacing w:after="0" w:line="258" w:lineRule="exact"/>
        <w:rPr>
          <w:sz w:val="20"/>
          <w:szCs w:val="20"/>
          <w:color w:val="auto"/>
        </w:rPr>
      </w:pPr>
    </w:p>
    <w:p>
      <w:pPr>
        <w:ind w:right="3120"/>
        <w:spacing w:after="0" w:line="310" w:lineRule="auto"/>
        <w:rPr>
          <w:sz w:val="20"/>
          <w:szCs w:val="20"/>
          <w:color w:val="auto"/>
        </w:rPr>
      </w:pPr>
      <w:r>
        <w:rPr>
          <w:rFonts w:ascii="Times New Roman" w:cs="Times New Roman" w:eastAsia="Times New Roman" w:hAnsi="Times New Roman"/>
          <w:sz w:val="18"/>
          <w:szCs w:val="18"/>
          <w:color w:val="auto"/>
        </w:rPr>
        <w:t>The following table sets forth selected consolidated financial information for the periods indicated that are derived from, and should be read in conjunction with, the Financial Statements and related notes thereto.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 thousands,</w:t>
            </w:r>
          </w:p>
        </w:tc>
        <w:tc>
          <w:tcPr>
            <w:tcW w:w="1220" w:type="dxa"/>
            <w:vAlign w:val="bottom"/>
            <w:shd w:val="clear" w:color="auto" w:fill="DBDBDB"/>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960" w:type="dxa"/>
            <w:vAlign w:val="bottom"/>
          </w:tcPr>
          <w:p>
            <w:pPr>
              <w:ind w:left="60"/>
              <w:spacing w:after="0" w:line="97" w:lineRule="exact"/>
              <w:rPr>
                <w:sz w:val="20"/>
                <w:szCs w:val="20"/>
                <w:color w:val="auto"/>
              </w:rPr>
            </w:pPr>
            <w:r>
              <w:rPr>
                <w:rFonts w:ascii="Times New Roman" w:cs="Times New Roman" w:eastAsia="Times New Roman" w:hAnsi="Times New Roman"/>
                <w:sz w:val="11"/>
                <w:szCs w:val="11"/>
                <w:i w:val="1"/>
                <w:iCs w:val="1"/>
                <w:color w:val="auto"/>
              </w:rPr>
              <w:t>except per share and share</w:t>
            </w:r>
          </w:p>
        </w:tc>
        <w:tc>
          <w:tcPr>
            <w:tcW w:w="12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91"/>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figures)</w:t>
            </w:r>
          </w:p>
        </w:tc>
        <w:tc>
          <w:tcPr>
            <w:tcW w:w="1220" w:type="dxa"/>
            <w:vAlign w:val="bottom"/>
            <w:tcBorders>
              <w:bottom w:val="single" w:sz="8" w:color="auto"/>
            </w:tcBorders>
            <w:vMerge w:val="continue"/>
            <w:shd w:val="clear" w:color="auto" w:fill="DBDBDB"/>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220" w:type="dxa"/>
            <w:vAlign w:val="bottom"/>
            <w:shd w:val="clear" w:color="auto" w:fill="DBDBD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220" w:type="dxa"/>
            <w:vAlign w:val="bottom"/>
            <w:shd w:val="clear" w:color="auto" w:fill="DBDBD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25,195</w:t>
            </w: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27,024</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13,910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12,707</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13,703</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12,093</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12,327</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13,395</w:t>
            </w:r>
          </w:p>
        </w:tc>
        <w:tc>
          <w:tcPr>
            <w:tcW w:w="0" w:type="dxa"/>
            <w:vAlign w:val="bottom"/>
          </w:tcPr>
          <w:p>
            <w:pPr>
              <w:spacing w:after="0"/>
              <w:rPr>
                <w:sz w:val="1"/>
                <w:szCs w:val="1"/>
                <w:color w:val="auto"/>
              </w:rPr>
            </w:pPr>
          </w:p>
        </w:tc>
      </w:tr>
      <w:tr>
        <w:trPr>
          <w:trHeight w:val="1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(21,346)</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(30,330)</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(11,890)</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(14,514)</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(13,720)</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(10,742)</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(9,973)</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(13,055)</w:t>
            </w:r>
          </w:p>
        </w:tc>
        <w:tc>
          <w:tcPr>
            <w:tcW w:w="0" w:type="dxa"/>
            <w:vAlign w:val="bottom"/>
          </w:tcPr>
          <w:p>
            <w:pPr>
              <w:spacing w:after="0"/>
              <w:rPr>
                <w:sz w:val="1"/>
                <w:szCs w:val="1"/>
                <w:color w:val="auto"/>
              </w:rPr>
            </w:pPr>
          </w:p>
        </w:tc>
      </w:tr>
      <w:tr>
        <w:trPr>
          <w:trHeight w:val="431"/>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220" w:type="dxa"/>
            <w:vAlign w:val="bottom"/>
            <w:vMerge w:val="restart"/>
            <w:shd w:val="clear" w:color="auto" w:fill="DBDBD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457,727,760</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20" w:type="dxa"/>
            <w:vAlign w:val="bottom"/>
            <w:vMerge w:val="continue"/>
            <w:shd w:val="clear" w:color="auto" w:fill="DBDBDB"/>
          </w:tcPr>
          <w:p>
            <w:pPr>
              <w:spacing w:after="0"/>
              <w:rPr>
                <w:sz w:val="16"/>
                <w:szCs w:val="16"/>
                <w:color w:val="auto"/>
              </w:rPr>
            </w:pP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333,679,544</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234,584,277</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206,157,780</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196,144,381</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188,887,344</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180,837,176</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175,874,475</w:t>
            </w:r>
          </w:p>
        </w:tc>
        <w:tc>
          <w:tcPr>
            <w:tcW w:w="0" w:type="dxa"/>
            <w:vAlign w:val="bottom"/>
          </w:tcPr>
          <w:p>
            <w:pPr>
              <w:spacing w:after="0"/>
              <w:rPr>
                <w:sz w:val="1"/>
                <w:szCs w:val="1"/>
                <w:color w:val="auto"/>
              </w:rPr>
            </w:pPr>
          </w:p>
        </w:tc>
      </w:tr>
      <w:tr>
        <w:trPr>
          <w:trHeight w:val="1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(0.09)</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(0.05)</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(0.07)</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(0.07)</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(0.06)</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(0.06)</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3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220" w:type="dxa"/>
            <w:vAlign w:val="bottom"/>
            <w:vMerge w:val="restart"/>
            <w:shd w:val="clear" w:color="auto" w:fill="DBDBD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457,727,760</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220" w:type="dxa"/>
            <w:vAlign w:val="bottom"/>
            <w:vMerge w:val="continue"/>
            <w:shd w:val="clear" w:color="auto" w:fill="DBDBDB"/>
          </w:tcPr>
          <w:p>
            <w:pPr>
              <w:spacing w:after="0"/>
              <w:rPr>
                <w:sz w:val="16"/>
                <w:szCs w:val="16"/>
                <w:color w:val="auto"/>
              </w:rPr>
            </w:pP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333,679,544</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234,584,277</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206,157,780</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196,144,381</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188,887,344</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180,837,176</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175,874,475</w:t>
            </w:r>
          </w:p>
        </w:tc>
        <w:tc>
          <w:tcPr>
            <w:tcW w:w="0" w:type="dxa"/>
            <w:vAlign w:val="bottom"/>
          </w:tcPr>
          <w:p>
            <w:pPr>
              <w:spacing w:after="0"/>
              <w:rPr>
                <w:sz w:val="1"/>
                <w:szCs w:val="1"/>
                <w:color w:val="auto"/>
              </w:rPr>
            </w:pPr>
          </w:p>
        </w:tc>
      </w:tr>
      <w:tr>
        <w:trPr>
          <w:trHeight w:val="1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(0.09)</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(0.05)</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(0.07)</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(0.07)</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(0.06)</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(0.06)</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424"/>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220" w:type="dxa"/>
            <w:vAlign w:val="bottom"/>
            <w:shd w:val="clear" w:color="auto" w:fill="DBDBD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208,992</w:t>
            </w: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38,999</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18,118</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9,349</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16,633</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22,511</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29,937</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42,460</w:t>
            </w:r>
          </w:p>
        </w:tc>
        <w:tc>
          <w:tcPr>
            <w:tcW w:w="0" w:type="dxa"/>
            <w:vAlign w:val="bottom"/>
          </w:tcPr>
          <w:p>
            <w:pPr>
              <w:spacing w:after="0"/>
              <w:rPr>
                <w:sz w:val="1"/>
                <w:szCs w:val="1"/>
                <w:color w:val="auto"/>
              </w:rPr>
            </w:pPr>
          </w:p>
        </w:tc>
      </w:tr>
      <w:tr>
        <w:trPr>
          <w:trHeight w:val="18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220" w:type="dxa"/>
            <w:vAlign w:val="bottom"/>
            <w:shd w:val="clear" w:color="auto" w:fill="DBDBD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302,023</w:t>
            </w: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129,724</w:t>
            </w: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57,627</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45,691</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53,897</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60,694</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69,113</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74,590</w:t>
            </w:r>
          </w:p>
        </w:tc>
        <w:tc>
          <w:tcPr>
            <w:tcW w:w="0" w:type="dxa"/>
            <w:vAlign w:val="bottom"/>
          </w:tcPr>
          <w:p>
            <w:pPr>
              <w:spacing w:after="0"/>
              <w:rPr>
                <w:sz w:val="1"/>
                <w:szCs w:val="1"/>
                <w:color w:val="auto"/>
              </w:rPr>
            </w:pPr>
          </w:p>
        </w:tc>
      </w:tr>
      <w:tr>
        <w:trPr>
          <w:trHeight w:val="140"/>
        </w:trPr>
        <w:tc>
          <w:tcPr>
            <w:tcW w:w="196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220" w:type="dxa"/>
            <w:vAlign w:val="bottom"/>
            <w:vMerge w:val="restart"/>
            <w:shd w:val="clear" w:color="auto" w:fill="DBDBD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spacing w:after="0"/>
              <w:rPr>
                <w:sz w:val="12"/>
                <w:szCs w:val="12"/>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171"/>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vMerge w:val="restart"/>
          </w:tcPr>
          <w:p>
            <w:pPr>
              <w:jc w:val="right"/>
              <w:ind w:right="211"/>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191"/>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211"/>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vMerge w:val="restart"/>
          </w:tcPr>
          <w:p>
            <w:pPr>
              <w:jc w:val="right"/>
              <w:ind w:right="111"/>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vMerge w:val="continue"/>
            <w:shd w:val="clear" w:color="auto" w:fill="DBDBDB"/>
          </w:tcPr>
          <w:p>
            <w:pPr>
              <w:spacing w:after="0"/>
              <w:rPr>
                <w:sz w:val="16"/>
                <w:szCs w:val="16"/>
                <w:color w:val="auto"/>
              </w:rPr>
            </w:pPr>
          </w:p>
        </w:tc>
        <w:tc>
          <w:tcPr>
            <w:tcW w:w="1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42</w:t>
            </w:r>
          </w:p>
        </w:tc>
        <w:tc>
          <w:tcPr>
            <w:tcW w:w="11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725" w:right="3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Annual Information</w:t>
      </w:r>
    </w:p>
    <w:p>
      <w:pPr>
        <w:spacing w:after="0" w:line="25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The following table presenting the Company’s results of operations as at and for the three most recently completed financial years ending March 31 should be read in conjunction with the Financial Statements and related notes thereto.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selected financial information as at and for the three most recently completed financial years ended March 31, are summarized as follows: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800" w:type="dxa"/>
            <w:vAlign w:val="bottom"/>
            <w:tcBorders>
              <w:top w:val="single" w:sz="8" w:color="auto"/>
              <w:lef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(Canadian dollars in thousands, except per share and share</w:t>
            </w:r>
          </w:p>
        </w:tc>
        <w:tc>
          <w:tcPr>
            <w:tcW w:w="216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6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55"/>
        </w:trPr>
        <w:tc>
          <w:tcPr>
            <w:tcW w:w="3800" w:type="dxa"/>
            <w:vAlign w:val="bottom"/>
            <w:tcBorders>
              <w:left w:val="single" w:sz="8" w:color="auto"/>
            </w:tcBorders>
            <w:vMerge w:val="continue"/>
          </w:tcPr>
          <w:p>
            <w:pPr>
              <w:spacing w:after="0"/>
              <w:rPr>
                <w:sz w:val="4"/>
                <w:szCs w:val="4"/>
                <w:color w:val="auto"/>
              </w:rPr>
            </w:pPr>
          </w:p>
        </w:tc>
        <w:tc>
          <w:tcPr>
            <w:tcW w:w="2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88"/>
        </w:trPr>
        <w:tc>
          <w:tcPr>
            <w:tcW w:w="38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figures)</w:t>
            </w:r>
          </w:p>
        </w:tc>
        <w:tc>
          <w:tcPr>
            <w:tcW w:w="2160" w:type="dxa"/>
            <w:vAlign w:val="bottom"/>
            <w:tcBorders>
              <w:bottom w:val="single" w:sz="8" w:color="auto"/>
            </w:tcBorders>
            <w:vMerge w:val="continue"/>
            <w:shd w:val="clear" w:color="auto" w:fill="DBDBDB"/>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2160" w:type="dxa"/>
            <w:vAlign w:val="bottom"/>
            <w:shd w:val="clear" w:color="auto" w:fill="DBDBDB"/>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right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2160" w:type="dxa"/>
            <w:vAlign w:val="bottom"/>
            <w:shd w:val="clear" w:color="auto" w:fill="DBDBDB"/>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78,836</w:t>
            </w:r>
          </w:p>
        </w:tc>
        <w:tc>
          <w:tcPr>
            <w:tcW w:w="26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51,518</w:t>
            </w:r>
          </w:p>
        </w:tc>
        <w:tc>
          <w:tcPr>
            <w:tcW w:w="1660" w:type="dxa"/>
            <w:vAlign w:val="bottom"/>
            <w:tcBorders>
              <w:right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63,838</w:t>
            </w:r>
          </w:p>
        </w:tc>
        <w:tc>
          <w:tcPr>
            <w:tcW w:w="0" w:type="dxa"/>
            <w:vAlign w:val="bottom"/>
          </w:tcPr>
          <w:p>
            <w:pPr>
              <w:spacing w:after="0"/>
              <w:rPr>
                <w:sz w:val="1"/>
                <w:szCs w:val="1"/>
                <w:color w:val="auto"/>
              </w:rPr>
            </w:pPr>
          </w:p>
        </w:tc>
      </w:tr>
      <w:tr>
        <w:trPr>
          <w:trHeight w:val="182"/>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2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(78,080)</w:t>
            </w:r>
          </w:p>
        </w:tc>
        <w:tc>
          <w:tcPr>
            <w:tcW w:w="26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(47,490)</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(67,631)</w:t>
            </w:r>
          </w:p>
        </w:tc>
        <w:tc>
          <w:tcPr>
            <w:tcW w:w="0" w:type="dxa"/>
            <w:vAlign w:val="bottom"/>
          </w:tcPr>
          <w:p>
            <w:pPr>
              <w:spacing w:after="0"/>
              <w:rPr>
                <w:sz w:val="1"/>
                <w:szCs w:val="1"/>
                <w:color w:val="auto"/>
              </w:rPr>
            </w:pPr>
          </w:p>
        </w:tc>
      </w:tr>
      <w:tr>
        <w:trPr>
          <w:trHeight w:val="521"/>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 Shares - Basic</w:t>
            </w:r>
          </w:p>
        </w:tc>
        <w:tc>
          <w:tcPr>
            <w:tcW w:w="2160" w:type="dxa"/>
            <w:vAlign w:val="bottom"/>
            <w:shd w:val="clear" w:color="auto" w:fill="DBDBDB"/>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315,300,042</w:t>
            </w:r>
          </w:p>
        </w:tc>
        <w:tc>
          <w:tcPr>
            <w:tcW w:w="26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185,428,767</w:t>
            </w:r>
          </w:p>
        </w:tc>
        <w:tc>
          <w:tcPr>
            <w:tcW w:w="1660" w:type="dxa"/>
            <w:vAlign w:val="bottom"/>
            <w:tcBorders>
              <w:right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167,287,240</w:t>
            </w:r>
          </w:p>
        </w:tc>
        <w:tc>
          <w:tcPr>
            <w:tcW w:w="0" w:type="dxa"/>
            <w:vAlign w:val="bottom"/>
          </w:tcPr>
          <w:p>
            <w:pPr>
              <w:spacing w:after="0"/>
              <w:rPr>
                <w:sz w:val="1"/>
                <w:szCs w:val="1"/>
                <w:color w:val="auto"/>
              </w:rPr>
            </w:pPr>
          </w:p>
        </w:tc>
      </w:tr>
      <w:tr>
        <w:trPr>
          <w:trHeight w:val="182"/>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2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(0.25)</w:t>
            </w:r>
          </w:p>
        </w:tc>
        <w:tc>
          <w:tcPr>
            <w:tcW w:w="26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(0.26)</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521"/>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 Shares - Diluted</w:t>
            </w:r>
          </w:p>
        </w:tc>
        <w:tc>
          <w:tcPr>
            <w:tcW w:w="2160" w:type="dxa"/>
            <w:vAlign w:val="bottom"/>
            <w:shd w:val="clear" w:color="auto" w:fill="DBDBDB"/>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315,300,042</w:t>
            </w:r>
          </w:p>
        </w:tc>
        <w:tc>
          <w:tcPr>
            <w:tcW w:w="26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185,428,767</w:t>
            </w:r>
          </w:p>
        </w:tc>
        <w:tc>
          <w:tcPr>
            <w:tcW w:w="1660" w:type="dxa"/>
            <w:vAlign w:val="bottom"/>
            <w:tcBorders>
              <w:right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167,287,240</w:t>
            </w:r>
          </w:p>
        </w:tc>
        <w:tc>
          <w:tcPr>
            <w:tcW w:w="0" w:type="dxa"/>
            <w:vAlign w:val="bottom"/>
          </w:tcPr>
          <w:p>
            <w:pPr>
              <w:spacing w:after="0"/>
              <w:rPr>
                <w:sz w:val="1"/>
                <w:szCs w:val="1"/>
                <w:color w:val="auto"/>
              </w:rPr>
            </w:pPr>
          </w:p>
        </w:tc>
      </w:tr>
      <w:tr>
        <w:trPr>
          <w:trHeight w:val="182"/>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2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(0.25)</w:t>
            </w:r>
          </w:p>
        </w:tc>
        <w:tc>
          <w:tcPr>
            <w:tcW w:w="26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(0.26)</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521"/>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160" w:type="dxa"/>
            <w:vAlign w:val="bottom"/>
            <w:shd w:val="clear" w:color="auto" w:fill="DBDBDB"/>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208,992</w:t>
            </w:r>
          </w:p>
        </w:tc>
        <w:tc>
          <w:tcPr>
            <w:tcW w:w="26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16,633</w:t>
            </w:r>
          </w:p>
        </w:tc>
        <w:tc>
          <w:tcPr>
            <w:tcW w:w="1660" w:type="dxa"/>
            <w:vAlign w:val="bottom"/>
            <w:tcBorders>
              <w:right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53,641</w:t>
            </w:r>
          </w:p>
        </w:tc>
        <w:tc>
          <w:tcPr>
            <w:tcW w:w="0" w:type="dxa"/>
            <w:vAlign w:val="bottom"/>
          </w:tcPr>
          <w:p>
            <w:pPr>
              <w:spacing w:after="0"/>
              <w:rPr>
                <w:sz w:val="1"/>
                <w:szCs w:val="1"/>
                <w:color w:val="auto"/>
              </w:rPr>
            </w:pPr>
          </w:p>
        </w:tc>
      </w:tr>
      <w:tr>
        <w:trPr>
          <w:trHeight w:val="182"/>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2160" w:type="dxa"/>
            <w:vAlign w:val="bottom"/>
            <w:shd w:val="clear" w:color="auto" w:fill="DBDBDB"/>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302,023</w:t>
            </w:r>
          </w:p>
        </w:tc>
        <w:tc>
          <w:tcPr>
            <w:tcW w:w="26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53,897</w:t>
            </w:r>
          </w:p>
        </w:tc>
        <w:tc>
          <w:tcPr>
            <w:tcW w:w="1660" w:type="dxa"/>
            <w:vAlign w:val="bottom"/>
            <w:tcBorders>
              <w:right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84,063</w:t>
            </w:r>
          </w:p>
        </w:tc>
        <w:tc>
          <w:tcPr>
            <w:tcW w:w="0" w:type="dxa"/>
            <w:vAlign w:val="bottom"/>
          </w:tcPr>
          <w:p>
            <w:pPr>
              <w:spacing w:after="0"/>
              <w:rPr>
                <w:sz w:val="1"/>
                <w:szCs w:val="1"/>
                <w:color w:val="auto"/>
              </w:rPr>
            </w:pPr>
          </w:p>
        </w:tc>
      </w:tr>
      <w:tr>
        <w:trPr>
          <w:trHeight w:val="186"/>
        </w:trPr>
        <w:tc>
          <w:tcPr>
            <w:tcW w:w="38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 Non-Current Liabilities ($)</w:t>
            </w:r>
          </w:p>
        </w:tc>
        <w:tc>
          <w:tcPr>
            <w:tcW w:w="2160" w:type="dxa"/>
            <w:vAlign w:val="bottom"/>
            <w:tcBorders>
              <w:bottom w:val="single" w:sz="8" w:color="auto"/>
            </w:tcBorders>
            <w:shd w:val="clear" w:color="auto" w:fill="DBDBDB"/>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right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dividends on the Common Shares and does not anticipate declaring any dividends in the near future.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Total assets increased by $248,126 from April 1, 2023 to March 31, 2024 mainly as a result of equity raises, and issuances of Common Shares under the 2022 ATM Program and 2023 ATM Program (both, as defined herein).As at March 31, 2024, the Company had prepaid expenses related to future clinical work of $2,891 (US$2,133).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818"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2"/>
          </w:tcPr>
          <w:p>
            <w:pPr>
              <w:jc w:val="right"/>
              <w:ind w:right="853"/>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March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5"/>
                <w:szCs w:val="15"/>
                <w:color w:val="auto"/>
              </w:rPr>
              <w:t>2023</w:t>
            </w:r>
          </w:p>
        </w:tc>
        <w:tc>
          <w:tcPr>
            <w:tcW w:w="18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256"/>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Research</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11,843</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8,046</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32,362</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25,491</w:t>
            </w:r>
          </w:p>
        </w:tc>
        <w:tc>
          <w:tcPr>
            <w:tcW w:w="0" w:type="dxa"/>
            <w:vAlign w:val="bottom"/>
          </w:tcPr>
          <w:p>
            <w:pPr>
              <w:spacing w:after="0"/>
              <w:rPr>
                <w:sz w:val="1"/>
                <w:szCs w:val="1"/>
                <w:color w:val="auto"/>
              </w:rPr>
            </w:pPr>
          </w:p>
        </w:tc>
      </w:tr>
      <w:tr>
        <w:trPr>
          <w:trHeight w:val="32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 costs</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12,083</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5,176</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32,588</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21,341</w:t>
            </w:r>
          </w:p>
        </w:tc>
        <w:tc>
          <w:tcPr>
            <w:tcW w:w="0" w:type="dxa"/>
            <w:vAlign w:val="bottom"/>
          </w:tcPr>
          <w:p>
            <w:pPr>
              <w:spacing w:after="0"/>
              <w:rPr>
                <w:sz w:val="1"/>
                <w:szCs w:val="1"/>
                <w:color w:val="auto"/>
              </w:rPr>
            </w:pPr>
          </w:p>
        </w:tc>
      </w:tr>
      <w:tr>
        <w:trPr>
          <w:trHeight w:val="32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1,269</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481</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13,886</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0" w:type="dxa"/>
            <w:vAlign w:val="bottom"/>
          </w:tcPr>
          <w:p>
            <w:pPr>
              <w:spacing w:after="0"/>
              <w:rPr>
                <w:sz w:val="1"/>
                <w:szCs w:val="1"/>
                <w:color w:val="auto"/>
              </w:rPr>
            </w:pPr>
          </w:p>
        </w:tc>
      </w:tr>
      <w:tr>
        <w:trPr>
          <w:trHeight w:val="150"/>
        </w:trPr>
        <w:tc>
          <w:tcPr>
            <w:tcW w:w="5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5"/>
                <w:szCs w:val="15"/>
                <w:b w:val="1"/>
                <w:bCs w:val="1"/>
                <w:color w:val="auto"/>
              </w:rPr>
              <w:t>25,195</w:t>
            </w:r>
          </w:p>
        </w:tc>
        <w:tc>
          <w:tcPr>
            <w:tcW w:w="15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5"/>
                <w:szCs w:val="15"/>
                <w:color w:val="auto"/>
              </w:rPr>
              <w:t>13,703</w:t>
            </w:r>
          </w:p>
        </w:tc>
        <w:tc>
          <w:tcPr>
            <w:tcW w:w="18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5"/>
                <w:szCs w:val="15"/>
                <w:b w:val="1"/>
                <w:bCs w:val="1"/>
                <w:color w:val="auto"/>
              </w:rPr>
              <w:t>78,836</w:t>
            </w: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color w:val="auto"/>
              </w:rPr>
              <w:t>51,518</w:t>
            </w:r>
          </w:p>
        </w:tc>
        <w:tc>
          <w:tcPr>
            <w:tcW w:w="0" w:type="dxa"/>
            <w:vAlign w:val="bottom"/>
          </w:tcPr>
          <w:p>
            <w:pPr>
              <w:spacing w:after="0"/>
              <w:rPr>
                <w:sz w:val="1"/>
                <w:szCs w:val="1"/>
                <w:color w:val="auto"/>
              </w:rPr>
            </w:pPr>
          </w:p>
        </w:tc>
      </w:tr>
      <w:tr>
        <w:trPr>
          <w:trHeight w:val="256"/>
        </w:trPr>
        <w:tc>
          <w:tcPr>
            <w:tcW w:w="51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1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342</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148</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619</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0" w:type="dxa"/>
            <w:vAlign w:val="bottom"/>
          </w:tcPr>
          <w:p>
            <w:pPr>
              <w:spacing w:after="0"/>
              <w:rPr>
                <w:sz w:val="1"/>
                <w:szCs w:val="1"/>
                <w:color w:val="auto"/>
              </w:rPr>
            </w:pPr>
          </w:p>
        </w:tc>
      </w:tr>
      <w:tr>
        <w:trPr>
          <w:trHeight w:val="340"/>
        </w:trPr>
        <w:tc>
          <w:tcPr>
            <w:tcW w:w="5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gain (loss)</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3,507</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(40)</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137</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w:t>
            </w:r>
          </w:p>
        </w:tc>
        <w:tc>
          <w:tcPr>
            <w:tcW w:w="0" w:type="dxa"/>
            <w:vAlign w:val="bottom"/>
          </w:tcPr>
          <w:p>
            <w:pPr>
              <w:spacing w:after="0"/>
              <w:rPr>
                <w:sz w:val="1"/>
                <w:szCs w:val="1"/>
                <w:color w:val="auto"/>
              </w:rPr>
            </w:pPr>
          </w:p>
        </w:tc>
      </w:tr>
      <w:tr>
        <w:trPr>
          <w:trHeight w:val="303"/>
        </w:trPr>
        <w:tc>
          <w:tcPr>
            <w:tcW w:w="51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Change in fair value of investments measured at fair value through profit or loss</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(125)</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61"/>
        </w:trPr>
        <w:tc>
          <w:tcPr>
            <w:tcW w:w="516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516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Contingent consideration accretion</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61"/>
        </w:trPr>
        <w:tc>
          <w:tcPr>
            <w:tcW w:w="516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51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18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61"/>
        </w:trPr>
        <w:tc>
          <w:tcPr>
            <w:tcW w:w="516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51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OTHER INCOME (EXPENSES)</w:t>
            </w:r>
          </w:p>
        </w:tc>
        <w:tc>
          <w:tcPr>
            <w:tcW w:w="1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5"/>
                <w:szCs w:val="15"/>
                <w:b w:val="1"/>
                <w:bCs w:val="1"/>
                <w:color w:val="auto"/>
              </w:rPr>
              <w:t>3,849</w:t>
            </w: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5"/>
                <w:szCs w:val="15"/>
                <w:color w:val="auto"/>
              </w:rPr>
              <w:t>(17)</w:t>
            </w:r>
          </w:p>
        </w:tc>
        <w:tc>
          <w:tcPr>
            <w:tcW w:w="18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5"/>
                <w:szCs w:val="15"/>
                <w:b w:val="1"/>
                <w:bCs w:val="1"/>
                <w:color w:val="auto"/>
              </w:rPr>
              <w:t>756</w:t>
            </w: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color w:val="auto"/>
              </w:rPr>
              <w:t>4,028</w:t>
            </w:r>
          </w:p>
        </w:tc>
        <w:tc>
          <w:tcPr>
            <w:tcW w:w="0" w:type="dxa"/>
            <w:vAlign w:val="bottom"/>
          </w:tcPr>
          <w:p>
            <w:pPr>
              <w:spacing w:after="0"/>
              <w:rPr>
                <w:sz w:val="1"/>
                <w:szCs w:val="1"/>
                <w:color w:val="auto"/>
              </w:rPr>
            </w:pPr>
          </w:p>
        </w:tc>
      </w:tr>
      <w:tr>
        <w:trPr>
          <w:trHeight w:val="127"/>
        </w:trPr>
        <w:tc>
          <w:tcPr>
            <w:tcW w:w="51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5160" w:type="dxa"/>
            <w:vAlign w:val="bottom"/>
            <w:tcBorders>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PERIOD</w:t>
            </w:r>
          </w:p>
        </w:tc>
        <w:tc>
          <w:tcPr>
            <w:tcW w:w="1880" w:type="dxa"/>
            <w:vAlign w:val="bottom"/>
            <w:tcBorders>
              <w:bottom w:val="single" w:sz="8" w:color="DBDBDB"/>
            </w:tcBorders>
            <w:shd w:val="clear" w:color="auto" w:fill="DBDBDB"/>
          </w:tcPr>
          <w:p>
            <w:pPr>
              <w:jc w:val="right"/>
              <w:ind w:right="293"/>
              <w:spacing w:after="0"/>
              <w:rPr>
                <w:sz w:val="20"/>
                <w:szCs w:val="20"/>
                <w:color w:val="auto"/>
              </w:rPr>
            </w:pPr>
            <w:r>
              <w:rPr>
                <w:rFonts w:ascii="Times New Roman" w:cs="Times New Roman" w:eastAsia="Times New Roman" w:hAnsi="Times New Roman"/>
                <w:sz w:val="15"/>
                <w:szCs w:val="15"/>
                <w:b w:val="1"/>
                <w:bCs w:val="1"/>
                <w:color w:val="auto"/>
              </w:rPr>
              <w:t>(21,346)</w:t>
            </w:r>
          </w:p>
        </w:tc>
        <w:tc>
          <w:tcPr>
            <w:tcW w:w="1500" w:type="dxa"/>
            <w:vAlign w:val="bottom"/>
            <w:tcBorders>
              <w:bottom w:val="single" w:sz="8" w:color="DBDBDB"/>
            </w:tcBorders>
            <w:shd w:val="clear" w:color="auto" w:fill="DBDBDB"/>
          </w:tcPr>
          <w:p>
            <w:pPr>
              <w:jc w:val="right"/>
              <w:ind w:right="293"/>
              <w:spacing w:after="0"/>
              <w:rPr>
                <w:sz w:val="20"/>
                <w:szCs w:val="20"/>
                <w:color w:val="auto"/>
              </w:rPr>
            </w:pPr>
            <w:r>
              <w:rPr>
                <w:rFonts w:ascii="Times New Roman" w:cs="Times New Roman" w:eastAsia="Times New Roman" w:hAnsi="Times New Roman"/>
                <w:sz w:val="15"/>
                <w:szCs w:val="15"/>
                <w:color w:val="auto"/>
              </w:rPr>
              <w:t>(13,720)</w:t>
            </w:r>
          </w:p>
        </w:tc>
        <w:tc>
          <w:tcPr>
            <w:tcW w:w="1840" w:type="dxa"/>
            <w:vAlign w:val="bottom"/>
            <w:tcBorders>
              <w:bottom w:val="single" w:sz="8" w:color="DBDBDB"/>
            </w:tcBorders>
            <w:shd w:val="clear" w:color="auto" w:fill="DBDBDB"/>
          </w:tcPr>
          <w:p>
            <w:pPr>
              <w:jc w:val="right"/>
              <w:ind w:right="653"/>
              <w:spacing w:after="0"/>
              <w:rPr>
                <w:sz w:val="20"/>
                <w:szCs w:val="20"/>
                <w:color w:val="auto"/>
              </w:rPr>
            </w:pPr>
            <w:r>
              <w:rPr>
                <w:rFonts w:ascii="Times New Roman" w:cs="Times New Roman" w:eastAsia="Times New Roman" w:hAnsi="Times New Roman"/>
                <w:sz w:val="15"/>
                <w:szCs w:val="15"/>
                <w:b w:val="1"/>
                <w:bCs w:val="1"/>
                <w:color w:val="auto"/>
              </w:rPr>
              <w:t>(78,080)</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(47,490)</w:t>
            </w:r>
          </w:p>
        </w:tc>
        <w:tc>
          <w:tcPr>
            <w:tcW w:w="0" w:type="dxa"/>
            <w:vAlign w:val="bottom"/>
          </w:tcPr>
          <w:p>
            <w:pPr>
              <w:spacing w:after="0"/>
              <w:rPr>
                <w:sz w:val="1"/>
                <w:szCs w:val="1"/>
                <w:color w:val="auto"/>
              </w:rPr>
            </w:pPr>
          </w:p>
        </w:tc>
      </w:tr>
      <w:tr>
        <w:trPr>
          <w:trHeight w:val="477"/>
        </w:trPr>
        <w:tc>
          <w:tcPr>
            <w:tcW w:w="5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Basic loss per share for the period attributable to common shareholders</w:t>
            </w:r>
          </w:p>
        </w:tc>
        <w:tc>
          <w:tcPr>
            <w:tcW w:w="18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(0.05)</w:t>
            </w:r>
          </w:p>
        </w:tc>
        <w:tc>
          <w:tcPr>
            <w:tcW w:w="15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color w:val="auto"/>
              </w:rPr>
              <w:t>(0.07)</w:t>
            </w:r>
          </w:p>
        </w:tc>
        <w:tc>
          <w:tcPr>
            <w:tcW w:w="184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(0.25)</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color w:val="auto"/>
              </w:rPr>
              <w:t>(0.26)</w:t>
            </w:r>
          </w:p>
        </w:tc>
        <w:tc>
          <w:tcPr>
            <w:tcW w:w="0" w:type="dxa"/>
            <w:vAlign w:val="bottom"/>
          </w:tcPr>
          <w:p>
            <w:pPr>
              <w:spacing w:after="0"/>
              <w:rPr>
                <w:sz w:val="1"/>
                <w:szCs w:val="1"/>
                <w:color w:val="auto"/>
              </w:rPr>
            </w:pPr>
          </w:p>
        </w:tc>
      </w:tr>
      <w:tr>
        <w:trPr>
          <w:trHeight w:val="187"/>
        </w:trPr>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 - basic</w:t>
            </w:r>
          </w:p>
        </w:tc>
        <w:tc>
          <w:tcPr>
            <w:tcW w:w="1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457,727,760</w:t>
            </w:r>
          </w:p>
        </w:tc>
        <w:tc>
          <w:tcPr>
            <w:tcW w:w="15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color w:val="auto"/>
              </w:rPr>
              <w:t>196,144,381</w:t>
            </w:r>
          </w:p>
        </w:tc>
        <w:tc>
          <w:tcPr>
            <w:tcW w:w="18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315,300,042</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color w:val="auto"/>
              </w:rPr>
              <w:t>185,428,767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For the three months ended March 31, 2024 Cybin incurred a net loss of $21,346, compared to a net loss of $13,720 during the same period in prior year. For the twelve months ended March 31, 2024, Cybin incurred a net loss of $78,080 compared to a net loss of $47,490 during the same period ended March 31, 2023.</w:t>
      </w:r>
    </w:p>
    <w:p>
      <w:pPr>
        <w:spacing w:after="0" w:line="19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During Twelve months ended March 31, 2023, the Company was focused on progressing its various research programs, with a focus on its Deuterated Psilocybin Analog Program (CYB003) and Deuterated Dimethyltryptamine Program (CYB004), and raising awareness of the Company and its industry. During the period, the Company launched EMBARK OA, a free online foundational training course for psychedelic facilitation; completed dosing in its last patient in Part B of the Phase 1 CYB004-E trial, and initiated first-in-human dosing of CYB004 in Part C of the Phase 1 CYB004-E trial.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LPC Agreement</w:t>
      </w:r>
    </w:p>
    <w:p>
      <w:pPr>
        <w:spacing w:after="0" w:line="2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May 30, 2023, the Company entered into a Common Share purchase agreement (the “LPC Purchase Agreement”) with Lincoln Park Capital Fund, LLC (“LPC”).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w:t>
      </w:r>
    </w:p>
    <w:p>
      <w:pPr>
        <w:spacing w:after="0" w:line="19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Cybin has the right to terminate the LPC Purchase Agreement at any time at no cost or penalty. LPC has agreed not to engage in any short selling or hedging activity of any kind in the Common Shares. As consideration for LPC’s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1158" w:right="319" w:bottom="1440" w:gutter="0" w:footer="0" w:header="0"/>
        </w:sectPr>
      </w:pPr>
    </w:p>
    <w:bookmarkStart w:id="313" w:name="page314"/>
    <w:bookmarkEnd w:id="313"/>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obligation to purchase Common Shares from the Company at its direction under the LPC Purchase Agreement, Cybin issued 2,538,844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the Company announced that it had suspended all sales under the LPC Purchase Agreement in connection with the August 2023 Offering.</w:t>
      </w:r>
    </w:p>
    <w:p>
      <w:pPr>
        <w:spacing w:after="0" w:line="18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On August 23, 2023, the Company also announced the filing of a prospectus supplement under the 2023 Base Shelf Prospectus, requalifying the Company’s LPC Purchase Agreement on the same terms as those entered into on May 30, 2023 with LPC.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ATM Program</w:t>
      </w:r>
    </w:p>
    <w:p>
      <w:pPr>
        <w:spacing w:after="0" w:line="2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On August 23, 2023, the Company announced the filing of a prospectus supplement (the “</w:t>
      </w:r>
      <w:r>
        <w:rPr>
          <w:rFonts w:ascii="Times New Roman" w:cs="Times New Roman" w:eastAsia="Times New Roman" w:hAnsi="Times New Roman"/>
          <w:sz w:val="18"/>
          <w:szCs w:val="18"/>
          <w:b w:val="1"/>
          <w:bCs w:val="1"/>
          <w:color w:val="auto"/>
        </w:rPr>
        <w:t>ATM Prospectus Supplement</w:t>
      </w:r>
      <w:r>
        <w:rPr>
          <w:rFonts w:ascii="Times New Roman" w:cs="Times New Roman" w:eastAsia="Times New Roman" w:hAnsi="Times New Roman"/>
          <w:sz w:val="18"/>
          <w:szCs w:val="18"/>
          <w:color w:val="auto"/>
        </w:rPr>
        <w:t>”) under the 2023 Base Shelf Prospectus to renew its previously established at-the-market equity program (the “</w:t>
      </w:r>
      <w:r>
        <w:rPr>
          <w:rFonts w:ascii="Times New Roman" w:cs="Times New Roman" w:eastAsia="Times New Roman" w:hAnsi="Times New Roman"/>
          <w:sz w:val="18"/>
          <w:szCs w:val="18"/>
          <w:b w:val="1"/>
          <w:bCs w:val="1"/>
          <w:color w:val="auto"/>
        </w:rPr>
        <w:t>2023 ATM Program</w:t>
      </w:r>
      <w:r>
        <w:rPr>
          <w:rFonts w:ascii="Times New Roman" w:cs="Times New Roman" w:eastAsia="Times New Roman" w:hAnsi="Times New Roman"/>
          <w:sz w:val="18"/>
          <w:szCs w:val="18"/>
          <w:color w:val="auto"/>
        </w:rPr>
        <w:t xml:space="preserve">”) that allows the Company to issue and sell up to US$35,000 of Common Shares from treasury to the public, from time to time. Distributions of Common Shares under the 2023 ATM Program will be made pursuant to the terms and conditions of an at-the-market equity distribution agreement (the </w:t>
      </w:r>
      <w:r>
        <w:rPr>
          <w:rFonts w:ascii="Times New Roman" w:cs="Times New Roman" w:eastAsia="Times New Roman" w:hAnsi="Times New Roman"/>
          <w:sz w:val="18"/>
          <w:szCs w:val="18"/>
          <w:b w:val="1"/>
          <w:bCs w:val="1"/>
          <w:color w:val="auto"/>
        </w:rPr>
        <w:t>“2023 Distribution Agreement”</w:t>
      </w:r>
      <w:r>
        <w:rPr>
          <w:rFonts w:ascii="Times New Roman" w:cs="Times New Roman" w:eastAsia="Times New Roman" w:hAnsi="Times New Roman"/>
          <w:sz w:val="18"/>
          <w:szCs w:val="18"/>
          <w:color w:val="auto"/>
        </w:rPr>
        <w:t>) dated August 23, 2023 among the Company, Cantor Fitzgerald Canada Corporation and Cantor Fitzgerald &amp; Co.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88"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17"/>
          <w:szCs w:val="17"/>
          <w:color w:val="auto"/>
        </w:rPr>
        <w:t>During the year ended March 31, 2024, the Company sold 34,140,507 Common Shares under the ATM Programs at an average price of $0.4549 (US$0.3374) per Common Share, for aggregate gross proceeds of $15,532 (US$11,518). Share issuance costs related to the ATM Programs for the year were $832.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47" w:lineRule="exact"/>
        <w:rPr>
          <w:sz w:val="20"/>
          <w:szCs w:val="20"/>
          <w:color w:val="auto"/>
        </w:rPr>
      </w:pPr>
    </w:p>
    <w:p>
      <w:pPr>
        <w:jc w:val="both"/>
        <w:ind w:right="20"/>
        <w:spacing w:after="0" w:line="306" w:lineRule="auto"/>
        <w:rPr>
          <w:sz w:val="20"/>
          <w:szCs w:val="20"/>
          <w:color w:val="auto"/>
        </w:rPr>
      </w:pPr>
      <w:r>
        <w:rPr>
          <w:rFonts w:ascii="Calibri" w:cs="Calibri" w:eastAsia="Calibri" w:hAnsi="Calibri"/>
          <w:sz w:val="16"/>
          <w:szCs w:val="16"/>
          <w:color w:val="auto"/>
        </w:rPr>
        <w:t xml:space="preserve">On </w:t>
      </w:r>
      <w:r>
        <w:rPr>
          <w:rFonts w:ascii="Times New Roman" w:cs="Times New Roman" w:eastAsia="Times New Roman" w:hAnsi="Times New Roman"/>
          <w:sz w:val="17"/>
          <w:szCs w:val="17"/>
          <w:color w:val="auto"/>
        </w:rPr>
        <w:t>August 4, 2023, the Company completed a public offering (the</w:t>
      </w:r>
      <w:r>
        <w:rPr>
          <w:rFonts w:ascii="Calibri" w:cs="Calibri" w:eastAsia="Calibri" w:hAnsi="Calibri"/>
          <w:sz w:val="16"/>
          <w:szCs w:val="16"/>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August 2023 Offering</w:t>
      </w:r>
      <w:r>
        <w:rPr>
          <w:rFonts w:ascii="Times New Roman" w:cs="Times New Roman" w:eastAsia="Times New Roman" w:hAnsi="Times New Roman"/>
          <w:sz w:val="19"/>
          <w:szCs w:val="19"/>
          <w:color w:val="auto"/>
        </w:rPr>
        <w:t>”)</w:t>
      </w:r>
      <w:r>
        <w:rPr>
          <w:rFonts w:ascii="Calibri" w:cs="Calibri" w:eastAsia="Calibri" w:hAnsi="Calibri"/>
          <w:sz w:val="16"/>
          <w:szCs w:val="16"/>
          <w:color w:val="auto"/>
        </w:rPr>
        <w:t xml:space="preserve"> </w:t>
      </w:r>
      <w:r>
        <w:rPr>
          <w:rFonts w:ascii="Times New Roman" w:cs="Times New Roman" w:eastAsia="Times New Roman" w:hAnsi="Times New Roman"/>
          <w:sz w:val="17"/>
          <w:szCs w:val="17"/>
          <w:color w:val="auto"/>
        </w:rPr>
        <w:t>of 24,264,706 units of the Company (the “</w:t>
      </w:r>
      <w:r>
        <w:rPr>
          <w:rFonts w:ascii="Times New Roman" w:cs="Times New Roman" w:eastAsia="Times New Roman" w:hAnsi="Times New Roman"/>
          <w:sz w:val="19"/>
          <w:szCs w:val="19"/>
          <w:b w:val="1"/>
          <w:bCs w:val="1"/>
          <w:color w:val="auto"/>
        </w:rPr>
        <w:t>August 2023</w:t>
      </w:r>
      <w:r>
        <w:rPr>
          <w:rFonts w:ascii="Calibri" w:cs="Calibri" w:eastAsia="Calibri" w:hAnsi="Calibri"/>
          <w:sz w:val="16"/>
          <w:szCs w:val="16"/>
          <w:color w:val="auto"/>
        </w:rPr>
        <w:t xml:space="preserve"> </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7"/>
          <w:szCs w:val="17"/>
          <w:color w:val="auto"/>
        </w:rPr>
        <w:t>”) at a price of US$0.34 per August 2023 Unit for gross proceeds of US$8,250 pursuant to the August Prospectus Supplement to the 2021 Base Shelf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 xml:space="preserve">Prospectus . Each August 2023 Unit is comprised of one Common Share and one Common Share purchase warrant (the </w:t>
      </w:r>
      <w:r>
        <w:rPr>
          <w:rFonts w:ascii="Times New Roman" w:cs="Times New Roman" w:eastAsia="Times New Roman" w:hAnsi="Times New Roman"/>
          <w:sz w:val="19"/>
          <w:szCs w:val="19"/>
          <w:b w:val="1"/>
          <w:bCs w:val="1"/>
          <w:color w:val="auto"/>
        </w:rPr>
        <w:t>“August 2023 Warrants</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 Each August 2023 Warrant is exercisable to acquire one Common Share at a price of US$0.40 per Common Share for a period of 60 months from issuance, subject to acceleration in certain circumstances. In connection with the August 2023 Offering, Cybin paid the underwriters a cash commission of US$379 and incurred additional share issuance costs related to professional fees of US$458.</w:t>
      </w:r>
    </w:p>
    <w:p>
      <w:pPr>
        <w:spacing w:after="0" w:line="174"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7"/>
          <w:szCs w:val="17"/>
          <w:color w:val="auto"/>
        </w:rPr>
        <w:t>n November 14, 2023, the Company completed a public offering (the “</w:t>
      </w:r>
      <w:r>
        <w:rPr>
          <w:rFonts w:ascii="Times New Roman" w:cs="Times New Roman" w:eastAsia="Times New Roman" w:hAnsi="Times New Roman"/>
          <w:sz w:val="17"/>
          <w:szCs w:val="17"/>
          <w:b w:val="1"/>
          <w:bCs w:val="1"/>
          <w:color w:val="auto"/>
        </w:rPr>
        <w:t>November 2023 Offering</w:t>
      </w:r>
      <w:r>
        <w:rPr>
          <w:rFonts w:ascii="Times New Roman" w:cs="Times New Roman" w:eastAsia="Times New Roman" w:hAnsi="Times New Roman"/>
          <w:sz w:val="17"/>
          <w:szCs w:val="17"/>
          <w:color w:val="auto"/>
        </w:rPr>
        <w:t>”) of 66,666,667 units of the Company (the “</w:t>
      </w:r>
      <w:r>
        <w:rPr>
          <w:rFonts w:ascii="Times New Roman" w:cs="Times New Roman" w:eastAsia="Times New Roman" w:hAnsi="Times New Roman"/>
          <w:sz w:val="17"/>
          <w:szCs w:val="17"/>
          <w:b w:val="1"/>
          <w:bCs w:val="1"/>
          <w:color w:val="auto"/>
        </w:rPr>
        <w:t>November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b w:val="1"/>
          <w:bCs w:val="1"/>
          <w:color w:val="auto"/>
        </w:rPr>
        <w:t>2023 Units</w:t>
      </w:r>
      <w:r>
        <w:rPr>
          <w:rFonts w:ascii="Times New Roman" w:cs="Times New Roman" w:eastAsia="Times New Roman" w:hAnsi="Times New Roman"/>
          <w:sz w:val="17"/>
          <w:szCs w:val="17"/>
          <w:color w:val="auto"/>
        </w:rPr>
        <w:t>”) at a price of US$0.45 per November 2023 Unit for gross proceeds of $41,107 (US$30,000) pursuant to the November Prospectus Supplement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2023 Base Shelf Prospectus. Each November 2023 Unit is comprised of one Common Share and one Common Share purchase warrant (the “</w:t>
      </w:r>
      <w:r>
        <w:rPr>
          <w:rFonts w:ascii="Times New Roman" w:cs="Times New Roman" w:eastAsia="Times New Roman" w:hAnsi="Times New Roman"/>
          <w:sz w:val="17"/>
          <w:szCs w:val="17"/>
          <w:b w:val="1"/>
          <w:bCs w:val="1"/>
          <w:color w:val="auto"/>
        </w:rPr>
        <w:t>November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2023 Warrants</w:t>
      </w:r>
      <w:r>
        <w:rPr>
          <w:rFonts w:ascii="Times New Roman" w:cs="Times New Roman" w:eastAsia="Times New Roman" w:hAnsi="Times New Roman"/>
          <w:sz w:val="17"/>
          <w:szCs w:val="17"/>
          <w:color w:val="auto"/>
        </w:rPr>
        <w:t>”). Each November 2023 Warrant is exercisable to acquire one Common Share at a price of $0.70(US$0.51) per Common Share between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14, 2024 and May 14, 2029, subject to acceleration in certain circumstances. In connection with the November 2023 Offering, Cybin paid the underwriters a cash commission of $2,096(US$1,530) and incurred additional share issuance costs related to professional fees of $341(US$248).</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0"/>
          </w:cols>
          <w:pgMar w:left="320" w:top="725" w:right="319" w:bottom="1440" w:gutter="0" w:footer="0" w:header="0"/>
        </w:sectPr>
      </w:pPr>
    </w:p>
    <w:bookmarkStart w:id="314" w:name="page315"/>
    <w:bookmarkEnd w:id="3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19, 2024, the Company completed a private placement (the “</w:t>
      </w:r>
      <w:r>
        <w:rPr>
          <w:rFonts w:ascii="Times New Roman" w:cs="Times New Roman" w:eastAsia="Times New Roman" w:hAnsi="Times New Roman"/>
          <w:sz w:val="19"/>
          <w:szCs w:val="19"/>
          <w:b w:val="1"/>
          <w:bCs w:val="1"/>
          <w:color w:val="auto"/>
        </w:rPr>
        <w:t>March 2024 Offering</w:t>
      </w:r>
      <w:r>
        <w:rPr>
          <w:rFonts w:ascii="Times New Roman" w:cs="Times New Roman" w:eastAsia="Times New Roman" w:hAnsi="Times New Roman"/>
          <w:sz w:val="18"/>
          <w:szCs w:val="18"/>
          <w:color w:val="auto"/>
        </w:rPr>
        <w:t xml:space="preserve">”) of 348,837,210 Common Shares at a price of US$0.43 per Common Share for gross proceeds of $202,995(US$150,000). Pursuant to the terms of the March 2024 Offering, on April 8, 2024, the Company amended the 2023 Base Shelf Prospectus to provide that the securities that may be offered and issued thereunder will include distributions by various selling securityholders. Further, on April 17, 2024, the Company filed a prospectus supplement to the </w:t>
      </w:r>
      <w:r>
        <w:rPr>
          <w:rFonts w:ascii="Times New Roman" w:cs="Times New Roman" w:eastAsia="Times New Roman" w:hAnsi="Times New Roman"/>
          <w:sz w:val="19"/>
          <w:szCs w:val="19"/>
          <w:color w:val="auto"/>
        </w:rPr>
        <w:t>2023 Base Shelf Prospectus, in order to qualify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periodic resale of 333,029,767 Common Shares issued to certain non-Canadian investors pursuant to the March 2024 Offering (See “</w:t>
      </w:r>
      <w:r>
        <w:rPr>
          <w:rFonts w:ascii="Times New Roman" w:cs="Times New Roman" w:eastAsia="Times New Roman" w:hAnsi="Times New Roman"/>
          <w:sz w:val="19"/>
          <w:szCs w:val="19"/>
          <w:i w:val="1"/>
          <w:iCs w:val="1"/>
          <w:color w:val="auto"/>
        </w:rPr>
        <w:t>Subsequent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Event</w:t>
      </w:r>
      <w:r>
        <w:rPr>
          <w:rFonts w:ascii="Times New Roman" w:cs="Times New Roman" w:eastAsia="Times New Roman" w:hAnsi="Times New Roman"/>
          <w:sz w:val="19"/>
          <w:szCs w:val="19"/>
          <w:color w:val="auto"/>
        </w:rPr>
        <w:t>s”)</w:t>
      </w:r>
      <w:r>
        <w:rPr>
          <w:rFonts w:ascii="Times New Roman" w:cs="Times New Roman" w:eastAsia="Times New Roman" w:hAnsi="Times New Roman"/>
          <w:sz w:val="17"/>
          <w:szCs w:val="17"/>
          <w:color w:val="auto"/>
        </w:rPr>
        <w:t>. In connection with the March 2024 Offering, Cybin paid the agents a cash commission of $11,726(US$8,665) and incurred additional share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7"/>
          <w:szCs w:val="17"/>
          <w:color w:val="auto"/>
        </w:rPr>
        <w:t>issuance costs being professional fees of $169(US$125).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For the three months ended March 31, 2024, operating expenses totaled $25,195 (2023 - $13,703). The operating expenses include a non-cash component of $1,269 (2023 - $481) related to share-based compensation. The remaining operating expenses were incurred to support raising capital, research &amp; development and the overall development of the Company.</w:t>
      </w:r>
    </w:p>
    <w:p>
      <w:pPr>
        <w:spacing w:after="0" w:line="17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For the year ended March 31, 2024, operating expenses totaled $78,836 (2023 -$51,518). The operating expenses include a non-cash component of $13,886 (2023 - $4,686) related to share-based compensation. The remaining operating expenses were incurred to support raising capital, research &amp; development and the overall development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3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For the three month period ended March 31, 2024, the Company’s research expenses totaled $11,843 compared to $8,046 during the same period in prior year. Research expenses for the three month period are comprised of advancement of the development programs of $8,209 (2023 - $4,970), payroll related expenses of $3,316 (2023 -$2,551 ), professional and consulting fees of $62 (2023 - $232), and lab and administration expenses of $256 (2023 - $293).</w:t>
      </w:r>
    </w:p>
    <w:p>
      <w:pPr>
        <w:spacing w:after="0" w:line="152"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7"/>
          <w:szCs w:val="17"/>
          <w:color w:val="auto"/>
        </w:rPr>
        <w:t>For the year ended March 31, 2024, the Company’s research expenses totaled $32,362 compared to $25,491 during the same period in prior year. Research expenses for the year ended March 31, 2024 are comprised of advancement of the development programs of $22,799 (2023 -$14,360 ), payroll related expenses of $8,319 (2023 - $8,830), professional and consulting fees of $210 (2023 - $1,159), and lab and administration expenses of $1,034 (2023 - $1,142).</w:t>
      </w:r>
    </w:p>
    <w:p>
      <w:pPr>
        <w:spacing w:after="0" w:line="13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overall increase in research expenses is due the progression of the Company's various research programs, including two programs in clinical trials. The increase is partially offset by a decrease in payroll costs as the Company has released part of its workforce that previously held roles that were not of a clinical priority or were not directly involved with any of the Company’s clinical trial initiatives. As of the date of this MD&amp;A, Cybin’s research and development team has completed over 250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administration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923" w:right="319" w:bottom="1440" w:gutter="0" w:footer="0" w:header="0"/>
        </w:sectPr>
      </w:pPr>
    </w:p>
    <w:bookmarkStart w:id="315" w:name="page316"/>
    <w:bookmarkEnd w:id="315"/>
    <w:p>
      <w:pPr>
        <w:jc w:val="both"/>
        <w:spacing w:after="0" w:line="290" w:lineRule="auto"/>
        <w:rPr>
          <w:sz w:val="20"/>
          <w:szCs w:val="20"/>
          <w:color w:val="auto"/>
        </w:rPr>
      </w:pPr>
      <w:r>
        <w:rPr>
          <w:rFonts w:ascii="Times New Roman" w:cs="Times New Roman" w:eastAsia="Times New Roman" w:hAnsi="Times New Roman"/>
          <w:sz w:val="18"/>
          <w:szCs w:val="18"/>
          <w:color w:val="auto"/>
        </w:rPr>
        <w:t>For the three month period ended March 31, 2024, general and administrative expenses were $12,083 compared to $5,176 during the same period in the prior year. General and administrative expenses for the three-month period are comprised of capital market expenses of $3,919 (2023 - $2,271), payroll related expenses of $3,861 (2023 - $1,608), office and administration expenses of $843 (2023 - $685), investor relations expenses of $(480) (2023 - $271, professional and consulting fees of $1,838 (2023 -$234 ), listing fees of $53 (2023 - $50), business development expenses of $203 (2023 - $45), and marketing media fees of $1,846 (2023 - $12). The overall increase in general and administrative expenses due to increase in capital market spend and investors relations spend as the Company continues to raise awareness of the Company and its industry and increase in professional and consulting fees due to capital raise initiatives.</w:t>
      </w:r>
    </w:p>
    <w:p>
      <w:pPr>
        <w:spacing w:after="0" w:line="19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For the year ended March 31, 2024, general and administrative expenses were $</w:t>
      </w:r>
      <w:r>
        <w:rPr>
          <w:rFonts w:ascii="Times New Roman" w:cs="Times New Roman" w:eastAsia="Times New Roman" w:hAnsi="Times New Roman"/>
          <w:sz w:val="19"/>
          <w:szCs w:val="19"/>
          <w:color w:val="auto"/>
        </w:rPr>
        <w:t>32,588</w:t>
      </w:r>
      <w:r>
        <w:rPr>
          <w:rFonts w:ascii="Times New Roman" w:cs="Times New Roman" w:eastAsia="Times New Roman" w:hAnsi="Times New Roman"/>
          <w:sz w:val="18"/>
          <w:szCs w:val="18"/>
          <w:color w:val="auto"/>
        </w:rPr>
        <w:t xml:space="preserve"> compared to $</w:t>
      </w:r>
      <w:r>
        <w:rPr>
          <w:rFonts w:ascii="Times New Roman" w:cs="Times New Roman" w:eastAsia="Times New Roman" w:hAnsi="Times New Roman"/>
          <w:sz w:val="19"/>
          <w:szCs w:val="19"/>
          <w:color w:val="auto"/>
        </w:rPr>
        <w:t>21,341</w:t>
      </w:r>
      <w:r>
        <w:rPr>
          <w:rFonts w:ascii="Times New Roman" w:cs="Times New Roman" w:eastAsia="Times New Roman" w:hAnsi="Times New Roman"/>
          <w:sz w:val="18"/>
          <w:szCs w:val="18"/>
          <w:color w:val="auto"/>
        </w:rPr>
        <w:t xml:space="preserve"> during the same period in the prior year. General and administrative expenses for the year ended are comprised of capital market expenses of $11,519(2023 - $6,323), payroll related expenses of $8,248 (2023 - $6,272), office and administration expenses of $2,945 (2023 - $3,731), investor relations expenses of $1,896 (2023 - $984), professional and consulting fees of $4,918 (2023 - $2,142), listing fees of $271 (2023 - $354), business development expenses of $896 (2023 - $654), and marketing media fees of $1,895 (2023 - $881). The overall increase in general and administrative expenses due to increase in capital market spend and investors relations spend as the Company continues to raise awareness of the Company and its industry and increase in professional and consulting fees due to capital raise initiatives.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During the three month period ended March 31, 2024, Cybin issued warrants and options incurring share-based payment expense of $1,269, compared to $481 during the same period in the prior year. The increase is largely related to the new grants issued on equity raises and new options grants issued to key employees.</w:t>
      </w:r>
    </w:p>
    <w:p>
      <w:pPr>
        <w:spacing w:after="0" w:line="15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During the year ended March 31, 2024, Cybin issued warrants and options incurring share-based payment expense of $13,886, compared to $4,686 during the same period in the prior year. warrant and option .The increase is largely related to the new grants issued on equity raises and new options grants issued to key employees, and related to the fluctuation of share price and timing of warrant and option grant.</w:t>
      </w:r>
    </w:p>
    <w:p>
      <w:pPr>
        <w:spacing w:after="0" w:line="165"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these warrants and options the equity reserve balances will be moved to share capital.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gain (loss)</w:t>
      </w:r>
    </w:p>
    <w:p>
      <w:pPr>
        <w:spacing w:after="0" w:line="25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For the three-month period ended and twelve month period ended March 31, 2024, the Company incurred a foreign currency translation loss from operations and revaluation of balance sheet assets and liabilities held in foreign currencies of $3,507. and $137 respectively. The Company holds assets and liabilities in Canadian dollars, U.S. dollars, Euros, and British pounds.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7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For the three month period ended March 31, 2024 the Company recorded interest income of $342 compared to $148 during the same period in prior year. The increase is largely related to an increase on the cash balance earning interest.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725" w:right="319" w:bottom="1440" w:gutter="0" w:footer="0" w:header="0"/>
        </w:sectPr>
      </w:pPr>
    </w:p>
    <w:bookmarkStart w:id="316" w:name="page317"/>
    <w:bookmarkEnd w:id="316"/>
    <w:p>
      <w:pPr>
        <w:spacing w:after="0" w:line="324" w:lineRule="auto"/>
        <w:rPr>
          <w:sz w:val="20"/>
          <w:szCs w:val="20"/>
          <w:color w:val="auto"/>
        </w:rPr>
      </w:pPr>
      <w:r>
        <w:rPr>
          <w:rFonts w:ascii="Times New Roman" w:cs="Times New Roman" w:eastAsia="Times New Roman" w:hAnsi="Times New Roman"/>
          <w:sz w:val="18"/>
          <w:szCs w:val="18"/>
          <w:color w:val="auto"/>
        </w:rPr>
        <w:t>For the year ended March 31, 2024 , the Company recorded interest income of $619 compared to $603 during the same period in prior year. The increase is largely related to an increase on the cash balance earning interest.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March 31,</w:t>
            </w:r>
          </w:p>
        </w:tc>
        <w:tc>
          <w:tcPr>
            <w:tcW w:w="760" w:type="dxa"/>
            <w:vAlign w:val="bottom"/>
            <w:tcBorders>
              <w:top w:val="single" w:sz="8" w:color="auto"/>
              <w:bottom w:val="single" w:sz="8" w:color="auto"/>
              <w:right w:val="single" w:sz="8" w:color="DBDBDB"/>
            </w:tcBorders>
            <w:shd w:val="clear" w:color="auto" w:fill="DBDBDB"/>
          </w:tcPr>
          <w:p>
            <w:pPr>
              <w:spacing w:after="0"/>
              <w:rPr>
                <w:sz w:val="17"/>
                <w:szCs w:val="17"/>
                <w:color w:val="auto"/>
              </w:rPr>
            </w:pPr>
          </w:p>
        </w:tc>
        <w:tc>
          <w:tcPr>
            <w:tcW w:w="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Change</w:t>
            </w: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r>
      <w:tr>
        <w:trPr>
          <w:trHeight w:val="186"/>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146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40" w:type="dxa"/>
            <w:vAlign w:val="bottom"/>
            <w:tcBorders>
              <w:bottom w:val="single" w:sz="8" w:color="auto"/>
            </w:tcBorders>
            <w:shd w:val="clear" w:color="auto" w:fill="DBDBDB"/>
          </w:tcPr>
          <w:p>
            <w:pPr>
              <w:jc w:val="right"/>
              <w:ind w:right="646"/>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760" w:type="dxa"/>
            <w:vAlign w:val="bottom"/>
            <w:tcBorders>
              <w:bottom w:val="single" w:sz="8" w:color="auto"/>
              <w:right w:val="single" w:sz="8" w:color="DBDBDB"/>
            </w:tcBorders>
            <w:shd w:val="clear" w:color="auto" w:fill="DBDBDB"/>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shd w:val="clear" w:color="auto" w:fill="DBDBDB"/>
          </w:tcPr>
          <w:p>
            <w:pPr>
              <w:spacing w:after="0"/>
              <w:rPr>
                <w:sz w:val="16"/>
                <w:szCs w:val="16"/>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(20,707)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(10,838)</w:t>
            </w:r>
          </w:p>
        </w:tc>
        <w:tc>
          <w:tcPr>
            <w:tcW w:w="1240" w:type="dxa"/>
            <w:vAlign w:val="bottom"/>
            <w:shd w:val="clear" w:color="auto" w:fill="DBDBDB"/>
          </w:tcPr>
          <w:p>
            <w:pPr>
              <w:jc w:val="right"/>
              <w:ind w:right="206"/>
              <w:spacing w:after="0"/>
              <w:rPr>
                <w:sz w:val="20"/>
                <w:szCs w:val="20"/>
                <w:color w:val="auto"/>
              </w:rPr>
            </w:pPr>
            <w:r>
              <w:rPr>
                <w:rFonts w:ascii="Times New Roman" w:cs="Times New Roman" w:eastAsia="Times New Roman" w:hAnsi="Times New Roman"/>
                <w:sz w:val="15"/>
                <w:szCs w:val="15"/>
                <w:color w:val="auto"/>
              </w:rPr>
              <w:t>(9,869)</w:t>
            </w: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(68,908)</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(47,431)</w:t>
            </w:r>
          </w:p>
        </w:tc>
        <w:tc>
          <w:tcPr>
            <w:tcW w:w="1300" w:type="dxa"/>
            <w:vAlign w:val="bottom"/>
            <w:gridSpan w:val="2"/>
            <w:shd w:val="clear" w:color="auto" w:fill="DBDBDB"/>
          </w:tcPr>
          <w:p>
            <w:pPr>
              <w:jc w:val="right"/>
              <w:ind w:right="247"/>
              <w:spacing w:after="0"/>
              <w:rPr>
                <w:sz w:val="20"/>
                <w:szCs w:val="20"/>
                <w:color w:val="auto"/>
              </w:rPr>
            </w:pPr>
            <w:r>
              <w:rPr>
                <w:rFonts w:ascii="Times New Roman" w:cs="Times New Roman" w:eastAsia="Times New Roman" w:hAnsi="Times New Roman"/>
                <w:sz w:val="15"/>
                <w:szCs w:val="15"/>
                <w:color w:val="auto"/>
              </w:rPr>
              <w:t>(21,477)</w:t>
            </w:r>
          </w:p>
        </w:tc>
        <w:tc>
          <w:tcPr>
            <w:tcW w:w="480" w:type="dxa"/>
            <w:vAlign w:val="bottom"/>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color w:val="auto"/>
              </w:rPr>
              <w:t>45</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(215)</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240" w:type="dxa"/>
            <w:vAlign w:val="bottom"/>
            <w:shd w:val="clear" w:color="auto" w:fill="DBDBDB"/>
          </w:tcPr>
          <w:p>
            <w:pPr>
              <w:jc w:val="right"/>
              <w:ind w:right="366"/>
              <w:spacing w:after="0"/>
              <w:rPr>
                <w:sz w:val="20"/>
                <w:szCs w:val="20"/>
                <w:color w:val="auto"/>
              </w:rPr>
            </w:pPr>
            <w:r>
              <w:rPr>
                <w:rFonts w:ascii="Times New Roman" w:cs="Times New Roman" w:eastAsia="Times New Roman" w:hAnsi="Times New Roman"/>
                <w:sz w:val="15"/>
                <w:szCs w:val="15"/>
                <w:color w:val="auto"/>
              </w:rPr>
              <w:t>3</w:t>
            </w: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6,922</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(3,309)</w:t>
            </w:r>
          </w:p>
        </w:tc>
        <w:tc>
          <w:tcPr>
            <w:tcW w:w="1300" w:type="dxa"/>
            <w:vAlign w:val="bottom"/>
            <w:gridSpan w:val="2"/>
            <w:shd w:val="clear" w:color="auto" w:fill="DBDBDB"/>
          </w:tcPr>
          <w:p>
            <w:pPr>
              <w:jc w:val="right"/>
              <w:ind w:right="407"/>
              <w:spacing w:after="0"/>
              <w:rPr>
                <w:sz w:val="20"/>
                <w:szCs w:val="20"/>
                <w:color w:val="auto"/>
              </w:rPr>
            </w:pPr>
            <w:r>
              <w:rPr>
                <w:rFonts w:ascii="Times New Roman" w:cs="Times New Roman" w:eastAsia="Times New Roman" w:hAnsi="Times New Roman"/>
                <w:sz w:val="15"/>
                <w:szCs w:val="15"/>
                <w:color w:val="auto"/>
              </w:rPr>
              <w:t>10,231</w:t>
            </w:r>
          </w:p>
        </w:tc>
        <w:tc>
          <w:tcPr>
            <w:tcW w:w="480" w:type="dxa"/>
            <w:vAlign w:val="bottom"/>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color w:val="auto"/>
              </w:rPr>
              <w:t>(309)</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cash from financing activities</w:t>
            </w:r>
          </w:p>
        </w:tc>
        <w:tc>
          <w:tcPr>
            <w:tcW w:w="146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190,861</w:t>
            </w:r>
          </w:p>
        </w:tc>
        <w:tc>
          <w:tcPr>
            <w:tcW w:w="8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5,145</w:t>
            </w:r>
          </w:p>
        </w:tc>
        <w:tc>
          <w:tcPr>
            <w:tcW w:w="1240" w:type="dxa"/>
            <w:vAlign w:val="bottom"/>
            <w:tcBorders>
              <w:bottom w:val="single" w:sz="8" w:color="auto"/>
            </w:tcBorders>
            <w:shd w:val="clear" w:color="auto" w:fill="DBDBDB"/>
          </w:tcPr>
          <w:p>
            <w:pPr>
              <w:jc w:val="right"/>
              <w:ind w:right="366"/>
              <w:spacing w:after="0"/>
              <w:rPr>
                <w:sz w:val="20"/>
                <w:szCs w:val="20"/>
                <w:color w:val="auto"/>
              </w:rPr>
            </w:pPr>
            <w:r>
              <w:rPr>
                <w:rFonts w:ascii="Times New Roman" w:cs="Times New Roman" w:eastAsia="Times New Roman" w:hAnsi="Times New Roman"/>
                <w:sz w:val="15"/>
                <w:szCs w:val="15"/>
                <w:color w:val="auto"/>
              </w:rPr>
              <w:t>185,716</w:t>
            </w:r>
          </w:p>
        </w:tc>
        <w:tc>
          <w:tcPr>
            <w:tcW w:w="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3610</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254,507</w:t>
            </w:r>
          </w:p>
        </w:tc>
        <w:tc>
          <w:tcPr>
            <w:tcW w:w="7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13,564</w:t>
            </w:r>
          </w:p>
        </w:tc>
        <w:tc>
          <w:tcPr>
            <w:tcW w:w="1300" w:type="dxa"/>
            <w:vAlign w:val="bottom"/>
            <w:tcBorders>
              <w:bottom w:val="single" w:sz="8" w:color="auto"/>
            </w:tcBorders>
            <w:gridSpan w:val="2"/>
            <w:shd w:val="clear" w:color="auto" w:fill="DBDBDB"/>
          </w:tcPr>
          <w:p>
            <w:pPr>
              <w:jc w:val="right"/>
              <w:ind w:right="407"/>
              <w:spacing w:after="0"/>
              <w:rPr>
                <w:sz w:val="20"/>
                <w:szCs w:val="20"/>
                <w:color w:val="auto"/>
              </w:rPr>
            </w:pPr>
            <w:r>
              <w:rPr>
                <w:rFonts w:ascii="Times New Roman" w:cs="Times New Roman" w:eastAsia="Times New Roman" w:hAnsi="Times New Roman"/>
                <w:sz w:val="15"/>
                <w:szCs w:val="15"/>
                <w:color w:val="auto"/>
              </w:rPr>
              <w:t>240,943</w:t>
            </w:r>
          </w:p>
        </w:tc>
        <w:tc>
          <w:tcPr>
            <w:tcW w:w="480" w:type="dxa"/>
            <w:vAlign w:val="bottom"/>
            <w:tcBorders>
              <w:bottom w:val="single" w:sz="8" w:color="auto"/>
            </w:tcBorders>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color w:val="auto"/>
              </w:rPr>
              <w:t>1776</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 in cash</w:t>
            </w:r>
          </w:p>
        </w:tc>
        <w:tc>
          <w:tcPr>
            <w:tcW w:w="1460" w:type="dxa"/>
            <w:vAlign w:val="bottom"/>
            <w:gridSpan w:val="2"/>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169,939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(5,911)</w:t>
            </w:r>
          </w:p>
        </w:tc>
        <w:tc>
          <w:tcPr>
            <w:tcW w:w="1240" w:type="dxa"/>
            <w:vAlign w:val="bottom"/>
            <w:shd w:val="clear" w:color="auto" w:fill="DBDBDB"/>
          </w:tcPr>
          <w:p>
            <w:pPr>
              <w:jc w:val="right"/>
              <w:ind w:right="366"/>
              <w:spacing w:after="0"/>
              <w:rPr>
                <w:sz w:val="20"/>
                <w:szCs w:val="20"/>
                <w:color w:val="auto"/>
              </w:rPr>
            </w:pPr>
            <w:r>
              <w:rPr>
                <w:rFonts w:ascii="Times New Roman" w:cs="Times New Roman" w:eastAsia="Times New Roman" w:hAnsi="Times New Roman"/>
                <w:sz w:val="15"/>
                <w:szCs w:val="15"/>
                <w:color w:val="auto"/>
              </w:rPr>
              <w:t>175,850</w:t>
            </w: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(2975)</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192,521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(37,176)</w:t>
            </w:r>
          </w:p>
        </w:tc>
        <w:tc>
          <w:tcPr>
            <w:tcW w:w="1300" w:type="dxa"/>
            <w:vAlign w:val="bottom"/>
            <w:gridSpan w:val="2"/>
            <w:shd w:val="clear" w:color="auto" w:fill="DBDBDB"/>
          </w:tcPr>
          <w:p>
            <w:pPr>
              <w:jc w:val="right"/>
              <w:ind w:right="407"/>
              <w:spacing w:after="0"/>
              <w:rPr>
                <w:sz w:val="20"/>
                <w:szCs w:val="20"/>
                <w:color w:val="auto"/>
              </w:rPr>
            </w:pPr>
            <w:r>
              <w:rPr>
                <w:rFonts w:ascii="Times New Roman" w:cs="Times New Roman" w:eastAsia="Times New Roman" w:hAnsi="Times New Roman"/>
                <w:sz w:val="15"/>
                <w:szCs w:val="15"/>
                <w:color w:val="auto"/>
              </w:rPr>
              <w:t>229,697</w:t>
            </w:r>
          </w:p>
        </w:tc>
        <w:tc>
          <w:tcPr>
            <w:tcW w:w="480" w:type="dxa"/>
            <w:vAlign w:val="bottom"/>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color w:val="auto"/>
              </w:rPr>
              <w:t>(618)</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1460" w:type="dxa"/>
            <w:vAlign w:val="bottom"/>
            <w:gridSpan w:val="2"/>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54</w:t>
            </w:r>
          </w:p>
        </w:tc>
        <w:tc>
          <w:tcPr>
            <w:tcW w:w="8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33</w:t>
            </w:r>
          </w:p>
        </w:tc>
        <w:tc>
          <w:tcPr>
            <w:tcW w:w="1240" w:type="dxa"/>
            <w:vAlign w:val="bottom"/>
            <w:shd w:val="clear" w:color="auto" w:fill="DBDBDB"/>
          </w:tcPr>
          <w:p>
            <w:pPr>
              <w:jc w:val="right"/>
              <w:ind w:right="366"/>
              <w:spacing w:after="0"/>
              <w:rPr>
                <w:sz w:val="20"/>
                <w:szCs w:val="20"/>
                <w:color w:val="auto"/>
              </w:rPr>
            </w:pPr>
            <w:r>
              <w:rPr>
                <w:rFonts w:ascii="Times New Roman" w:cs="Times New Roman" w:eastAsia="Times New Roman" w:hAnsi="Times New Roman"/>
                <w:sz w:val="15"/>
                <w:szCs w:val="15"/>
                <w:color w:val="auto"/>
              </w:rPr>
              <w:t>21</w:t>
            </w:r>
          </w:p>
        </w:tc>
        <w:tc>
          <w:tcPr>
            <w:tcW w:w="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(162)</w:t>
            </w:r>
          </w:p>
        </w:tc>
        <w:tc>
          <w:tcPr>
            <w:tcW w:w="7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168</w:t>
            </w:r>
          </w:p>
        </w:tc>
        <w:tc>
          <w:tcPr>
            <w:tcW w:w="1300" w:type="dxa"/>
            <w:vAlign w:val="bottom"/>
            <w:gridSpan w:val="2"/>
            <w:shd w:val="clear" w:color="auto" w:fill="DBDBDB"/>
          </w:tcPr>
          <w:p>
            <w:pPr>
              <w:jc w:val="right"/>
              <w:ind w:right="247"/>
              <w:spacing w:after="0"/>
              <w:rPr>
                <w:sz w:val="20"/>
                <w:szCs w:val="20"/>
                <w:color w:val="auto"/>
              </w:rPr>
            </w:pPr>
            <w:r>
              <w:rPr>
                <w:rFonts w:ascii="Times New Roman" w:cs="Times New Roman" w:eastAsia="Times New Roman" w:hAnsi="Times New Roman"/>
                <w:sz w:val="15"/>
                <w:szCs w:val="15"/>
                <w:color w:val="auto"/>
              </w:rPr>
              <w:t>(330)</w:t>
            </w:r>
          </w:p>
        </w:tc>
        <w:tc>
          <w:tcPr>
            <w:tcW w:w="480" w:type="dxa"/>
            <w:vAlign w:val="bottom"/>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color w:val="auto"/>
              </w:rPr>
              <w:t>(196)</w:t>
            </w:r>
          </w:p>
        </w:tc>
        <w:tc>
          <w:tcPr>
            <w:tcW w:w="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46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38,999</w:t>
            </w:r>
          </w:p>
        </w:tc>
        <w:tc>
          <w:tcPr>
            <w:tcW w:w="8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22,511</w:t>
            </w:r>
          </w:p>
        </w:tc>
        <w:tc>
          <w:tcPr>
            <w:tcW w:w="1240" w:type="dxa"/>
            <w:vAlign w:val="bottom"/>
            <w:tcBorders>
              <w:bottom w:val="single" w:sz="8" w:color="auto"/>
            </w:tcBorders>
            <w:shd w:val="clear" w:color="auto" w:fill="DBDBDB"/>
          </w:tcPr>
          <w:p>
            <w:pPr>
              <w:jc w:val="right"/>
              <w:ind w:right="366"/>
              <w:spacing w:after="0"/>
              <w:rPr>
                <w:sz w:val="20"/>
                <w:szCs w:val="20"/>
                <w:color w:val="auto"/>
              </w:rPr>
            </w:pPr>
            <w:r>
              <w:rPr>
                <w:rFonts w:ascii="Times New Roman" w:cs="Times New Roman" w:eastAsia="Times New Roman" w:hAnsi="Times New Roman"/>
                <w:sz w:val="15"/>
                <w:szCs w:val="15"/>
                <w:color w:val="auto"/>
              </w:rPr>
              <w:t>16,488</w:t>
            </w:r>
          </w:p>
        </w:tc>
        <w:tc>
          <w:tcPr>
            <w:tcW w:w="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16,633</w:t>
            </w:r>
          </w:p>
        </w:tc>
        <w:tc>
          <w:tcPr>
            <w:tcW w:w="7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53,641</w:t>
            </w:r>
          </w:p>
        </w:tc>
        <w:tc>
          <w:tcPr>
            <w:tcW w:w="1300" w:type="dxa"/>
            <w:vAlign w:val="bottom"/>
            <w:tcBorders>
              <w:bottom w:val="single" w:sz="8" w:color="auto"/>
            </w:tcBorders>
            <w:gridSpan w:val="2"/>
            <w:shd w:val="clear" w:color="auto" w:fill="DBDBDB"/>
          </w:tcPr>
          <w:p>
            <w:pPr>
              <w:jc w:val="right"/>
              <w:ind w:right="247"/>
              <w:spacing w:after="0"/>
              <w:rPr>
                <w:sz w:val="20"/>
                <w:szCs w:val="20"/>
                <w:color w:val="auto"/>
              </w:rPr>
            </w:pPr>
            <w:r>
              <w:rPr>
                <w:rFonts w:ascii="Times New Roman" w:cs="Times New Roman" w:eastAsia="Times New Roman" w:hAnsi="Times New Roman"/>
                <w:sz w:val="15"/>
                <w:szCs w:val="15"/>
                <w:color w:val="auto"/>
              </w:rPr>
              <w:t>(37,008)</w:t>
            </w:r>
          </w:p>
        </w:tc>
        <w:tc>
          <w:tcPr>
            <w:tcW w:w="480" w:type="dxa"/>
            <w:vAlign w:val="bottom"/>
            <w:tcBorders>
              <w:bottom w:val="single" w:sz="8" w:color="auto"/>
            </w:tcBorders>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color w:val="auto"/>
              </w:rPr>
              <w:t>(69)</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46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208,992</w:t>
            </w:r>
          </w:p>
        </w:tc>
        <w:tc>
          <w:tcPr>
            <w:tcW w:w="8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16,633</w:t>
            </w:r>
          </w:p>
        </w:tc>
        <w:tc>
          <w:tcPr>
            <w:tcW w:w="1240" w:type="dxa"/>
            <w:vAlign w:val="bottom"/>
            <w:tcBorders>
              <w:bottom w:val="single" w:sz="8" w:color="auto"/>
            </w:tcBorders>
            <w:shd w:val="clear" w:color="auto" w:fill="DBDBDB"/>
          </w:tcPr>
          <w:p>
            <w:pPr>
              <w:jc w:val="right"/>
              <w:ind w:right="366"/>
              <w:spacing w:after="0"/>
              <w:rPr>
                <w:sz w:val="20"/>
                <w:szCs w:val="20"/>
                <w:color w:val="auto"/>
              </w:rPr>
            </w:pPr>
            <w:r>
              <w:rPr>
                <w:rFonts w:ascii="Times New Roman" w:cs="Times New Roman" w:eastAsia="Times New Roman" w:hAnsi="Times New Roman"/>
                <w:sz w:val="15"/>
                <w:szCs w:val="15"/>
                <w:color w:val="auto"/>
              </w:rPr>
              <w:t>192,289</w:t>
            </w:r>
          </w:p>
        </w:tc>
        <w:tc>
          <w:tcPr>
            <w:tcW w:w="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2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208,992</w:t>
            </w:r>
          </w:p>
        </w:tc>
        <w:tc>
          <w:tcPr>
            <w:tcW w:w="7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16,633</w:t>
            </w:r>
          </w:p>
        </w:tc>
        <w:tc>
          <w:tcPr>
            <w:tcW w:w="1300" w:type="dxa"/>
            <w:vAlign w:val="bottom"/>
            <w:tcBorders>
              <w:bottom w:val="single" w:sz="8" w:color="auto"/>
            </w:tcBorders>
            <w:gridSpan w:val="2"/>
            <w:shd w:val="clear" w:color="auto" w:fill="DBDBDB"/>
          </w:tcPr>
          <w:p>
            <w:pPr>
              <w:jc w:val="right"/>
              <w:ind w:right="407"/>
              <w:spacing w:after="0"/>
              <w:rPr>
                <w:sz w:val="20"/>
                <w:szCs w:val="20"/>
                <w:color w:val="auto"/>
              </w:rPr>
            </w:pPr>
            <w:r>
              <w:rPr>
                <w:rFonts w:ascii="Times New Roman" w:cs="Times New Roman" w:eastAsia="Times New Roman" w:hAnsi="Times New Roman"/>
                <w:sz w:val="15"/>
                <w:szCs w:val="15"/>
                <w:color w:val="auto"/>
              </w:rPr>
              <w:t>192,289</w:t>
            </w:r>
          </w:p>
        </w:tc>
        <w:tc>
          <w:tcPr>
            <w:tcW w:w="480" w:type="dxa"/>
            <w:vAlign w:val="bottom"/>
            <w:tcBorders>
              <w:bottom w:val="single" w:sz="8" w:color="auto"/>
            </w:tcBorders>
            <w:shd w:val="clear" w:color="auto" w:fill="DBDBDB"/>
          </w:tcPr>
          <w:p>
            <w:pPr>
              <w:jc w:val="right"/>
              <w:ind w:right="7"/>
              <w:spacing w:after="0"/>
              <w:rPr>
                <w:sz w:val="20"/>
                <w:szCs w:val="20"/>
                <w:color w:val="auto"/>
              </w:rPr>
            </w:pPr>
            <w:r>
              <w:rPr>
                <w:rFonts w:ascii="Times New Roman" w:cs="Times New Roman" w:eastAsia="Times New Roman" w:hAnsi="Times New Roman"/>
                <w:sz w:val="15"/>
                <w:szCs w:val="15"/>
                <w:color w:val="auto"/>
              </w:rPr>
              <w:t>1156</w:t>
            </w:r>
          </w:p>
        </w:tc>
        <w:tc>
          <w:tcPr>
            <w:tcW w:w="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21"/>
        </w:trPr>
        <w:tc>
          <w:tcPr>
            <w:tcW w:w="3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8"/>
        </w:trPr>
        <w:tc>
          <w:tcPr>
            <w:tcW w:w="306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50"/>
        </w:trPr>
        <w:tc>
          <w:tcPr>
            <w:tcW w:w="30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660" w:type="dxa"/>
            <w:vAlign w:val="bottom"/>
          </w:tcPr>
          <w:p>
            <w:pPr>
              <w:spacing w:after="0"/>
              <w:rPr>
                <w:sz w:val="13"/>
                <w:szCs w:val="13"/>
                <w:color w:val="auto"/>
              </w:rPr>
            </w:pPr>
          </w:p>
        </w:tc>
        <w:tc>
          <w:tcPr>
            <w:tcW w:w="6140" w:type="dxa"/>
            <w:vAlign w:val="bottom"/>
            <w:gridSpan w:val="8"/>
          </w:tcPr>
          <w:p>
            <w:pPr>
              <w:jc w:val="center"/>
              <w:spacing w:after="0" w:line="150" w:lineRule="exact"/>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3"/>
        </w:trPr>
        <w:tc>
          <w:tcPr>
            <w:tcW w:w="3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80" w:type="dxa"/>
            <w:vAlign w:val="bottom"/>
            <w:gridSpan w:val="9"/>
          </w:tcPr>
          <w:p>
            <w:pPr>
              <w:jc w:val="center"/>
              <w:ind w:right="527"/>
              <w:spacing w:after="0"/>
              <w:rPr>
                <w:sz w:val="20"/>
                <w:szCs w:val="20"/>
                <w:color w:val="auto"/>
              </w:rPr>
            </w:pPr>
            <w:r>
              <w:rPr>
                <w:rFonts w:ascii="Times New Roman" w:cs="Times New Roman" w:eastAsia="Times New Roman" w:hAnsi="Times New Roman"/>
                <w:sz w:val="16"/>
                <w:szCs w:val="16"/>
                <w:color w:val="auto"/>
              </w:rPr>
              <w:t>expenses, salaries, and other general and administration expenses. Cash flows from operating</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2356485" cy="1794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56485" cy="1794510"/>
                    </a:xfrm>
                    <a:prstGeom prst="rect">
                      <a:avLst/>
                    </a:prstGeom>
                    <a:noFill/>
                  </pic:spPr>
                </pic:pic>
              </a:graphicData>
            </a:graphic>
          </wp:anchor>
        </w:drawing>
      </w:r>
    </w:p>
    <w:p>
      <w:pPr>
        <w:jc w:val="both"/>
        <w:ind w:left="3720" w:right="1440"/>
        <w:spacing w:after="0" w:line="220" w:lineRule="auto"/>
        <w:rPr>
          <w:sz w:val="20"/>
          <w:szCs w:val="20"/>
          <w:color w:val="auto"/>
        </w:rPr>
      </w:pPr>
      <w:r>
        <w:rPr>
          <w:rFonts w:ascii="Times New Roman" w:cs="Times New Roman" w:eastAsia="Times New Roman" w:hAnsi="Times New Roman"/>
          <w:sz w:val="16"/>
          <w:szCs w:val="16"/>
          <w:color w:val="auto"/>
        </w:rPr>
        <w:t>activities exclude expenses not affecting cash, such as share based compensation expense, depreciation, unrealized foreign exchange gains or losses, and net changes in non-cash balances relating to operations.</w:t>
      </w: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6760" w:type="dxa"/>
            <w:vAlign w:val="bottom"/>
          </w:tcPr>
          <w:p>
            <w:pPr>
              <w:ind w:left="640"/>
              <w:spacing w:after="0" w:line="171" w:lineRule="exact"/>
              <w:rPr>
                <w:sz w:val="20"/>
                <w:szCs w:val="20"/>
                <w:color w:val="auto"/>
              </w:rPr>
            </w:pPr>
            <w:r>
              <w:rPr>
                <w:rFonts w:ascii="Times New Roman" w:cs="Times New Roman" w:eastAsia="Times New Roman" w:hAnsi="Times New Roman"/>
                <w:sz w:val="16"/>
                <w:szCs w:val="16"/>
                <w:color w:val="auto"/>
              </w:rPr>
              <w:t>For the three months ended March 31, 2024, cash used in operating activities was $20,707</w:t>
            </w:r>
          </w:p>
        </w:tc>
      </w:tr>
      <w:tr>
        <w:trPr>
          <w:trHeight w:val="165"/>
        </w:trPr>
        <w:tc>
          <w:tcPr>
            <w:tcW w:w="3080" w:type="dxa"/>
            <w:vAlign w:val="bottom"/>
          </w:tcPr>
          <w:p>
            <w:pPr>
              <w:spacing w:after="0"/>
              <w:rPr>
                <w:sz w:val="14"/>
                <w:szCs w:val="14"/>
                <w:color w:val="auto"/>
              </w:rPr>
            </w:pPr>
          </w:p>
        </w:tc>
        <w:tc>
          <w:tcPr>
            <w:tcW w:w="6760" w:type="dxa"/>
            <w:vAlign w:val="bottom"/>
          </w:tcPr>
          <w:p>
            <w:pPr>
              <w:ind w:left="640"/>
              <w:spacing w:after="0" w:line="165" w:lineRule="exact"/>
              <w:rPr>
                <w:sz w:val="20"/>
                <w:szCs w:val="20"/>
                <w:color w:val="auto"/>
              </w:rPr>
            </w:pPr>
            <w:r>
              <w:rPr>
                <w:rFonts w:ascii="Times New Roman" w:cs="Times New Roman" w:eastAsia="Times New Roman" w:hAnsi="Times New Roman"/>
                <w:sz w:val="16"/>
                <w:szCs w:val="16"/>
                <w:color w:val="auto"/>
              </w:rPr>
              <w:t>driven by a net loss for the period of $21,346 partially offset by the following non-cash items:</w:t>
            </w:r>
          </w:p>
        </w:tc>
      </w:tr>
      <w:tr>
        <w:trPr>
          <w:trHeight w:val="162"/>
        </w:trPr>
        <w:tc>
          <w:tcPr>
            <w:tcW w:w="3080" w:type="dxa"/>
            <w:vAlign w:val="bottom"/>
          </w:tcPr>
          <w:p>
            <w:pPr>
              <w:spacing w:after="0"/>
              <w:rPr>
                <w:sz w:val="14"/>
                <w:szCs w:val="14"/>
                <w:color w:val="auto"/>
              </w:rPr>
            </w:pPr>
          </w:p>
        </w:tc>
        <w:tc>
          <w:tcPr>
            <w:tcW w:w="67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an unrealized foreign exchange gain of $3,507, share-based compensation of $1,269, a</w:t>
            </w:r>
          </w:p>
        </w:tc>
      </w:tr>
      <w:tr>
        <w:trPr>
          <w:trHeight w:val="158"/>
        </w:trPr>
        <w:tc>
          <w:tcPr>
            <w:tcW w:w="3080" w:type="dxa"/>
            <w:vAlign w:val="bottom"/>
          </w:tcPr>
          <w:p>
            <w:pPr>
              <w:spacing w:after="0"/>
              <w:rPr>
                <w:sz w:val="13"/>
                <w:szCs w:val="13"/>
                <w:color w:val="auto"/>
              </w:rPr>
            </w:pPr>
          </w:p>
        </w:tc>
        <w:tc>
          <w:tcPr>
            <w:tcW w:w="6760" w:type="dxa"/>
            <w:vAlign w:val="bottom"/>
          </w:tcPr>
          <w:p>
            <w:pPr>
              <w:ind w:left="640"/>
              <w:spacing w:after="0" w:line="158" w:lineRule="exact"/>
              <w:rPr>
                <w:sz w:val="20"/>
                <w:szCs w:val="20"/>
                <w:color w:val="auto"/>
              </w:rPr>
            </w:pPr>
            <w:r>
              <w:rPr>
                <w:rFonts w:ascii="Times New Roman" w:cs="Times New Roman" w:eastAsia="Times New Roman" w:hAnsi="Times New Roman"/>
                <w:sz w:val="16"/>
                <w:szCs w:val="16"/>
                <w:color w:val="auto"/>
              </w:rPr>
              <w:t>decrease in working capital of $1,844, depreciation and amortization of $142 and lease</w:t>
            </w:r>
          </w:p>
        </w:tc>
      </w:tr>
      <w:tr>
        <w:trPr>
          <w:trHeight w:val="214"/>
        </w:trPr>
        <w:tc>
          <w:tcPr>
            <w:tcW w:w="308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interest $4.</w:t>
            </w:r>
          </w:p>
        </w:tc>
      </w:tr>
      <w:tr>
        <w:trPr>
          <w:trHeight w:val="154"/>
        </w:trPr>
        <w:tc>
          <w:tcPr>
            <w:tcW w:w="308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6760" w:type="dxa"/>
            <w:vAlign w:val="bottom"/>
          </w:tcPr>
          <w:p>
            <w:pPr>
              <w:ind w:left="640"/>
              <w:spacing w:after="0" w:line="154" w:lineRule="exact"/>
              <w:rPr>
                <w:sz w:val="20"/>
                <w:szCs w:val="20"/>
                <w:color w:val="auto"/>
              </w:rPr>
            </w:pPr>
            <w:r>
              <w:rPr>
                <w:rFonts w:ascii="Times New Roman" w:cs="Times New Roman" w:eastAsia="Times New Roman" w:hAnsi="Times New Roman"/>
                <w:sz w:val="16"/>
                <w:szCs w:val="16"/>
                <w:color w:val="auto"/>
              </w:rPr>
              <w:t>For the three months ended March 31, 2024, cash used in investing activities were driven by</w:t>
            </w:r>
          </w:p>
        </w:tc>
      </w:tr>
      <w:tr>
        <w:trPr>
          <w:trHeight w:val="214"/>
        </w:trPr>
        <w:tc>
          <w:tcPr>
            <w:tcW w:w="308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the purchase of intangible assets of $207 and purchase of tangible assets $ 8.</w:t>
            </w:r>
          </w:p>
        </w:tc>
      </w:tr>
      <w:tr>
        <w:trPr>
          <w:trHeight w:val="154"/>
        </w:trPr>
        <w:tc>
          <w:tcPr>
            <w:tcW w:w="308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Net cash from financing activities</w:t>
            </w:r>
          </w:p>
        </w:tc>
        <w:tc>
          <w:tcPr>
            <w:tcW w:w="6760" w:type="dxa"/>
            <w:vAlign w:val="bottom"/>
          </w:tcPr>
          <w:p>
            <w:pPr>
              <w:ind w:left="640"/>
              <w:spacing w:after="0" w:line="154" w:lineRule="exact"/>
              <w:rPr>
                <w:sz w:val="20"/>
                <w:szCs w:val="20"/>
                <w:color w:val="auto"/>
              </w:rPr>
            </w:pPr>
            <w:r>
              <w:rPr>
                <w:rFonts w:ascii="Times New Roman" w:cs="Times New Roman" w:eastAsia="Times New Roman" w:hAnsi="Times New Roman"/>
                <w:sz w:val="16"/>
                <w:szCs w:val="16"/>
                <w:color w:val="auto"/>
              </w:rPr>
              <w:t>For the three months period ended March 31, 2024, cash flows from financing activities were</w:t>
            </w:r>
          </w:p>
        </w:tc>
      </w:tr>
      <w:tr>
        <w:trPr>
          <w:trHeight w:val="165"/>
        </w:trPr>
        <w:tc>
          <w:tcPr>
            <w:tcW w:w="3080" w:type="dxa"/>
            <w:vAlign w:val="bottom"/>
          </w:tcPr>
          <w:p>
            <w:pPr>
              <w:spacing w:after="0"/>
              <w:rPr>
                <w:sz w:val="14"/>
                <w:szCs w:val="14"/>
                <w:color w:val="auto"/>
              </w:rPr>
            </w:pPr>
          </w:p>
        </w:tc>
        <w:tc>
          <w:tcPr>
            <w:tcW w:w="6760" w:type="dxa"/>
            <w:vAlign w:val="bottom"/>
          </w:tcPr>
          <w:p>
            <w:pPr>
              <w:ind w:left="640"/>
              <w:spacing w:after="0" w:line="165" w:lineRule="exact"/>
              <w:rPr>
                <w:sz w:val="20"/>
                <w:szCs w:val="20"/>
                <w:color w:val="auto"/>
              </w:rPr>
            </w:pPr>
            <w:r>
              <w:rPr>
                <w:rFonts w:ascii="Times New Roman" w:cs="Times New Roman" w:eastAsia="Times New Roman" w:hAnsi="Times New Roman"/>
                <w:sz w:val="16"/>
                <w:szCs w:val="16"/>
                <w:color w:val="auto"/>
              </w:rPr>
              <w:t>related to net proceeds from issuance of Common Shares, through the 2022 ATM Program the</w:t>
            </w:r>
          </w:p>
        </w:tc>
      </w:tr>
      <w:tr>
        <w:trPr>
          <w:trHeight w:val="162"/>
        </w:trPr>
        <w:tc>
          <w:tcPr>
            <w:tcW w:w="3080" w:type="dxa"/>
            <w:vAlign w:val="bottom"/>
          </w:tcPr>
          <w:p>
            <w:pPr>
              <w:spacing w:after="0"/>
              <w:rPr>
                <w:sz w:val="14"/>
                <w:szCs w:val="14"/>
                <w:color w:val="auto"/>
              </w:rPr>
            </w:pPr>
          </w:p>
        </w:tc>
        <w:tc>
          <w:tcPr>
            <w:tcW w:w="6760" w:type="dxa"/>
            <w:vAlign w:val="bottom"/>
          </w:tcPr>
          <w:p>
            <w:pPr>
              <w:ind w:left="640"/>
              <w:spacing w:after="0" w:line="162" w:lineRule="exact"/>
              <w:rPr>
                <w:sz w:val="20"/>
                <w:szCs w:val="20"/>
                <w:color w:val="auto"/>
              </w:rPr>
            </w:pPr>
            <w:r>
              <w:rPr>
                <w:rFonts w:ascii="Times New Roman" w:cs="Times New Roman" w:eastAsia="Times New Roman" w:hAnsi="Times New Roman"/>
                <w:sz w:val="16"/>
                <w:szCs w:val="16"/>
                <w:color w:val="auto"/>
              </w:rPr>
              <w:t>2023 ATM Program, Common Share issuance related to the Arrangement and pursuant to the</w:t>
            </w:r>
          </w:p>
        </w:tc>
      </w:tr>
      <w:tr>
        <w:trPr>
          <w:trHeight w:val="206"/>
        </w:trPr>
        <w:tc>
          <w:tcPr>
            <w:tcW w:w="308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LPC Agreement, of $190,954, and lease payments of ($93).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725" w:right="3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18"/>
        </w:trPr>
        <w:tc>
          <w:tcPr>
            <w:tcW w:w="4220" w:type="dxa"/>
            <w:vAlign w:val="bottom"/>
            <w:tcBorders>
              <w:bottom w:val="single" w:sz="8" w:color="auto"/>
            </w:tcBorders>
          </w:tcPr>
          <w:p>
            <w:pPr>
              <w:spacing w:after="0"/>
              <w:rPr>
                <w:sz w:val="18"/>
                <w:szCs w:val="18"/>
                <w:color w:val="auto"/>
              </w:rPr>
            </w:pPr>
          </w:p>
        </w:tc>
        <w:tc>
          <w:tcPr>
            <w:tcW w:w="7020" w:type="dxa"/>
            <w:vAlign w:val="bottom"/>
            <w:tcBorders>
              <w:top w:val="single" w:sz="8" w:color="auto"/>
              <w:left w:val="single" w:sz="8" w:color="auto"/>
              <w:bottom w:val="single" w:sz="8" w:color="auto"/>
              <w:right w:val="single" w:sz="8" w:color="auto"/>
            </w:tcBorders>
          </w:tcPr>
          <w:p>
            <w:pPr>
              <w:ind w:left="2580"/>
              <w:spacing w:after="0"/>
              <w:rPr>
                <w:sz w:val="20"/>
                <w:szCs w:val="20"/>
                <w:color w:val="auto"/>
              </w:rPr>
            </w:pPr>
            <w:r>
              <w:rPr>
                <w:rFonts w:ascii="Times New Roman" w:cs="Times New Roman" w:eastAsia="Times New Roman" w:hAnsi="Times New Roman"/>
                <w:sz w:val="16"/>
                <w:szCs w:val="16"/>
                <w:b w:val="1"/>
                <w:bCs w:val="1"/>
                <w:color w:val="auto"/>
              </w:rPr>
              <w:t>Year ended March 31, 2024</w:t>
            </w:r>
          </w:p>
        </w:tc>
        <w:tc>
          <w:tcPr>
            <w:tcW w:w="0" w:type="dxa"/>
            <w:vAlign w:val="bottom"/>
          </w:tcPr>
          <w:p>
            <w:pPr>
              <w:spacing w:after="0"/>
              <w:rPr>
                <w:sz w:val="1"/>
                <w:szCs w:val="1"/>
                <w:color w:val="auto"/>
              </w:rPr>
            </w:pPr>
          </w:p>
        </w:tc>
      </w:tr>
      <w:tr>
        <w:trPr>
          <w:trHeight w:val="150"/>
        </w:trPr>
        <w:tc>
          <w:tcPr>
            <w:tcW w:w="4220" w:type="dxa"/>
            <w:vAlign w:val="bottom"/>
            <w:shd w:val="clear" w:color="auto" w:fill="DBDBDB"/>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702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 expenses,</w:t>
            </w:r>
          </w:p>
        </w:tc>
        <w:tc>
          <w:tcPr>
            <w:tcW w:w="0" w:type="dxa"/>
            <w:vAlign w:val="bottom"/>
          </w:tcPr>
          <w:p>
            <w:pPr>
              <w:spacing w:after="0"/>
              <w:rPr>
                <w:sz w:val="1"/>
                <w:szCs w:val="1"/>
                <w:color w:val="auto"/>
              </w:rPr>
            </w:pPr>
          </w:p>
        </w:tc>
      </w:tr>
      <w:tr>
        <w:trPr>
          <w:trHeight w:val="165"/>
        </w:trPr>
        <w:tc>
          <w:tcPr>
            <w:tcW w:w="4220" w:type="dxa"/>
            <w:vAlign w:val="bottom"/>
            <w:shd w:val="clear" w:color="auto" w:fill="DBDBDB"/>
          </w:tcPr>
          <w:p>
            <w:pPr>
              <w:spacing w:after="0"/>
              <w:rPr>
                <w:sz w:val="14"/>
                <w:szCs w:val="14"/>
                <w:color w:val="auto"/>
              </w:rPr>
            </w:pPr>
          </w:p>
        </w:tc>
        <w:tc>
          <w:tcPr>
            <w:tcW w:w="702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salaries, and other general and administration expenses. Cash flows from operating activities exclude</w:t>
            </w:r>
          </w:p>
        </w:tc>
        <w:tc>
          <w:tcPr>
            <w:tcW w:w="0" w:type="dxa"/>
            <w:vAlign w:val="bottom"/>
          </w:tcPr>
          <w:p>
            <w:pPr>
              <w:spacing w:after="0"/>
              <w:rPr>
                <w:sz w:val="1"/>
                <w:szCs w:val="1"/>
                <w:color w:val="auto"/>
              </w:rPr>
            </w:pPr>
          </w:p>
        </w:tc>
      </w:tr>
      <w:tr>
        <w:trPr>
          <w:trHeight w:val="162"/>
        </w:trPr>
        <w:tc>
          <w:tcPr>
            <w:tcW w:w="4220" w:type="dxa"/>
            <w:vAlign w:val="bottom"/>
            <w:shd w:val="clear" w:color="auto" w:fill="DBDBDB"/>
          </w:tcPr>
          <w:p>
            <w:pPr>
              <w:spacing w:after="0"/>
              <w:rPr>
                <w:sz w:val="14"/>
                <w:szCs w:val="14"/>
                <w:color w:val="auto"/>
              </w:rPr>
            </w:pPr>
          </w:p>
        </w:tc>
        <w:tc>
          <w:tcPr>
            <w:tcW w:w="7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expenses not affecting cash, such as share based compensation expense, depreciation, unrealized foreign</w:t>
            </w:r>
          </w:p>
        </w:tc>
        <w:tc>
          <w:tcPr>
            <w:tcW w:w="0" w:type="dxa"/>
            <w:vAlign w:val="bottom"/>
          </w:tcPr>
          <w:p>
            <w:pPr>
              <w:spacing w:after="0"/>
              <w:rPr>
                <w:sz w:val="1"/>
                <w:szCs w:val="1"/>
                <w:color w:val="auto"/>
              </w:rPr>
            </w:pPr>
          </w:p>
        </w:tc>
      </w:tr>
      <w:tr>
        <w:trPr>
          <w:trHeight w:val="202"/>
        </w:trPr>
        <w:tc>
          <w:tcPr>
            <w:tcW w:w="4220" w:type="dxa"/>
            <w:vAlign w:val="bottom"/>
            <w:shd w:val="clear" w:color="auto" w:fill="DBDBDB"/>
          </w:tcPr>
          <w:p>
            <w:pPr>
              <w:spacing w:after="0"/>
              <w:rPr>
                <w:sz w:val="17"/>
                <w:szCs w:val="17"/>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gains or losses, and net changes in non-cash balances relating to operations.</w:t>
            </w:r>
          </w:p>
        </w:tc>
        <w:tc>
          <w:tcPr>
            <w:tcW w:w="0" w:type="dxa"/>
            <w:vAlign w:val="bottom"/>
          </w:tcPr>
          <w:p>
            <w:pPr>
              <w:spacing w:after="0"/>
              <w:rPr>
                <w:sz w:val="1"/>
                <w:szCs w:val="1"/>
                <w:color w:val="auto"/>
              </w:rPr>
            </w:pPr>
          </w:p>
        </w:tc>
      </w:tr>
      <w:tr>
        <w:trPr>
          <w:trHeight w:val="162"/>
        </w:trPr>
        <w:tc>
          <w:tcPr>
            <w:tcW w:w="4220" w:type="dxa"/>
            <w:vAlign w:val="bottom"/>
            <w:shd w:val="clear" w:color="auto" w:fill="DBDBDB"/>
          </w:tcPr>
          <w:p>
            <w:pPr>
              <w:spacing w:after="0"/>
              <w:rPr>
                <w:sz w:val="14"/>
                <w:szCs w:val="14"/>
                <w:color w:val="auto"/>
              </w:rPr>
            </w:pPr>
          </w:p>
        </w:tc>
        <w:tc>
          <w:tcPr>
            <w:tcW w:w="7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 the year ended March 31, 2024, cash used in operating activities was $68,908 driven by a net loss for</w:t>
            </w:r>
          </w:p>
        </w:tc>
        <w:tc>
          <w:tcPr>
            <w:tcW w:w="0" w:type="dxa"/>
            <w:vAlign w:val="bottom"/>
          </w:tcPr>
          <w:p>
            <w:pPr>
              <w:spacing w:after="0"/>
              <w:rPr>
                <w:sz w:val="1"/>
                <w:szCs w:val="1"/>
                <w:color w:val="auto"/>
              </w:rPr>
            </w:pPr>
          </w:p>
        </w:tc>
      </w:tr>
      <w:tr>
        <w:trPr>
          <w:trHeight w:val="165"/>
        </w:trPr>
        <w:tc>
          <w:tcPr>
            <w:tcW w:w="4220" w:type="dxa"/>
            <w:vAlign w:val="bottom"/>
            <w:shd w:val="clear" w:color="auto" w:fill="DBDBDB"/>
          </w:tcPr>
          <w:p>
            <w:pPr>
              <w:spacing w:after="0"/>
              <w:rPr>
                <w:sz w:val="14"/>
                <w:szCs w:val="14"/>
                <w:color w:val="auto"/>
              </w:rPr>
            </w:pPr>
          </w:p>
        </w:tc>
        <w:tc>
          <w:tcPr>
            <w:tcW w:w="702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the period of $78,080 partially offset by the following non-cash items: an unrealized foreign exchange gain</w:t>
            </w:r>
          </w:p>
        </w:tc>
        <w:tc>
          <w:tcPr>
            <w:tcW w:w="0" w:type="dxa"/>
            <w:vAlign w:val="bottom"/>
          </w:tcPr>
          <w:p>
            <w:pPr>
              <w:spacing w:after="0"/>
              <w:rPr>
                <w:sz w:val="1"/>
                <w:szCs w:val="1"/>
                <w:color w:val="auto"/>
              </w:rPr>
            </w:pPr>
          </w:p>
        </w:tc>
      </w:tr>
      <w:tr>
        <w:trPr>
          <w:trHeight w:val="162"/>
        </w:trPr>
        <w:tc>
          <w:tcPr>
            <w:tcW w:w="4220" w:type="dxa"/>
            <w:vAlign w:val="bottom"/>
            <w:shd w:val="clear" w:color="auto" w:fill="DBDBDB"/>
          </w:tcPr>
          <w:p>
            <w:pPr>
              <w:spacing w:after="0"/>
              <w:rPr>
                <w:sz w:val="14"/>
                <w:szCs w:val="14"/>
                <w:color w:val="auto"/>
              </w:rPr>
            </w:pPr>
          </w:p>
        </w:tc>
        <w:tc>
          <w:tcPr>
            <w:tcW w:w="7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of $137, share-based compensation of $13,886, an increase in working capital of $3,590, depreciation and</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auto"/>
            </w:tcBorders>
            <w:shd w:val="clear" w:color="auto" w:fill="DBDBDB"/>
          </w:tcPr>
          <w:p>
            <w:pPr>
              <w:spacing w:after="0"/>
              <w:rPr>
                <w:sz w:val="17"/>
                <w:szCs w:val="17"/>
                <w:color w:val="auto"/>
              </w:rPr>
            </w:pP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of $424 and lease interest $8.</w:t>
            </w:r>
          </w:p>
        </w:tc>
        <w:tc>
          <w:tcPr>
            <w:tcW w:w="0" w:type="dxa"/>
            <w:vAlign w:val="bottom"/>
          </w:tcPr>
          <w:p>
            <w:pPr>
              <w:spacing w:after="0"/>
              <w:rPr>
                <w:sz w:val="1"/>
                <w:szCs w:val="1"/>
                <w:color w:val="auto"/>
              </w:rPr>
            </w:pPr>
          </w:p>
        </w:tc>
      </w:tr>
      <w:tr>
        <w:trPr>
          <w:trHeight w:val="204"/>
        </w:trPr>
        <w:tc>
          <w:tcPr>
            <w:tcW w:w="4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year ended March 31, 2024, cash used in investing activities were driven by the purchase of</w:t>
            </w:r>
          </w:p>
        </w:tc>
        <w:tc>
          <w:tcPr>
            <w:tcW w:w="0" w:type="dxa"/>
            <w:vAlign w:val="bottom"/>
          </w:tcPr>
          <w:p>
            <w:pPr>
              <w:spacing w:after="0"/>
              <w:rPr>
                <w:sz w:val="1"/>
                <w:szCs w:val="1"/>
                <w:color w:val="auto"/>
              </w:rPr>
            </w:pPr>
          </w:p>
        </w:tc>
      </w:tr>
      <w:tr>
        <w:trPr>
          <w:trHeight w:val="54"/>
        </w:trPr>
        <w:tc>
          <w:tcPr>
            <w:tcW w:w="4220" w:type="dxa"/>
            <w:vAlign w:val="bottom"/>
            <w:shd w:val="clear" w:color="auto" w:fill="DBDBDB"/>
          </w:tcPr>
          <w:p>
            <w:pPr>
              <w:spacing w:after="0"/>
              <w:rPr>
                <w:sz w:val="4"/>
                <w:szCs w:val="4"/>
                <w:color w:val="auto"/>
              </w:rPr>
            </w:pPr>
          </w:p>
        </w:tc>
        <w:tc>
          <w:tcPr>
            <w:tcW w:w="7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4220" w:type="dxa"/>
            <w:vAlign w:val="bottom"/>
            <w:tcBorders>
              <w:bottom w:val="single" w:sz="8" w:color="DBDBDB"/>
            </w:tcBorders>
            <w:shd w:val="clear" w:color="auto" w:fill="DBDBDB"/>
          </w:tcPr>
          <w:p>
            <w:pPr>
              <w:spacing w:after="0"/>
              <w:rPr>
                <w:sz w:val="24"/>
                <w:szCs w:val="24"/>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of $689, disposal of tangible assets $ 21 and cash acquired on acquisition $ 7,632.</w:t>
            </w:r>
          </w:p>
        </w:tc>
        <w:tc>
          <w:tcPr>
            <w:tcW w:w="0" w:type="dxa"/>
            <w:vAlign w:val="bottom"/>
          </w:tcPr>
          <w:p>
            <w:pPr>
              <w:spacing w:after="0"/>
              <w:rPr>
                <w:sz w:val="1"/>
                <w:szCs w:val="1"/>
                <w:color w:val="auto"/>
              </w:rPr>
            </w:pPr>
          </w:p>
        </w:tc>
      </w:tr>
      <w:tr>
        <w:trPr>
          <w:trHeight w:val="150"/>
        </w:trPr>
        <w:tc>
          <w:tcPr>
            <w:tcW w:w="4220" w:type="dxa"/>
            <w:vAlign w:val="bottom"/>
            <w:tcBorders>
              <w:top w:val="single" w:sz="8" w:color="auto"/>
            </w:tcBorders>
            <w:shd w:val="clear" w:color="auto" w:fill="DBDBDB"/>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Net cash from financing activities</w:t>
            </w:r>
          </w:p>
        </w:tc>
        <w:tc>
          <w:tcPr>
            <w:tcW w:w="7020" w:type="dxa"/>
            <w:vAlign w:val="bottom"/>
            <w:tcBorders>
              <w:top w:val="single" w:sz="8" w:color="auto"/>
            </w:tcBorders>
          </w:tcPr>
          <w:p>
            <w:pPr>
              <w:ind w:left="20"/>
              <w:spacing w:after="0" w:line="150" w:lineRule="exact"/>
              <w:rPr>
                <w:sz w:val="20"/>
                <w:szCs w:val="20"/>
                <w:color w:val="auto"/>
              </w:rPr>
            </w:pPr>
            <w:r>
              <w:rPr>
                <w:rFonts w:ascii="Times New Roman" w:cs="Times New Roman" w:eastAsia="Times New Roman" w:hAnsi="Times New Roman"/>
                <w:sz w:val="16"/>
                <w:szCs w:val="16"/>
                <w:color w:val="auto"/>
              </w:rPr>
              <w:t>For the year ended March 31, 2024, cash flows from financing activities were related to net proceeds from</w:t>
            </w:r>
          </w:p>
        </w:tc>
        <w:tc>
          <w:tcPr>
            <w:tcW w:w="0" w:type="dxa"/>
            <w:vAlign w:val="bottom"/>
          </w:tcPr>
          <w:p>
            <w:pPr>
              <w:spacing w:after="0"/>
              <w:rPr>
                <w:sz w:val="1"/>
                <w:szCs w:val="1"/>
                <w:color w:val="auto"/>
              </w:rPr>
            </w:pPr>
          </w:p>
        </w:tc>
      </w:tr>
      <w:tr>
        <w:trPr>
          <w:trHeight w:val="165"/>
        </w:trPr>
        <w:tc>
          <w:tcPr>
            <w:tcW w:w="4220" w:type="dxa"/>
            <w:vAlign w:val="bottom"/>
            <w:shd w:val="clear" w:color="auto" w:fill="DBDBDB"/>
          </w:tcPr>
          <w:p>
            <w:pPr>
              <w:spacing w:after="0"/>
              <w:rPr>
                <w:sz w:val="14"/>
                <w:szCs w:val="14"/>
                <w:color w:val="auto"/>
              </w:rPr>
            </w:pPr>
          </w:p>
        </w:tc>
        <w:tc>
          <w:tcPr>
            <w:tcW w:w="702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Shares, through the 2022 ATM Program the 2023 ATM Program, Common Share</w:t>
            </w:r>
          </w:p>
        </w:tc>
        <w:tc>
          <w:tcPr>
            <w:tcW w:w="0" w:type="dxa"/>
            <w:vAlign w:val="bottom"/>
          </w:tcPr>
          <w:p>
            <w:pPr>
              <w:spacing w:after="0"/>
              <w:rPr>
                <w:sz w:val="1"/>
                <w:szCs w:val="1"/>
                <w:color w:val="auto"/>
              </w:rPr>
            </w:pPr>
          </w:p>
        </w:tc>
      </w:tr>
      <w:tr>
        <w:trPr>
          <w:trHeight w:val="162"/>
        </w:trPr>
        <w:tc>
          <w:tcPr>
            <w:tcW w:w="4220" w:type="dxa"/>
            <w:vAlign w:val="bottom"/>
            <w:shd w:val="clear" w:color="auto" w:fill="DBDBDB"/>
          </w:tcPr>
          <w:p>
            <w:pPr>
              <w:spacing w:after="0"/>
              <w:rPr>
                <w:sz w:val="14"/>
                <w:szCs w:val="14"/>
                <w:color w:val="auto"/>
              </w:rPr>
            </w:pPr>
          </w:p>
        </w:tc>
        <w:tc>
          <w:tcPr>
            <w:tcW w:w="7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related to the Arrangement and pursuant to the LPC Agreement, of $254,600,Common Shares</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auto"/>
            </w:tcBorders>
            <w:shd w:val="clear" w:color="auto" w:fill="DBDBDB"/>
          </w:tcPr>
          <w:p>
            <w:pPr>
              <w:spacing w:after="0"/>
              <w:rPr>
                <w:sz w:val="17"/>
                <w:szCs w:val="17"/>
                <w:color w:val="auto"/>
              </w:rPr>
            </w:pP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issued on exercise of certain warrants $56 and lease payments of ($149).</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On August 8, 2022, the Company established an at-the-market program (</w:t>
      </w:r>
      <w:r>
        <w:rPr>
          <w:rFonts w:ascii="Times New Roman" w:cs="Times New Roman" w:eastAsia="Times New Roman" w:hAnsi="Times New Roman"/>
          <w:sz w:val="18"/>
          <w:szCs w:val="18"/>
          <w:b w:val="1"/>
          <w:bCs w:val="1"/>
          <w:color w:val="auto"/>
        </w:rPr>
        <w:t>“2022 ATM Program”</w:t>
      </w:r>
      <w:r>
        <w:rPr>
          <w:rFonts w:ascii="Times New Roman" w:cs="Times New Roman" w:eastAsia="Times New Roman" w:hAnsi="Times New Roman"/>
          <w:sz w:val="18"/>
          <w:szCs w:val="18"/>
          <w:color w:val="auto"/>
        </w:rPr>
        <w:t xml:space="preserve">) that allowed the Company to issue and sell up to US$35,000 of Common Shares in the capital of the Company from treasury to the public, from time to time, which was qualified by way of a prospectus supplement dated August 8, 2022 to the 2021 Base Shelf Prospectus. The 2021 Base Shelf Prospectus was effective for a period of 25 months, ending on August 5, 2023 (the </w:t>
      </w:r>
      <w:r>
        <w:rPr>
          <w:rFonts w:ascii="Times New Roman" w:cs="Times New Roman" w:eastAsia="Times New Roman" w:hAnsi="Times New Roman"/>
          <w:sz w:val="18"/>
          <w:szCs w:val="18"/>
          <w:b w:val="1"/>
          <w:bCs w:val="1"/>
          <w:color w:val="auto"/>
        </w:rPr>
        <w:t>“Lapse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 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 were issued and sold at the prevailing market price at the time of the applicable sale, prices varied among purchasers through the duration of the 2022 ATM Program. During the year ended March 31, 2024, the Company had sold 10,625,951 Common Shares under the 2022 ATM Program at an average price of $0.4301 (US$0.3208) per Common Share, for aggregate gross proceeds of $4,571 (US$3,409).</w:t>
      </w:r>
    </w:p>
    <w:p>
      <w:pPr>
        <w:spacing w:after="0" w:line="20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May 30, 2023, the Company entered into the LPC Purchase Agreement. Subject to the terms and conditions of the LPC Purchase Agreement, the Company had the right to sell, and LPC was obligated to purchase, up to US$30,000 of Common Shares over a 36-month period at prices that are based on the market price at the time of each sale to LPC. Cybin, in its sole discretion, controls the timing and amount of all sales of Common Shares under the LPC Purchase Agreement.On July 31, 2023, Cybin announced that it had suspended all sales under the LPC Purchase Agreement in</w:t>
      </w:r>
    </w:p>
    <w:p>
      <w:pPr>
        <w:spacing w:after="0" w:line="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connection with the August 2023 Offering. On August 23, 2023, the Company also announced the filing of a prospectus supplement under the 2023 Base Shelf Prospectus, requalifying the LPC Purchase Agreement on the same terms as those entered into on May 30, 2023, with LPC. During the year ended March 31, 2024 Company sold 1,925,000 Common Shares, at an average price of $0.3236 (US$0.2417) per Common Share, for aggregate gross proceeds of $623 (US$465) pursuant to the LPC Purchase Agreement. Share issuance costs related to the LPC Agreement for the year ended March 31, 2024 were $476 (US$351).</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725" w:right="319" w:bottom="1440" w:gutter="0" w:footer="0" w:header="0"/>
        </w:sectPr>
      </w:pPr>
    </w:p>
    <w:bookmarkStart w:id="318" w:name="page319"/>
    <w:bookmarkEnd w:id="318"/>
    <w:p>
      <w:pPr>
        <w:jc w:val="both"/>
        <w:spacing w:after="0" w:line="295" w:lineRule="auto"/>
        <w:rPr>
          <w:sz w:val="20"/>
          <w:szCs w:val="20"/>
          <w:color w:val="auto"/>
        </w:rPr>
      </w:pPr>
      <w:r>
        <w:rPr>
          <w:rFonts w:ascii="Times New Roman" w:cs="Times New Roman" w:eastAsia="Times New Roman" w:hAnsi="Times New Roman"/>
          <w:sz w:val="18"/>
          <w:szCs w:val="18"/>
          <w:color w:val="auto"/>
        </w:rPr>
        <w:t>On August 4, 2023, the Company completed the August 2023 Offering of the August 2023 Units at a price of US$0.34 per August 2023 Unit for gross proceeds of $11,018(US$8,250) pursuant to the August Prospectus Supplement to the 2021 Base Shelf Prospectus. Each August 2023 Unit is comprised of one Common Share and one August 2023 Warrant. Each August 2023 Warrant is exercisable to acquire one Common Share at a price of $0.53(US$0.40) per Common Share for a period of 60 months from issuance, subject to acceleration in certain circumstances. In connection with the Offering, Cybin paid the underwriters a cash commission of $506(US$379) and incurred additional share issuance costs, being professional fees of $619(US$458).</w:t>
      </w:r>
    </w:p>
    <w:p>
      <w:pPr>
        <w:spacing w:after="0" w:line="18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August 23, 2023, the Company announced the filing of the ATM Prospectus Supplement under the 2023 Base Shelf Prospectus to renew its previously established at-the-market equity program that allows the Company to issue and sell up to US$35,000 of Common Shares from treasury to the public, from time to time. Distributions of Common Shares under the 2023 ATM Program will be made pursuant to the terms and conditions of the 2023 Distribution Agreement.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From August 23, 2023, being the date of the launch of the 2023 ATM Program to March 31, 2024 the Company sold 23,514,556 Common Shares under the 2023 ATM Program, at an average price of $0.4662 (US$0.3449) per Common Share, for aggregate gross proceeds of $10,962 (US$8,109). Share issuance costs related to the 2023 ATM Program were $329 (US$243).</w:t>
      </w:r>
    </w:p>
    <w:p>
      <w:pPr>
        <w:spacing w:after="0" w:line="18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On November 14, 2023, the Company completed the November 2023 Offering of the November 2023 Units at a price of US$0.45 per November 2023 Unit for gross proceeds of $41,107(US$30,000</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pursuant to the November Prospectus Supplement to the 2023 Base Shelf Prospectus. Each November 2023 Unit is comprised of one Common Share and one November 2023 Warrant. Each November 2023 Warrant is exercisable to acquire one Common Share at a price of $0.70 (US$0.51) per Common Share between May 14, 2024 and May 14, 2029, subject to acceleration in certain circumstances. In connection with the November 2023 Offering, Cybin paid the underwriters a cash commission of $2,096(US$1,530) and incurred additional share issuance costs being professional fees of $341(US$248).</w:t>
      </w:r>
    </w:p>
    <w:p>
      <w:pPr>
        <w:spacing w:after="0" w:line="19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On March 19, 2024, the Company completed the March 2024 Offering of 348,837,210 Common Shares at a price of US$0.43 per Common Share for gross proceeds of $202,995(US$150,000). Pursuant to the terms of the March 2024 Offering, on April 8, 2024, the Company amended the 2023 Base Shelf Prospectus to provide that the securities that may be offered and issued thereunder will include distributions by various selling securityholders. Further, on April 17, 2024, the Company filed a prospectus supplement to the 2023 Base Shelf Prospectus, in order to qualify the periodic resale of 333,029,767 Common Shares issued to certain non-Canadian investors pursuant to the March 2024 Offering (See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s”). In connection with the March 2024 Offering, Cybin paid the agents a cash commission of $11,726(US$8,665) and incurred additional share issuance costs being professional fees of $169(US$125).</w:t>
      </w:r>
    </w:p>
    <w:p>
      <w:pPr>
        <w:spacing w:after="0" w:line="19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9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As at March 31, 2024, the Company had working capital of $208,440.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320" w:top="724" w:right="319" w:bottom="1440" w:gutter="0" w:footer="0" w:header="0"/>
        </w:sectPr>
      </w:pPr>
    </w:p>
    <w:bookmarkStart w:id="319" w:name="page320"/>
    <w:bookmarkEnd w:id="319"/>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spacing w:after="0" w:line="18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9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7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 xml:space="preserve">The Company’s current expenditure obligations include commitments for those projects described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Non-Revenue Generating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Projects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this MD&amp;A. The Company expects to continue funding these projects with available cash and cash equivalents, and therefore, is subject to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March 31, 2024, the Company had a cash balance of $208,992 and current liabilities of $10,096. The Company’s current resources are sufficient to settle its current liabilities.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4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725" w:right="319" w:bottom="1440" w:gutter="0" w:footer="0" w:header="0"/>
        </w:sectPr>
      </w:pPr>
    </w:p>
    <w:bookmarkStart w:id="320" w:name="page321"/>
    <w:bookmarkEnd w:id="320"/>
    <w:p>
      <w:pPr>
        <w:jc w:val="both"/>
        <w:ind w:right="20"/>
        <w:spacing w:after="0" w:line="327" w:lineRule="auto"/>
        <w:rPr>
          <w:sz w:val="20"/>
          <w:szCs w:val="20"/>
          <w:color w:val="auto"/>
        </w:rPr>
      </w:pPr>
      <w:r>
        <w:rPr>
          <w:rFonts w:ascii="Times New Roman" w:cs="Times New Roman" w:eastAsia="Times New Roman" w:hAnsi="Times New Roman"/>
          <w:sz w:val="18"/>
          <w:szCs w:val="18"/>
          <w:color w:val="auto"/>
        </w:rPr>
        <w:t>will be available if needed or that these financings will be on terms at least as favourable to the Company as those previously obtained, or at all.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at March 31, 2024, the Company had sold 54,894,627 Common Shares under the 2022 ATM Program and 2023 ATM Program at an average price of US$0.4018 per Common Share, for aggregate gross proceeds of US$22,059. The Company also raised capital pursuant to the LPC Purchase Agreement. As at March 31, 2024, the Company sold 1,925,000 Common Shares, at an average price of US$0.2417 per Common Share, for aggregate gross proceeds of US$465 pursuant to the LPC Purchase Agreement.</w:t>
      </w:r>
    </w:p>
    <w:p>
      <w:pPr>
        <w:spacing w:after="0" w:line="38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after the completion of the March 2024 Offering, August 2023 Offering and the November 2023 Offering to manage its short- and long-term cash flow needs as it continues to invest into its intellectual property.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3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As at March 31, 2024, the Company had also entered into agreements for various studies which may require the Company to spend up to an additional 6,625. The Company expects to pay this amount within the next 12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Exchange. There is no assurance that the aforementioned milestones will be met.</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89"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legal proceedings and claims. As at March 31, 2024, there was no ongoing litigation and therefore no contingent liabilities have been recorded.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722" w:right="31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March 31, 2024 and as of the date of this MD&amp;A:</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280" w:type="dxa"/>
            <w:vAlign w:val="bottom"/>
            <w:tcBorders>
              <w:top w:val="single" w:sz="8" w:color="auto"/>
              <w:left w:val="single" w:sz="8" w:color="auto"/>
              <w:bottom w:val="single" w:sz="8" w:color="auto"/>
              <w:right w:val="single" w:sz="8" w:color="auto"/>
            </w:tcBorders>
            <w:shd w:val="clear" w:color="auto" w:fill="DBDBDB"/>
          </w:tcPr>
          <w:p>
            <w:pPr>
              <w:ind w:left="1560"/>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00" w:type="dxa"/>
            <w:vAlign w:val="bottom"/>
            <w:tcBorders>
              <w:top w:val="single" w:sz="8" w:color="auto"/>
              <w:bottom w:val="single" w:sz="8" w:color="auto"/>
              <w:right w:val="single" w:sz="8" w:color="auto"/>
            </w:tcBorders>
            <w:shd w:val="clear" w:color="auto" w:fill="DBDBDB"/>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3660" w:type="dxa"/>
            <w:vAlign w:val="bottom"/>
            <w:tcBorders>
              <w:top w:val="single" w:sz="8" w:color="auto"/>
              <w:bottom w:val="single" w:sz="8" w:color="auto"/>
              <w:right w:val="single" w:sz="8" w:color="auto"/>
            </w:tcBorders>
            <w:shd w:val="clear" w:color="auto" w:fill="DBDBDB"/>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320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759,692,495</w:t>
            </w:r>
          </w:p>
        </w:tc>
        <w:tc>
          <w:tcPr>
            <w:tcW w:w="36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759,692,495</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20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66,201,000</w:t>
            </w:r>
          </w:p>
        </w:tc>
        <w:tc>
          <w:tcPr>
            <w:tcW w:w="36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32,329,100</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0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106,255,498</w:t>
            </w:r>
          </w:p>
        </w:tc>
        <w:tc>
          <w:tcPr>
            <w:tcW w:w="36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106,255,498</w:t>
            </w:r>
          </w:p>
        </w:tc>
      </w:tr>
      <w:tr>
        <w:trPr>
          <w:trHeight w:val="295"/>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Class B Shares (as defined below) </w:t>
            </w:r>
            <w:r>
              <w:rPr>
                <w:rFonts w:ascii="Times New Roman" w:cs="Times New Roman" w:eastAsia="Times New Roman" w:hAnsi="Times New Roman"/>
                <w:sz w:val="21"/>
                <w:szCs w:val="21"/>
                <w:color w:val="auto"/>
                <w:vertAlign w:val="superscript"/>
              </w:rPr>
              <w:t>(1)</w:t>
            </w:r>
          </w:p>
        </w:tc>
        <w:tc>
          <w:tcPr>
            <w:tcW w:w="320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36,084.7</w:t>
            </w:r>
          </w:p>
        </w:tc>
        <w:tc>
          <w:tcPr>
            <w:tcW w:w="36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36,084.7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w:t>
      </w:r>
    </w:p>
    <w:p>
      <w:pPr>
        <w:spacing w:after="0" w:line="82" w:lineRule="exact"/>
        <w:rPr>
          <w:sz w:val="20"/>
          <w:szCs w:val="20"/>
          <w:color w:val="auto"/>
        </w:rPr>
      </w:pPr>
    </w:p>
    <w:p>
      <w:pPr>
        <w:ind w:left="580" w:right="20" w:hanging="1"/>
        <w:spacing w:after="0" w:line="327" w:lineRule="auto"/>
        <w:tabs>
          <w:tab w:leader="none" w:pos="798"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10 Common Shares for each Class B Share, at the option of the holder thereof, subject to customary adjustments.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23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The authorized capital of the Company consists of an unlimited number of Common Shares without par value and an unlimited number of preferred shares. As of </w:t>
      </w: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8"/>
          <w:szCs w:val="18"/>
          <w:color w:val="auto"/>
        </w:rPr>
        <w:t xml:space="preserve"> 759,692,495 Common Shares were outstanding and no preferred shares were issued and outstanding. </w:t>
      </w:r>
      <w:r>
        <w:rPr>
          <w:rFonts w:ascii="Times New Roman" w:cs="Times New Roman" w:eastAsia="Times New Roman" w:hAnsi="Times New Roman"/>
          <w:sz w:val="16"/>
          <w:szCs w:val="16"/>
          <w:color w:val="auto"/>
        </w:rPr>
        <w:t>As of the date of this MD&amp;A,</w:t>
      </w:r>
      <w:r>
        <w:rPr>
          <w:rFonts w:ascii="Times New Roman" w:cs="Times New Roman" w:eastAsia="Times New Roman" w:hAnsi="Times New Roman"/>
          <w:sz w:val="18"/>
          <w:szCs w:val="18"/>
          <w:color w:val="auto"/>
        </w:rPr>
        <w:t xml:space="preserve"> 759,692,495 </w:t>
      </w:r>
      <w:r>
        <w:rPr>
          <w:rFonts w:ascii="Times New Roman" w:cs="Times New Roman" w:eastAsia="Times New Roman" w:hAnsi="Times New Roman"/>
          <w:sz w:val="16"/>
          <w:szCs w:val="16"/>
          <w:color w:val="auto"/>
        </w:rPr>
        <w:t>Common Shares are outstanding.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4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6"/>
          <w:szCs w:val="16"/>
          <w:color w:val="auto"/>
        </w:rPr>
        <w:t>March 31, 2024, o</w:t>
      </w:r>
      <w:r>
        <w:rPr>
          <w:rFonts w:ascii="Times New Roman" w:cs="Times New Roman" w:eastAsia="Times New Roman" w:hAnsi="Times New Roman"/>
          <w:sz w:val="18"/>
          <w:szCs w:val="18"/>
          <w:color w:val="auto"/>
        </w:rPr>
        <w:t xml:space="preserve">ptions to purchase up to </w:t>
      </w:r>
      <w:r>
        <w:rPr>
          <w:rFonts w:ascii="Times New Roman" w:cs="Times New Roman" w:eastAsia="Times New Roman" w:hAnsi="Times New Roman"/>
          <w:sz w:val="16"/>
          <w:szCs w:val="16"/>
          <w:color w:val="auto"/>
        </w:rPr>
        <w:t>66,201,000</w:t>
      </w:r>
      <w:r>
        <w:rPr>
          <w:rFonts w:ascii="Times New Roman" w:cs="Times New Roman" w:eastAsia="Times New Roman" w:hAnsi="Times New Roman"/>
          <w:sz w:val="18"/>
          <w:szCs w:val="18"/>
          <w:color w:val="auto"/>
        </w:rPr>
        <w:t xml:space="preserve"> Common Shares were outstanding under Cybin’s equity incentive plan. As of the date of this MD&amp;A, options to purchase up to 32,329,100 Common Shares were outstanding under Cybin’s equity incentive plan.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Purchase Warrants</w:t>
      </w:r>
    </w:p>
    <w:p>
      <w:pPr>
        <w:spacing w:after="0" w:line="23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8"/>
          <w:szCs w:val="18"/>
          <w:color w:val="auto"/>
        </w:rPr>
        <w:t xml:space="preserve">, warrants to purchase up to </w:t>
      </w:r>
      <w:r>
        <w:rPr>
          <w:rFonts w:ascii="Times New Roman" w:cs="Times New Roman" w:eastAsia="Times New Roman" w:hAnsi="Times New Roman"/>
          <w:sz w:val="16"/>
          <w:szCs w:val="16"/>
          <w:color w:val="auto"/>
        </w:rPr>
        <w:t>106,255,498</w:t>
      </w:r>
      <w:r>
        <w:rPr>
          <w:rFonts w:ascii="Times New Roman" w:cs="Times New Roman" w:eastAsia="Times New Roman" w:hAnsi="Times New Roman"/>
          <w:sz w:val="18"/>
          <w:szCs w:val="18"/>
          <w:color w:val="auto"/>
        </w:rPr>
        <w:t xml:space="preserve"> Common Shares were outstanding, exercisable at weighted average exercise price of $ </w:t>
      </w:r>
      <w:r>
        <w:rPr>
          <w:rFonts w:ascii="Times New Roman" w:cs="Times New Roman" w:eastAsia="Times New Roman" w:hAnsi="Times New Roman"/>
          <w:sz w:val="16"/>
          <w:szCs w:val="16"/>
          <w:color w:val="auto"/>
        </w:rPr>
        <w:t>0.60</w:t>
      </w:r>
      <w:r>
        <w:rPr>
          <w:rFonts w:ascii="Times New Roman" w:cs="Times New Roman" w:eastAsia="Times New Roman" w:hAnsi="Times New Roman"/>
          <w:sz w:val="18"/>
          <w:szCs w:val="18"/>
          <w:color w:val="auto"/>
        </w:rPr>
        <w:t xml:space="preserve"> per Common Share. As of the date of this MD&amp;A, warrants to purchase up to </w:t>
      </w:r>
      <w:r>
        <w:rPr>
          <w:rFonts w:ascii="Times New Roman" w:cs="Times New Roman" w:eastAsia="Times New Roman" w:hAnsi="Times New Roman"/>
          <w:sz w:val="16"/>
          <w:szCs w:val="16"/>
          <w:color w:val="auto"/>
        </w:rPr>
        <w:t>106,255,498</w:t>
      </w:r>
      <w:r>
        <w:rPr>
          <w:rFonts w:ascii="Times New Roman" w:cs="Times New Roman" w:eastAsia="Times New Roman" w:hAnsi="Times New Roman"/>
          <w:sz w:val="18"/>
          <w:szCs w:val="18"/>
          <w:color w:val="auto"/>
        </w:rPr>
        <w:t>Common Shares were outstanding, exercisable at weighted average exercise price of $ 0.60 per Common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Shares</w:t>
      </w:r>
    </w:p>
    <w:p>
      <w:pPr>
        <w:spacing w:after="0" w:line="25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In connection with the Adelia Transaction (see “Acquisitions”), Cybin U.S. (a subsidiary of the Company) has issued 1,591,625.3 Class B Shares. The Class B Shares are exchangeable at the holder’s option for Common Shares on the basis of 10 Common Shares for 1 Class B Share, subject to customary adjustments. As of </w:t>
      </w: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36,084.7</w:t>
      </w:r>
      <w:r>
        <w:rPr>
          <w:rFonts w:ascii="Times New Roman" w:cs="Times New Roman" w:eastAsia="Times New Roman" w:hAnsi="Times New Roman"/>
          <w:sz w:val="18"/>
          <w:szCs w:val="18"/>
          <w:color w:val="auto"/>
        </w:rPr>
        <w:t xml:space="preserve"> Class B Shares were outstanding. As of the date of this MD&amp;A, </w:t>
      </w:r>
      <w:r>
        <w:rPr>
          <w:rFonts w:ascii="Times New Roman" w:cs="Times New Roman" w:eastAsia="Times New Roman" w:hAnsi="Times New Roman"/>
          <w:sz w:val="16"/>
          <w:szCs w:val="16"/>
          <w:color w:val="auto"/>
        </w:rPr>
        <w:t>36,084.7 C</w:t>
      </w:r>
      <w:r>
        <w:rPr>
          <w:rFonts w:ascii="Times New Roman" w:cs="Times New Roman" w:eastAsia="Times New Roman" w:hAnsi="Times New Roman"/>
          <w:sz w:val="18"/>
          <w:szCs w:val="18"/>
          <w:color w:val="auto"/>
        </w:rPr>
        <w:t>lass B Shares were outstanding,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Adelia Acquisition</w:t>
      </w:r>
    </w:p>
    <w:p>
      <w:pPr>
        <w:spacing w:after="0" w:line="26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805" w:right="319" w:bottom="1440" w:gutter="0" w:footer="0" w:header="0"/>
        </w:sectPr>
      </w:pPr>
    </w:p>
    <w:bookmarkStart w:id="322" w:name="page323"/>
    <w:bookmarkEnd w:id="322"/>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18"/>
          <w:szCs w:val="18"/>
          <w:b w:val="1"/>
          <w:bCs w:val="1"/>
          <w:color w:val="auto"/>
        </w:rPr>
        <w:t>Milestone 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1,061,083.2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9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724" w:right="319" w:bottom="1440" w:gutter="0" w:footer="0" w:header="0"/>
        </w:sectPr>
      </w:pPr>
    </w:p>
    <w:bookmarkStart w:id="323" w:name="page324"/>
    <w:bookmarkEnd w:id="323"/>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5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7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8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9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7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On February 18, 2022, an additional 17,239.5 Class B Shares were issued to the Adelia Shareholders due to the achievement of certain Milestones identified as Y2, Q2 (iii), as contemplated by the terms of the Contribution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724" w:right="319" w:bottom="1440" w:gutter="0" w:footer="0" w:header="0"/>
        </w:sectPr>
      </w:pPr>
    </w:p>
    <w:bookmarkStart w:id="324" w:name="page325"/>
    <w:bookmarkEnd w:id="324"/>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Agreement, having an aggregate value of $233 at a price per Class B Share of $13.54. These Class B Shares are exchangeable for a total of 172,395 Common Shares, representing an effective issue price of $1.35 per Common Share.</w:t>
      </w:r>
    </w:p>
    <w:p>
      <w:pPr>
        <w:spacing w:after="0" w:line="15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9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8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2,669,331 Common Shares, representing an effective issue price of $0.762 per Common Share.</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8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331,901 Common Shares, representing an effective issue price of $1.41 per Common Share.</w:t>
      </w:r>
    </w:p>
    <w:p>
      <w:pPr>
        <w:spacing w:after="0" w:line="17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18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60"/>
          </w:cols>
          <w:pgMar w:left="320" w:top="725" w:right="319" w:bottom="1440" w:gutter="0" w:footer="0" w:header="0"/>
        </w:sectPr>
      </w:pPr>
    </w:p>
    <w:bookmarkStart w:id="325" w:name="page326"/>
    <w:bookmarkEnd w:id="325"/>
    <w:p>
      <w:pPr>
        <w:jc w:val="both"/>
        <w:spacing w:after="0" w:line="327" w:lineRule="auto"/>
        <w:rPr>
          <w:sz w:val="20"/>
          <w:szCs w:val="20"/>
          <w:color w:val="auto"/>
        </w:rPr>
      </w:pPr>
      <w:r>
        <w:rPr>
          <w:rFonts w:ascii="Times New Roman" w:cs="Times New Roman" w:eastAsia="Times New Roman" w:hAnsi="Times New Roman"/>
          <w:sz w:val="17"/>
          <w:szCs w:val="17"/>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Pharma Acquisition</w:t>
      </w:r>
    </w:p>
    <w:p>
      <w:pPr>
        <w:spacing w:after="0" w:line="2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August 28, 2023, the Company entered into the Arrangement Agreement with Small Pharma pursuant to which Cybin agreed to acquire all of the issued and outstanding shares of Small Pharma (each, a “</w:t>
      </w:r>
      <w:r>
        <w:rPr>
          <w:rFonts w:ascii="Times New Roman" w:cs="Times New Roman" w:eastAsia="Times New Roman" w:hAnsi="Times New Roman"/>
          <w:sz w:val="18"/>
          <w:szCs w:val="18"/>
          <w:b w:val="1"/>
          <w:bCs w:val="1"/>
          <w:color w:val="auto"/>
        </w:rPr>
        <w:t>Small Pharma Share</w:t>
      </w:r>
      <w:r>
        <w:rPr>
          <w:rFonts w:ascii="Times New Roman" w:cs="Times New Roman" w:eastAsia="Times New Roman" w:hAnsi="Times New Roman"/>
          <w:sz w:val="18"/>
          <w:szCs w:val="18"/>
          <w:color w:val="auto"/>
        </w:rPr>
        <w:t>”) in an all-equity business combination transaction to be completed by way the Arrangement.</w:t>
      </w:r>
    </w:p>
    <w:p>
      <w:pPr>
        <w:spacing w:after="0" w:line="195" w:lineRule="exact"/>
        <w:rPr>
          <w:sz w:val="20"/>
          <w:szCs w:val="20"/>
          <w:color w:val="auto"/>
        </w:rPr>
      </w:pPr>
    </w:p>
    <w:p>
      <w:pPr>
        <w:ind w:right="2940"/>
        <w:spacing w:after="0" w:line="316" w:lineRule="auto"/>
        <w:rPr>
          <w:sz w:val="20"/>
          <w:szCs w:val="20"/>
          <w:color w:val="auto"/>
        </w:rPr>
      </w:pPr>
      <w:r>
        <w:rPr>
          <w:rFonts w:ascii="Times New Roman" w:cs="Times New Roman" w:eastAsia="Times New Roman" w:hAnsi="Times New Roman"/>
          <w:sz w:val="17"/>
          <w:szCs w:val="17"/>
          <w:color w:val="auto"/>
        </w:rPr>
        <w:t>On September 13, 2023, Small Pharma was granted an interim order (the “Interim Order”) by the Supreme Court of British Columbia (the “Court”)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80" w:lineRule="exact"/>
        <w:rPr>
          <w:sz w:val="20"/>
          <w:szCs w:val="20"/>
          <w:color w:val="auto"/>
        </w:rPr>
      </w:pPr>
    </w:p>
    <w:p>
      <w:pPr>
        <w:ind w:right="2920"/>
        <w:spacing w:after="0" w:line="317" w:lineRule="auto"/>
        <w:rPr>
          <w:sz w:val="20"/>
          <w:szCs w:val="20"/>
          <w:color w:val="auto"/>
        </w:rPr>
      </w:pPr>
      <w:r>
        <w:rPr>
          <w:rFonts w:ascii="Times New Roman" w:cs="Times New Roman" w:eastAsia="Times New Roman" w:hAnsi="Times New Roman"/>
          <w:sz w:val="17"/>
          <w:szCs w:val="17"/>
          <w:color w:val="auto"/>
        </w:rPr>
        <w:t>On October 12, 2023, the Company held an annual and special meeting of shareholders (the “Special Meeting”)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October 23, 2023, the Company completed the Arrangement and issued 0.2409 Common Shares for every one Small Pharma Share outstanding, resulting in a total of 80,945,254 Common Shares being issued to Small Pharma shareholders. As a result of the Arrangement, Small Pharma is now a wholly-owned subsidiary of Cybin. See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3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As at </w:t>
      </w: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8"/>
          <w:szCs w:val="18"/>
          <w:color w:val="auto"/>
        </w:rPr>
        <w:t xml:space="preserve"> and the date of this MD&amp;A, other than these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24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For the year ended March 31, 2024, the key management personnel of the Company were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Chief Executive Officer, Chief Financial Officer, Chief Operating Officer, Chief Growth Officer, Chief Compliance, Ethics &amp; Administrative Officer, Chief Legal Officer, Chief Innovation Officer, Chief Medical Officer, and Chief Scientific Officer.</w:t>
      </w:r>
    </w:p>
    <w:p>
      <w:pPr>
        <w:spacing w:after="0" w:line="14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month period ended March 31, 2024 consisted of consulting fees, short term benefits and other compensation of $3,064 (three-month period ended March 31, 2023 - $</w:t>
      </w:r>
      <w:r>
        <w:rPr>
          <w:rFonts w:ascii="Times New Roman" w:cs="Times New Roman" w:eastAsia="Times New Roman" w:hAnsi="Times New Roman"/>
          <w:sz w:val="16"/>
          <w:szCs w:val="16"/>
          <w:color w:val="auto"/>
        </w:rPr>
        <w:t>1,952</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 xml:space="preserve">Compensation for key management personnel of the Company for the year ended </w:t>
      </w: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8"/>
          <w:szCs w:val="18"/>
          <w:color w:val="auto"/>
        </w:rPr>
        <w:t xml:space="preserve"> consisted of consulting fees, short term benefits and other compensation of $15,049 (year ended March 31, 2023 - $8,315)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724"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4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The preparation of the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Financial Statements found on SEDAR+ at </w:t>
      </w:r>
      <w:r>
        <w:rPr>
          <w:rFonts w:ascii="Times New Roman" w:cs="Times New Roman" w:eastAsia="Times New Roman" w:hAnsi="Times New Roman"/>
          <w:sz w:val="18"/>
          <w:szCs w:val="18"/>
          <w:i w:val="1"/>
          <w:iCs w:val="1"/>
          <w:color w:val="auto"/>
        </w:rPr>
        <w:t>www.sedarplus.ca.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56"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set out in note 2 of the of the Financial Statements, found on SEDAR+ at </w:t>
      </w:r>
      <w:r>
        <w:rPr>
          <w:rFonts w:ascii="Times New Roman" w:cs="Times New Roman" w:eastAsia="Times New Roman" w:hAnsi="Times New Roman"/>
          <w:sz w:val="18"/>
          <w:szCs w:val="18"/>
          <w:i w:val="1"/>
          <w:iCs w:val="1"/>
          <w:u w:val="single" w:color="auto"/>
          <w:color w:val="0563C1"/>
        </w:rPr>
        <w:t>www.sedarplus.ca</w:t>
      </w:r>
      <w:r>
        <w:rPr>
          <w:rFonts w:ascii="Times New Roman" w:cs="Times New Roman" w:eastAsia="Times New Roman" w:hAnsi="Times New Roman"/>
          <w:sz w:val="18"/>
          <w:szCs w:val="18"/>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70" w:lineRule="exact"/>
        <w:rPr>
          <w:sz w:val="20"/>
          <w:szCs w:val="20"/>
          <w:color w:val="auto"/>
        </w:rPr>
      </w:pPr>
    </w:p>
    <w:p>
      <w:pPr>
        <w:ind w:right="2840"/>
        <w:spacing w:after="0" w:line="291" w:lineRule="auto"/>
        <w:rPr>
          <w:sz w:val="20"/>
          <w:szCs w:val="20"/>
          <w:color w:val="auto"/>
        </w:rPr>
      </w:pPr>
      <w:r>
        <w:rPr>
          <w:rFonts w:ascii="Times New Roman" w:cs="Times New Roman" w:eastAsia="Times New Roman" w:hAnsi="Times New Roman"/>
          <w:sz w:val="17"/>
          <w:szCs w:val="17"/>
          <w:color w:val="auto"/>
        </w:rPr>
        <w:t>In accordance with the requirements of National Instrument 52-109–Certification of Disclosure in Issuers’ Annual and Interim Filings, the Company’s management, including the Company’s Chief Executive Officer (the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and the</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Company’s Chief Financial Officer (the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have evaluated the effectiveness of the Company’s disclosure controls and procedures. Based upon the results of the evaluation, the CEO and the CFO have concluded that as at March 31, 2024, the Company’s disclosure controls and procedures to provide reasonable assurance that the information required to be disclosed by the Company in reports it files is recorded, processed, summarized and reported within the appropriate time periods and forms were effective.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5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77" w:lineRule="exact"/>
        <w:rPr>
          <w:sz w:val="20"/>
          <w:szCs w:val="20"/>
          <w:color w:val="auto"/>
        </w:rPr>
      </w:pPr>
    </w:p>
    <w:p>
      <w:pPr>
        <w:ind w:left="560" w:hanging="272"/>
        <w:spacing w:after="0"/>
        <w:tabs>
          <w:tab w:leader="none" w:pos="5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47"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35" w:lineRule="exact"/>
        <w:rPr>
          <w:rFonts w:ascii="Times New Roman" w:cs="Times New Roman" w:eastAsia="Times New Roman" w:hAnsi="Times New Roman"/>
          <w:sz w:val="18"/>
          <w:szCs w:val="18"/>
          <w:color w:val="auto"/>
        </w:rPr>
      </w:pPr>
    </w:p>
    <w:p>
      <w:pPr>
        <w:ind w:left="580" w:right="20" w:hanging="292"/>
        <w:spacing w:after="0" w:line="324" w:lineRule="auto"/>
        <w:tabs>
          <w:tab w:leader="none" w:pos="56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4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Company’s management, with the participation of the CEO and the CFO, assessed the effectiveness of the Company’s internal controls over financial reporting and concluded that as at March 31, 2024, the Company’s internal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was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720" w:right="319" w:bottom="1440" w:gutter="0" w:footer="0" w:header="0"/>
        </w:sectPr>
      </w:pPr>
    </w:p>
    <w:bookmarkStart w:id="327" w:name="page328"/>
    <w:bookmarkEnd w:id="327"/>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 xml:space="preserve">During the period ended </w:t>
      </w: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8"/>
          <w:szCs w:val="18"/>
          <w:color w:val="auto"/>
        </w:rPr>
        <w:t>, the Company did not make any significant changes to its internal controls over financial reporting that would have materially affected, or reasonably likely to materially affect, its internal controls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ectPr>
          <w:pgSz w:w="11900" w:h="16838" w:orient="portrait"/>
          <w:cols w:equalWidth="0" w:num="1">
            <w:col w:w="11260"/>
          </w:cols>
          <w:pgMar w:left="320" w:top="712" w:right="319" w:bottom="1440" w:gutter="0" w:footer="0" w:header="0"/>
        </w:sectPr>
      </w:pPr>
    </w:p>
    <w:p>
      <w:pPr>
        <w:spacing w:after="0" w:line="2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 number of new standards, amendments to standards and interpretations are not yet effective at condensed interim consolidated financial statements. Management has determined that none Statements.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0" w:hanging="20"/>
        <w:spacing w:after="0" w:line="343" w:lineRule="auto"/>
        <w:rPr>
          <w:sz w:val="20"/>
          <w:szCs w:val="20"/>
          <w:color w:val="auto"/>
        </w:rPr>
      </w:pP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7"/>
          <w:szCs w:val="17"/>
          <w:color w:val="auto"/>
        </w:rPr>
        <w:t>, and have not been applied in preparing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of these will have a significant effect on the Financial</w:t>
      </w:r>
    </w:p>
    <w:p>
      <w:pPr>
        <w:spacing w:after="0" w:line="395" w:lineRule="exact"/>
        <w:rPr>
          <w:sz w:val="20"/>
          <w:szCs w:val="20"/>
          <w:color w:val="auto"/>
        </w:rPr>
      </w:pPr>
    </w:p>
    <w:p>
      <w:pPr>
        <w:sectPr>
          <w:pgSz w:w="11900" w:h="16838" w:orient="portrait"/>
          <w:cols w:equalWidth="0" w:num="2">
            <w:col w:w="6960" w:space="80"/>
            <w:col w:w="4220"/>
          </w:cols>
          <w:pgMar w:left="320" w:top="71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Risk Management</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712" w:right="319" w:bottom="1440" w:gutter="0" w:footer="0" w:header="0"/>
          <w:type w:val="continuous"/>
        </w:sectPr>
      </w:pPr>
    </w:p>
    <w:bookmarkStart w:id="328" w:name="page329"/>
    <w:bookmarkEnd w:id="328"/>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7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3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On April 1, 2024, pursuant to the provisions of the Business Corporations Act (Ontario), Small Pharma completed a horizontal amalgamation with Cybin Corp., with Cybin Corp. being the resulting entity. As a result of this amalgamation, Cybin UK Limited is now a wholly-owned subsidiary of Cybin Corp.</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April 5, 2024, the Company granted options to purchase up to 11,715,000 Common Shares, of which 7,250,000 were granted to officers and 4,465,000 were granted to employees. These options have an exercise price of $0.56 per Common Share. All of the options expire on April 5, 2029. The granted options are subject to different vesting schedules. 1,464,375 options vest immediately and 10,250,625 options vest over two years.</w:t>
      </w:r>
    </w:p>
    <w:p>
      <w:pPr>
        <w:spacing w:after="0" w:line="183"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On April 8, 2024, the Company amended the 2023 Base Shelf Prospectus to provide that the securities that may be offered and issued thereunder will include distributions by various selling securityholders.</w:t>
      </w:r>
    </w:p>
    <w:p>
      <w:pPr>
        <w:spacing w:after="0" w:line="16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On April 16, 2024, the Company announced that the United States Patent and Trademark Office has granted U.S. patent 11,958,807 in support of its CYB003 program in MDD.</w:t>
      </w:r>
    </w:p>
    <w:p>
      <w:pPr>
        <w:spacing w:after="0" w:line="16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On April 17, 2024, the Company filed a prospectus supplement to the 2023 Base Shelf Prospectus, in order to qualify the periodic resale of 333,029,767 Common Shares issued to certain non-Canadian investors pursuant to the March 2024 Offering.</w:t>
      </w:r>
    </w:p>
    <w:p>
      <w:pPr>
        <w:spacing w:after="0" w:line="16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On April 18, 2024, the Company announced that its research manuscript, entitled “Synthesis and Structure-Activity Relationships of 2,5-dimethoxy-4-substituted phenethylamines and the discovery of CYB210010: A potent, orally bioavailable and long-acting serotonin 5-HT2 receptor agonist,” has been published in the Journal of Medicinal Chemistry, a prestigious bi-weekly peer-reviewed publication.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the Company cancelled options to purchase up to 45,586,900 Common Shares.</w:t>
      </w:r>
    </w:p>
    <w:p>
      <w:pPr>
        <w:spacing w:after="0" w:line="242" w:lineRule="exact"/>
        <w:rPr>
          <w:sz w:val="20"/>
          <w:szCs w:val="20"/>
          <w:color w:val="auto"/>
        </w:rPr>
      </w:pPr>
    </w:p>
    <w:p>
      <w:pPr>
        <w:ind w:right="3180"/>
        <w:spacing w:after="0" w:line="302" w:lineRule="auto"/>
        <w:rPr>
          <w:sz w:val="20"/>
          <w:szCs w:val="20"/>
          <w:color w:val="auto"/>
        </w:rPr>
      </w:pPr>
      <w:r>
        <w:rPr>
          <w:rFonts w:ascii="Times New Roman" w:cs="Times New Roman" w:eastAsia="Times New Roman" w:hAnsi="Times New Roman"/>
          <w:sz w:val="18"/>
          <w:szCs w:val="18"/>
          <w:color w:val="auto"/>
        </w:rPr>
        <w:t>On June 11, 2024, the Company announced that Dr. Atul R. Mahableshwarkar M.D., DLFAPA, has joined the Company as Senior Vice President, Clinical Development. Dr. Mahableshwarkar will lead the development of the CYB003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4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943" w:right="319" w:bottom="1440" w:gutter="0" w:footer="0" w:header="0"/>
        </w:sectPr>
      </w:pPr>
    </w:p>
    <w:bookmarkStart w:id="329" w:name="page330"/>
    <w:bookmarkEnd w:id="329"/>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Industry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8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5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8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725" w:right="319" w:bottom="1440" w:gutter="0" w:footer="0" w:header="0"/>
        </w:sectPr>
      </w:pPr>
    </w:p>
    <w:bookmarkStart w:id="330" w:name="page331"/>
    <w:bookmarkEnd w:id="330"/>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9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724" w:right="319" w:bottom="1440" w:gutter="0" w:footer="0" w:header="0"/>
        </w:sectPr>
      </w:pPr>
    </w:p>
    <w:bookmarkStart w:id="331" w:name="page332"/>
    <w:bookmarkEnd w:id="331"/>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8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 xml:space="preserve">The Company’s business relies on its ability to access, develop, and sell psilocybin,DMT-based compounds and other psychedelic compounds. Psilocybin DMT-based compounds and other psychedelic compounds are controlled substances in many jurisdictions, including in Canada under Schedule III of the </w:t>
      </w:r>
      <w:r>
        <w:rPr>
          <w:rFonts w:ascii="Times New Roman" w:cs="Times New Roman" w:eastAsia="Times New Roman" w:hAnsi="Times New Roman"/>
          <w:sz w:val="17"/>
          <w:szCs w:val="17"/>
          <w:i w:val="1"/>
          <w:iCs w:val="1"/>
          <w:color w:val="auto"/>
        </w:rPr>
        <w:t xml:space="preserve">Controlled Drugs and Substances Act </w:t>
      </w:r>
      <w:r>
        <w:rPr>
          <w:rFonts w:ascii="Times New Roman" w:cs="Times New Roman" w:eastAsia="Times New Roman" w:hAnsi="Times New Roman"/>
          <w:sz w:val="17"/>
          <w:szCs w:val="17"/>
          <w:color w:val="auto"/>
        </w:rPr>
        <w:t>and in the United States. The Company may face difficulty accessing the public capital markets in Canada as a result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2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60"/>
          </w:cols>
          <w:pgMar w:left="320" w:top="724" w:right="319" w:bottom="1440" w:gutter="0" w:footer="0" w:header="0"/>
        </w:sectPr>
      </w:pPr>
    </w:p>
    <w:bookmarkStart w:id="332" w:name="page333"/>
    <w:bookmarkEnd w:id="332"/>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administrative sanctions, convictions or settlements arising from civil proceedings initiated by either government entities in the jurisdictions in which the Company operates, or private citizens or criminal charges.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5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7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of Operating in European Countries</w:t>
      </w:r>
    </w:p>
    <w:p>
      <w:pPr>
        <w:spacing w:after="0" w:line="2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87"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725" w:right="31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 Status Under the U.S. Securities Laws</w:t>
      </w:r>
    </w:p>
    <w:p>
      <w:pPr>
        <w:spacing w:after="0" w:line="25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58"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5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9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0"/>
          </w:cols>
          <w:pgMar w:left="320" w:top="720" w:right="319" w:bottom="1440" w:gutter="0" w:footer="0" w:header="0"/>
        </w:sectPr>
      </w:pPr>
    </w:p>
    <w:bookmarkStart w:id="334" w:name="page335"/>
    <w:bookmarkEnd w:id="334"/>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60"/>
          </w:cols>
          <w:pgMar w:left="320" w:top="943" w:right="319" w:bottom="1440" w:gutter="0" w:footer="0" w:header="0"/>
        </w:sectPr>
      </w:pPr>
    </w:p>
    <w:bookmarkStart w:id="335" w:name="page336"/>
    <w:bookmarkEnd w:id="335"/>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5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60"/>
          </w:cols>
          <w:pgMar w:left="320" w:top="724" w:right="319" w:bottom="1440" w:gutter="0" w:footer="0" w:header="0"/>
        </w:sectPr>
      </w:pPr>
    </w:p>
    <w:bookmarkStart w:id="336" w:name="page337"/>
    <w:bookmarkEnd w:id="336"/>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spacing w:after="0" w:line="177"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96"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81" w:lineRule="exact"/>
        <w:rPr>
          <w:sz w:val="20"/>
          <w:szCs w:val="20"/>
          <w:color w:val="auto"/>
        </w:rPr>
      </w:pPr>
    </w:p>
    <w:p>
      <w:pPr>
        <w:ind w:left="560" w:hanging="272"/>
        <w:spacing w:after="0"/>
        <w:tabs>
          <w:tab w:leader="none" w:pos="560" w:val="left"/>
        </w:tabs>
        <w:numPr>
          <w:ilvl w:val="0"/>
          <w:numId w:val="174"/>
        </w:numPr>
        <w:rPr>
          <w:rFonts w:ascii="Arial" w:cs="Arial" w:eastAsia="Arial" w:hAnsi="Arial"/>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72</w:t>
      </w:r>
    </w:p>
    <w:p>
      <w:pPr>
        <w:sectPr>
          <w:pgSz w:w="11900" w:h="16838" w:orient="portrait"/>
          <w:cols w:equalWidth="0" w:num="1">
            <w:col w:w="11260"/>
          </w:cols>
          <w:pgMar w:left="320" w:top="725" w:right="319" w:bottom="1440" w:gutter="0" w:footer="0" w:header="0"/>
        </w:sectPr>
      </w:pPr>
    </w:p>
    <w:bookmarkStart w:id="337" w:name="page338"/>
    <w:bookmarkEnd w:id="337"/>
    <w:p>
      <w:pPr>
        <w:ind w:left="580" w:right="20" w:hanging="292"/>
        <w:spacing w:after="0" w:line="287" w:lineRule="auto"/>
        <w:tabs>
          <w:tab w:leader="none" w:pos="569"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1"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spacing w:after="0" w:line="1" w:lineRule="exact"/>
        <w:rPr>
          <w:rFonts w:ascii="Arial" w:cs="Arial" w:eastAsia="Arial" w:hAnsi="Arial"/>
          <w:sz w:val="18"/>
          <w:szCs w:val="18"/>
          <w:color w:val="auto"/>
        </w:rPr>
      </w:pPr>
    </w:p>
    <w:p>
      <w:pPr>
        <w:ind w:left="580" w:hanging="292"/>
        <w:spacing w:after="0" w:line="280" w:lineRule="auto"/>
        <w:tabs>
          <w:tab w:leader="none" w:pos="569"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w:t>
      </w:r>
    </w:p>
    <w:p>
      <w:pPr>
        <w:spacing w:after="0" w:line="46" w:lineRule="exact"/>
        <w:rPr>
          <w:rFonts w:ascii="Arial" w:cs="Arial" w:eastAsia="Arial" w:hAnsi="Arial"/>
          <w:sz w:val="18"/>
          <w:szCs w:val="18"/>
          <w:color w:val="auto"/>
        </w:rPr>
      </w:pPr>
    </w:p>
    <w:p>
      <w:pPr>
        <w:ind w:left="580" w:right="20"/>
        <w:spacing w:after="0" w:line="288" w:lineRule="auto"/>
        <w:rPr>
          <w:rFonts w:ascii="Arial" w:cs="Arial" w:eastAsia="Arial" w:hAnsi="Arial"/>
          <w:sz w:val="18"/>
          <w:szCs w:val="18"/>
          <w:color w:val="auto"/>
        </w:rPr>
      </w:pPr>
      <w:r>
        <w:rPr>
          <w:rFonts w:ascii="Times New Roman" w:cs="Times New Roman" w:eastAsia="Times New Roman" w:hAnsi="Times New Roman"/>
          <w:sz w:val="18"/>
          <w:szCs w:val="18"/>
          <w:color w:val="auto"/>
        </w:rPr>
        <w:t>consistent with the clinical trial protocol, regulatory requirements or other third parties not performing data collection and analysis in a timely or accurate manner;</w:t>
      </w:r>
    </w:p>
    <w:p>
      <w:pPr>
        <w:ind w:left="560" w:hanging="272"/>
        <w:spacing w:after="0"/>
        <w:tabs>
          <w:tab w:leader="none" w:pos="560"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34"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1" w:lineRule="exact"/>
        <w:rPr>
          <w:rFonts w:ascii="Arial" w:cs="Arial" w:eastAsia="Arial" w:hAnsi="Arial"/>
          <w:sz w:val="18"/>
          <w:szCs w:val="18"/>
          <w:color w:val="auto"/>
        </w:rPr>
      </w:pPr>
    </w:p>
    <w:p>
      <w:pPr>
        <w:ind w:left="580" w:right="20" w:hanging="292"/>
        <w:spacing w:after="0" w:line="287" w:lineRule="auto"/>
        <w:tabs>
          <w:tab w:leader="none" w:pos="569"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175"/>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8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8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60"/>
          </w:cols>
          <w:pgMar w:left="320" w:top="725" w:right="319" w:bottom="1440" w:gutter="0" w:footer="0" w:header="0"/>
        </w:sectPr>
      </w:pPr>
    </w:p>
    <w:bookmarkStart w:id="338" w:name="page339"/>
    <w:bookmarkEnd w:id="338"/>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trial, competition with other companies for clinical sites or patients, perceived risks and benefits of the prescription drug product candidate, and the number, availability, location and accessibility of clinical trial sites.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5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9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8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0"/>
          </w:cols>
          <w:pgMar w:left="320" w:top="724" w:right="319" w:bottom="1440" w:gutter="0" w:footer="0" w:header="0"/>
        </w:sectPr>
      </w:pPr>
    </w:p>
    <w:bookmarkStart w:id="339" w:name="page340"/>
    <w:bookmarkEnd w:id="339"/>
    <w:p>
      <w:pPr>
        <w:jc w:val="both"/>
        <w:spacing w:after="0" w:line="292" w:lineRule="auto"/>
        <w:rPr>
          <w:sz w:val="20"/>
          <w:szCs w:val="20"/>
          <w:color w:val="auto"/>
        </w:rPr>
      </w:pPr>
      <w:r>
        <w:rPr>
          <w:rFonts w:ascii="Times New Roman" w:cs="Times New Roman" w:eastAsia="Times New Roman" w:hAnsi="Times New Roman"/>
          <w:sz w:val="18"/>
          <w:szCs w:val="18"/>
          <w:color w:val="auto"/>
        </w:rPr>
        <w:t>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18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Access and Acceptance</w:t>
      </w:r>
    </w:p>
    <w:p>
      <w:pPr>
        <w:spacing w:after="0" w:line="25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185" w:lineRule="exact"/>
        <w:rPr>
          <w:sz w:val="20"/>
          <w:szCs w:val="20"/>
          <w:color w:val="auto"/>
        </w:rPr>
      </w:pP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healthcare professionals, patients and healthcare payors of each product as safe, effective and cost-effective;</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product;</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47"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relative convenience, ease of use, ease of administration and other perceived advantages over alternatives;</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or publicity;</w:t>
      </w:r>
    </w:p>
    <w:p>
      <w:pPr>
        <w:spacing w:after="0" w:line="47" w:lineRule="exact"/>
        <w:rPr>
          <w:rFonts w:ascii="Times New Roman" w:cs="Times New Roman" w:eastAsia="Times New Roman" w:hAnsi="Times New Roman"/>
          <w:sz w:val="18"/>
          <w:szCs w:val="18"/>
          <w:color w:val="auto"/>
        </w:rPr>
      </w:pPr>
    </w:p>
    <w:p>
      <w:pPr>
        <w:ind w:left="580" w:hanging="292"/>
        <w:spacing w:after="0" w:line="281" w:lineRule="auto"/>
        <w:tabs>
          <w:tab w:leader="none" w:pos="6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precautions or warnings listed in the summary of product characteristics, patient information leaflet, package labeling or instructions for use;</w:t>
      </w: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with the Company’s product in relation to alternatives;</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that prescribers and dispensers must take, as well as the perceived risks based upon its controlled substance status;</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the Company’s product in sufficient quantities and yields with adequate purity;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0"/>
          </w:cols>
          <w:pgMar w:left="320" w:top="725" w:right="319" w:bottom="1440" w:gutter="0" w:footer="0" w:header="0"/>
        </w:sectPr>
      </w:pPr>
    </w:p>
    <w:bookmarkStart w:id="340" w:name="page341"/>
    <w:bookmarkEnd w:id="340"/>
    <w:p>
      <w:pPr>
        <w:ind w:left="580" w:right="20" w:hanging="292"/>
        <w:spacing w:after="0" w:line="288" w:lineRule="auto"/>
        <w:tabs>
          <w:tab w:leader="none" w:pos="56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coverage and reimbursement from healthcare payors, and the willingness of patients to pay out of pocket in the absence of healthcare payor coverage or adequate reimbursement;</w:t>
      </w:r>
    </w:p>
    <w:p>
      <w:pPr>
        <w:ind w:left="620" w:hanging="332"/>
        <w:spacing w:after="0"/>
        <w:tabs>
          <w:tab w:leader="none" w:pos="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healthcare professionals to prescribe, the product;</w:t>
      </w:r>
    </w:p>
    <w:p>
      <w:pPr>
        <w:spacing w:after="0" w:line="47" w:lineRule="exact"/>
        <w:rPr>
          <w:rFonts w:ascii="Times New Roman" w:cs="Times New Roman" w:eastAsia="Times New Roman" w:hAnsi="Times New Roman"/>
          <w:sz w:val="18"/>
          <w:szCs w:val="18"/>
          <w:color w:val="auto"/>
        </w:rPr>
      </w:pPr>
    </w:p>
    <w:p>
      <w:pPr>
        <w:ind w:left="580" w:right="20" w:hanging="292"/>
        <w:spacing w:after="0" w:line="281" w:lineRule="auto"/>
        <w:tabs>
          <w:tab w:leader="none" w:pos="56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unfavorable publicity, including negative publicity associated with recreational use or abuse of psilocybin, DMT-based compounds and other psychedelic compounds; and</w:t>
      </w:r>
    </w:p>
    <w:p>
      <w:pPr>
        <w:ind w:left="560" w:hanging="272"/>
        <w:spacing w:after="0"/>
        <w:tabs>
          <w:tab w:leader="none" w:pos="5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sale or distribution of the Company’s future products.</w:t>
      </w:r>
    </w:p>
    <w:p>
      <w:pPr>
        <w:spacing w:after="0" w:line="2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9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DMT or isolated constituents, regulatory proceedings, litigation, media attention or other research findings or publicity will be favourable to the industry or the Company or any particular product, or consistent with earlier publicity.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320" w:top="725" w:right="319" w:bottom="1440" w:gutter="0" w:footer="0" w:header="0"/>
        </w:sectPr>
      </w:pPr>
    </w:p>
    <w:bookmarkStart w:id="341" w:name="page342"/>
    <w:bookmarkEnd w:id="341"/>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9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83" w:lineRule="exact"/>
        <w:rPr>
          <w:sz w:val="20"/>
          <w:szCs w:val="20"/>
          <w:color w:val="auto"/>
        </w:rPr>
      </w:pPr>
    </w:p>
    <w:p>
      <w:pPr>
        <w:ind w:left="580" w:right="20" w:hanging="292"/>
        <w:spacing w:after="0" w:line="287" w:lineRule="auto"/>
        <w:tabs>
          <w:tab w:leader="none" w:pos="569"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46" w:lineRule="exact"/>
        <w:rPr>
          <w:rFonts w:ascii="Arial" w:cs="Arial" w:eastAsia="Arial" w:hAnsi="Arial"/>
          <w:sz w:val="18"/>
          <w:szCs w:val="18"/>
          <w:color w:val="auto"/>
        </w:rPr>
      </w:pPr>
    </w:p>
    <w:p>
      <w:pPr>
        <w:ind w:left="580" w:right="20" w:hanging="292"/>
        <w:spacing w:after="0" w:line="309" w:lineRule="auto"/>
        <w:tabs>
          <w:tab w:leader="none" w:pos="569" w:val="left"/>
        </w:tabs>
        <w:numPr>
          <w:ilvl w:val="0"/>
          <w:numId w:val="178"/>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8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320" w:top="943" w:right="319" w:bottom="1440" w:gutter="0" w:footer="0" w:header="0"/>
        </w:sectPr>
      </w:pPr>
    </w:p>
    <w:bookmarkStart w:id="342" w:name="page343"/>
    <w:bookmarkEnd w:id="342"/>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5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5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725" w:right="31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7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20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7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8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60"/>
          </w:cols>
          <w:pgMar w:left="320" w:top="720" w:right="3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95" w:lineRule="exact"/>
        <w:rPr>
          <w:sz w:val="20"/>
          <w:szCs w:val="20"/>
          <w:color w:val="auto"/>
        </w:rPr>
      </w:pPr>
    </w:p>
    <w:p>
      <w:pPr>
        <w:jc w:val="both"/>
        <w:spacing w:after="0" w:line="343"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Material Recalls</w:t>
      </w:r>
    </w:p>
    <w:p>
      <w:pPr>
        <w:spacing w:after="0" w:line="27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19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60"/>
          </w:cols>
          <w:pgMar w:left="320" w:top="939" w:right="31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7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5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20" w:top="939" w:right="319" w:bottom="1440" w:gutter="0" w:footer="0" w:header="0"/>
        </w:sectPr>
      </w:pPr>
    </w:p>
    <w:bookmarkStart w:id="346" w:name="page347"/>
    <w:bookmarkEnd w:id="346"/>
    <w:p>
      <w:pPr>
        <w:jc w:val="both"/>
        <w:spacing w:after="0" w:line="309" w:lineRule="auto"/>
        <w:rPr>
          <w:sz w:val="20"/>
          <w:szCs w:val="20"/>
          <w:color w:val="auto"/>
        </w:rPr>
      </w:pPr>
      <w:r>
        <w:rPr>
          <w:rFonts w:ascii="Times New Roman" w:cs="Times New Roman" w:eastAsia="Times New Roman" w:hAnsi="Times New Roman"/>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5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5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60"/>
          </w:cols>
          <w:pgMar w:left="320" w:top="725" w:right="319" w:bottom="1440" w:gutter="0" w:footer="0" w:header="0"/>
        </w:sectPr>
      </w:pPr>
    </w:p>
    <w:bookmarkStart w:id="347" w:name="page348"/>
    <w:bookmarkEnd w:id="347"/>
    <w:p>
      <w:pPr>
        <w:jc w:val="both"/>
        <w:spacing w:after="0" w:line="302" w:lineRule="auto"/>
        <w:rPr>
          <w:sz w:val="20"/>
          <w:szCs w:val="20"/>
          <w:color w:val="auto"/>
        </w:rPr>
      </w:pPr>
      <w:r>
        <w:rPr>
          <w:rFonts w:ascii="Times New Roman" w:cs="Times New Roman" w:eastAsia="Times New Roman" w:hAnsi="Times New Roman"/>
          <w:sz w:val="18"/>
          <w:szCs w:val="18"/>
          <w:color w:val="auto"/>
        </w:rPr>
        <w:t>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7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9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5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2" w:lineRule="exact"/>
        <w:rPr>
          <w:sz w:val="20"/>
          <w:szCs w:val="20"/>
          <w:color w:val="auto"/>
        </w:rPr>
      </w:pPr>
    </w:p>
    <w:p>
      <w:pPr>
        <w:ind w:left="560" w:hanging="272"/>
        <w:spacing w:after="0"/>
        <w:tabs>
          <w:tab w:leader="none" w:pos="5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regulatory requirements for drug approvals;</w:t>
      </w:r>
    </w:p>
    <w:p>
      <w:pPr>
        <w:spacing w:after="0" w:line="47"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requirements for securing, maintaining or obtaining freedom to operate;</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reduced protection for intellectual property rights;</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compliance to different regulations and court systems of multiple jurisdictions and</w:t>
      </w:r>
    </w:p>
    <w:p>
      <w:pPr>
        <w:spacing w:after="0" w:line="3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foreign laws, treaties and regulations;</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35"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relations that create challenges with staffing and managing international operations; and</w:t>
      </w:r>
    </w:p>
    <w:p>
      <w:pPr>
        <w:spacing w:after="0" w:line="47" w:lineRule="exact"/>
        <w:rPr>
          <w:rFonts w:ascii="Times New Roman" w:cs="Times New Roman" w:eastAsia="Times New Roman" w:hAnsi="Times New Roman"/>
          <w:sz w:val="18"/>
          <w:szCs w:val="18"/>
          <w:color w:val="auto"/>
        </w:rPr>
      </w:pPr>
    </w:p>
    <w:p>
      <w:pPr>
        <w:ind w:left="620" w:hanging="332"/>
        <w:spacing w:after="0"/>
        <w:tabs>
          <w:tab w:leader="none" w:pos="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on manufacturing capabilities leading to production shortages.</w:t>
      </w:r>
    </w:p>
    <w:p>
      <w:pPr>
        <w:spacing w:after="0" w:line="25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w:t>
      </w:r>
    </w:p>
    <w:p>
      <w:pPr>
        <w:spacing w:after="0" w:line="25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320" w:top="725" w:right="319" w:bottom="1440" w:gutter="0" w:footer="0" w:header="0"/>
        </w:sectPr>
      </w:pPr>
    </w:p>
    <w:bookmarkStart w:id="348" w:name="page349"/>
    <w:bookmarkEnd w:id="348"/>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2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8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5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0"/>
          </w:cols>
          <w:pgMar w:left="320" w:top="725" w:right="319" w:bottom="1440" w:gutter="0" w:footer="0" w:header="0"/>
        </w:sectPr>
      </w:pPr>
    </w:p>
    <w:bookmarkStart w:id="349" w:name="page350"/>
    <w:bookmarkEnd w:id="349"/>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9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Decriminalization of Psychedelics</w:t>
      </w:r>
    </w:p>
    <w:p>
      <w:pPr>
        <w:spacing w:after="0" w:line="258"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DMT,and potentially other psychotropic compounds in the future may also impact commercial sales for the Company due to a reduced barrier to entry leading to a risk of increasing competition.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2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60"/>
          </w:cols>
          <w:pgMar w:left="320" w:top="943" w:right="319" w:bottom="1440" w:gutter="0" w:footer="0" w:header="0"/>
        </w:sectPr>
      </w:pPr>
    </w:p>
    <w:bookmarkStart w:id="350" w:name="page351"/>
    <w:bookmarkEnd w:id="350"/>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77" w:lineRule="exact"/>
        <w:rPr>
          <w:sz w:val="20"/>
          <w:szCs w:val="20"/>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inflation;</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exchange rates;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interest rates and monetary policies;</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import and export controls;</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46"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fiscal policies; and</w:t>
      </w:r>
    </w:p>
    <w:p>
      <w:pPr>
        <w:spacing w:after="0" w:line="34" w:lineRule="exact"/>
        <w:rPr>
          <w:rFonts w:ascii="Arial" w:cs="Arial" w:eastAsia="Arial" w:hAnsi="Arial"/>
          <w:sz w:val="18"/>
          <w:szCs w:val="18"/>
          <w:color w:val="auto"/>
        </w:rPr>
      </w:pPr>
    </w:p>
    <w:p>
      <w:pPr>
        <w:ind w:left="560" w:hanging="272"/>
        <w:spacing w:after="0"/>
        <w:tabs>
          <w:tab w:leader="none" w:pos="560" w:val="left"/>
        </w:tabs>
        <w:numPr>
          <w:ilvl w:val="0"/>
          <w:numId w:val="180"/>
        </w:numPr>
        <w:rPr>
          <w:rFonts w:ascii="Arial" w:cs="Arial" w:eastAsia="Arial" w:hAnsi="Arial"/>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6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8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58"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7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8"/>
          <w:szCs w:val="18"/>
          <w:color w:val="auto"/>
        </w:rPr>
        <w:t>Certain of the Company’s subsidiaries and assets are located outside of Canada. Accordingly, it may be difficult for investors to enforce within Canada any judgments obtained against the Company, including judgments predicated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60"/>
          </w:cols>
          <w:pgMar w:left="320" w:top="725" w:right="319" w:bottom="1440" w:gutter="0" w:footer="0" w:header="0"/>
        </w:sectPr>
      </w:pPr>
    </w:p>
    <w:bookmarkStart w:id="351" w:name="page352"/>
    <w:bookmarkEnd w:id="351"/>
    <w:p>
      <w:pPr>
        <w:jc w:val="both"/>
        <w:spacing w:after="0" w:line="288" w:lineRule="auto"/>
        <w:rPr>
          <w:sz w:val="20"/>
          <w:szCs w:val="20"/>
          <w:color w:val="auto"/>
        </w:rPr>
      </w:pPr>
      <w:r>
        <w:rPr>
          <w:rFonts w:ascii="Times New Roman" w:cs="Times New Roman" w:eastAsia="Times New Roman" w:hAnsi="Times New Roman"/>
          <w:sz w:val="18"/>
          <w:szCs w:val="18"/>
          <w:color w:val="auto"/>
        </w:rPr>
        <w:t>upon the civil liability provisions of applicable Canadian securities laws or otherwise. Consequently, investors may be effectively prevented from pursuing remedies against the Company under Canadian securities laws or otherwise.</w:t>
      </w:r>
    </w:p>
    <w:p>
      <w:pPr>
        <w:jc w:val="both"/>
        <w:spacing w:after="0" w:line="310" w:lineRule="auto"/>
        <w:rPr>
          <w:sz w:val="20"/>
          <w:szCs w:val="20"/>
          <w:color w:val="auto"/>
        </w:rPr>
      </w:pPr>
      <w:r>
        <w:rPr>
          <w:rFonts w:ascii="Times New Roman" w:cs="Times New Roman" w:eastAsia="Times New Roman" w:hAnsi="Times New Roman"/>
          <w:sz w:val="17"/>
          <w:szCs w:val="17"/>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Epidemics and Other Health Risks</w:t>
      </w:r>
    </w:p>
    <w:p>
      <w:pPr>
        <w:spacing w:after="0" w:line="2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Pandemics, epidemics and other health risks could have an adverse effect on the economy and financial markets, resulting in a decline of commercial activity.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have an adverse effect on the Company’s business and financial performance.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3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725" w:right="3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“CIPO”)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19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18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60"/>
          </w:cols>
          <w:pgMar w:left="320" w:top="939" w:right="319" w:bottom="1440" w:gutter="0" w:footer="0" w:header="0"/>
        </w:sectPr>
      </w:pPr>
    </w:p>
    <w:bookmarkStart w:id="353" w:name="page354"/>
    <w:bookmarkEnd w:id="353"/>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partners were not fully cooperative or disagree with the Company as to the prosecution, maintenance or enforcement of any patent rights, such patent rights could be compromised.</w:t>
      </w:r>
    </w:p>
    <w:p>
      <w:pPr>
        <w:spacing w:after="0" w:line="16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18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0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60"/>
          </w:cols>
          <w:pgMar w:left="320" w:top="712" w:right="31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24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8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60"/>
          </w:cols>
          <w:pgMar w:left="320" w:top="721" w:right="31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24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4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60"/>
          </w:cols>
          <w:pgMar w:left="320" w:top="721" w:right="319" w:bottom="1440" w:gutter="0" w:footer="0" w:header="0"/>
        </w:sectPr>
      </w:pPr>
    </w:p>
    <w:bookmarkStart w:id="356" w:name="page357"/>
    <w:bookmarkEnd w:id="356"/>
    <w:p>
      <w:pPr>
        <w:jc w:val="both"/>
        <w:ind w:right="20"/>
        <w:spacing w:after="0" w:line="316" w:lineRule="auto"/>
        <w:rPr>
          <w:sz w:val="20"/>
          <w:szCs w:val="20"/>
          <w:color w:val="auto"/>
        </w:rPr>
      </w:pPr>
      <w:r>
        <w:rPr>
          <w:rFonts w:ascii="Times New Roman" w:cs="Times New Roman" w:eastAsia="Times New Roman" w:hAnsi="Times New Roman"/>
          <w:sz w:val="17"/>
          <w:szCs w:val="17"/>
          <w:color w:val="auto"/>
        </w:rPr>
        <w:t>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4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7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7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60"/>
          </w:cols>
          <w:pgMar w:left="320" w:top="725" w:right="31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w:t>
      </w:r>
    </w:p>
    <w:p>
      <w:pPr>
        <w:spacing w:after="0" w:line="2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5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Heightened regulatory scrutiny could have a negative impact on the Company’s ability to raise capital.The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60"/>
          </w:cols>
          <w:pgMar w:left="320" w:top="721" w:right="319" w:bottom="1440" w:gutter="0" w:footer="0" w:header="0"/>
        </w:sectPr>
      </w:pPr>
    </w:p>
    <w:bookmarkStart w:id="358" w:name="page359"/>
    <w:bookmarkEnd w:id="358"/>
    <w:p>
      <w:pPr>
        <w:jc w:val="both"/>
        <w:spacing w:after="0" w:line="29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2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60"/>
          </w:cols>
          <w:pgMar w:left="320" w:top="725" w:right="31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24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6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24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24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Company has been filed electronically through SEDAR+ and is available online at </w:t>
      </w:r>
      <w:r>
        <w:rPr>
          <w:rFonts w:ascii="Times New Roman" w:cs="Times New Roman" w:eastAsia="Times New Roman" w:hAnsi="Times New Roman"/>
          <w:sz w:val="18"/>
          <w:szCs w:val="18"/>
          <w:i w:val="1"/>
          <w:iCs w:val="1"/>
          <w:u w:val="single" w:color="auto"/>
          <w:color w:val="0563C1"/>
        </w:rPr>
        <w:t>www.sedarplus.ca</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60"/>
          </w:cols>
          <w:pgMar w:left="320" w:top="721" w:right="319" w:bottom="1440" w:gutter="0" w:footer="0" w:header="0"/>
        </w:sectPr>
      </w:pPr>
    </w:p>
    <w:bookmarkStart w:id="360" w:name="page361"/>
    <w:bookmarkEnd w:id="360"/>
    <w:p>
      <w:pPr>
        <w:spacing w:after="0" w:line="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FORM 52-109F1</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i w:val="1"/>
          <w:iCs w:val="1"/>
          <w:color w:val="auto"/>
        </w:rPr>
        <w:t>Certification of Annual Filings</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i w:val="1"/>
          <w:iCs w:val="1"/>
          <w:color w:val="auto"/>
        </w:rPr>
        <w:t>Full Certificate</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Douglas Drysdale, Chief Executive Officer of Cybin Inc., certify the following:</w:t>
      </w:r>
    </w:p>
    <w:p>
      <w:pPr>
        <w:spacing w:after="0" w:line="200" w:lineRule="exact"/>
        <w:rPr>
          <w:sz w:val="20"/>
          <w:szCs w:val="20"/>
          <w:color w:val="auto"/>
        </w:rPr>
      </w:pPr>
    </w:p>
    <w:p>
      <w:pPr>
        <w:ind w:left="583" w:right="20" w:hanging="583"/>
        <w:spacing w:after="0" w:line="292" w:lineRule="auto"/>
        <w:tabs>
          <w:tab w:leader="none" w:pos="58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AIF, if any, annual financial statements and annual MD&amp;A, including, for greater certainty, all documents and information that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incorporated by reference in the AIF (together, the “annual filings”) of Cybin Inc. (the “issuer”) for the financial year ended March 31, 2024.</w:t>
      </w:r>
    </w:p>
    <w:p>
      <w:pPr>
        <w:spacing w:after="0" w:line="134" w:lineRule="exact"/>
        <w:rPr>
          <w:rFonts w:ascii="Times New Roman" w:cs="Times New Roman" w:eastAsia="Times New Roman" w:hAnsi="Times New Roman"/>
          <w:sz w:val="16"/>
          <w:szCs w:val="16"/>
          <w:color w:val="auto"/>
        </w:rPr>
      </w:pPr>
    </w:p>
    <w:p>
      <w:pPr>
        <w:jc w:val="both"/>
        <w:ind w:left="583" w:right="20" w:hanging="583"/>
        <w:spacing w:after="0" w:line="272" w:lineRule="auto"/>
        <w:tabs>
          <w:tab w:leader="none" w:pos="58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No misrepresentations: </w:t>
      </w:r>
      <w:r>
        <w:rPr>
          <w:rFonts w:ascii="Times New Roman" w:cs="Times New Roman" w:eastAsia="Times New Roman" w:hAnsi="Times New Roman"/>
          <w:sz w:val="16"/>
          <w:szCs w:val="16"/>
          <w:color w:val="auto"/>
        </w:rPr>
        <w:t>Based on my knowledge, having exercised reasonable diligence, the annual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for the period covered by the annual filings.</w:t>
      </w:r>
    </w:p>
    <w:p>
      <w:pPr>
        <w:spacing w:after="0" w:line="150" w:lineRule="exact"/>
        <w:rPr>
          <w:rFonts w:ascii="Times New Roman" w:cs="Times New Roman" w:eastAsia="Times New Roman" w:hAnsi="Times New Roman"/>
          <w:sz w:val="16"/>
          <w:szCs w:val="16"/>
          <w:color w:val="auto"/>
        </w:rPr>
      </w:pPr>
    </w:p>
    <w:p>
      <w:pPr>
        <w:jc w:val="both"/>
        <w:ind w:left="583" w:right="20" w:hanging="583"/>
        <w:spacing w:after="0" w:line="272" w:lineRule="auto"/>
        <w:tabs>
          <w:tab w:leader="none" w:pos="58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annual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annual filings fairly present in all material respects the financial condition, results of operations and cash flows of the issuer, as of the date of and for the periods presented in the annual filings.</w:t>
      </w:r>
    </w:p>
    <w:p>
      <w:pPr>
        <w:spacing w:after="0" w:line="150" w:lineRule="exact"/>
        <w:rPr>
          <w:rFonts w:ascii="Times New Roman" w:cs="Times New Roman" w:eastAsia="Times New Roman" w:hAnsi="Times New Roman"/>
          <w:sz w:val="16"/>
          <w:szCs w:val="16"/>
          <w:color w:val="auto"/>
        </w:rPr>
      </w:pPr>
    </w:p>
    <w:p>
      <w:pPr>
        <w:jc w:val="both"/>
        <w:ind w:left="583" w:right="20" w:hanging="583"/>
        <w:spacing w:after="0" w:line="272" w:lineRule="auto"/>
        <w:tabs>
          <w:tab w:leader="none" w:pos="58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internal control over financial reporting (ICFR), as those terms are defined in National Instrument 52-109 </w:t>
      </w:r>
      <w:r>
        <w:rPr>
          <w:rFonts w:ascii="Times New Roman" w:cs="Times New Roman" w:eastAsia="Times New Roman" w:hAnsi="Times New Roman"/>
          <w:sz w:val="16"/>
          <w:szCs w:val="16"/>
          <w:i w:val="1"/>
          <w:iCs w:val="1"/>
          <w:color w:val="auto"/>
        </w:rPr>
        <w:t>Certification of Disclosure in Issuers’ Annual and Interim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Filings</w:t>
      </w:r>
      <w:r>
        <w:rPr>
          <w:rFonts w:ascii="Times New Roman" w:cs="Times New Roman" w:eastAsia="Times New Roman" w:hAnsi="Times New Roman"/>
          <w:sz w:val="16"/>
          <w:szCs w:val="16"/>
          <w:color w:val="auto"/>
        </w:rPr>
        <w:t>, for the issuer.</w:t>
      </w:r>
    </w:p>
    <w:p>
      <w:pPr>
        <w:spacing w:after="0" w:line="150"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financial year end</w:t>
      </w:r>
    </w:p>
    <w:p>
      <w:pPr>
        <w:spacing w:after="0" w:line="208" w:lineRule="exact"/>
        <w:rPr>
          <w:rFonts w:ascii="Times New Roman" w:cs="Times New Roman" w:eastAsia="Times New Roman" w:hAnsi="Times New Roman"/>
          <w:sz w:val="16"/>
          <w:szCs w:val="16"/>
          <w:color w:val="auto"/>
        </w:rPr>
      </w:pPr>
    </w:p>
    <w:p>
      <w:pPr>
        <w:ind w:left="1163" w:hanging="581"/>
        <w:spacing w:after="0"/>
        <w:tabs>
          <w:tab w:leader="none" w:pos="1163"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04" w:lineRule="exact"/>
        <w:rPr>
          <w:rFonts w:ascii="Times New Roman" w:cs="Times New Roman" w:eastAsia="Times New Roman" w:hAnsi="Times New Roman"/>
          <w:sz w:val="16"/>
          <w:szCs w:val="16"/>
          <w:color w:val="auto"/>
        </w:rPr>
      </w:pPr>
    </w:p>
    <w:p>
      <w:pPr>
        <w:ind w:left="1743" w:hanging="579"/>
        <w:spacing w:after="0" w:line="287" w:lineRule="auto"/>
        <w:tabs>
          <w:tab w:leader="none" w:pos="1738" w:val="left"/>
        </w:tabs>
        <w:numPr>
          <w:ilvl w:val="2"/>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annual filings are being prepared; and</w:t>
      </w:r>
    </w:p>
    <w:p>
      <w:pPr>
        <w:spacing w:after="0" w:line="142" w:lineRule="exact"/>
        <w:rPr>
          <w:rFonts w:ascii="Times New Roman" w:cs="Times New Roman" w:eastAsia="Times New Roman" w:hAnsi="Times New Roman"/>
          <w:sz w:val="16"/>
          <w:szCs w:val="16"/>
          <w:color w:val="auto"/>
        </w:rPr>
      </w:pPr>
    </w:p>
    <w:p>
      <w:pPr>
        <w:ind w:left="1743" w:hanging="579"/>
        <w:spacing w:after="0" w:line="287" w:lineRule="auto"/>
        <w:tabs>
          <w:tab w:leader="none" w:pos="1734" w:val="left"/>
        </w:tabs>
        <w:numPr>
          <w:ilvl w:val="2"/>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2" w:lineRule="exact"/>
        <w:rPr>
          <w:rFonts w:ascii="Times New Roman" w:cs="Times New Roman" w:eastAsia="Times New Roman" w:hAnsi="Times New Roman"/>
          <w:sz w:val="16"/>
          <w:szCs w:val="16"/>
          <w:color w:val="auto"/>
        </w:rPr>
      </w:pPr>
    </w:p>
    <w:p>
      <w:pPr>
        <w:ind w:left="1163" w:right="20" w:hanging="581"/>
        <w:spacing w:after="0" w:line="287" w:lineRule="auto"/>
        <w:tabs>
          <w:tab w:leader="none" w:pos="1157"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38" w:lineRule="exact"/>
        <w:rPr>
          <w:sz w:val="20"/>
          <w:szCs w:val="20"/>
          <w:color w:val="auto"/>
        </w:rPr>
      </w:pPr>
    </w:p>
    <w:p>
      <w:pPr>
        <w:ind w:left="583" w:right="20" w:hanging="581"/>
        <w:spacing w:after="0" w:line="292" w:lineRule="auto"/>
        <w:tabs>
          <w:tab w:leader="none" w:pos="563"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34"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204"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b w:val="1"/>
          <w:bCs w:val="1"/>
          <w:i w:val="1"/>
          <w:iCs w:val="1"/>
          <w:color w:val="auto"/>
        </w:rPr>
        <w:t>N/A</w:t>
      </w:r>
    </w:p>
    <w:p>
      <w:pPr>
        <w:sectPr>
          <w:pgSz w:w="11900" w:h="16838" w:orient="portrait"/>
          <w:cols w:equalWidth="0" w:num="1">
            <w:col w:w="11263"/>
          </w:cols>
          <w:pgMar w:left="317" w:top="1440" w:right="319" w:bottom="1440" w:gutter="0" w:footer="0" w:header="0"/>
        </w:sectPr>
      </w:pPr>
    </w:p>
    <w:bookmarkStart w:id="361" w:name="page362"/>
    <w:bookmarkEnd w:id="361"/>
    <w:p>
      <w:pPr>
        <w:jc w:val="center"/>
        <w:ind w:right="-2"/>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3" w:hanging="583"/>
        <w:spacing w:after="0"/>
        <w:tabs>
          <w:tab w:leader="none" w:pos="583"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Evaluation: </w:t>
      </w:r>
      <w:r>
        <w:rPr>
          <w:rFonts w:ascii="Times New Roman" w:cs="Times New Roman" w:eastAsia="Times New Roman" w:hAnsi="Times New Roman"/>
          <w:sz w:val="16"/>
          <w:szCs w:val="16"/>
          <w:color w:val="auto"/>
        </w:rPr>
        <w:t>The issuer’s other certifying officer(s) and I have</w:t>
      </w:r>
    </w:p>
    <w:p>
      <w:pPr>
        <w:spacing w:after="0" w:line="208" w:lineRule="exact"/>
        <w:rPr>
          <w:rFonts w:ascii="Times New Roman" w:cs="Times New Roman" w:eastAsia="Times New Roman" w:hAnsi="Times New Roman"/>
          <w:sz w:val="16"/>
          <w:szCs w:val="16"/>
          <w:color w:val="auto"/>
        </w:rPr>
      </w:pPr>
    </w:p>
    <w:p>
      <w:pPr>
        <w:ind w:left="1163" w:hanging="581"/>
        <w:spacing w:after="0" w:line="287" w:lineRule="auto"/>
        <w:tabs>
          <w:tab w:leader="none" w:pos="116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or caused to be evaluated under our supervision, the effectiveness of the issuer’s DC&amp;P at the financial year end and the issuer has disclosed in its annual MD&amp;A our conclusions about the effectiveness of DC&amp;P at the financial year end based on that evaluation; and</w:t>
      </w:r>
    </w:p>
    <w:p>
      <w:pPr>
        <w:spacing w:after="0" w:line="142" w:lineRule="exact"/>
        <w:rPr>
          <w:rFonts w:ascii="Times New Roman" w:cs="Times New Roman" w:eastAsia="Times New Roman" w:hAnsi="Times New Roman"/>
          <w:sz w:val="16"/>
          <w:szCs w:val="16"/>
          <w:color w:val="auto"/>
        </w:rPr>
      </w:pPr>
    </w:p>
    <w:p>
      <w:pPr>
        <w:ind w:left="1163" w:hanging="581"/>
        <w:spacing w:after="0" w:line="287" w:lineRule="auto"/>
        <w:tabs>
          <w:tab w:leader="none" w:pos="1157"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or caused to be evaluated under our supervision, the effectiveness of the issuer’s ICFR at the financial year end and the issuer has disclosed in its annual MD&amp;A</w:t>
      </w:r>
    </w:p>
    <w:p>
      <w:pPr>
        <w:spacing w:after="0" w:line="142" w:lineRule="exact"/>
        <w:rPr>
          <w:rFonts w:ascii="Times New Roman" w:cs="Times New Roman" w:eastAsia="Times New Roman" w:hAnsi="Times New Roman"/>
          <w:sz w:val="16"/>
          <w:szCs w:val="16"/>
          <w:color w:val="auto"/>
        </w:rPr>
      </w:pPr>
    </w:p>
    <w:p>
      <w:pPr>
        <w:ind w:left="1743" w:hanging="579"/>
        <w:spacing w:after="0"/>
        <w:tabs>
          <w:tab w:leader="none" w:pos="1743"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conclusions about the effectiveness of ICFR at the financial year end based on that evaluation; and</w:t>
      </w:r>
    </w:p>
    <w:p>
      <w:pPr>
        <w:spacing w:after="0" w:line="204" w:lineRule="exact"/>
        <w:rPr>
          <w:rFonts w:ascii="Times New Roman" w:cs="Times New Roman" w:eastAsia="Times New Roman" w:hAnsi="Times New Roman"/>
          <w:sz w:val="16"/>
          <w:szCs w:val="16"/>
          <w:color w:val="auto"/>
        </w:rPr>
      </w:pPr>
    </w:p>
    <w:p>
      <w:pPr>
        <w:ind w:left="1743" w:hanging="579"/>
        <w:spacing w:after="0"/>
        <w:tabs>
          <w:tab w:leader="none" w:pos="1743"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w:t>
      </w:r>
    </w:p>
    <w:p>
      <w:pPr>
        <w:spacing w:after="0" w:line="200" w:lineRule="exact"/>
        <w:rPr>
          <w:rFonts w:ascii="Times New Roman" w:cs="Times New Roman" w:eastAsia="Times New Roman" w:hAnsi="Times New Roman"/>
          <w:sz w:val="16"/>
          <w:szCs w:val="16"/>
          <w:color w:val="auto"/>
        </w:rPr>
      </w:pPr>
    </w:p>
    <w:p>
      <w:pPr>
        <w:ind w:left="583" w:hanging="583"/>
        <w:spacing w:after="0" w:line="292" w:lineRule="auto"/>
        <w:tabs>
          <w:tab w:leader="none" w:pos="583"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annual MD&amp;A any change in the issuer’s ICFR that occurred during the period beginning on January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March 31, 2024 that has materially affected, or is reasonably likely to materially affect, the issuer’s ICFR.</w:t>
      </w:r>
    </w:p>
    <w:p>
      <w:pPr>
        <w:spacing w:after="0" w:line="134" w:lineRule="exact"/>
        <w:rPr>
          <w:rFonts w:ascii="Times New Roman" w:cs="Times New Roman" w:eastAsia="Times New Roman" w:hAnsi="Times New Roman"/>
          <w:sz w:val="16"/>
          <w:szCs w:val="16"/>
          <w:color w:val="auto"/>
        </w:rPr>
      </w:pPr>
    </w:p>
    <w:p>
      <w:pPr>
        <w:jc w:val="both"/>
        <w:ind w:left="583" w:hanging="583"/>
        <w:spacing w:after="0" w:line="272" w:lineRule="auto"/>
        <w:tabs>
          <w:tab w:leader="none" w:pos="583"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to the issuer’s auditors and board of directors or audit committee: </w:t>
      </w:r>
      <w:r>
        <w:rPr>
          <w:rFonts w:ascii="Times New Roman" w:cs="Times New Roman" w:eastAsia="Times New Roman" w:hAnsi="Times New Roman"/>
          <w:sz w:val="16"/>
          <w:szCs w:val="16"/>
          <w:color w:val="auto"/>
        </w:rPr>
        <w:t>The issuer’s other certifying officer(s) and I have disclosed, based on our most recent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evaluation of ICFR, to the issuer’s auditors, and the board of directors or the audit committee of the board of directors any fraud that involves management or other employees who have a significant role in the issuer’s ICFR.</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June 25, 2024</w:t>
      </w:r>
    </w:p>
    <w:p>
      <w:pPr>
        <w:spacing w:after="0" w:line="200" w:lineRule="exact"/>
        <w:rPr>
          <w:sz w:val="20"/>
          <w:szCs w:val="20"/>
          <w:color w:val="auto"/>
        </w:rPr>
      </w:pP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/s/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11086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10865" cy="7620"/>
                    </a:xfrm>
                    <a:prstGeom prst="rect">
                      <a:avLst/>
                    </a:prstGeom>
                    <a:noFill/>
                  </pic:spPr>
                </pic:pic>
              </a:graphicData>
            </a:graphic>
          </wp:anchor>
        </w:drawing>
      </w:r>
    </w:p>
    <w:p>
      <w:pPr>
        <w:spacing w:after="0" w:line="53"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6"/>
          <w:szCs w:val="16"/>
          <w:color w:val="auto"/>
        </w:rPr>
        <w:t>Douglas Drysdale</w:t>
      </w:r>
    </w:p>
    <w:p>
      <w:pPr>
        <w:spacing w:after="0" w:line="26"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
        <w:spacing w:after="0"/>
        <w:rPr>
          <w:sz w:val="20"/>
          <w:szCs w:val="20"/>
          <w:color w:val="auto"/>
        </w:rPr>
      </w:pPr>
      <w:r>
        <w:rPr>
          <w:rFonts w:ascii="Arial" w:cs="Arial" w:eastAsia="Arial" w:hAnsi="Arial"/>
          <w:sz w:val="13"/>
          <w:szCs w:val="13"/>
          <w:color w:val="auto"/>
        </w:rPr>
        <w:t>53250513.2</w:t>
      </w:r>
    </w:p>
    <w:p>
      <w:pPr>
        <w:sectPr>
          <w:pgSz w:w="11900" w:h="16838" w:orient="portrait"/>
          <w:cols w:equalWidth="0" w:num="1">
            <w:col w:w="11243"/>
          </w:cols>
          <w:pgMar w:left="317" w:top="122" w:right="339" w:bottom="1440" w:gutter="0" w:footer="0" w:header="0"/>
        </w:sectPr>
      </w:pPr>
    </w:p>
    <w:bookmarkStart w:id="362" w:name="page363"/>
    <w:bookmarkEnd w:id="362"/>
    <w:p>
      <w:pPr>
        <w:spacing w:after="0" w:line="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FORM 52-109F1</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i w:val="1"/>
          <w:iCs w:val="1"/>
          <w:color w:val="auto"/>
        </w:rPr>
        <w:t>Certification of Annual Filings</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i w:val="1"/>
          <w:iCs w:val="1"/>
          <w:color w:val="auto"/>
        </w:rPr>
        <w:t>Full Certificate</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Greg Cavers, Chief Financial Officer of Cybin Inc., certify the following:</w:t>
      </w:r>
    </w:p>
    <w:p>
      <w:pPr>
        <w:spacing w:after="0" w:line="200" w:lineRule="exact"/>
        <w:rPr>
          <w:sz w:val="20"/>
          <w:szCs w:val="20"/>
          <w:color w:val="auto"/>
        </w:rPr>
      </w:pPr>
    </w:p>
    <w:p>
      <w:pPr>
        <w:ind w:left="583" w:right="20" w:hanging="583"/>
        <w:spacing w:after="0" w:line="292" w:lineRule="auto"/>
        <w:tabs>
          <w:tab w:leader="none" w:pos="58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AIF, if any, annual financial statements and annual MD&amp;A, including, for greater certainty, all documents and information that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incorporated by reference in the AIF (together, the “annual filings”) of Cybin Inc. (“issuer”) for the financial year ended March 31, 2024.</w:t>
      </w:r>
    </w:p>
    <w:p>
      <w:pPr>
        <w:spacing w:after="0" w:line="134" w:lineRule="exact"/>
        <w:rPr>
          <w:rFonts w:ascii="Times New Roman" w:cs="Times New Roman" w:eastAsia="Times New Roman" w:hAnsi="Times New Roman"/>
          <w:sz w:val="16"/>
          <w:szCs w:val="16"/>
          <w:color w:val="auto"/>
        </w:rPr>
      </w:pPr>
    </w:p>
    <w:p>
      <w:pPr>
        <w:jc w:val="both"/>
        <w:ind w:left="583" w:right="20" w:hanging="583"/>
        <w:spacing w:after="0" w:line="272" w:lineRule="auto"/>
        <w:tabs>
          <w:tab w:leader="none" w:pos="58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No misrepresentations: </w:t>
      </w:r>
      <w:r>
        <w:rPr>
          <w:rFonts w:ascii="Times New Roman" w:cs="Times New Roman" w:eastAsia="Times New Roman" w:hAnsi="Times New Roman"/>
          <w:sz w:val="16"/>
          <w:szCs w:val="16"/>
          <w:color w:val="auto"/>
        </w:rPr>
        <w:t>Based on my knowledge, having exercised reasonable diligence, the annual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for the period covered by the annual filings.</w:t>
      </w:r>
    </w:p>
    <w:p>
      <w:pPr>
        <w:spacing w:after="0" w:line="150" w:lineRule="exact"/>
        <w:rPr>
          <w:rFonts w:ascii="Times New Roman" w:cs="Times New Roman" w:eastAsia="Times New Roman" w:hAnsi="Times New Roman"/>
          <w:sz w:val="16"/>
          <w:szCs w:val="16"/>
          <w:color w:val="auto"/>
        </w:rPr>
      </w:pPr>
    </w:p>
    <w:p>
      <w:pPr>
        <w:jc w:val="both"/>
        <w:ind w:left="583" w:right="20" w:hanging="583"/>
        <w:spacing w:after="0" w:line="272" w:lineRule="auto"/>
        <w:tabs>
          <w:tab w:leader="none" w:pos="58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annual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annual filings fairly present in all material respects the financial condition, results of operations and cash flows of the issuer, as of the date of and for the periods presented in the annual filings.</w:t>
      </w:r>
    </w:p>
    <w:p>
      <w:pPr>
        <w:spacing w:after="0" w:line="150" w:lineRule="exact"/>
        <w:rPr>
          <w:rFonts w:ascii="Times New Roman" w:cs="Times New Roman" w:eastAsia="Times New Roman" w:hAnsi="Times New Roman"/>
          <w:sz w:val="16"/>
          <w:szCs w:val="16"/>
          <w:color w:val="auto"/>
        </w:rPr>
      </w:pPr>
    </w:p>
    <w:p>
      <w:pPr>
        <w:jc w:val="both"/>
        <w:ind w:left="583" w:right="20" w:hanging="583"/>
        <w:spacing w:after="0" w:line="272" w:lineRule="auto"/>
        <w:tabs>
          <w:tab w:leader="none" w:pos="58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internal control over financial reporting (ICFR), as those terms are defined in National Instrument 52-109 </w:t>
      </w:r>
      <w:r>
        <w:rPr>
          <w:rFonts w:ascii="Times New Roman" w:cs="Times New Roman" w:eastAsia="Times New Roman" w:hAnsi="Times New Roman"/>
          <w:sz w:val="16"/>
          <w:szCs w:val="16"/>
          <w:i w:val="1"/>
          <w:iCs w:val="1"/>
          <w:color w:val="auto"/>
        </w:rPr>
        <w:t>Certification of Disclosure in Issuers’ Annual and Interim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Filings</w:t>
      </w:r>
      <w:r>
        <w:rPr>
          <w:rFonts w:ascii="Times New Roman" w:cs="Times New Roman" w:eastAsia="Times New Roman" w:hAnsi="Times New Roman"/>
          <w:sz w:val="16"/>
          <w:szCs w:val="16"/>
          <w:color w:val="auto"/>
        </w:rPr>
        <w:t>, for the issuer.</w:t>
      </w:r>
    </w:p>
    <w:p>
      <w:pPr>
        <w:spacing w:after="0" w:line="150"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financial year end</w:t>
      </w:r>
    </w:p>
    <w:p>
      <w:pPr>
        <w:spacing w:after="0" w:line="208" w:lineRule="exact"/>
        <w:rPr>
          <w:rFonts w:ascii="Times New Roman" w:cs="Times New Roman" w:eastAsia="Times New Roman" w:hAnsi="Times New Roman"/>
          <w:sz w:val="16"/>
          <w:szCs w:val="16"/>
          <w:color w:val="auto"/>
        </w:rPr>
      </w:pPr>
    </w:p>
    <w:p>
      <w:pPr>
        <w:ind w:left="1163" w:hanging="581"/>
        <w:spacing w:after="0"/>
        <w:tabs>
          <w:tab w:leader="none" w:pos="1163"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04" w:lineRule="exact"/>
        <w:rPr>
          <w:rFonts w:ascii="Times New Roman" w:cs="Times New Roman" w:eastAsia="Times New Roman" w:hAnsi="Times New Roman"/>
          <w:sz w:val="16"/>
          <w:szCs w:val="16"/>
          <w:color w:val="auto"/>
        </w:rPr>
      </w:pPr>
    </w:p>
    <w:p>
      <w:pPr>
        <w:ind w:left="1743" w:hanging="579"/>
        <w:spacing w:after="0" w:line="287" w:lineRule="auto"/>
        <w:tabs>
          <w:tab w:leader="none" w:pos="1738" w:val="left"/>
        </w:tabs>
        <w:numPr>
          <w:ilvl w:val="2"/>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annual filings are being prepared; and</w:t>
      </w:r>
    </w:p>
    <w:p>
      <w:pPr>
        <w:spacing w:after="0" w:line="142" w:lineRule="exact"/>
        <w:rPr>
          <w:rFonts w:ascii="Times New Roman" w:cs="Times New Roman" w:eastAsia="Times New Roman" w:hAnsi="Times New Roman"/>
          <w:sz w:val="16"/>
          <w:szCs w:val="16"/>
          <w:color w:val="auto"/>
        </w:rPr>
      </w:pPr>
    </w:p>
    <w:p>
      <w:pPr>
        <w:ind w:left="1743" w:hanging="579"/>
        <w:spacing w:after="0" w:line="287" w:lineRule="auto"/>
        <w:tabs>
          <w:tab w:leader="none" w:pos="1734" w:val="left"/>
        </w:tabs>
        <w:numPr>
          <w:ilvl w:val="2"/>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2" w:lineRule="exact"/>
        <w:rPr>
          <w:rFonts w:ascii="Times New Roman" w:cs="Times New Roman" w:eastAsia="Times New Roman" w:hAnsi="Times New Roman"/>
          <w:sz w:val="16"/>
          <w:szCs w:val="16"/>
          <w:color w:val="auto"/>
        </w:rPr>
      </w:pPr>
    </w:p>
    <w:p>
      <w:pPr>
        <w:ind w:left="1163" w:right="20" w:hanging="581"/>
        <w:spacing w:after="0" w:line="287" w:lineRule="auto"/>
        <w:tabs>
          <w:tab w:leader="none" w:pos="1157"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38" w:lineRule="exact"/>
        <w:rPr>
          <w:sz w:val="20"/>
          <w:szCs w:val="20"/>
          <w:color w:val="auto"/>
        </w:rPr>
      </w:pPr>
    </w:p>
    <w:p>
      <w:pPr>
        <w:ind w:left="583" w:right="20" w:hanging="581"/>
        <w:spacing w:after="0" w:line="292" w:lineRule="auto"/>
        <w:tabs>
          <w:tab w:leader="none" w:pos="563"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34"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5"/>
          <w:szCs w:val="15"/>
          <w:b w:val="1"/>
          <w:bCs w:val="1"/>
          <w:i w:val="1"/>
          <w:iCs w:val="1"/>
          <w:color w:val="auto"/>
        </w:rPr>
        <w:t>N/A</w:t>
      </w:r>
    </w:p>
    <w:p>
      <w:pPr>
        <w:spacing w:after="0" w:line="204" w:lineRule="exact"/>
        <w:rPr>
          <w:sz w:val="20"/>
          <w:szCs w:val="20"/>
          <w:color w:val="auto"/>
        </w:rPr>
      </w:pPr>
    </w:p>
    <w:p>
      <w:pPr>
        <w:ind w:left="3"/>
        <w:spacing w:after="0"/>
        <w:tabs>
          <w:tab w:leader="none" w:pos="563"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b w:val="1"/>
          <w:bCs w:val="1"/>
          <w:i w:val="1"/>
          <w:iCs w:val="1"/>
          <w:color w:val="auto"/>
        </w:rPr>
        <w:t>N/A</w:t>
      </w:r>
    </w:p>
    <w:p>
      <w:pPr>
        <w:sectPr>
          <w:pgSz w:w="11900" w:h="16838" w:orient="portrait"/>
          <w:cols w:equalWidth="0" w:num="1">
            <w:col w:w="11263"/>
          </w:cols>
          <w:pgMar w:left="317" w:top="1440" w:right="319" w:bottom="1440" w:gutter="0" w:footer="0" w:header="0"/>
        </w:sectPr>
      </w:pPr>
    </w:p>
    <w:bookmarkStart w:id="363" w:name="page364"/>
    <w:bookmarkEnd w:id="363"/>
    <w:p>
      <w:pPr>
        <w:jc w:val="center"/>
        <w:ind w:right="-2"/>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3" w:hanging="583"/>
        <w:spacing w:after="0"/>
        <w:tabs>
          <w:tab w:leader="none" w:pos="5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Evaluation: </w:t>
      </w:r>
      <w:r>
        <w:rPr>
          <w:rFonts w:ascii="Times New Roman" w:cs="Times New Roman" w:eastAsia="Times New Roman" w:hAnsi="Times New Roman"/>
          <w:sz w:val="16"/>
          <w:szCs w:val="16"/>
          <w:color w:val="auto"/>
        </w:rPr>
        <w:t>The issuer’s other certifying officer(s) and I have</w:t>
      </w:r>
    </w:p>
    <w:p>
      <w:pPr>
        <w:spacing w:after="0" w:line="208" w:lineRule="exact"/>
        <w:rPr>
          <w:rFonts w:ascii="Times New Roman" w:cs="Times New Roman" w:eastAsia="Times New Roman" w:hAnsi="Times New Roman"/>
          <w:sz w:val="16"/>
          <w:szCs w:val="16"/>
          <w:color w:val="auto"/>
        </w:rPr>
      </w:pPr>
    </w:p>
    <w:p>
      <w:pPr>
        <w:ind w:left="1163" w:hanging="581"/>
        <w:spacing w:after="0" w:line="287" w:lineRule="auto"/>
        <w:tabs>
          <w:tab w:leader="none" w:pos="1160"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or caused to be evaluated under our supervision, the effectiveness of the issuer’s DC&amp;P at the financial year end and the issuer has disclosed in its annual MD&amp;A our conclusions about the effectiveness of DC&amp;P at the financial year end based on that evaluation; and</w:t>
      </w:r>
    </w:p>
    <w:p>
      <w:pPr>
        <w:spacing w:after="0" w:line="142" w:lineRule="exact"/>
        <w:rPr>
          <w:rFonts w:ascii="Times New Roman" w:cs="Times New Roman" w:eastAsia="Times New Roman" w:hAnsi="Times New Roman"/>
          <w:sz w:val="16"/>
          <w:szCs w:val="16"/>
          <w:color w:val="auto"/>
        </w:rPr>
      </w:pPr>
    </w:p>
    <w:p>
      <w:pPr>
        <w:ind w:left="1163" w:hanging="581"/>
        <w:spacing w:after="0" w:line="287" w:lineRule="auto"/>
        <w:tabs>
          <w:tab w:leader="none" w:pos="1157"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or caused to be evaluated under our supervision, the effectiveness of the issuer’s ICFR at the financial year end and the issuer has disclosed in its annual MD&amp;A</w:t>
      </w:r>
    </w:p>
    <w:p>
      <w:pPr>
        <w:spacing w:after="0" w:line="142" w:lineRule="exact"/>
        <w:rPr>
          <w:rFonts w:ascii="Times New Roman" w:cs="Times New Roman" w:eastAsia="Times New Roman" w:hAnsi="Times New Roman"/>
          <w:sz w:val="16"/>
          <w:szCs w:val="16"/>
          <w:color w:val="auto"/>
        </w:rPr>
      </w:pPr>
    </w:p>
    <w:p>
      <w:pPr>
        <w:ind w:left="1743" w:hanging="579"/>
        <w:spacing w:after="0"/>
        <w:tabs>
          <w:tab w:leader="none" w:pos="1743" w:val="left"/>
        </w:tabs>
        <w:numPr>
          <w:ilvl w:val="2"/>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conclusions about the effectiveness of ICFR at the financial year end based on that evaluation; and</w:t>
      </w:r>
    </w:p>
    <w:p>
      <w:pPr>
        <w:spacing w:after="0" w:line="204" w:lineRule="exact"/>
        <w:rPr>
          <w:rFonts w:ascii="Times New Roman" w:cs="Times New Roman" w:eastAsia="Times New Roman" w:hAnsi="Times New Roman"/>
          <w:sz w:val="16"/>
          <w:szCs w:val="16"/>
          <w:color w:val="auto"/>
        </w:rPr>
      </w:pPr>
    </w:p>
    <w:p>
      <w:pPr>
        <w:ind w:left="1743" w:hanging="579"/>
        <w:spacing w:after="0"/>
        <w:tabs>
          <w:tab w:leader="none" w:pos="1743" w:val="left"/>
        </w:tabs>
        <w:numPr>
          <w:ilvl w:val="2"/>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w:t>
      </w:r>
    </w:p>
    <w:p>
      <w:pPr>
        <w:spacing w:after="0" w:line="200" w:lineRule="exact"/>
        <w:rPr>
          <w:rFonts w:ascii="Times New Roman" w:cs="Times New Roman" w:eastAsia="Times New Roman" w:hAnsi="Times New Roman"/>
          <w:sz w:val="16"/>
          <w:szCs w:val="16"/>
          <w:color w:val="auto"/>
        </w:rPr>
      </w:pPr>
    </w:p>
    <w:p>
      <w:pPr>
        <w:ind w:left="583" w:hanging="583"/>
        <w:spacing w:after="0" w:line="292" w:lineRule="auto"/>
        <w:tabs>
          <w:tab w:leader="none" w:pos="5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annual MD&amp;A any change in the issuer’s ICFR that occurred during the period beginning on January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March 31, 2024 that has materially affected, or is reasonably likely to materially affect, the issuer’s ICFR.</w:t>
      </w:r>
    </w:p>
    <w:p>
      <w:pPr>
        <w:spacing w:after="0" w:line="134" w:lineRule="exact"/>
        <w:rPr>
          <w:rFonts w:ascii="Times New Roman" w:cs="Times New Roman" w:eastAsia="Times New Roman" w:hAnsi="Times New Roman"/>
          <w:sz w:val="16"/>
          <w:szCs w:val="16"/>
          <w:color w:val="auto"/>
        </w:rPr>
      </w:pPr>
    </w:p>
    <w:p>
      <w:pPr>
        <w:jc w:val="both"/>
        <w:ind w:left="583" w:hanging="583"/>
        <w:spacing w:after="0" w:line="272" w:lineRule="auto"/>
        <w:tabs>
          <w:tab w:leader="none" w:pos="5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to the issuer’s auditors and board of directors or audit committee: </w:t>
      </w:r>
      <w:r>
        <w:rPr>
          <w:rFonts w:ascii="Times New Roman" w:cs="Times New Roman" w:eastAsia="Times New Roman" w:hAnsi="Times New Roman"/>
          <w:sz w:val="16"/>
          <w:szCs w:val="16"/>
          <w:color w:val="auto"/>
        </w:rPr>
        <w:t>The issuer’s other certifying officer(s) and I have disclosed, based on our most recent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evaluation of ICFR, to the issuer’s auditors, and the board of directors or the audit committee of the board of directors any fraud that involves management or other employees who have a significant role in the issuer’s ICFR.</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June 25, 2024</w:t>
      </w:r>
    </w:p>
    <w:p>
      <w:pPr>
        <w:spacing w:after="0" w:line="200" w:lineRule="exact"/>
        <w:rPr>
          <w:sz w:val="20"/>
          <w:szCs w:val="20"/>
          <w:color w:val="auto"/>
        </w:rPr>
      </w:pP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u w:val="single" w:color="auto"/>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11086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10865" cy="7620"/>
                    </a:xfrm>
                    <a:prstGeom prst="rect">
                      <a:avLst/>
                    </a:prstGeom>
                    <a:noFill/>
                  </pic:spPr>
                </pic:pic>
              </a:graphicData>
            </a:graphic>
          </wp:anchor>
        </w:drawing>
      </w:r>
    </w:p>
    <w:p>
      <w:pPr>
        <w:spacing w:after="0" w:line="53"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6"/>
          <w:szCs w:val="16"/>
          <w:color w:val="auto"/>
        </w:rPr>
        <w:t>Greg Cavers</w:t>
      </w:r>
    </w:p>
    <w:p>
      <w:pPr>
        <w:spacing w:after="0" w:line="26"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
        <w:spacing w:after="0"/>
        <w:rPr>
          <w:sz w:val="20"/>
          <w:szCs w:val="20"/>
          <w:color w:val="auto"/>
        </w:rPr>
      </w:pPr>
      <w:r>
        <w:rPr>
          <w:rFonts w:ascii="Arial" w:cs="Arial" w:eastAsia="Arial" w:hAnsi="Arial"/>
          <w:sz w:val="13"/>
          <w:szCs w:val="13"/>
          <w:color w:val="auto"/>
        </w:rPr>
        <w:t>53250514.2</w:t>
      </w:r>
    </w:p>
    <w:p>
      <w:pPr>
        <w:sectPr>
          <w:pgSz w:w="11900" w:h="16838" w:orient="portrait"/>
          <w:cols w:equalWidth="0" w:num="1">
            <w:col w:w="11243"/>
          </w:cols>
          <w:pgMar w:left="317" w:top="123" w:right="3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6"/>
          <w:szCs w:val="16"/>
          <w:b w:val="1"/>
          <w:bCs w:val="1"/>
          <w:color w:val="auto"/>
        </w:rPr>
        <w:t>Exhibit 99.6</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21" w:lineRule="auto"/>
        <w:rPr>
          <w:sz w:val="20"/>
          <w:szCs w:val="20"/>
          <w:color w:val="auto"/>
        </w:rPr>
      </w:pPr>
      <w:r>
        <w:rPr>
          <w:rFonts w:ascii="Times New Roman" w:cs="Times New Roman" w:eastAsia="Times New Roman" w:hAnsi="Times New Roman"/>
          <w:sz w:val="16"/>
          <w:szCs w:val="16"/>
          <w:color w:val="auto"/>
        </w:rPr>
        <w:t>18 U.S.C. §1350,</w:t>
      </w:r>
    </w:p>
    <w:p>
      <w:pPr>
        <w:jc w:val="center"/>
        <w:spacing w:after="0" w:line="206" w:lineRule="auto"/>
        <w:rPr>
          <w:sz w:val="20"/>
          <w:szCs w:val="20"/>
          <w:color w:val="auto"/>
        </w:rPr>
      </w:pPr>
      <w:r>
        <w:rPr>
          <w:rFonts w:ascii="Times New Roman" w:cs="Times New Roman" w:eastAsia="Times New Roman" w:hAnsi="Times New Roman"/>
          <w:sz w:val="16"/>
          <w:szCs w:val="16"/>
          <w:color w:val="auto"/>
        </w:rPr>
        <w:t>AS ADOPTED PURSUANT TO</w:t>
      </w: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83" w:lineRule="exact"/>
        <w:rPr>
          <w:sz w:val="20"/>
          <w:szCs w:val="20"/>
          <w:color w:val="auto"/>
        </w:rPr>
      </w:pPr>
    </w:p>
    <w:p>
      <w:pPr>
        <w:ind w:right="120" w:firstLine="582"/>
        <w:spacing w:after="0" w:line="225" w:lineRule="auto"/>
        <w:rPr>
          <w:sz w:val="20"/>
          <w:szCs w:val="20"/>
          <w:color w:val="auto"/>
        </w:rPr>
      </w:pPr>
      <w:r>
        <w:rPr>
          <w:rFonts w:ascii="Times New Roman" w:cs="Times New Roman" w:eastAsia="Times New Roman" w:hAnsi="Times New Roman"/>
          <w:sz w:val="16"/>
          <w:szCs w:val="16"/>
          <w:color w:val="auto"/>
        </w:rPr>
        <w:t>In connection with the Annual Report of Cybin Inc. (the “Company”) on Form 40-F for the period ended March 31, 2024 as filed with the Securities and Exchange Commission on the date hereof (the “Report”), I, Doug Drysdale, Chief Executive Officer of the Company, certify, pursuant to 18 U.S.C. §1350, as adopted pursuant to</w:t>
      </w:r>
    </w:p>
    <w:p>
      <w:pPr>
        <w:spacing w:after="0"/>
        <w:rPr>
          <w:sz w:val="20"/>
          <w:szCs w:val="20"/>
          <w:color w:val="auto"/>
        </w:rPr>
      </w:pPr>
      <w:r>
        <w:rPr>
          <w:rFonts w:ascii="Times New Roman" w:cs="Times New Roman" w:eastAsia="Times New Roman" w:hAnsi="Times New Roman"/>
          <w:sz w:val="16"/>
          <w:szCs w:val="16"/>
          <w:color w:val="auto"/>
        </w:rPr>
        <w:t>Section 906 of the Sarbanes-Oxley Act of 2002, that:</w:t>
      </w:r>
    </w:p>
    <w:p>
      <w:pPr>
        <w:spacing w:after="0" w:line="113" w:lineRule="exact"/>
        <w:rPr>
          <w:sz w:val="20"/>
          <w:szCs w:val="20"/>
          <w:color w:val="auto"/>
        </w:rPr>
      </w:pPr>
    </w:p>
    <w:p>
      <w:pPr>
        <w:ind w:left="520" w:hanging="353"/>
        <w:spacing w:after="0"/>
        <w:tabs>
          <w:tab w:leader="none" w:pos="52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6"/>
          <w:szCs w:val="16"/>
          <w:color w:val="auto"/>
        </w:rPr>
      </w:pPr>
    </w:p>
    <w:p>
      <w:pPr>
        <w:ind w:left="520" w:hanging="353"/>
        <w:spacing w:after="0"/>
        <w:tabs>
          <w:tab w:leader="none" w:pos="52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this Report fairly presents, in all material respects, the financial condition and results of operations of the Company.</w:t>
      </w:r>
    </w:p>
    <w:p>
      <w:pPr>
        <w:spacing w:after="0" w:line="29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auto"/>
        </w:rPr>
        <w:t>June 25, 2024</w:t>
      </w:r>
      <w:r>
        <w:rPr>
          <w:sz w:val="20"/>
          <w:szCs w:val="20"/>
          <w:color w:val="auto"/>
        </w:rPr>
        <w:tab/>
      </w:r>
      <w:r>
        <w:rPr>
          <w:rFonts w:ascii="Times New Roman" w:cs="Times New Roman" w:eastAsia="Times New Roman" w:hAnsi="Times New Roman"/>
          <w:sz w:val="16"/>
          <w:szCs w:val="16"/>
          <w:i w:val="1"/>
          <w:iCs w:val="1"/>
          <w:color w:val="auto"/>
        </w:rPr>
        <w:t>/s/ Doug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0</wp:posOffset>
            </wp:positionV>
            <wp:extent cx="85534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5345" cy="7620"/>
                    </a:xfrm>
                    <a:prstGeom prst="rect">
                      <a:avLst/>
                    </a:prstGeom>
                    <a:noFill/>
                  </pic:spPr>
                </pic:pic>
              </a:graphicData>
            </a:graphic>
          </wp:anchor>
        </w:drawing>
      </w:r>
    </w:p>
    <w:p>
      <w:pPr>
        <w:ind w:left="4660"/>
        <w:spacing w:after="0" w:line="205" w:lineRule="auto"/>
        <w:rPr>
          <w:sz w:val="20"/>
          <w:szCs w:val="20"/>
          <w:color w:val="auto"/>
        </w:rPr>
      </w:pPr>
      <w:r>
        <w:rPr>
          <w:rFonts w:ascii="Times New Roman" w:cs="Times New Roman" w:eastAsia="Times New Roman" w:hAnsi="Times New Roman"/>
          <w:sz w:val="16"/>
          <w:szCs w:val="16"/>
          <w:color w:val="auto"/>
        </w:rPr>
        <w:t>Doug Drysdale</w:t>
      </w:r>
    </w:p>
    <w:p>
      <w:pPr>
        <w:ind w:left="4660"/>
        <w:spacing w:after="0" w:line="222" w:lineRule="auto"/>
        <w:rPr>
          <w:sz w:val="20"/>
          <w:szCs w:val="20"/>
          <w:color w:val="auto"/>
        </w:rPr>
      </w:pPr>
      <w:r>
        <w:rPr>
          <w:rFonts w:ascii="Times New Roman" w:cs="Times New Roman" w:eastAsia="Times New Roman" w:hAnsi="Times New Roman"/>
          <w:sz w:val="16"/>
          <w:szCs w:val="16"/>
          <w:color w:val="auto"/>
        </w:rPr>
        <w:t>Chief Executive Officer</w:t>
      </w:r>
    </w:p>
    <w:p>
      <w:pPr>
        <w:jc w:val="center"/>
        <w:ind w:right="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83" w:lineRule="exact"/>
        <w:rPr>
          <w:sz w:val="20"/>
          <w:szCs w:val="20"/>
          <w:color w:val="auto"/>
        </w:rPr>
      </w:pPr>
    </w:p>
    <w:p>
      <w:pPr>
        <w:ind w:right="680" w:firstLine="582"/>
        <w:spacing w:after="0" w:line="23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Cybin Inc. and will be retained by Cybin Inc. and furnished to the Securities and Exchange Commission or its staff upon request.</w:t>
      </w:r>
    </w:p>
    <w:p>
      <w:pPr>
        <w:sectPr>
          <w:pgSz w:w="11900" w:h="16838" w:orient="portrait"/>
          <w:cols w:equalWidth="0" w:num="1">
            <w:col w:w="11260"/>
          </w:cols>
          <w:pgMar w:left="320" w:top="1272" w:right="31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6"/>
          <w:szCs w:val="16"/>
          <w:b w:val="1"/>
          <w:bCs w:val="1"/>
          <w:color w:val="auto"/>
        </w:rPr>
        <w:t>Exhibit 99.7</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21" w:lineRule="auto"/>
        <w:rPr>
          <w:sz w:val="20"/>
          <w:szCs w:val="20"/>
          <w:color w:val="auto"/>
        </w:rPr>
      </w:pPr>
      <w:r>
        <w:rPr>
          <w:rFonts w:ascii="Times New Roman" w:cs="Times New Roman" w:eastAsia="Times New Roman" w:hAnsi="Times New Roman"/>
          <w:sz w:val="16"/>
          <w:szCs w:val="16"/>
          <w:color w:val="auto"/>
        </w:rPr>
        <w:t>18 U.S.C. §1350,</w:t>
      </w:r>
    </w:p>
    <w:p>
      <w:pPr>
        <w:jc w:val="center"/>
        <w:spacing w:after="0" w:line="206" w:lineRule="auto"/>
        <w:rPr>
          <w:sz w:val="20"/>
          <w:szCs w:val="20"/>
          <w:color w:val="auto"/>
        </w:rPr>
      </w:pPr>
      <w:r>
        <w:rPr>
          <w:rFonts w:ascii="Times New Roman" w:cs="Times New Roman" w:eastAsia="Times New Roman" w:hAnsi="Times New Roman"/>
          <w:sz w:val="16"/>
          <w:szCs w:val="16"/>
          <w:color w:val="auto"/>
        </w:rPr>
        <w:t>AS ADOPTED PURSUANT TO</w:t>
      </w: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83" w:lineRule="exact"/>
        <w:rPr>
          <w:sz w:val="20"/>
          <w:szCs w:val="20"/>
          <w:color w:val="auto"/>
        </w:rPr>
      </w:pPr>
    </w:p>
    <w:p>
      <w:pPr>
        <w:ind w:right="120" w:firstLine="582"/>
        <w:spacing w:after="0" w:line="225" w:lineRule="auto"/>
        <w:rPr>
          <w:sz w:val="20"/>
          <w:szCs w:val="20"/>
          <w:color w:val="auto"/>
        </w:rPr>
      </w:pPr>
      <w:r>
        <w:rPr>
          <w:rFonts w:ascii="Times New Roman" w:cs="Times New Roman" w:eastAsia="Times New Roman" w:hAnsi="Times New Roman"/>
          <w:sz w:val="16"/>
          <w:szCs w:val="16"/>
          <w:color w:val="auto"/>
        </w:rPr>
        <w:t>In connection with the Annual Report of Cybin Inc. (the “Company”) on Form 40-F for the period ended March 31, 2024 as filed with the Securities and Exchange Commission on the date hereof (the “Report”), I, Greg Cavers, Chief Financial Officer of the Company, certify, pursuant to 18 U.S.C. §1350, as adopted pursuant to Section</w:t>
      </w:r>
    </w:p>
    <w:p>
      <w:pPr>
        <w:spacing w:after="0"/>
        <w:rPr>
          <w:sz w:val="20"/>
          <w:szCs w:val="20"/>
          <w:color w:val="auto"/>
        </w:rPr>
      </w:pPr>
      <w:r>
        <w:rPr>
          <w:rFonts w:ascii="Times New Roman" w:cs="Times New Roman" w:eastAsia="Times New Roman" w:hAnsi="Times New Roman"/>
          <w:sz w:val="16"/>
          <w:szCs w:val="16"/>
          <w:color w:val="auto"/>
        </w:rPr>
        <w:t>906 of the Sarbanes-Oxley Act of 2002, that:</w:t>
      </w:r>
    </w:p>
    <w:p>
      <w:pPr>
        <w:spacing w:after="0" w:line="113" w:lineRule="exact"/>
        <w:rPr>
          <w:sz w:val="20"/>
          <w:szCs w:val="20"/>
          <w:color w:val="auto"/>
        </w:rPr>
      </w:pPr>
    </w:p>
    <w:p>
      <w:pPr>
        <w:ind w:left="520" w:hanging="353"/>
        <w:spacing w:after="0"/>
        <w:tabs>
          <w:tab w:leader="none" w:pos="52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6"/>
          <w:szCs w:val="16"/>
          <w:color w:val="auto"/>
        </w:rPr>
      </w:pPr>
    </w:p>
    <w:p>
      <w:pPr>
        <w:ind w:left="520" w:hanging="353"/>
        <w:spacing w:after="0"/>
        <w:tabs>
          <w:tab w:leader="none" w:pos="52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this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25, 2024</w:t>
      </w:r>
    </w:p>
    <w:p>
      <w:pPr>
        <w:spacing w:after="0" w:line="200" w:lineRule="exact"/>
        <w:rPr>
          <w:sz w:val="20"/>
          <w:szCs w:val="20"/>
          <w:color w:val="auto"/>
        </w:rPr>
      </w:pPr>
    </w:p>
    <w:p>
      <w:pPr>
        <w:spacing w:after="0" w:line="20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i w:val="1"/>
          <w:iCs w:val="1"/>
          <w:u w:val="single" w:color="auto"/>
          <w:color w:val="auto"/>
        </w:rPr>
        <w:t>/s/ Greg Cavers</w:t>
      </w:r>
    </w:p>
    <w:p>
      <w:pPr>
        <w:ind w:left="4720"/>
        <w:spacing w:after="0" w:line="213" w:lineRule="auto"/>
        <w:rPr>
          <w:sz w:val="20"/>
          <w:szCs w:val="20"/>
          <w:color w:val="auto"/>
        </w:rPr>
      </w:pPr>
      <w:r>
        <w:rPr>
          <w:rFonts w:ascii="Times New Roman" w:cs="Times New Roman" w:eastAsia="Times New Roman" w:hAnsi="Times New Roman"/>
          <w:sz w:val="16"/>
          <w:szCs w:val="16"/>
          <w:color w:val="auto"/>
        </w:rPr>
        <w:t>Greg Cavers</w:t>
      </w:r>
    </w:p>
    <w:p>
      <w:pPr>
        <w:ind w:left="4720"/>
        <w:spacing w:after="0" w:line="205"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338" w:lineRule="exact"/>
        <w:rPr>
          <w:sz w:val="20"/>
          <w:szCs w:val="20"/>
          <w:color w:val="auto"/>
        </w:rPr>
      </w:pPr>
    </w:p>
    <w:p>
      <w:pPr>
        <w:ind w:right="680" w:firstLine="582"/>
        <w:spacing w:after="0" w:line="23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Cybin Inc. and will be retained by Cybin Inc. and furnished to the Securities and Exchange Commission or its staff upon request.</w:t>
      </w:r>
    </w:p>
    <w:p>
      <w:pPr>
        <w:sectPr>
          <w:pgSz w:w="11900" w:h="16838" w:orient="portrait"/>
          <w:cols w:equalWidth="0" w:num="1">
            <w:col w:w="11260"/>
          </w:cols>
          <w:pgMar w:left="320" w:top="1272" w:right="319" w:bottom="1440" w:gutter="0" w:footer="0" w:header="0"/>
        </w:sectPr>
      </w:pPr>
    </w:p>
    <w:bookmarkStart w:id="366" w:name="page367"/>
    <w:bookmarkEnd w:id="3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589280</wp:posOffset>
            </wp:positionV>
            <wp:extent cx="1231900" cy="3543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231900" cy="35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United States Securities and Exchange Commission</w:t>
      </w:r>
    </w:p>
    <w:p>
      <w:pPr>
        <w:spacing w:after="0" w:line="2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consent to the incorporation by reference in the Annual Report on Form 40-F of Cybin Inc. (the “Company”) of our report dated June 25, 2024, with respect to the consolidated financial position of the Company as at March 31, 2024 and March 31, 2023 and the consolidated statements of loss and comprehensive loss, changes in shareholders’ equity and cash flows for the years then ended, and notes to the consolidation financial, including material accounting policy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375920</wp:posOffset>
            </wp:positionV>
            <wp:extent cx="1393825"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93825" cy="3003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Canada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Chartered Professional Accountants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2237105</wp:posOffset>
            </wp:positionV>
            <wp:extent cx="7620" cy="307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0" cy="307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70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Borders>
              <w:right w:val="single" w:sz="8" w:color="BEBEBE"/>
            </w:tcBorders>
          </w:tcPr>
          <w:p>
            <w:pPr>
              <w:spacing w:after="0"/>
              <w:rPr>
                <w:sz w:val="20"/>
                <w:szCs w:val="20"/>
                <w:color w:val="auto"/>
              </w:rPr>
            </w:pPr>
            <w:r>
              <w:rPr>
                <w:rFonts w:ascii="Arial" w:cs="Arial" w:eastAsia="Arial" w:hAnsi="Arial"/>
                <w:sz w:val="15"/>
                <w:szCs w:val="15"/>
                <w:color w:val="A6A6A6"/>
              </w:rPr>
              <w:t>201 Bridgeland Avenue | Toronto Ontario | M6A 1Y7 |</w:t>
            </w:r>
          </w:p>
        </w:tc>
        <w:tc>
          <w:tcPr>
            <w:tcW w:w="300" w:type="dxa"/>
            <w:vAlign w:val="bottom"/>
          </w:tcPr>
          <w:p>
            <w:pPr>
              <w:spacing w:after="0"/>
              <w:rPr>
                <w:sz w:val="20"/>
                <w:szCs w:val="20"/>
                <w:color w:val="auto"/>
              </w:rPr>
            </w:pPr>
          </w:p>
        </w:tc>
        <w:tc>
          <w:tcPr>
            <w:tcW w:w="7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94"/>
              </w:rPr>
              <w:t>zeifmans.ca</w:t>
            </w:r>
          </w:p>
        </w:tc>
        <w:tc>
          <w:tcPr>
            <w:tcW w:w="260" w:type="dxa"/>
            <w:vAlign w:val="bottom"/>
          </w:tcPr>
          <w:p>
            <w:pPr>
              <w:spacing w:after="0"/>
              <w:rPr>
                <w:sz w:val="20"/>
                <w:szCs w:val="20"/>
                <w:color w:val="auto"/>
              </w:rPr>
            </w:pPr>
          </w:p>
        </w:tc>
      </w:tr>
      <w:tr>
        <w:trPr>
          <w:trHeight w:val="184"/>
        </w:trPr>
        <w:tc>
          <w:tcPr>
            <w:tcW w:w="3620" w:type="dxa"/>
            <w:vAlign w:val="bottom"/>
            <w:tcBorders>
              <w:right w:val="single" w:sz="8" w:color="BEBEBE"/>
            </w:tcBorders>
          </w:tcPr>
          <w:p>
            <w:pPr>
              <w:spacing w:after="0"/>
              <w:rPr>
                <w:sz w:val="20"/>
                <w:szCs w:val="20"/>
                <w:color w:val="auto"/>
              </w:rPr>
            </w:pPr>
            <w:r>
              <w:rPr>
                <w:rFonts w:ascii="Arial" w:cs="Arial" w:eastAsia="Arial" w:hAnsi="Arial"/>
                <w:sz w:val="15"/>
                <w:szCs w:val="15"/>
                <w:color w:val="A6A6A6"/>
              </w:rPr>
              <w:t>Canada</w:t>
            </w:r>
          </w:p>
        </w:tc>
        <w:tc>
          <w:tcPr>
            <w:tcW w:w="3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5"/>
                <w:szCs w:val="15"/>
                <w:color w:val="A6A6A6"/>
                <w:w w:val="93"/>
              </w:rPr>
              <w:t>T: 416.256.4000</w:t>
            </w:r>
          </w:p>
        </w:tc>
      </w:tr>
      <w:tr>
        <w:trPr>
          <w:trHeight w:val="51"/>
        </w:trPr>
        <w:tc>
          <w:tcPr>
            <w:tcW w:w="3620" w:type="dxa"/>
            <w:vAlign w:val="bottom"/>
            <w:tcBorders>
              <w:right w:val="single" w:sz="8" w:color="BEBEBE"/>
            </w:tcBorders>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593090" cy="2540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3090" cy="254000"/>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1]"/>
      <w:numFmt w:val="upperLetter"/>
      <w:start w:val="24"/>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1."/>
      <w:numFmt w:val="decimal"/>
      <w:start w:val="1"/>
    </w:lvl>
  </w:abstractNum>
  <w:abstractNum w:abstractNumId="4">
    <w:nsid w:val="49DA307D"/>
    <w:multiLevelType w:val="hybridMultilevel"/>
    <w:lvl w:ilvl="0">
      <w:lvlJc w:val="left"/>
      <w:lvlText w:val="%1."/>
      <w:numFmt w:val="decimal"/>
      <w:start w:val="2"/>
    </w:lvl>
  </w:abstractNum>
  <w:abstractNum w:abstractNumId="5">
    <w:nsid w:val="7055A5F5"/>
    <w:multiLevelType w:val="hybridMultilevel"/>
    <w:lvl w:ilvl="0">
      <w:lvlJc w:val="left"/>
      <w:lvlText w:val="%1."/>
      <w:numFmt w:val="decimal"/>
      <w:start w:val="3"/>
    </w:lvl>
  </w:abstractNum>
  <w:abstractNum w:abstractNumId="6">
    <w:nsid w:val="5FB8370B"/>
    <w:multiLevelType w:val="hybridMultilevel"/>
    <w:lvl w:ilvl="0">
      <w:lvlJc w:val="left"/>
      <w:lvlText w:val="1"/>
      <w:numFmt w:val="bullet"/>
      <w:start w:val="1"/>
    </w:lvl>
  </w:abstractNum>
  <w:abstractNum w:abstractNumId="7">
    <w:nsid w:val="50801EE1"/>
    <w:multiLevelType w:val="hybridMultilevel"/>
    <w:lvl w:ilvl="0">
      <w:lvlJc w:val="left"/>
      <w:lvlText w:val="%1."/>
      <w:numFmt w:val="decimal"/>
      <w:start w:val="4"/>
    </w:lvl>
  </w:abstractNum>
  <w:abstractNum w:abstractNumId="8">
    <w:nsid w:val="488AC1A"/>
    <w:multiLevelType w:val="hybridMultilevel"/>
    <w:lvl w:ilvl="0">
      <w:lvlJc w:val="left"/>
      <w:lvlText w:val="(%1)"/>
      <w:numFmt w:val="lowerLetter"/>
      <w:start w:val="1"/>
    </w:lvl>
  </w:abstractNum>
  <w:abstractNum w:abstractNumId="9">
    <w:nsid w:val="5FB8011C"/>
    <w:multiLevelType w:val="hybridMultilevel"/>
    <w:lvl w:ilvl="0">
      <w:lvlJc w:val="left"/>
      <w:lvlText w:val="(%1)"/>
      <w:numFmt w:val="lowerLetter"/>
      <w:start w:val="3"/>
    </w:lvl>
    <w:lvl w:ilvl="1">
      <w:lvlJc w:val="left"/>
      <w:lvlText w:val="(%2)"/>
      <w:numFmt w:val="lowerRoman"/>
      <w:start w:val="1"/>
    </w:lvl>
  </w:abstractNum>
  <w:abstractNum w:abstractNumId="10">
    <w:nsid w:val="6AA78F7F"/>
    <w:multiLevelType w:val="hybridMultilevel"/>
    <w:lvl w:ilvl="0">
      <w:lvlJc w:val="left"/>
      <w:lvlText w:val="%1."/>
      <w:numFmt w:val="decimal"/>
      <w:start w:val="5"/>
    </w:lvl>
  </w:abstractNum>
  <w:abstractNum w:abstractNumId="11">
    <w:nsid w:val="7672BD23"/>
    <w:multiLevelType w:val="hybridMultilevel"/>
    <w:lvl w:ilvl="0">
      <w:lvlJc w:val="left"/>
      <w:lvlText w:val="%1."/>
      <w:numFmt w:val="decimal"/>
      <w:start w:val="6"/>
    </w:lvl>
  </w:abstractNum>
  <w:abstractNum w:abstractNumId="12">
    <w:nsid w:val="6FC75AF8"/>
    <w:multiLevelType w:val="hybridMultilevel"/>
    <w:lvl w:ilvl="0">
      <w:lvlJc w:val="left"/>
      <w:lvlText w:val="8"/>
      <w:numFmt w:val="bullet"/>
      <w:start w:val="1"/>
    </w:lvl>
  </w:abstractNum>
  <w:abstractNum w:abstractNumId="13">
    <w:nsid w:val="6A5F7029"/>
    <w:multiLevelType w:val="hybridMultilevel"/>
    <w:lvl w:ilvl="0">
      <w:lvlJc w:val="left"/>
      <w:lvlText w:val="%1."/>
      <w:numFmt w:val="decimal"/>
      <w:start w:val="1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1."/>
      <w:numFmt w:val="lowerLetter"/>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1."/>
      <w:numFmt w:val="decimal"/>
      <w:start w:val="2"/>
    </w:lvl>
  </w:abstractNum>
  <w:abstractNum w:abstractNumId="20">
    <w:nsid w:val="14FCE74E"/>
    <w:multiLevelType w:val="hybridMultilevel"/>
    <w:lvl w:ilvl="0">
      <w:lvlJc w:val="left"/>
      <w:lvlText w:val="2"/>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1."/>
      <w:numFmt w:val="decimal"/>
      <w:start w:val="9"/>
    </w:lvl>
    <w:lvl w:ilvl="1">
      <w:lvlJc w:val="left"/>
      <w:lvlText w:val="%2)"/>
      <w:numFmt w:val="lowerLetter"/>
      <w:start w:val="1"/>
    </w:lvl>
  </w:abstractNum>
  <w:abstractNum w:abstractNumId="28">
    <w:nsid w:val="59ADEA3D"/>
    <w:multiLevelType w:val="hybridMultilevel"/>
    <w:lvl w:ilvl="0">
      <w:lvlJc w:val="left"/>
      <w:lvlText w:val="%1)"/>
      <w:numFmt w:val="lowerLetter"/>
      <w:start w:val="2"/>
    </w:lvl>
  </w:abstractNum>
  <w:abstractNum w:abstractNumId="29">
    <w:nsid w:val="288F1A34"/>
    <w:multiLevelType w:val="hybridMultilevel"/>
    <w:lvl w:ilvl="0">
      <w:lvlJc w:val="left"/>
      <w:lvlText w:val="%1)"/>
      <w:numFmt w:val="lowerLetter"/>
      <w:start w:val="3"/>
    </w:lvl>
  </w:abstractNum>
  <w:abstractNum w:abstractNumId="30">
    <w:nsid w:val="2A155DBC"/>
    <w:multiLevelType w:val="hybridMultilevel"/>
    <w:lvl w:ilvl="0">
      <w:lvlJc w:val="left"/>
      <w:lvlText w:val="(%1)"/>
      <w:numFmt w:val="decimal"/>
      <w:start w:val="1"/>
    </w:lvl>
  </w:abstractNum>
  <w:abstractNum w:abstractNumId="31">
    <w:nsid w:val="1D9F6E5F"/>
    <w:multiLevelType w:val="hybridMultilevel"/>
    <w:lvl w:ilvl="0">
      <w:lvlJc w:val="left"/>
      <w:lvlText w:val="%1)"/>
      <w:numFmt w:val="decimal"/>
      <w:start w:val="1"/>
    </w:lvl>
  </w:abstractNum>
  <w:abstractNum w:abstractNumId="32">
    <w:nsid w:val="97E1B4E"/>
    <w:multiLevelType w:val="hybridMultilevel"/>
    <w:lvl w:ilvl="0">
      <w:lvlJc w:val="left"/>
      <w:lvlText w:val="(%1)"/>
      <w:numFmt w:val="decimal"/>
      <w:start w:val="2"/>
    </w:lvl>
  </w:abstractNum>
  <w:abstractNum w:abstractNumId="33">
    <w:nsid w:val="51088277"/>
    <w:multiLevelType w:val="hybridMultilevel"/>
    <w:lvl w:ilvl="0">
      <w:lvlJc w:val="left"/>
      <w:lvlText w:val="%1)"/>
      <w:numFmt w:val="lowerLetter"/>
      <w:start w:val="4"/>
    </w:lvl>
  </w:abstractNum>
  <w:abstractNum w:abstractNumId="34">
    <w:nsid w:val="1CA0C5FA"/>
    <w:multiLevelType w:val="hybridMultilevel"/>
    <w:lvl w:ilvl="0">
      <w:lvlJc w:val="left"/>
      <w:lvlText w:val="(%1)"/>
      <w:numFmt w:val="decimal"/>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1)"/>
      <w:numFmt w:val="lowerLetter"/>
      <w:start w:val="1"/>
    </w:lvl>
  </w:abstractNum>
  <w:abstractNum w:abstractNumId="44">
    <w:nsid w:val="78DF6A55"/>
    <w:multiLevelType w:val="hybridMultilevel"/>
    <w:lvl w:ilvl="0">
      <w:lvlJc w:val="left"/>
      <w:lvlText w:val="(%1)"/>
      <w:numFmt w:val="lowerLetter"/>
      <w:start w:val="1"/>
    </w:lvl>
  </w:abstractNum>
  <w:abstractNum w:abstractNumId="45">
    <w:nsid w:val="39B7AAA2"/>
    <w:multiLevelType w:val="hybridMultilevel"/>
    <w:lvl w:ilvl="0">
      <w:lvlJc w:val="left"/>
      <w:lvlText w:val="(%1)"/>
      <w:numFmt w:val="lowerLetter"/>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1"/>
      <w:numFmt w:val="bullet"/>
      <w:start w:val="1"/>
    </w:lvl>
  </w:abstractNum>
  <w:abstractNum w:abstractNumId="49">
    <w:nsid w:val="69E373"/>
    <w:multiLevelType w:val="hybridMultilevel"/>
    <w:lvl w:ilvl="0">
      <w:lvlJc w:val="left"/>
      <w:lvlText w:val="2"/>
      <w:numFmt w:val="bullet"/>
      <w:start w:val="1"/>
    </w:lvl>
  </w:abstractNum>
  <w:abstractNum w:abstractNumId="50">
    <w:nsid w:val="2C27173B"/>
    <w:multiLevelType w:val="hybridMultilevel"/>
    <w:lvl w:ilvl="0">
      <w:lvlJc w:val="left"/>
      <w:lvlText w:val="3"/>
      <w:numFmt w:val="bullet"/>
      <w:start w:val="1"/>
    </w:lvl>
  </w:abstractNum>
  <w:abstractNum w:abstractNumId="51">
    <w:nsid w:val="4C9B0904"/>
    <w:multiLevelType w:val="hybridMultilevel"/>
    <w:lvl w:ilvl="0">
      <w:lvlJc w:val="left"/>
      <w:lvlText w:val="4"/>
      <w:numFmt w:val="bullet"/>
      <w:start w:val="1"/>
    </w:lvl>
  </w:abstractNum>
  <w:abstractNum w:abstractNumId="52">
    <w:nsid w:val="6AA7B75C"/>
    <w:multiLevelType w:val="hybridMultilevel"/>
    <w:lvl w:ilvl="0">
      <w:lvlJc w:val="left"/>
      <w:lvlText w:val="5"/>
      <w:numFmt w:val="bullet"/>
      <w:start w:val="1"/>
    </w:lvl>
  </w:abstractNum>
  <w:abstractNum w:abstractNumId="53">
    <w:nsid w:val="1DF029D3"/>
    <w:multiLevelType w:val="hybridMultilevel"/>
    <w:lvl w:ilvl="0">
      <w:lvlJc w:val="left"/>
      <w:lvlText w:val="8"/>
      <w:numFmt w:val="bullet"/>
      <w:start w:val="1"/>
    </w:lvl>
  </w:abstractNum>
  <w:abstractNum w:abstractNumId="54">
    <w:nsid w:val="5675FF36"/>
    <w:multiLevelType w:val="hybridMultilevel"/>
    <w:lvl w:ilvl="0">
      <w:lvlJc w:val="left"/>
      <w:lvlText w:val="%1."/>
      <w:numFmt w:val="lowerLetter"/>
      <w:start w:val="1"/>
    </w:lvl>
  </w:abstractNum>
  <w:abstractNum w:abstractNumId="55">
    <w:nsid w:val="3DD15094"/>
    <w:multiLevelType w:val="hybridMultilevel"/>
    <w:lvl w:ilvl="0">
      <w:lvlJc w:val="left"/>
      <w:lvlText w:val="%1"/>
      <w:numFmt w:val="decimal"/>
      <w:start w:val="13"/>
    </w:lvl>
  </w:abstractNum>
  <w:abstractNum w:abstractNumId="56">
    <w:nsid w:val="3DB012B3"/>
    <w:multiLevelType w:val="hybridMultilevel"/>
    <w:lvl w:ilvl="0">
      <w:lvlJc w:val="left"/>
      <w:lvlText w:val="•"/>
      <w:numFmt w:val="bullet"/>
      <w:start w:val="1"/>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1"/>
      <w:numFmt w:val="decimal"/>
      <w:start w:val="15"/>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1"/>
      <w:numFmt w:val="decimal"/>
      <w:start w:val="19"/>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1"/>
      <w:numFmt w:val="decimal"/>
      <w:start w:val="21"/>
    </w:lvl>
  </w:abstractNum>
  <w:abstractNum w:abstractNumId="65">
    <w:nsid w:val="519E3149"/>
    <w:multiLevelType w:val="hybridMultilevel"/>
    <w:lvl w:ilvl="0">
      <w:lvlJc w:val="left"/>
      <w:lvlText w:val="%1"/>
      <w:numFmt w:val="decimal"/>
      <w:start w:val="27"/>
    </w:lvl>
  </w:abstractNum>
  <w:abstractNum w:abstractNumId="66">
    <w:nsid w:val="2C6E4AFD"/>
    <w:multiLevelType w:val="hybridMultilevel"/>
    <w:lvl w:ilvl="0">
      <w:lvlJc w:val="left"/>
      <w:lvlText w:val="%1"/>
      <w:numFmt w:val="decimal"/>
      <w:start w:val="29"/>
    </w:lvl>
  </w:abstractNum>
  <w:abstractNum w:abstractNumId="67">
    <w:nsid w:val="17A1B582"/>
    <w:multiLevelType w:val="hybridMultilevel"/>
    <w:lvl w:ilvl="0">
      <w:lvlJc w:val="left"/>
      <w:lvlText w:val="%1"/>
      <w:numFmt w:val="decimal"/>
      <w:start w:val="32"/>
    </w:lvl>
  </w:abstractNum>
  <w:abstractNum w:abstractNumId="68">
    <w:nsid w:val="4DF72E4E"/>
    <w:multiLevelType w:val="hybridMultilevel"/>
    <w:lvl w:ilvl="0">
      <w:lvlJc w:val="left"/>
      <w:lvlText w:val="%1"/>
      <w:numFmt w:val="decimal"/>
      <w:start w:val="33"/>
    </w:lvl>
  </w:abstractNum>
  <w:abstractNum w:abstractNumId="69">
    <w:nsid w:val="5046B5A9"/>
    <w:multiLevelType w:val="hybridMultilevel"/>
    <w:lvl w:ilvl="0">
      <w:lvlJc w:val="left"/>
      <w:lvlText w:val="(%1)"/>
      <w:numFmt w:val="decimal"/>
      <w:start w:val="1"/>
    </w:lvl>
  </w:abstractNum>
  <w:abstractNum w:abstractNumId="70">
    <w:nsid w:val="5D888A08"/>
    <w:multiLevelType w:val="hybridMultilevel"/>
    <w:lvl w:ilvl="0">
      <w:lvlJc w:val="left"/>
      <w:lvlText w:val="%1"/>
      <w:numFmt w:val="decimal"/>
      <w:start w:val="34"/>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1"/>
      <w:numFmt w:val="decimal"/>
      <w:start w:val="35"/>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1"/>
      <w:numFmt w:val="decimal"/>
      <w:start w:val="37"/>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
      <w:numFmt w:val="bullet"/>
      <w:start w:val="1"/>
    </w:lvl>
  </w:abstractNum>
  <w:abstractNum w:abstractNumId="77">
    <w:nsid w:val="20EE1348"/>
    <w:multiLevelType w:val="hybridMultilevel"/>
    <w:lvl w:ilvl="0">
      <w:lvlJc w:val="left"/>
      <w:lvlText w:val="•"/>
      <w:numFmt w:val="bullet"/>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
      <w:numFmt w:val="bullet"/>
      <w:start w:val="1"/>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1)"/>
      <w:numFmt w:val="decimal"/>
      <w:start w:val="1"/>
    </w:lvl>
  </w:abstractNum>
  <w:abstractNum w:abstractNumId="88">
    <w:nsid w:val="5551B9F3"/>
    <w:multiLevelType w:val="hybridMultilevel"/>
    <w:lvl w:ilvl="0">
      <w:lvlJc w:val="left"/>
      <w:lvlText w:val="(%1)"/>
      <w:numFmt w:val="decimal"/>
      <w:start w:val="1"/>
    </w:lvl>
  </w:abstractNum>
  <w:abstractNum w:abstractNumId="89">
    <w:nsid w:val="24F6AB8E"/>
    <w:multiLevelType w:val="hybridMultilevel"/>
    <w:lvl w:ilvl="0">
      <w:lvlJc w:val="left"/>
      <w:lvlText w:val="(%1)"/>
      <w:numFmt w:val="decimal"/>
      <w:start w:val="1"/>
    </w:lvl>
  </w:abstractNum>
  <w:abstractNum w:abstractNumId="90">
    <w:nsid w:val="634C574C"/>
    <w:multiLevelType w:val="hybridMultilevel"/>
    <w:lvl w:ilvl="0">
      <w:lvlJc w:val="left"/>
      <w:lvlText w:val="(%1)"/>
      <w:numFmt w:val="decimal"/>
      <w:start w:val="9"/>
    </w:lvl>
  </w:abstractNum>
  <w:abstractNum w:abstractNumId="91">
    <w:nsid w:val="24E99DD7"/>
    <w:multiLevelType w:val="hybridMultilevel"/>
    <w:lvl w:ilvl="0">
      <w:lvlJc w:val="left"/>
      <w:lvlText w:val="(%1)"/>
      <w:numFmt w:val="lowerLetter"/>
      <w:start w:val="1"/>
    </w:lvl>
  </w:abstractNum>
  <w:abstractNum w:abstractNumId="92">
    <w:nsid w:val="2A31B62D"/>
    <w:multiLevelType w:val="hybridMultilevel"/>
    <w:lvl w:ilvl="0">
      <w:lvlJc w:val="left"/>
      <w:lvlText w:val="(%1)"/>
      <w:numFmt w:val="lowerLetter"/>
      <w:start w:val="1"/>
    </w:lvl>
  </w:abstractNum>
  <w:abstractNum w:abstractNumId="93">
    <w:nsid w:val="1849C29B"/>
    <w:multiLevelType w:val="hybridMultilevel"/>
    <w:lvl w:ilvl="0">
      <w:lvlJc w:val="left"/>
      <w:lvlText w:val="(%1)"/>
      <w:numFmt w:val="lowerLetter"/>
      <w:start w:val="2"/>
    </w:lvl>
  </w:abstractNum>
  <w:abstractNum w:abstractNumId="94">
    <w:nsid w:val="7DFF9D09"/>
    <w:multiLevelType w:val="hybridMultilevel"/>
    <w:lvl w:ilvl="0">
      <w:lvlJc w:val="left"/>
      <w:lvlText w:val="(%1)"/>
      <w:numFmt w:val="lowerLetter"/>
      <w:start w:val="1"/>
    </w:lvl>
  </w:abstractNum>
  <w:abstractNum w:abstractNumId="95">
    <w:nsid w:val="754342"/>
    <w:multiLevelType w:val="hybridMultilevel"/>
    <w:lvl w:ilvl="0">
      <w:lvlJc w:val="left"/>
      <w:lvlText w:val="(%1)"/>
      <w:numFmt w:val="lowerLetter"/>
      <w:start w:val="4"/>
    </w:lvl>
  </w:abstractNum>
  <w:abstractNum w:abstractNumId="96">
    <w:nsid w:val="69E7F3E5"/>
    <w:multiLevelType w:val="hybridMultilevel"/>
    <w:lvl w:ilvl="0">
      <w:lvlJc w:val="left"/>
      <w:lvlText w:val="(%1)"/>
      <w:numFmt w:val="decimal"/>
      <w:start w:val="1"/>
    </w:lvl>
  </w:abstractNum>
  <w:abstractNum w:abstractNumId="97">
    <w:nsid w:val="2A6DE806"/>
    <w:multiLevelType w:val="hybridMultilevel"/>
    <w:lvl w:ilvl="0">
      <w:lvlJc w:val="left"/>
      <w:lvlText w:val="(%1)"/>
      <w:numFmt w:val="lowerLetter"/>
      <w:start w:val="1"/>
    </w:lvl>
  </w:abstractNum>
  <w:abstractNum w:abstractNumId="98">
    <w:nsid w:val="1816F8C4"/>
    <w:multiLevelType w:val="hybridMultilevel"/>
    <w:lvl w:ilvl="0">
      <w:lvlJc w:val="left"/>
      <w:lvlText w:val="%1."/>
      <w:numFmt w:val="decimal"/>
      <w:start w:val="1"/>
    </w:lvl>
    <w:lvl w:ilvl="1">
      <w:lvlJc w:val="left"/>
      <w:lvlText w:val="(%2)"/>
      <w:numFmt w:val="lowerLetter"/>
      <w:start w:val="1"/>
    </w:lvl>
  </w:abstractNum>
  <w:abstractNum w:abstractNumId="99">
    <w:nsid w:val="37DF2233"/>
    <w:multiLevelType w:val="hybridMultilevel"/>
    <w:lvl w:ilvl="0">
      <w:lvlJc w:val="left"/>
      <w:lvlText w:val="%1"/>
      <w:numFmt w:val="decimal"/>
      <w:start w:val="1"/>
    </w:lvl>
    <w:lvl w:ilvl="1">
      <w:lvlJc w:val="left"/>
      <w:lvlText w:val="(%2)"/>
      <w:numFmt w:val="lowerLetter"/>
      <w:start w:val="9"/>
    </w:lvl>
  </w:abstractNum>
  <w:abstractNum w:abstractNumId="100">
    <w:nsid w:val="7AB49DAF"/>
    <w:multiLevelType w:val="hybridMultilevel"/>
    <w:lvl w:ilvl="0">
      <w:lvlJc w:val="left"/>
      <w:lvlText w:val="%1."/>
      <w:numFmt w:val="decimal"/>
      <w:start w:val="3"/>
    </w:lvl>
    <w:lvl w:ilvl="1">
      <w:lvlJc w:val="left"/>
      <w:lvlText w:val="(%2)"/>
      <w:numFmt w:val="lowerLetter"/>
      <w:start w:val="1"/>
    </w:lvl>
  </w:abstractNum>
  <w:abstractNum w:abstractNumId="101">
    <w:nsid w:val="759F82CD"/>
    <w:multiLevelType w:val="hybridMultilevel"/>
    <w:lvl w:ilvl="0">
      <w:lvlJc w:val="left"/>
      <w:lvlText w:val="(%1)"/>
      <w:numFmt w:val="lowerLetter"/>
      <w:start w:val="1"/>
    </w:lvl>
  </w:abstractNum>
  <w:abstractNum w:abstractNumId="102">
    <w:nsid w:val="61E74EA3"/>
    <w:multiLevelType w:val="hybridMultilevel"/>
    <w:lvl w:ilvl="0">
      <w:lvlJc w:val="left"/>
      <w:lvlText w:val="%1."/>
      <w:numFmt w:val="decimal"/>
      <w:start w:val="1"/>
    </w:lvl>
  </w:abstractNum>
  <w:abstractNum w:abstractNumId="103">
    <w:nsid w:val="597B4D84"/>
    <w:multiLevelType w:val="hybridMultilevel"/>
    <w:lvl w:ilvl="0">
      <w:lvlJc w:val="left"/>
      <w:lvlText w:val="%1."/>
      <w:numFmt w:val="decimal"/>
      <w:start w:val="1"/>
    </w:lvl>
  </w:abstractNum>
  <w:abstractNum w:abstractNumId="104">
    <w:nsid w:val="F819E7F"/>
    <w:multiLevelType w:val="hybridMultilevel"/>
    <w:lvl w:ilvl="0">
      <w:lvlJc w:val="left"/>
      <w:lvlText w:val="(%1)"/>
      <w:numFmt w:val="lowerLetter"/>
      <w:start w:val="1"/>
    </w:lvl>
  </w:abstractNum>
  <w:abstractNum w:abstractNumId="105">
    <w:nsid w:val="57C7D42D"/>
    <w:multiLevelType w:val="hybridMultilevel"/>
    <w:lvl w:ilvl="0">
      <w:lvlJc w:val="left"/>
      <w:lvlText w:val="%1."/>
      <w:numFmt w:val="decimal"/>
      <w:start w:val="1"/>
    </w:lvl>
  </w:abstractNum>
  <w:abstractNum w:abstractNumId="106">
    <w:nsid w:val="312167AD"/>
    <w:multiLevelType w:val="hybridMultilevel"/>
    <w:lvl w:ilvl="0">
      <w:lvlJc w:val="left"/>
      <w:lvlText w:val="•"/>
      <w:numFmt w:val="bullet"/>
      <w:start w:val="1"/>
    </w:lvl>
  </w:abstractNum>
  <w:abstractNum w:abstractNumId="107">
    <w:nsid w:val="631B64D4"/>
    <w:multiLevelType w:val="hybridMultilevel"/>
    <w:lvl w:ilvl="0">
      <w:lvlJc w:val="left"/>
      <w:lvlText w:val="•"/>
      <w:numFmt w:val="bullet"/>
      <w:start w:val="1"/>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
      <w:numFmt w:val="bullet"/>
      <w:start w:val="1"/>
    </w:lvl>
  </w:abstractNum>
  <w:abstractNum w:abstractNumId="110">
    <w:nsid w:val="6E534CDE"/>
    <w:multiLevelType w:val="hybridMultilevel"/>
    <w:lvl w:ilvl="0">
      <w:lvlJc w:val="left"/>
      <w:lvlText w:val="%1."/>
      <w:numFmt w:val="decimal"/>
      <w:start w:val="2"/>
    </w:lvl>
  </w:abstractNum>
  <w:abstractNum w:abstractNumId="111">
    <w:nsid w:val="1A0DDE32"/>
    <w:multiLevelType w:val="hybridMultilevel"/>
    <w:lvl w:ilvl="0">
      <w:lvlJc w:val="left"/>
      <w:lvlText w:val="1"/>
      <w:numFmt w:val="bullet"/>
      <w:start w:val="1"/>
    </w:lvl>
  </w:abstractNum>
  <w:abstractNum w:abstractNumId="112">
    <w:nsid w:val="65968C1C"/>
    <w:multiLevelType w:val="hybridMultilevel"/>
    <w:lvl w:ilvl="0">
      <w:lvlJc w:val="left"/>
      <w:lvlText w:val="2"/>
      <w:numFmt w:val="bullet"/>
      <w:start w:val="1"/>
    </w:lvl>
  </w:abstractNum>
  <w:abstractNum w:abstractNumId="113">
    <w:nsid w:val="46263DEC"/>
    <w:multiLevelType w:val="hybridMultilevel"/>
    <w:lvl w:ilvl="0">
      <w:lvlJc w:val="left"/>
      <w:lvlText w:val="•"/>
      <w:numFmt w:val="bullet"/>
      <w:start w:val="1"/>
    </w:lvl>
  </w:abstractNum>
  <w:abstractNum w:abstractNumId="114">
    <w:nsid w:val="260D8C4A"/>
    <w:multiLevelType w:val="hybridMultilevel"/>
    <w:lvl w:ilvl="0">
      <w:lvlJc w:val="left"/>
      <w:lvlText w:val="•"/>
      <w:numFmt w:val="bullet"/>
      <w:start w:val="1"/>
    </w:lvl>
  </w:abstractNum>
  <w:abstractNum w:abstractNumId="115">
    <w:nsid w:val="73D4D3C4"/>
    <w:multiLevelType w:val="hybridMultilevel"/>
    <w:lvl w:ilvl="0">
      <w:lvlJc w:val="left"/>
      <w:lvlText w:val="•"/>
      <w:numFmt w:val="bullet"/>
      <w:start w:val="1"/>
    </w:lvl>
  </w:abstractNum>
  <w:abstractNum w:abstractNumId="116">
    <w:nsid w:val="746F2E30"/>
    <w:multiLevelType w:val="hybridMultilevel"/>
    <w:lvl w:ilvl="0">
      <w:lvlJc w:val="left"/>
      <w:lvlText w:val="•"/>
      <w:numFmt w:val="bullet"/>
      <w:start w:val="1"/>
    </w:lvl>
  </w:abstractNum>
  <w:abstractNum w:abstractNumId="117">
    <w:nsid w:val="6FDE8AF6"/>
    <w:multiLevelType w:val="hybridMultilevel"/>
    <w:lvl w:ilvl="0">
      <w:lvlJc w:val="left"/>
      <w:lvlText w:val="•"/>
      <w:numFmt w:val="bullet"/>
      <w:start w:val="1"/>
    </w:lvl>
  </w:abstractNum>
  <w:abstractNum w:abstractNumId="118">
    <w:nsid w:val="3FC32E20"/>
    <w:multiLevelType w:val="hybridMultilevel"/>
    <w:lvl w:ilvl="0">
      <w:lvlJc w:val="left"/>
      <w:lvlText w:val="•"/>
      <w:numFmt w:val="bullet"/>
      <w:start w:val="1"/>
    </w:lvl>
  </w:abstractNum>
  <w:abstractNum w:abstractNumId="119">
    <w:nsid w:val="49C0E823"/>
    <w:multiLevelType w:val="hybridMultilevel"/>
    <w:lvl w:ilvl="0">
      <w:lvlJc w:val="left"/>
      <w:lvlText w:val="•"/>
      <w:numFmt w:val="bullet"/>
      <w:start w:val="1"/>
    </w:lvl>
  </w:abstractNum>
  <w:abstractNum w:abstractNumId="120">
    <w:nsid w:val="14D53685"/>
    <w:multiLevelType w:val="hybridMultilevel"/>
    <w:lvl w:ilvl="0">
      <w:lvlJc w:val="left"/>
      <w:lvlText w:val="%1."/>
      <w:numFmt w:val="decimal"/>
      <w:start w:val="8"/>
    </w:lvl>
  </w:abstractNum>
  <w:abstractNum w:abstractNumId="121">
    <w:nsid w:val="230F856C"/>
    <w:multiLevelType w:val="hybridMultilevel"/>
    <w:lvl w:ilvl="0">
      <w:lvlJc w:val="left"/>
      <w:lvlText w:val="%1."/>
      <w:numFmt w:val="decimal"/>
      <w:start w:val="9"/>
    </w:lvl>
    <w:lvl w:ilvl="1">
      <w:lvlJc w:val="left"/>
      <w:lvlText w:val="%2)"/>
      <w:numFmt w:val="lowerLetter"/>
      <w:start w:val="1"/>
    </w:lvl>
  </w:abstractNum>
  <w:abstractNum w:abstractNumId="122">
    <w:nsid w:val="6EAA85FB"/>
    <w:multiLevelType w:val="hybridMultilevel"/>
    <w:lvl w:ilvl="0">
      <w:lvlJc w:val="left"/>
      <w:lvlText w:val="%1)"/>
      <w:numFmt w:val="lowerLetter"/>
      <w:start w:val="2"/>
    </w:lvl>
  </w:abstractNum>
  <w:abstractNum w:abstractNumId="123">
    <w:nsid w:val="3F06ECB2"/>
    <w:multiLevelType w:val="hybridMultilevel"/>
    <w:lvl w:ilvl="0">
      <w:lvlJc w:val="left"/>
      <w:lvlText w:val="%1)"/>
      <w:numFmt w:val="lowerLetter"/>
      <w:start w:val="3"/>
    </w:lvl>
  </w:abstractNum>
  <w:abstractNum w:abstractNumId="124">
    <w:nsid w:val="3B594807"/>
    <w:multiLevelType w:val="hybridMultilevel"/>
    <w:lvl w:ilvl="0">
      <w:lvlJc w:val="left"/>
      <w:lvlText w:val="(%1)"/>
      <w:numFmt w:val="decimal"/>
      <w:start w:val="1"/>
    </w:lvl>
  </w:abstractNum>
  <w:abstractNum w:abstractNumId="125">
    <w:nsid w:val="6CAA2304"/>
    <w:multiLevelType w:val="hybridMultilevel"/>
    <w:lvl w:ilvl="0">
      <w:lvlJc w:val="left"/>
      <w:lvlText w:val="%1)"/>
      <w:numFmt w:val="decimal"/>
      <w:start w:val="1"/>
    </w:lvl>
  </w:abstractNum>
  <w:abstractNum w:abstractNumId="126">
    <w:nsid w:val="3F7C2FF4"/>
    <w:multiLevelType w:val="hybridMultilevel"/>
    <w:lvl w:ilvl="0">
      <w:lvlJc w:val="left"/>
      <w:lvlText w:val="(%1)"/>
      <w:numFmt w:val="decimal"/>
      <w:start w:val="2"/>
    </w:lvl>
  </w:abstractNum>
  <w:abstractNum w:abstractNumId="127">
    <w:nsid w:val="25413BEC"/>
    <w:multiLevelType w:val="hybridMultilevel"/>
    <w:lvl w:ilvl="0">
      <w:lvlJc w:val="left"/>
      <w:lvlText w:val="%1)"/>
      <w:numFmt w:val="lowerLetter"/>
      <w:start w:val="4"/>
    </w:lvl>
  </w:abstractNum>
  <w:abstractNum w:abstractNumId="128">
    <w:nsid w:val="17180B0B"/>
    <w:multiLevelType w:val="hybridMultilevel"/>
    <w:lvl w:ilvl="0">
      <w:lvlJc w:val="left"/>
      <w:lvlText w:val="(%1)"/>
      <w:numFmt w:val="decimal"/>
      <w:start w:val="1"/>
    </w:lvl>
  </w:abstractNum>
  <w:abstractNum w:abstractNumId="129">
    <w:nsid w:val="579328B9"/>
    <w:multiLevelType w:val="hybridMultilevel"/>
    <w:lvl w:ilvl="0">
      <w:lvlJc w:val="left"/>
      <w:lvlText w:val="•"/>
      <w:numFmt w:val="bullet"/>
      <w:start w:val="1"/>
    </w:lvl>
  </w:abstractNum>
  <w:abstractNum w:abstractNumId="130">
    <w:nsid w:val="5D205E20"/>
    <w:multiLevelType w:val="hybridMultilevel"/>
    <w:lvl w:ilvl="0">
      <w:lvlJc w:val="left"/>
      <w:lvlText w:val="•"/>
      <w:numFmt w:val="bullet"/>
      <w:start w:val="1"/>
    </w:lvl>
  </w:abstractNum>
  <w:abstractNum w:abstractNumId="131">
    <w:nsid w:val="11CCA8BA"/>
    <w:multiLevelType w:val="hybridMultilevel"/>
    <w:lvl w:ilvl="0">
      <w:lvlJc w:val="left"/>
      <w:lvlText w:val="•"/>
      <w:numFmt w:val="bullet"/>
      <w:start w:val="1"/>
    </w:lvl>
  </w:abstractNum>
  <w:abstractNum w:abstractNumId="132">
    <w:nsid w:val="4D32AB86"/>
    <w:multiLevelType w:val="hybridMultilevel"/>
    <w:lvl w:ilvl="0">
      <w:lvlJc w:val="left"/>
      <w:lvlText w:val="•"/>
      <w:numFmt w:val="bullet"/>
      <w:start w:val="1"/>
    </w:lvl>
  </w:abstractNum>
  <w:abstractNum w:abstractNumId="133">
    <w:nsid w:val="3F07ACC3"/>
    <w:multiLevelType w:val="hybridMultilevel"/>
    <w:lvl w:ilvl="0">
      <w:lvlJc w:val="left"/>
      <w:lvlText w:val="•"/>
      <w:numFmt w:val="bullet"/>
      <w:start w:val="1"/>
    </w:lvl>
  </w:abstractNum>
  <w:abstractNum w:abstractNumId="134">
    <w:nsid w:val="6B47F63E"/>
    <w:multiLevelType w:val="hybridMultilevel"/>
    <w:lvl w:ilvl="0">
      <w:lvlJc w:val="left"/>
      <w:lvlText w:val="•"/>
      <w:numFmt w:val="bullet"/>
      <w:start w:val="1"/>
    </w:lvl>
  </w:abstractNum>
  <w:abstractNum w:abstractNumId="135">
    <w:nsid w:val="5CB44A05"/>
    <w:multiLevelType w:val="hybridMultilevel"/>
    <w:lvl w:ilvl="0">
      <w:lvlJc w:val="left"/>
      <w:lvlText w:val="•"/>
      <w:numFmt w:val="bullet"/>
      <w:start w:val="1"/>
    </w:lvl>
  </w:abstractNum>
  <w:abstractNum w:abstractNumId="136">
    <w:nsid w:val="16CF80F1"/>
    <w:multiLevelType w:val="hybridMultilevel"/>
    <w:lvl w:ilvl="0">
      <w:lvlJc w:val="left"/>
      <w:lvlText w:val="•"/>
      <w:numFmt w:val="bullet"/>
      <w:start w:val="1"/>
    </w:lvl>
  </w:abstractNum>
  <w:abstractNum w:abstractNumId="137">
    <w:nsid w:val="1C695DEC"/>
    <w:multiLevelType w:val="hybridMultilevel"/>
    <w:lvl w:ilvl="0">
      <w:lvlJc w:val="left"/>
      <w:lvlText w:val="1"/>
      <w:numFmt w:val="bullet"/>
      <w:start w:val="1"/>
    </w:lvl>
  </w:abstractNum>
  <w:abstractNum w:abstractNumId="138">
    <w:nsid w:val="3FCFAED9"/>
    <w:multiLevelType w:val="hybridMultilevel"/>
    <w:lvl w:ilvl="0">
      <w:lvlJc w:val="left"/>
      <w:lvlText w:val="2"/>
      <w:numFmt w:val="bullet"/>
      <w:start w:val="1"/>
    </w:lvl>
  </w:abstractNum>
  <w:abstractNum w:abstractNumId="139">
    <w:nsid w:val="F856867"/>
    <w:multiLevelType w:val="hybridMultilevel"/>
    <w:lvl w:ilvl="0">
      <w:lvlJc w:val="left"/>
      <w:lvlText w:val="4"/>
      <w:numFmt w:val="bullet"/>
      <w:start w:val="1"/>
    </w:lvl>
  </w:abstractNum>
  <w:abstractNum w:abstractNumId="140">
    <w:nsid w:val="11B1CC33"/>
    <w:multiLevelType w:val="hybridMultilevel"/>
    <w:lvl w:ilvl="0">
      <w:lvlJc w:val="left"/>
      <w:lvlText w:val="5"/>
      <w:numFmt w:val="bullet"/>
      <w:start w:val="1"/>
    </w:lvl>
  </w:abstractNum>
  <w:abstractNum w:abstractNumId="141">
    <w:nsid w:val="2E22FBB7"/>
    <w:multiLevelType w:val="hybridMultilevel"/>
    <w:lvl w:ilvl="0">
      <w:lvlJc w:val="left"/>
      <w:lvlText w:val="6"/>
      <w:numFmt w:val="bullet"/>
      <w:start w:val="1"/>
    </w:lvl>
  </w:abstractNum>
  <w:abstractNum w:abstractNumId="142">
    <w:nsid w:val="29934699"/>
    <w:multiLevelType w:val="hybridMultilevel"/>
    <w:lvl w:ilvl="0">
      <w:lvlJc w:val="left"/>
      <w:lvlText w:val="%1."/>
      <w:numFmt w:val="decimal"/>
      <w:start w:val="1"/>
    </w:lvl>
  </w:abstractNum>
  <w:abstractNum w:abstractNumId="143">
    <w:nsid w:val="77485850"/>
    <w:multiLevelType w:val="hybridMultilevel"/>
    <w:lvl w:ilvl="0">
      <w:lvlJc w:val="left"/>
      <w:lvlText w:val="7"/>
      <w:numFmt w:val="bullet"/>
      <w:start w:val="1"/>
    </w:lvl>
  </w:abstractNum>
  <w:abstractNum w:abstractNumId="144">
    <w:nsid w:val="744939A3"/>
    <w:multiLevelType w:val="hybridMultilevel"/>
    <w:lvl w:ilvl="0">
      <w:lvlJc w:val="left"/>
      <w:lvlText w:val="•"/>
      <w:numFmt w:val="bullet"/>
      <w:start w:val="1"/>
    </w:lvl>
  </w:abstractNum>
  <w:abstractNum w:abstractNumId="145">
    <w:nsid w:val="4FA0D2E3"/>
    <w:multiLevelType w:val="hybridMultilevel"/>
    <w:lvl w:ilvl="0">
      <w:lvlJc w:val="left"/>
      <w:lvlText w:val="•"/>
      <w:numFmt w:val="bullet"/>
      <w:start w:val="1"/>
    </w:lvl>
  </w:abstractNum>
  <w:abstractNum w:abstractNumId="146">
    <w:nsid w:val="6B1D2C14"/>
    <w:multiLevelType w:val="hybridMultilevel"/>
    <w:lvl w:ilvl="0">
      <w:lvlJc w:val="left"/>
      <w:lvlText w:val="9"/>
      <w:numFmt w:val="bullet"/>
      <w:start w:val="1"/>
    </w:lvl>
  </w:abstractNum>
  <w:abstractNum w:abstractNumId="147">
    <w:nsid w:val="68B867D3"/>
    <w:multiLevelType w:val="hybridMultilevel"/>
    <w:lvl w:ilvl="0">
      <w:lvlJc w:val="left"/>
      <w:lvlText w:val="%1"/>
      <w:numFmt w:val="decimal"/>
      <w:start w:val="10"/>
    </w:lvl>
  </w:abstractNum>
  <w:abstractNum w:abstractNumId="148">
    <w:nsid w:val="3F7F5DD9"/>
    <w:multiLevelType w:val="hybridMultilevel"/>
    <w:lvl w:ilvl="0">
      <w:lvlJc w:val="left"/>
      <w:lvlText w:val="%1"/>
      <w:numFmt w:val="decimal"/>
      <w:start w:val="12"/>
    </w:lvl>
  </w:abstractNum>
  <w:abstractNum w:abstractNumId="149">
    <w:nsid w:val="2AE05A34"/>
    <w:multiLevelType w:val="hybridMultilevel"/>
    <w:lvl w:ilvl="0">
      <w:lvlJc w:val="left"/>
      <w:lvlText w:val="•"/>
      <w:numFmt w:val="bullet"/>
      <w:start w:val="1"/>
    </w:lvl>
  </w:abstractNum>
  <w:abstractNum w:abstractNumId="150">
    <w:nsid w:val="32794FF7"/>
    <w:multiLevelType w:val="hybridMultilevel"/>
    <w:lvl w:ilvl="0">
      <w:lvlJc w:val="left"/>
      <w:lvlText w:val="%1"/>
      <w:numFmt w:val="decimal"/>
      <w:start w:val="14"/>
    </w:lvl>
  </w:abstractNum>
  <w:abstractNum w:abstractNumId="151">
    <w:nsid w:val="5454945E"/>
    <w:multiLevelType w:val="hybridMultilevel"/>
    <w:lvl w:ilvl="0">
      <w:lvlJc w:val="left"/>
      <w:lvlText w:val="•"/>
      <w:numFmt w:val="bullet"/>
      <w:start w:val="1"/>
    </w:lvl>
  </w:abstractNum>
  <w:abstractNum w:abstractNumId="152">
    <w:nsid w:val="4DEFDFA0"/>
    <w:multiLevelType w:val="hybridMultilevel"/>
    <w:lvl w:ilvl="0">
      <w:lvlJc w:val="left"/>
      <w:lvlText w:val="•"/>
      <w:numFmt w:val="bullet"/>
      <w:start w:val="1"/>
    </w:lvl>
  </w:abstractNum>
  <w:abstractNum w:abstractNumId="153">
    <w:nsid w:val="2123D5F2"/>
    <w:multiLevelType w:val="hybridMultilevel"/>
    <w:lvl w:ilvl="0">
      <w:lvlJc w:val="left"/>
      <w:lvlText w:val="%1"/>
      <w:numFmt w:val="decimal"/>
      <w:start w:val="15"/>
    </w:lvl>
  </w:abstractNum>
  <w:abstractNum w:abstractNumId="154">
    <w:nsid w:val="135B8110"/>
    <w:multiLevelType w:val="hybridMultilevel"/>
    <w:lvl w:ilvl="0">
      <w:lvlJc w:val="left"/>
      <w:lvlText w:val="%1"/>
      <w:numFmt w:val="decimal"/>
      <w:start w:val="16"/>
    </w:lvl>
  </w:abstractNum>
  <w:abstractNum w:abstractNumId="155">
    <w:nsid w:val="94927A8"/>
    <w:multiLevelType w:val="hybridMultilevel"/>
    <w:lvl w:ilvl="0">
      <w:lvlJc w:val="left"/>
      <w:lvlText w:val="%1"/>
      <w:numFmt w:val="decimal"/>
      <w:start w:val="19"/>
    </w:lvl>
  </w:abstractNum>
  <w:abstractNum w:abstractNumId="156">
    <w:nsid w:val="DCDF8F6"/>
    <w:multiLevelType w:val="hybridMultilevel"/>
    <w:lvl w:ilvl="0">
      <w:lvlJc w:val="left"/>
      <w:lvlText w:val="%1"/>
      <w:numFmt w:val="decimal"/>
      <w:start w:val="22"/>
    </w:lvl>
  </w:abstractNum>
  <w:abstractNum w:abstractNumId="157">
    <w:nsid w:val="52D7B105"/>
    <w:multiLevelType w:val="hybridMultilevel"/>
    <w:lvl w:ilvl="0">
      <w:lvlJc w:val="left"/>
      <w:lvlText w:val="%1"/>
      <w:numFmt w:val="decimal"/>
      <w:start w:val="24"/>
    </w:lvl>
  </w:abstractNum>
  <w:abstractNum w:abstractNumId="158">
    <w:nsid w:val="2E8A6394"/>
    <w:multiLevelType w:val="hybridMultilevel"/>
    <w:lvl w:ilvl="0">
      <w:lvlJc w:val="left"/>
      <w:lvlText w:val="%1"/>
      <w:numFmt w:val="decimal"/>
      <w:start w:val="26"/>
    </w:lvl>
  </w:abstractNum>
  <w:abstractNum w:abstractNumId="159">
    <w:nsid w:val="24E60401"/>
    <w:multiLevelType w:val="hybridMultilevel"/>
    <w:lvl w:ilvl="0">
      <w:lvlJc w:val="left"/>
      <w:lvlText w:val="(%1)"/>
      <w:numFmt w:val="decimal"/>
      <w:start w:val="1"/>
    </w:lvl>
  </w:abstractNum>
  <w:abstractNum w:abstractNumId="160">
    <w:nsid w:val="2A6AD9BE"/>
    <w:multiLevelType w:val="hybridMultilevel"/>
    <w:lvl w:ilvl="0">
      <w:lvlJc w:val="left"/>
      <w:lvlText w:val="(%1)"/>
      <w:numFmt w:val="decimal"/>
      <w:start w:val="1"/>
    </w:lvl>
  </w:abstractNum>
  <w:abstractNum w:abstractNumId="161">
    <w:nsid w:val="BAAC1B4"/>
    <w:multiLevelType w:val="hybridMultilevel"/>
    <w:lvl w:ilvl="0">
      <w:lvlJc w:val="left"/>
      <w:lvlText w:val="%1"/>
      <w:numFmt w:val="decimal"/>
      <w:start w:val="27"/>
    </w:lvl>
  </w:abstractNum>
  <w:abstractNum w:abstractNumId="162">
    <w:nsid w:val="36B2ACBC"/>
    <w:multiLevelType w:val="hybridMultilevel"/>
    <w:lvl w:ilvl="0">
      <w:lvlJc w:val="left"/>
      <w:lvlText w:val="%1"/>
      <w:numFmt w:val="decimal"/>
      <w:start w:val="28"/>
    </w:lvl>
  </w:abstractNum>
  <w:abstractNum w:abstractNumId="163">
    <w:nsid w:val="779D8544"/>
    <w:multiLevelType w:val="hybridMultilevel"/>
    <w:lvl w:ilvl="0">
      <w:lvlJc w:val="left"/>
      <w:lvlText w:val="•"/>
      <w:numFmt w:val="bullet"/>
      <w:start w:val="1"/>
    </w:lvl>
  </w:abstractNum>
  <w:abstractNum w:abstractNumId="164">
    <w:nsid w:val="4AB26E78"/>
    <w:multiLevelType w:val="hybridMultilevel"/>
    <w:lvl w:ilvl="0">
      <w:lvlJc w:val="left"/>
      <w:lvlText w:val="%1"/>
      <w:numFmt w:val="decimal"/>
      <w:start w:val="29"/>
    </w:lvl>
  </w:abstractNum>
  <w:abstractNum w:abstractNumId="165">
    <w:nsid w:val="21FAA2FA"/>
    <w:multiLevelType w:val="hybridMultilevel"/>
    <w:lvl w:ilvl="0">
      <w:lvlJc w:val="left"/>
      <w:lvlText w:val="•"/>
      <w:numFmt w:val="bullet"/>
      <w:start w:val="1"/>
    </w:lvl>
  </w:abstractNum>
  <w:abstractNum w:abstractNumId="166">
    <w:nsid w:val="5451CF49"/>
    <w:multiLevelType w:val="hybridMultilevel"/>
    <w:lvl w:ilvl="0">
      <w:lvlJc w:val="left"/>
      <w:lvlText w:val="%1"/>
      <w:numFmt w:val="decimal"/>
      <w:start w:val="31"/>
    </w:lvl>
  </w:abstractNum>
  <w:abstractNum w:abstractNumId="167">
    <w:nsid w:val="6181EF69"/>
    <w:multiLevelType w:val="hybridMultilevel"/>
    <w:lvl w:ilvl="0">
      <w:lvlJc w:val="left"/>
      <w:lvlText w:val="•"/>
      <w:numFmt w:val="bullet"/>
      <w:start w:val="1"/>
    </w:lvl>
  </w:abstractNum>
  <w:abstractNum w:abstractNumId="168">
    <w:nsid w:val="3E6400E6"/>
    <w:multiLevelType w:val="hybridMultilevel"/>
    <w:lvl w:ilvl="0">
      <w:lvlJc w:val="left"/>
      <w:lvlText w:val="•"/>
      <w:numFmt w:val="bullet"/>
      <w:start w:val="1"/>
    </w:lvl>
  </w:abstractNum>
  <w:abstractNum w:abstractNumId="169">
    <w:nsid w:val="14217E23"/>
    <w:multiLevelType w:val="hybridMultilevel"/>
    <w:lvl w:ilvl="0">
      <w:lvlJc w:val="left"/>
      <w:lvlText w:val="•"/>
      <w:numFmt w:val="bullet"/>
      <w:start w:val="1"/>
    </w:lvl>
  </w:abstractNum>
  <w:abstractNum w:abstractNumId="170">
    <w:nsid w:val="710757D0"/>
    <w:multiLevelType w:val="hybridMultilevel"/>
    <w:lvl w:ilvl="0">
      <w:lvlJc w:val="left"/>
      <w:lvlText w:val="%1"/>
      <w:numFmt w:val="upperLetter"/>
      <w:start w:val="35"/>
    </w:lvl>
  </w:abstractNum>
  <w:abstractNum w:abstractNumId="171">
    <w:nsid w:val="5015CD1A"/>
    <w:multiLevelType w:val="hybridMultilevel"/>
    <w:lvl w:ilvl="0">
      <w:lvlJc w:val="left"/>
      <w:lvlText w:val="(%1)"/>
      <w:numFmt w:val="decimal"/>
      <w:start w:val="1"/>
    </w:lvl>
  </w:abstractNum>
  <w:abstractNum w:abstractNumId="172">
    <w:nsid w:val="424479DA"/>
    <w:multiLevelType w:val="hybridMultilevel"/>
    <w:lvl w:ilvl="0">
      <w:lvlJc w:val="left"/>
      <w:lvlText w:val="•"/>
      <w:numFmt w:val="bullet"/>
      <w:start w:val="1"/>
    </w:lvl>
  </w:abstractNum>
  <w:abstractNum w:abstractNumId="173">
    <w:nsid w:val="1A9A9E69"/>
    <w:multiLevelType w:val="hybridMultilevel"/>
    <w:lvl w:ilvl="0">
      <w:lvlJc w:val="left"/>
      <w:lvlText w:val="•"/>
      <w:numFmt w:val="bullet"/>
      <w:start w:val="1"/>
    </w:lvl>
  </w:abstractNum>
  <w:abstractNum w:abstractNumId="174">
    <w:nsid w:val="475E256A"/>
    <w:multiLevelType w:val="hybridMultilevel"/>
    <w:lvl w:ilvl="0">
      <w:lvlJc w:val="left"/>
      <w:lvlText w:val="•"/>
      <w:numFmt w:val="bullet"/>
      <w:start w:val="1"/>
    </w:lvl>
  </w:abstractNum>
  <w:abstractNum w:abstractNumId="175">
    <w:nsid w:val="368DB37E"/>
    <w:multiLevelType w:val="hybridMultilevel"/>
    <w:lvl w:ilvl="0">
      <w:lvlJc w:val="left"/>
      <w:lvlText w:val="•"/>
      <w:numFmt w:val="bullet"/>
      <w:start w:val="1"/>
    </w:lvl>
  </w:abstractNum>
  <w:abstractNum w:abstractNumId="176">
    <w:nsid w:val="6A3B714C"/>
    <w:multiLevelType w:val="hybridMultilevel"/>
    <w:lvl w:ilvl="0">
      <w:lvlJc w:val="left"/>
      <w:lvlText w:val="•"/>
      <w:numFmt w:val="bullet"/>
      <w:start w:val="1"/>
    </w:lvl>
  </w:abstractNum>
  <w:abstractNum w:abstractNumId="177">
    <w:nsid w:val="327B517E"/>
    <w:multiLevelType w:val="hybridMultilevel"/>
    <w:lvl w:ilvl="0">
      <w:lvlJc w:val="left"/>
      <w:lvlText w:val="•"/>
      <w:numFmt w:val="bullet"/>
      <w:start w:val="1"/>
    </w:lvl>
  </w:abstractNum>
  <w:abstractNum w:abstractNumId="178">
    <w:nsid w:val="1F461B51"/>
    <w:multiLevelType w:val="hybridMultilevel"/>
    <w:lvl w:ilvl="0">
      <w:lvlJc w:val="left"/>
      <w:lvlText w:val="•"/>
      <w:numFmt w:val="bullet"/>
      <w:start w:val="1"/>
    </w:lvl>
  </w:abstractNum>
  <w:abstractNum w:abstractNumId="179">
    <w:nsid w:val="29BACF25"/>
    <w:multiLevelType w:val="hybridMultilevel"/>
    <w:lvl w:ilvl="0">
      <w:lvlJc w:val="left"/>
      <w:lvlText w:val="•"/>
      <w:numFmt w:val="bullet"/>
      <w:start w:val="1"/>
    </w:lvl>
  </w:abstractNum>
  <w:abstractNum w:abstractNumId="180">
    <w:nsid w:val="5D5BAB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1">
    <w:nsid w:val="51BF6B4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2">
    <w:nsid w:val="7E0F63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3">
    <w:nsid w:val="2B4B8B5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4">
    <w:nsid w:val="72E3413A"/>
    <w:multiLevelType w:val="hybridMultilevel"/>
    <w:lvl w:ilvl="0">
      <w:lvlJc w:val="left"/>
      <w:lvlText w:val="(%1)"/>
      <w:numFmt w:val="decimal"/>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2024-06-26T12:26:09Z</dcterms:created>
  <dcterms:modified xsi:type="dcterms:W3CDTF">2024-06-26T12:26:09Z</dcterms:modified>
</cp:coreProperties>
</file>