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2024.</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 on Form 6-K/A (the “Form 6-K/A”) is an amendment to the Form 6-K of Cybin Inc. (the “Company”), furnished on June 26, 2024 to the Securities and Exchange Commission (the “Original Form 6-K”). Following the furnishing of the Original Form 6-K, the Company discovered that the Original Form 6-K: (i) inadvertently incorporated by reference Exhibit 99.1 into the Company’s Registration Statement on Form F-10 (File No. 333-272706) and (ii) reflected an incorrect date of the news release in the Exhibit Index. The Company is amending the Original Form 6-K to (i) delete the section entitled “Incorporation by Reference” and (ii) furnish the correct date of the news release in the Exhibit Index. Except as set forth herein, the remainder of Original Form 6-K remains unchanged.</w:t>
      </w:r>
    </w:p>
    <w:p>
      <w:pPr>
        <w:sectPr>
          <w:pgSz w:w="11900" w:h="16838" w:orient="portrait"/>
          <w:cols w:equalWidth="0" w:num="1">
            <w:col w:w="11240"/>
          </w:cols>
          <w:pgMar w:left="320" w:top="1440" w:right="339" w:bottom="1440" w:gutter="0" w:footer="0" w:header="0"/>
        </w:sectPr>
      </w:pPr>
    </w:p>
    <w:bookmarkStart w:id="1" w:name="page2"/>
    <w:bookmarkEnd w:id="1"/>
    <w:p>
      <w:pPr>
        <w:spacing w:after="0" w:line="2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34"/>
        </w:trPr>
        <w:tc>
          <w:tcPr>
            <w:tcW w:w="556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7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Date:   June 27, 2024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7"/>
        </w:trPr>
        <w:tc>
          <w:tcPr>
            <w:tcW w:w="55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18"/>
        </w:trPr>
        <w:tc>
          <w:tcPr>
            <w:tcW w:w="556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34"/>
        </w:trPr>
        <w:tc>
          <w:tcPr>
            <w:tcW w:w="556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auto"/>
        </w:rPr>
        <w:t>News Release dated June 26,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Reports Fiscal Year 2024 Financial Results and Recent Business Highlights</w:t>
      </w:r>
    </w:p>
    <w:p>
      <w:pPr>
        <w:spacing w:after="0" w:line="296" w:lineRule="exact"/>
        <w:rPr>
          <w:sz w:val="20"/>
          <w:szCs w:val="20"/>
          <w:color w:val="auto"/>
        </w:rPr>
      </w:pPr>
    </w:p>
    <w:p>
      <w:pPr>
        <w:ind w:left="680" w:right="120" w:hanging="560"/>
        <w:spacing w:after="0" w:line="343" w:lineRule="auto"/>
        <w:tabs>
          <w:tab w:leader="none" w:pos="235"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Received U.S. Food and Drug Administration (“FDA”) Breakthrough Therapy Designation (“BTD”) for CYB003, its proprietary deuterated psilocybin analog in development for the adjunctive treatment of Major Depressive Disorder (“MDD”) -</w:t>
      </w:r>
    </w:p>
    <w:p>
      <w:pPr>
        <w:spacing w:after="0" w:line="144" w:lineRule="exact"/>
        <w:rPr>
          <w:rFonts w:ascii="Arial" w:cs="Arial" w:eastAsia="Arial" w:hAnsi="Arial"/>
          <w:sz w:val="19"/>
          <w:szCs w:val="19"/>
          <w:i w:val="1"/>
          <w:iCs w:val="1"/>
          <w:color w:val="auto"/>
        </w:rPr>
      </w:pPr>
    </w:p>
    <w:p>
      <w:pPr>
        <w:ind w:left="440" w:hanging="122"/>
        <w:spacing w:after="0"/>
        <w:tabs>
          <w:tab w:leader="none" w:pos="44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Clinical site selection complete for Phase 3 multinational study of CYB003, which is expected to begin in summer 2024 -</w:t>
      </w:r>
    </w:p>
    <w:p>
      <w:pPr>
        <w:spacing w:after="0" w:line="283" w:lineRule="exact"/>
        <w:rPr>
          <w:rFonts w:ascii="Arial" w:cs="Arial" w:eastAsia="Arial" w:hAnsi="Arial"/>
          <w:sz w:val="20"/>
          <w:szCs w:val="20"/>
          <w:i w:val="1"/>
          <w:iCs w:val="1"/>
          <w:color w:val="auto"/>
        </w:rPr>
      </w:pPr>
    </w:p>
    <w:p>
      <w:pPr>
        <w:ind w:left="3480" w:hanging="116"/>
        <w:spacing w:after="0"/>
        <w:tabs>
          <w:tab w:leader="none" w:pos="3480" w:val="left"/>
        </w:tabs>
        <w:numPr>
          <w:ilvl w:val="4"/>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Cash totaled C$209 million as of March 31, 2024 -</w:t>
      </w:r>
    </w:p>
    <w:p>
      <w:pPr>
        <w:spacing w:after="0" w:line="269" w:lineRule="exact"/>
        <w:rPr>
          <w:rFonts w:ascii="Arial" w:cs="Arial" w:eastAsia="Arial" w:hAnsi="Arial"/>
          <w:sz w:val="20"/>
          <w:szCs w:val="20"/>
          <w:i w:val="1"/>
          <w:iCs w:val="1"/>
          <w:color w:val="auto"/>
        </w:rPr>
      </w:pPr>
    </w:p>
    <w:p>
      <w:pPr>
        <w:ind w:left="300" w:hanging="114"/>
        <w:spacing w:after="0"/>
        <w:tabs>
          <w:tab w:leader="none" w:pos="30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Initiated a Phase 2 study of CYB004, its proprietary deuterated dimethyltryptamine (“DMT”) program in development for the</w:t>
      </w:r>
    </w:p>
    <w:p>
      <w:pPr>
        <w:spacing w:after="0" w:line="40" w:lineRule="exact"/>
        <w:rPr>
          <w:rFonts w:ascii="Arial" w:cs="Arial" w:eastAsia="Arial" w:hAnsi="Arial"/>
          <w:sz w:val="20"/>
          <w:szCs w:val="20"/>
          <w:i w:val="1"/>
          <w:iCs w:val="1"/>
          <w:color w:val="auto"/>
        </w:rPr>
      </w:pPr>
    </w:p>
    <w:p>
      <w:pPr>
        <w:ind w:left="33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treatment of Generalized Anxiety Disorder (“GAD”) -</w:t>
      </w:r>
    </w:p>
    <w:p>
      <w:pPr>
        <w:spacing w:after="0" w:line="269" w:lineRule="exact"/>
        <w:rPr>
          <w:rFonts w:ascii="Arial" w:cs="Arial" w:eastAsia="Arial" w:hAnsi="Arial"/>
          <w:sz w:val="20"/>
          <w:szCs w:val="20"/>
          <w:i w:val="1"/>
          <w:iCs w:val="1"/>
          <w:color w:val="auto"/>
        </w:rPr>
      </w:pPr>
    </w:p>
    <w:p>
      <w:pPr>
        <w:ind w:left="700" w:hanging="119"/>
        <w:spacing w:after="0"/>
        <w:tabs>
          <w:tab w:leader="none" w:pos="70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Strengthened intellectual property portfolio with more than 60 granted patents and over 200 pending applications -</w:t>
      </w:r>
    </w:p>
    <w:p>
      <w:pPr>
        <w:spacing w:after="0" w:line="283" w:lineRule="exact"/>
        <w:rPr>
          <w:sz w:val="20"/>
          <w:szCs w:val="20"/>
          <w:color w:val="auto"/>
        </w:rPr>
      </w:pPr>
    </w:p>
    <w:p>
      <w:pPr>
        <w:ind w:left="600" w:hanging="112"/>
        <w:spacing w:after="0"/>
        <w:tabs>
          <w:tab w:leader="none" w:pos="60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Closed oversubscribed private placement of U.S.$150 million (the “Private Placement”) led by a syndicate of leading</w:t>
      </w:r>
    </w:p>
    <w:p>
      <w:pPr>
        <w:spacing w:after="0" w:line="31" w:lineRule="exact"/>
        <w:rPr>
          <w:rFonts w:ascii="Arial" w:cs="Arial" w:eastAsia="Arial" w:hAnsi="Arial"/>
          <w:sz w:val="20"/>
          <w:szCs w:val="20"/>
          <w:i w:val="1"/>
          <w:iCs w:val="1"/>
          <w:color w:val="auto"/>
        </w:rPr>
      </w:pPr>
    </w:p>
    <w:p>
      <w:pPr>
        <w:ind w:left="38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biopharmaceutical institutional investors -</w:t>
      </w:r>
    </w:p>
    <w:p>
      <w:pPr>
        <w:spacing w:after="0" w:line="27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i w:val="1"/>
          <w:iCs w:val="1"/>
          <w:color w:val="auto"/>
        </w:rPr>
        <w:t>This news release constitutes a “designated news release” for the purposes of Cybin’s prospectus supplements each dated August 23, 2023, to its short form base shelf prospectus dated August 17, 2023, as amended December 22, 2023 and April 8, 2024.</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26,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treatment options for mental health disorders, today reported audited financial results for its fiscal year ended March 31, 2024, and recent business highlights.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“I am proud of the swift and meaningful progress we have made advancing our two lead programs – CYB003 for the adjunctive treatment of MDD and CYB004 for the treatment of GAD – this past year. As we stand poised to commence our Phase 3 study of CYB003, Cybin has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20"/>
          <w:szCs w:val="20"/>
          <w:color w:val="auto"/>
        </w:rPr>
        <w:t>evolved into a mature, late-stage company with critical milestones on the near-term horizon,” stated Doug Drysdale, Chief Executive Officer of Cybin. “Supported by the BTD from the FDA and positive four-month durability data for our CYB003 program, and the initiation of our Phase 2 study of CYB004, we are progressing quickly to potentially change the treatment paradigm for MDD and GAD and bring to market innovative treatment options for patients in need.”</w:t>
      </w:r>
    </w:p>
    <w:p>
      <w:pPr>
        <w:spacing w:after="0" w:line="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path towards approval and commercialization for such novel therapeutics is gaining clarity. We believe our rigorous research and novel clinical approach can lead to a wholesale transformation in how mental health disorders are treated and ultimately, to improved outcomes for patients and their families. Cybin’s momentum continues, and 2024 will be another year of regulatory engagement and acceleration for our lead clinical programs. We are grateful for the financial support to continue this important work and look forward to sharing future updates on our progress,” concluded Drysdale.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20"/>
          <w:szCs w:val="20"/>
          <w:b w:val="1"/>
          <w:bCs w:val="1"/>
          <w:color w:val="auto"/>
        </w:rPr>
        <w:t xml:space="preserve">CYB003: Lead program with FDA BTD for the adjunctive treatment of MDD. </w:t>
      </w:r>
      <w:r>
        <w:rPr>
          <w:rFonts w:ascii="Arial" w:cs="Arial" w:eastAsia="Arial" w:hAnsi="Arial"/>
          <w:sz w:val="20"/>
          <w:szCs w:val="20"/>
          <w:color w:val="auto"/>
        </w:rPr>
        <w:t>This is the first known BTD granted by the FDA</w:t>
      </w:r>
      <w:r>
        <w:rPr>
          <w:rFonts w:ascii="Arial" w:cs="Arial" w:eastAsia="Arial" w:hAnsi="Arial"/>
          <w:sz w:val="20"/>
          <w:szCs w:val="20"/>
          <w:b w:val="1"/>
          <w:bCs w:val="1"/>
          <w:color w:val="auto"/>
        </w:rPr>
        <w:t xml:space="preserve"> </w:t>
      </w:r>
      <w:r>
        <w:rPr>
          <w:rFonts w:ascii="Arial" w:cs="Arial" w:eastAsia="Arial" w:hAnsi="Arial"/>
          <w:sz w:val="20"/>
          <w:szCs w:val="20"/>
          <w:color w:val="auto"/>
        </w:rPr>
        <w:t>for an adjunctive psychedelic based therapy for the potential treatment of MDD. BTD provides an expedited review pathway and increased access to FDA guidance on trial design, with the potential to reduce drug development timelines. The designation includes all “fast track” program features, as well as more intensive FDA guidance and discussion of the CYB003 development program, including planned clinical trials and plans for expediting the manufacturing development strategy. BTD is supported by the Company’s positive topline results from its Phase 2 study of CYB003 in MDD, which demonstrated a robust, and clinically significant reduction in depressive symptoms after a single dose with a mean 14 point MADRS score reduction from baseline between CYB003 (12mg) vs. placebo (p=0.0005) at three weeks. At six weeks, 79% of patients were in remission from depression after receiving two doses of CYB003 (12mg).</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Announced positive four-month durability data for CYB003 in MDD supporting progression to a pivotal Phase 3 multinational study of CYB003 in summer 2024. </w:t>
      </w:r>
      <w:r>
        <w:rPr>
          <w:rFonts w:ascii="Arial" w:cs="Arial" w:eastAsia="Arial" w:hAnsi="Arial"/>
          <w:sz w:val="20"/>
          <w:szCs w:val="20"/>
          <w:color w:val="auto"/>
        </w:rPr>
        <w:t>Robust and sustained improvements in symptoms of depression were</w:t>
      </w:r>
      <w:r>
        <w:rPr>
          <w:rFonts w:ascii="Arial" w:cs="Arial" w:eastAsia="Arial" w:hAnsi="Arial"/>
          <w:sz w:val="20"/>
          <w:szCs w:val="20"/>
          <w:b w:val="1"/>
          <w:bCs w:val="1"/>
          <w:color w:val="auto"/>
        </w:rPr>
        <w:t xml:space="preserve"> </w:t>
      </w:r>
      <w:r>
        <w:rPr>
          <w:rFonts w:ascii="Arial" w:cs="Arial" w:eastAsia="Arial" w:hAnsi="Arial"/>
          <w:sz w:val="20"/>
          <w:szCs w:val="20"/>
          <w:color w:val="auto"/>
        </w:rPr>
        <w:t>observed with two doses of 12mg or 16mg of CYB003:</w:t>
      </w:r>
    </w:p>
    <w:p>
      <w:pPr>
        <w:spacing w:after="0" w:line="21" w:lineRule="exact"/>
        <w:rPr>
          <w:sz w:val="20"/>
          <w:szCs w:val="20"/>
          <w:color w:val="auto"/>
        </w:rPr>
      </w:pPr>
    </w:p>
    <w:p>
      <w:pPr>
        <w:ind w:left="660" w:hanging="328"/>
        <w:spacing w:after="0" w:line="265"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Mean reduction from baseline in the MADRS total score was approximately 22 points from baseline in both dosing cohorts.</w:t>
      </w:r>
    </w:p>
    <w:p>
      <w:pPr>
        <w:spacing w:after="0" w:line="20" w:lineRule="exact"/>
        <w:rPr>
          <w:rFonts w:ascii="Times New Roman" w:cs="Times New Roman" w:eastAsia="Times New Roman" w:hAnsi="Times New Roman"/>
          <w:sz w:val="22"/>
          <w:szCs w:val="22"/>
          <w:color w:val="auto"/>
        </w:rPr>
      </w:pPr>
    </w:p>
    <w:p>
      <w:pPr>
        <w:ind w:left="660" w:hanging="328"/>
        <w:spacing w:after="0" w:line="265"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Approximately 75% of the patients were responders (&gt;/= 50% improvement in MADRS scores) following two doses of 16mg.</w:t>
      </w:r>
    </w:p>
    <w:p>
      <w:pPr>
        <w:spacing w:after="0" w:line="20" w:lineRule="exact"/>
        <w:rPr>
          <w:rFonts w:ascii="Times New Roman" w:cs="Times New Roman" w:eastAsia="Times New Roman" w:hAnsi="Times New Roman"/>
          <w:sz w:val="22"/>
          <w:szCs w:val="22"/>
          <w:color w:val="auto"/>
        </w:rPr>
      </w:pPr>
    </w:p>
    <w:p>
      <w:pPr>
        <w:ind w:left="660" w:hanging="328"/>
        <w:spacing w:after="0" w:line="290"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60% of patients on 12mg and 75% on 16mg were in remission from depression following 2 doses (MADRS score &lt;/= 10).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CYB003 was well tolerated with no drug-related serious adverse events. All adverse events were mild or moderate in intensity.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There were no incidents of suicidal ideation or behavior and no discontinuations due to adverse events.</w:t>
      </w:r>
    </w:p>
    <w:p>
      <w:pPr>
        <w:sectPr>
          <w:pgSz w:w="11900" w:h="16838" w:orient="portrait"/>
          <w:cols w:equalWidth="0" w:num="1">
            <w:col w:w="11240"/>
          </w:cols>
          <w:pgMar w:left="320" w:top="1427" w:right="339" w:bottom="1440" w:gutter="0" w:footer="0" w:header="0"/>
        </w:sectPr>
      </w:pPr>
    </w:p>
    <w:bookmarkStart w:id="5" w:name="page6"/>
    <w:bookmarkEnd w:id="5"/>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Announced a positive End-of-Phase 2 meeting and alignment with the FDA on the CYB003 pivotal program design.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expects to initiate enrollment for the multinational, multisite Phase 3 program in summer of 2024.</w:t>
      </w:r>
      <w:r>
        <w:rPr>
          <w:rFonts w:ascii="Arial" w:cs="Arial" w:eastAsia="Arial" w:hAnsi="Arial"/>
          <w:sz w:val="25"/>
          <w:szCs w:val="25"/>
          <w:b w:val="1"/>
          <w:bCs w:val="1"/>
          <w:color w:val="auto"/>
          <w:vertAlign w:val="superscript"/>
        </w:rPr>
        <w:t>1</w:t>
      </w:r>
      <w:r>
        <w:rPr>
          <w:rFonts w:ascii="Arial" w:cs="Arial" w:eastAsia="Arial" w:hAnsi="Arial"/>
          <w:sz w:val="20"/>
          <w:szCs w:val="20"/>
          <w:color w:val="auto"/>
        </w:rPr>
        <w:t xml:space="preserve"> This is expected to be the first Phase 3 trial evaluating a deuterated psilocybin analog for the adjunctive treatment of MDD. Clinical site selection is complete for the first Phase 3 study, which will include thirty study sites across the United States and Europe, all of which are experienced with conducting psychedelic clinical trials.</w:t>
      </w:r>
    </w:p>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CYB004: Initiated Phase 2 study of the Company’s proprietary deuterated DMT molecule in development for the treatment of GAD</w:t>
      </w:r>
      <w:r>
        <w:rPr>
          <w:rFonts w:ascii="Arial" w:cs="Arial" w:eastAsia="Arial" w:hAnsi="Arial"/>
          <w:sz w:val="20"/>
          <w:szCs w:val="20"/>
          <w:color w:val="auto"/>
        </w:rPr>
        <w:t>. In January 2024, the FDA cleared the Company’s Investigational New Drug application for CYB004.</w:t>
      </w:r>
      <w:r>
        <w:rPr>
          <w:rFonts w:ascii="Arial" w:cs="Arial" w:eastAsia="Arial" w:hAnsi="Arial"/>
          <w:sz w:val="20"/>
          <w:szCs w:val="20"/>
          <w:b w:val="1"/>
          <w:bCs w:val="1"/>
          <w:color w:val="auto"/>
        </w:rPr>
        <w:t xml:space="preserve"> </w:t>
      </w:r>
      <w:r>
        <w:rPr>
          <w:rFonts w:ascii="Arial" w:cs="Arial" w:eastAsia="Arial" w:hAnsi="Arial"/>
          <w:sz w:val="20"/>
          <w:szCs w:val="20"/>
          <w:color w:val="auto"/>
        </w:rPr>
        <w:t>CYB004 is being developed as a potentially highly scalable intermittent treatment. A single intramuscular dose is expected to result in acute psychedelic effects lasting approximately 90 minutes. Results from this study are expected to provide proof-of-concept for CYB004’s efficacy in GAD, time to onset of effects, and durability of effects to one year.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Strengthened patent portfolio with the addition of 4 new patents in key jurisdictions.</w:t>
      </w:r>
    </w:p>
    <w:p>
      <w:pPr>
        <w:spacing w:after="0" w:line="43" w:lineRule="exact"/>
        <w:rPr>
          <w:sz w:val="20"/>
          <w:szCs w:val="20"/>
          <w:color w:val="auto"/>
        </w:rPr>
      </w:pPr>
    </w:p>
    <w:p>
      <w:pPr>
        <w:jc w:val="both"/>
        <w:ind w:left="660" w:hanging="328"/>
        <w:spacing w:after="0" w:line="273"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United States Patent and Trademark Office (“USPTO”) granted U.S. patent 11,958,807 in support of its CYB003 program. The patent includes claims to pharmaceutical compositions within the Company’s CYB003 program and is expected to provide exclusivity until at least 2041.</w:t>
      </w:r>
    </w:p>
    <w:p>
      <w:pPr>
        <w:jc w:val="both"/>
        <w:ind w:left="660" w:right="20" w:hanging="328"/>
        <w:spacing w:after="0" w:line="274"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Canadian Patent Office granted CA patent 3,179,335 and the Chinese Patent Office granted CN patent ZL202180044031.5 in support of the Company’s CYB004 program. The patents include claims to pharmaceutical compositions within the CYB004 program and are expected to provide exclusivity until at least 2041.</w:t>
      </w:r>
    </w:p>
    <w:p>
      <w:pPr>
        <w:spacing w:after="0" w:line="3" w:lineRule="exact"/>
        <w:rPr>
          <w:rFonts w:ascii="Times New Roman" w:cs="Times New Roman" w:eastAsia="Times New Roman" w:hAnsi="Times New Roman"/>
          <w:sz w:val="20"/>
          <w:szCs w:val="20"/>
          <w:color w:val="auto"/>
        </w:rPr>
      </w:pPr>
    </w:p>
    <w:p>
      <w:pPr>
        <w:jc w:val="both"/>
        <w:ind w:left="660" w:hanging="328"/>
        <w:spacing w:after="0" w:line="290"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Chinese Patent Office granted CN patent ZL202080087092.5 in support of the Company’s CYB004 program. This patent includes claims to methods of synthesis of compounds within the CYB004 program and is expected to provide exclusivity until at least 2040.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Clinical Milestones and Future Studies:</w:t>
      </w:r>
      <w:r>
        <w:rPr>
          <w:rFonts w:ascii="Arial" w:cs="Arial" w:eastAsia="Arial" w:hAnsi="Arial"/>
          <w:sz w:val="25"/>
          <w:szCs w:val="25"/>
          <w:b w:val="1"/>
          <w:bCs w:val="1"/>
          <w:color w:val="auto"/>
          <w:vertAlign w:val="superscript"/>
        </w:rPr>
        <w:t>1</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 Deuterated Psilocybin Analog Program</w:t>
      </w:r>
    </w:p>
    <w:p>
      <w:pPr>
        <w:spacing w:after="0" w:line="43" w:lineRule="exact"/>
        <w:rPr>
          <w:sz w:val="20"/>
          <w:szCs w:val="20"/>
          <w:color w:val="auto"/>
        </w:rPr>
      </w:pPr>
    </w:p>
    <w:p>
      <w:pPr>
        <w:ind w:left="660" w:right="700" w:hanging="328"/>
        <w:spacing w:after="0" w:line="298"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Initiate a multinational, multisite Phase 3 program in summer of 2024 to further evaluate the safety and efficacy of CYB003 capsules as a potential adjunctive treatment in a larger MDD patient population.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 Deuterated DMT Program</w:t>
      </w:r>
    </w:p>
    <w:p>
      <w:pPr>
        <w:spacing w:after="0" w:line="43"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Topline safety and efficacy readout from Phase 2 GAD study expected around year end 2024.</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Financial highlights</w:t>
      </w:r>
    </w:p>
    <w:p>
      <w:pPr>
        <w:spacing w:after="0" w:line="4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Cash totaled C$209 million as of March 31, 2024.</w:t>
      </w:r>
    </w:p>
    <w:p>
      <w:pPr>
        <w:spacing w:after="0" w:line="52" w:lineRule="exact"/>
        <w:rPr>
          <w:rFonts w:ascii="Arial" w:cs="Arial" w:eastAsia="Arial" w:hAnsi="Arial"/>
          <w:sz w:val="20"/>
          <w:szCs w:val="20"/>
          <w:color w:val="auto"/>
        </w:rPr>
      </w:pPr>
    </w:p>
    <w:p>
      <w:pPr>
        <w:ind w:left="660" w:right="100" w:hanging="328"/>
        <w:spacing w:after="0" w:line="253"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With the completion of the Private Placement and a combination of the Company's current cash position, current at-the-market equity program (“ATM Program”), the Company has access to over C$285 million.</w:t>
      </w:r>
      <w:r>
        <w:rPr>
          <w:rFonts w:ascii="Arial" w:cs="Arial" w:eastAsia="Arial" w:hAnsi="Arial"/>
          <w:sz w:val="25"/>
          <w:szCs w:val="25"/>
          <w:color w:val="auto"/>
          <w:vertAlign w:val="superscript"/>
        </w:rPr>
        <w:t>2</w:t>
      </w:r>
    </w:p>
    <w:p>
      <w:pPr>
        <w:spacing w:after="0" w:line="1" w:lineRule="exact"/>
        <w:rPr>
          <w:rFonts w:ascii="Times New Roman" w:cs="Times New Roman" w:eastAsia="Times New Roman" w:hAnsi="Times New Roman"/>
          <w:sz w:val="22"/>
          <w:szCs w:val="22"/>
          <w:color w:val="auto"/>
        </w:rPr>
      </w:pPr>
    </w:p>
    <w:p>
      <w:pPr>
        <w:ind w:left="660" w:right="120" w:hanging="328"/>
        <w:spacing w:after="0" w:line="256"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Net loss was C$21 million for the quarter ended March 31, 2024, compared to a net loss of C$14 million in the same period last year.</w:t>
      </w:r>
    </w:p>
    <w:p>
      <w:pPr>
        <w:spacing w:after="0" w:line="20" w:lineRule="exact"/>
        <w:rPr>
          <w:rFonts w:ascii="Times New Roman" w:cs="Times New Roman" w:eastAsia="Times New Roman" w:hAnsi="Times New Roman"/>
          <w:sz w:val="22"/>
          <w:szCs w:val="22"/>
          <w:color w:val="auto"/>
        </w:rPr>
      </w:pPr>
    </w:p>
    <w:p>
      <w:pPr>
        <w:ind w:left="660" w:right="12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Net loss was C$78 million for the year ended March 31, 2024, compared to a net loss of C$47 million in the same period last year.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Cash-based operating expenses consisting of research, general, and administrative costs totaled C$24 million for the quarter ended March 31, 2024, compared to C$13 million, in the prior year quarter.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Cash-based operating expenses consisting of research, general, and administrative costs totaled C$65 million for the year ended March 31, 2024, compared to C$47 million, in the prior year.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 flows used in operating activities were C$21 million for the quarter ended March 31, 2024, compared to C$11 million in the same period last year.</w:t>
      </w:r>
    </w:p>
    <w:p>
      <w:pPr>
        <w:spacing w:after="0" w:line="20" w:lineRule="exact"/>
        <w:rPr>
          <w:rFonts w:ascii="Times New Roman" w:cs="Times New Roman" w:eastAsia="Times New Roman" w:hAnsi="Times New Roman"/>
          <w:sz w:val="22"/>
          <w:szCs w:val="22"/>
          <w:color w:val="auto"/>
        </w:rPr>
      </w:pPr>
    </w:p>
    <w:p>
      <w:pPr>
        <w:ind w:left="660" w:right="100" w:hanging="328"/>
        <w:spacing w:after="0" w:line="265"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 flows used in operating activities were C$69 million for the year ended March 31, 2024, compared to C$47 million in the same period last year.</w:t>
      </w:r>
    </w:p>
    <w:p>
      <w:pPr>
        <w:spacing w:after="0" w:line="20" w:lineRule="exact"/>
        <w:rPr>
          <w:rFonts w:ascii="Times New Roman" w:cs="Times New Roman" w:eastAsia="Times New Roman" w:hAnsi="Times New Roman"/>
          <w:sz w:val="22"/>
          <w:szCs w:val="22"/>
          <w:color w:val="auto"/>
        </w:rPr>
      </w:pPr>
    </w:p>
    <w:p>
      <w:pPr>
        <w:jc w:val="both"/>
        <w:ind w:left="660" w:right="100" w:hanging="328"/>
        <w:spacing w:after="0" w:line="278"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Cash flows received from financing activities were C$254.5 million for the year ended March 31, 2024, compared to C$13.6 million in the same period last year, related to the net proceeds on the issuance of common shares through the Private Placement, a public offering completed on August 4, 2023, a public offering completed on November 14, 2023, a common share purchase agreement with Lincoln Park Capital Fund, LLC and the ATM Program.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w:t>
      </w:r>
    </w:p>
    <w:p>
      <w:pPr>
        <w:sectPr>
          <w:pgSz w:w="11900" w:h="16838" w:orient="portrait"/>
          <w:cols w:equalWidth="0" w:num="1">
            <w:col w:w="11240"/>
          </w:cols>
          <w:pgMar w:left="320" w:top="1425"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more about Cybin, visit www.cybin.com or follow the Company on X, LinkedIn, YouTube and Instagram.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272" w:lineRule="exact"/>
        <w:rPr>
          <w:sz w:val="20"/>
          <w:szCs w:val="20"/>
          <w:color w:val="auto"/>
        </w:rPr>
      </w:pPr>
    </w:p>
    <w:p>
      <w:pPr>
        <w:jc w:val="both"/>
        <w:ind w:firstLine="8"/>
        <w:spacing w:after="0" w:line="290" w:lineRule="auto"/>
        <w:tabs>
          <w:tab w:leader="none" w:pos="2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205" w:lineRule="exact"/>
        <w:rPr>
          <w:rFonts w:ascii="Arial" w:cs="Arial" w:eastAsia="Arial" w:hAnsi="Arial"/>
          <w:sz w:val="20"/>
          <w:szCs w:val="20"/>
          <w:color w:val="auto"/>
        </w:rPr>
      </w:pPr>
    </w:p>
    <w:p>
      <w:pPr>
        <w:ind w:left="220" w:hanging="212"/>
        <w:spacing w:after="0"/>
        <w:tabs>
          <w:tab w:leader="none" w:pos="2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 can be no assurance that the Company will be successful in obtaining additional capital under the ATM Program.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a Phase 3 trial of CYB003 in summer 2024; the release of topline Phase 2 CYB004 data around year-end 2024; the Company’s ability to access capital under the ATM Program;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2024 and the Company’s annual information form for the year ended March 31, 2024, which are available under the Company's profile on www.sedarplus.ca and with the U.S. Securities and Exchange Commission on</w:t>
      </w:r>
    </w:p>
    <w:p>
      <w:pPr>
        <w:sectPr>
          <w:pgSz w:w="11900" w:h="16838" w:orient="portrait"/>
          <w:cols w:equalWidth="0" w:num="1">
            <w:col w:w="11240"/>
          </w:cols>
          <w:pgMar w:left="320" w:top="1427" w:right="3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2024-06-27T11:52:34Z</dcterms:created>
  <dcterms:modified xsi:type="dcterms:W3CDTF">2024-06-27T11:52:34Z</dcterms:modified>
</cp:coreProperties>
</file>