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December, 2025</w:t>
      </w:r>
      <w:r>
        <w:rPr>
          <w:rFonts w:ascii="Times New Roman" w:cs="Times New Roman" w:eastAsia="Times New Roman" w:hAnsi="Times New Roman"/>
          <w:sz w:val="22"/>
          <w:szCs w:val="22"/>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42" w:lineRule="exact"/>
        <w:rPr>
          <w:sz w:val="24"/>
          <w:szCs w:val="24"/>
          <w:color w:val="auto"/>
        </w:rPr>
      </w:pPr>
    </w:p>
    <w:p>
      <w:pPr>
        <w:ind w:right="1280"/>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Exhibits 99.1 and 99.2 of this Form 6-K of Cybin Inc. (the "Company") are hereby incorporated by reference into the Registration Statement on Form F-10 (File No. 333-292294) of the Company, as amended or supplemented.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CYBIN INC.</w:t>
            </w:r>
          </w:p>
        </w:tc>
        <w:tc>
          <w:tcPr>
            <w:tcW w:w="240" w:type="dxa"/>
            <w:vAlign w:val="bottom"/>
          </w:tcPr>
          <w:p>
            <w:pPr>
              <w:spacing w:after="0"/>
              <w:rPr>
                <w:sz w:val="19"/>
                <w:szCs w:val="19"/>
                <w:color w:val="auto"/>
              </w:rPr>
            </w:pPr>
          </w:p>
        </w:tc>
      </w:tr>
      <w:tr>
        <w:trPr>
          <w:trHeight w:val="234"/>
        </w:trPr>
        <w:tc>
          <w:tcPr>
            <w:tcW w:w="55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24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30, 2025</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Greg Cavers</w:t>
            </w:r>
          </w:p>
        </w:tc>
        <w:tc>
          <w:tcPr>
            <w:tcW w:w="240" w:type="dxa"/>
            <w:vAlign w:val="bottom"/>
          </w:tcPr>
          <w:p>
            <w:pPr>
              <w:spacing w:after="0"/>
              <w:rPr>
                <w:sz w:val="24"/>
                <w:szCs w:val="24"/>
                <w:color w:val="auto"/>
              </w:rPr>
            </w:pPr>
          </w:p>
        </w:tc>
      </w:tr>
      <w:tr>
        <w:trPr>
          <w:trHeight w:val="191"/>
        </w:trPr>
        <w:tc>
          <w:tcPr>
            <w:tcW w:w="5520" w:type="dxa"/>
            <w:vAlign w:val="bottom"/>
          </w:tcPr>
          <w:p>
            <w:pPr>
              <w:spacing w:after="0"/>
              <w:rPr>
                <w:sz w:val="16"/>
                <w:szCs w:val="16"/>
                <w:color w:val="auto"/>
              </w:rPr>
            </w:pP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Greg Cavers</w:t>
            </w:r>
          </w:p>
        </w:tc>
        <w:tc>
          <w:tcPr>
            <w:tcW w:w="24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0" w:type="dxa"/>
            <w:vAlign w:val="bottom"/>
          </w:tcPr>
          <w:p>
            <w:pPr>
              <w:spacing w:after="0"/>
              <w:rPr>
                <w:sz w:val="20"/>
                <w:szCs w:val="20"/>
                <w:color w:val="auto"/>
              </w:rPr>
            </w:pPr>
          </w:p>
        </w:tc>
      </w:tr>
      <w:tr>
        <w:trPr>
          <w:trHeight w:val="348"/>
        </w:trPr>
        <w:tc>
          <w:tcPr>
            <w:tcW w:w="5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4"/>
        </w:trPr>
        <w:tc>
          <w:tcPr>
            <w:tcW w:w="552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500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 INDEX</w:t>
            </w:r>
          </w:p>
        </w:tc>
        <w:tc>
          <w:tcPr>
            <w:tcW w:w="40" w:type="dxa"/>
            <w:vAlign w:val="bottom"/>
          </w:tcPr>
          <w:p>
            <w:pPr>
              <w:spacing w:after="0"/>
              <w:rPr>
                <w:sz w:val="22"/>
                <w:szCs w:val="22"/>
                <w:color w:val="auto"/>
              </w:rPr>
            </w:pP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5"/>
        </w:trPr>
        <w:tc>
          <w:tcPr>
            <w:tcW w:w="1140" w:type="dxa"/>
            <w:vAlign w:val="bottom"/>
            <w:gridSpan w:val="2"/>
            <w:shd w:val="clear" w:color="auto" w:fill="EEEEEE"/>
          </w:tcPr>
          <w:p>
            <w:pPr>
              <w:jc w:val="right"/>
              <w:ind w:right="820"/>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100" w:type="dxa"/>
            <w:vAlign w:val="bottom"/>
            <w:gridSpan w:val="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Equity Distribution Agreement dated December 30, 2025</w:t>
            </w:r>
          </w:p>
        </w:tc>
        <w:tc>
          <w:tcPr>
            <w:tcW w:w="40" w:type="dxa"/>
            <w:vAlign w:val="bottom"/>
          </w:tcPr>
          <w:p>
            <w:pPr>
              <w:spacing w:after="0"/>
              <w:rPr>
                <w:sz w:val="15"/>
                <w:szCs w:val="15"/>
                <w:color w:val="auto"/>
              </w:rPr>
            </w:pPr>
          </w:p>
        </w:tc>
      </w:tr>
      <w:tr>
        <w:trPr>
          <w:trHeight w:val="21"/>
        </w:trPr>
        <w:tc>
          <w:tcPr>
            <w:tcW w:w="320" w:type="dxa"/>
            <w:vAlign w:val="bottom"/>
            <w:tcBorders>
              <w:top w:val="single" w:sz="8" w:color="0000EE"/>
            </w:tcBorders>
            <w:shd w:val="clear" w:color="auto" w:fill="EEEEEE"/>
          </w:tcPr>
          <w:p>
            <w:pPr>
              <w:spacing w:after="0" w:line="20" w:lineRule="exact"/>
              <w:rPr>
                <w:sz w:val="1"/>
                <w:szCs w:val="1"/>
                <w:color w:val="auto"/>
              </w:rPr>
            </w:pPr>
          </w:p>
        </w:tc>
        <w:tc>
          <w:tcPr>
            <w:tcW w:w="820" w:type="dxa"/>
            <w:vAlign w:val="bottom"/>
            <w:tcBorders>
              <w:top w:val="single" w:sz="8" w:color="EEEEEE"/>
            </w:tcBorders>
            <w:shd w:val="clear" w:color="auto" w:fill="EEEEEE"/>
          </w:tcPr>
          <w:p>
            <w:pPr>
              <w:spacing w:after="0" w:line="20" w:lineRule="exact"/>
              <w:rPr>
                <w:sz w:val="1"/>
                <w:szCs w:val="1"/>
                <w:color w:val="auto"/>
              </w:rPr>
            </w:pPr>
          </w:p>
        </w:tc>
        <w:tc>
          <w:tcPr>
            <w:tcW w:w="2180" w:type="dxa"/>
            <w:vAlign w:val="bottom"/>
            <w:tcBorders>
              <w:top w:val="single" w:sz="8" w:color="0000EE"/>
            </w:tcBorders>
            <w:shd w:val="clear" w:color="auto" w:fill="EEEEEE"/>
          </w:tcPr>
          <w:p>
            <w:pPr>
              <w:spacing w:after="0" w:line="20" w:lineRule="exact"/>
              <w:rPr>
                <w:sz w:val="1"/>
                <w:szCs w:val="1"/>
                <w:color w:val="auto"/>
              </w:rPr>
            </w:pPr>
          </w:p>
        </w:tc>
        <w:tc>
          <w:tcPr>
            <w:tcW w:w="70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0000EE"/>
            </w:tcBorders>
            <w:shd w:val="clear" w:color="auto" w:fill="EEEEEE"/>
          </w:tcPr>
          <w:p>
            <w:pPr>
              <w:spacing w:after="0" w:line="20" w:lineRule="exact"/>
              <w:rPr>
                <w:sz w:val="1"/>
                <w:szCs w:val="1"/>
                <w:color w:val="auto"/>
              </w:rPr>
            </w:pPr>
          </w:p>
        </w:tc>
        <w:tc>
          <w:tcPr>
            <w:tcW w:w="500" w:type="dxa"/>
            <w:vAlign w:val="bottom"/>
            <w:tcBorders>
              <w:top w:val="single" w:sz="8" w:color="0000EE"/>
            </w:tcBorders>
            <w:shd w:val="clear" w:color="auto" w:fill="EEEEEE"/>
          </w:tcPr>
          <w:p>
            <w:pPr>
              <w:spacing w:after="0" w:line="20" w:lineRule="exact"/>
              <w:rPr>
                <w:sz w:val="1"/>
                <w:szCs w:val="1"/>
                <w:color w:val="auto"/>
              </w:rPr>
            </w:pPr>
          </w:p>
        </w:tc>
        <w:tc>
          <w:tcPr>
            <w:tcW w:w="1180" w:type="dxa"/>
            <w:vAlign w:val="bottom"/>
            <w:tcBorders>
              <w:top w:val="single" w:sz="8" w:color="EEEEEE"/>
            </w:tcBorders>
            <w:shd w:val="clear" w:color="auto" w:fill="EEEEEE"/>
          </w:tcPr>
          <w:p>
            <w:pPr>
              <w:spacing w:after="0" w:line="20" w:lineRule="exact"/>
              <w:rPr>
                <w:sz w:val="1"/>
                <w:szCs w:val="1"/>
                <w:color w:val="auto"/>
              </w:rPr>
            </w:pPr>
          </w:p>
        </w:tc>
        <w:tc>
          <w:tcPr>
            <w:tcW w:w="47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gridSpan w:val="2"/>
          </w:tcPr>
          <w:p>
            <w:pPr>
              <w:jc w:val="right"/>
              <w:ind w:right="820"/>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Consent of Aird &amp; Berlis LLP</w:t>
            </w:r>
          </w:p>
        </w:tc>
        <w:tc>
          <w:tcPr>
            <w:tcW w:w="40" w:type="dxa"/>
            <w:vAlign w:val="bottom"/>
          </w:tcPr>
          <w:p>
            <w:pPr>
              <w:spacing w:after="0"/>
              <w:rPr>
                <w:sz w:val="15"/>
                <w:szCs w:val="15"/>
                <w:color w:val="auto"/>
              </w:rPr>
            </w:pP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gridSpan w:val="2"/>
            <w:shd w:val="clear" w:color="auto" w:fill="EEEEEE"/>
          </w:tcPr>
          <w:p>
            <w:pPr>
              <w:jc w:val="right"/>
              <w:ind w:right="820"/>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10100" w:type="dxa"/>
            <w:vAlign w:val="bottom"/>
            <w:gridSpan w:val="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December 30, 2025</w:t>
            </w:r>
          </w:p>
        </w:tc>
        <w:tc>
          <w:tcPr>
            <w:tcW w:w="40" w:type="dxa"/>
            <w:vAlign w:val="bottom"/>
          </w:tcPr>
          <w:p>
            <w:pPr>
              <w:spacing w:after="0"/>
              <w:rPr>
                <w:sz w:val="17"/>
                <w:szCs w:val="17"/>
                <w:color w:val="auto"/>
              </w:rPr>
            </w:pPr>
          </w:p>
        </w:tc>
      </w:tr>
      <w:tr>
        <w:trPr>
          <w:trHeight w:val="348"/>
        </w:trPr>
        <w:tc>
          <w:tcPr>
            <w:tcW w:w="320" w:type="dxa"/>
            <w:vAlign w:val="bottom"/>
            <w:tcBorders>
              <w:top w:val="single" w:sz="8" w:color="0000EE"/>
            </w:tcBorders>
          </w:tcPr>
          <w:p>
            <w:pPr>
              <w:spacing w:after="0"/>
              <w:rPr>
                <w:sz w:val="24"/>
                <w:szCs w:val="24"/>
                <w:color w:val="auto"/>
              </w:rPr>
            </w:pPr>
          </w:p>
        </w:tc>
        <w:tc>
          <w:tcPr>
            <w:tcW w:w="820" w:type="dxa"/>
            <w:vAlign w:val="bottom"/>
            <w:tcBorders>
              <w:top w:val="single" w:sz="8" w:color="EEEEEE"/>
            </w:tcBorders>
          </w:tcPr>
          <w:p>
            <w:pPr>
              <w:spacing w:after="0"/>
              <w:rPr>
                <w:sz w:val="24"/>
                <w:szCs w:val="24"/>
                <w:color w:val="auto"/>
              </w:rPr>
            </w:pPr>
          </w:p>
        </w:tc>
        <w:tc>
          <w:tcPr>
            <w:tcW w:w="21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60" w:type="dxa"/>
            <w:vAlign w:val="bottom"/>
            <w:tcBorders>
              <w:top w:val="single" w:sz="8" w:color="EEEEEE"/>
            </w:tcBorders>
          </w:tcPr>
          <w:p>
            <w:pPr>
              <w:spacing w:after="0"/>
              <w:rPr>
                <w:sz w:val="24"/>
                <w:szCs w:val="24"/>
                <w:color w:val="auto"/>
              </w:rPr>
            </w:pPr>
          </w:p>
        </w:tc>
        <w:tc>
          <w:tcPr>
            <w:tcW w:w="500" w:type="dxa"/>
            <w:vAlign w:val="bottom"/>
            <w:tcBorders>
              <w:top w:val="single" w:sz="8" w:color="EEEEEE"/>
            </w:tcBorders>
          </w:tcPr>
          <w:p>
            <w:pPr>
              <w:spacing w:after="0"/>
              <w:rPr>
                <w:sz w:val="24"/>
                <w:szCs w:val="24"/>
                <w:color w:val="auto"/>
              </w:rPr>
            </w:pPr>
          </w:p>
        </w:tc>
        <w:tc>
          <w:tcPr>
            <w:tcW w:w="1180" w:type="dxa"/>
            <w:vAlign w:val="bottom"/>
            <w:tcBorders>
              <w:top w:val="single" w:sz="8" w:color="EEEEEE"/>
            </w:tcBorders>
          </w:tcPr>
          <w:p>
            <w:pPr>
              <w:spacing w:after="0"/>
              <w:rPr>
                <w:sz w:val="24"/>
                <w:szCs w:val="24"/>
                <w:color w:val="auto"/>
              </w:rPr>
            </w:pPr>
          </w:p>
        </w:tc>
        <w:tc>
          <w:tcPr>
            <w:tcW w:w="4780" w:type="dxa"/>
            <w:vAlign w:val="bottom"/>
            <w:tcBorders>
              <w:top w:val="single" w:sz="8" w:color="EEEEEE"/>
            </w:tcBorders>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32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218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500" w:type="dxa"/>
            <w:vAlign w:val="bottom"/>
            <w:shd w:val="clear" w:color="auto" w:fill="000000"/>
          </w:tcPr>
          <w:p>
            <w:pPr>
              <w:spacing w:after="0"/>
              <w:rPr>
                <w:sz w:val="6"/>
                <w:szCs w:val="6"/>
                <w:color w:val="auto"/>
              </w:rPr>
            </w:pPr>
          </w:p>
        </w:tc>
        <w:tc>
          <w:tcPr>
            <w:tcW w:w="1180" w:type="dxa"/>
            <w:vAlign w:val="bottom"/>
            <w:shd w:val="clear" w:color="auto" w:fill="000000"/>
          </w:tcPr>
          <w:p>
            <w:pPr>
              <w:spacing w:after="0"/>
              <w:rPr>
                <w:sz w:val="6"/>
                <w:szCs w:val="6"/>
                <w:color w:val="auto"/>
              </w:rPr>
            </w:pPr>
          </w:p>
        </w:tc>
        <w:tc>
          <w:tcPr>
            <w:tcW w:w="47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89"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7940"/>
                    </a:xfrm>
                    <a:prstGeom prst="rect">
                      <a:avLst/>
                    </a:prstGeom>
                    <a:noFill/>
                  </pic:spPr>
                </pic:pic>
              </a:graphicData>
            </a:graphic>
          </wp:anchor>
        </w:drawing>
        <w:t>Cybin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Shares of Common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EQUITY DISTRIBUTION AGREEMENT</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December 30,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Cantor Fitzgerald Canada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181 University Avenue, Suite 1500</w:t>
      </w:r>
    </w:p>
    <w:p>
      <w:pPr>
        <w:spacing w:after="0"/>
        <w:rPr>
          <w:sz w:val="20"/>
          <w:szCs w:val="20"/>
          <w:color w:val="auto"/>
        </w:rPr>
      </w:pPr>
      <w:r>
        <w:rPr>
          <w:rFonts w:ascii="Times New Roman" w:cs="Times New Roman" w:eastAsia="Times New Roman" w:hAnsi="Times New Roman"/>
          <w:sz w:val="22"/>
          <w:szCs w:val="22"/>
          <w:color w:val="auto"/>
        </w:rPr>
        <w:t>Toronto, Ontario M5H 3M7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East 59th St, 6th Floor</w:t>
      </w: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Cybin Inc., a company continued 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confirms its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 Cantor Fitzgerald Canada Corporation and Cantor Fitzgerald &amp; Co. (each individually an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to issue and sell common shares in the capital of the Company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upon and subject to the terms and conditions contained herein. Capitalized terms used herein have the meanings given to them in Section 23 hereof.</w:t>
      </w:r>
    </w:p>
    <w:p>
      <w:pPr>
        <w:spacing w:after="0" w:line="150"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Issuance and Sale of Shares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agrees that, from time to time during the term of this Agreement, on the terms and subject to the conditions set forth herein, it may issue and sell through the Agents, Shares having an aggregate sales price of up to US$100,000,000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The Shares will be sold on the terms set forth herein at such times and in such amounts as the Company and the Agents shall agree from time to time. The issuance and sale of the Shares through the Agents will be effected pursuant to the Prospectuses (as hereinafter defined) and the effective Registration Statement (as hereinafter defined) filed by the Company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When determining the aggregate value of the Placement Shares (as hereinafter defined) sold, the Company will use the daily exchange rate posted by the Bank of Canada on the date the applicable Placement Shares were sold to determine the United Sates dollar equivalent of any Placement Shares sold in consideration for Canadian dollars.</w:t>
      </w:r>
    </w:p>
    <w:p>
      <w:pPr>
        <w:spacing w:after="0" w:line="13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Placements</w:t>
      </w:r>
    </w:p>
    <w:p>
      <w:pPr>
        <w:spacing w:after="0" w:line="179" w:lineRule="exact"/>
        <w:rPr>
          <w:rFonts w:ascii="Times New Roman" w:cs="Times New Roman" w:eastAsia="Times New Roman" w:hAnsi="Times New Roman"/>
          <w:sz w:val="22"/>
          <w:szCs w:val="22"/>
          <w:b w:val="1"/>
          <w:bCs w:val="1"/>
          <w:color w:val="auto"/>
        </w:rPr>
      </w:pPr>
    </w:p>
    <w:p>
      <w:pPr>
        <w:jc w:val="both"/>
        <w:ind w:left="1300" w:hanging="644"/>
        <w:spacing w:after="0" w:line="232" w:lineRule="auto"/>
        <w:tabs>
          <w:tab w:leader="none" w:pos="1338"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 Notice</w:t>
      </w:r>
      <w:r>
        <w:rPr>
          <w:rFonts w:ascii="Times New Roman" w:cs="Times New Roman" w:eastAsia="Times New Roman" w:hAnsi="Times New Roman"/>
          <w:sz w:val="22"/>
          <w:szCs w:val="22"/>
          <w:color w:val="auto"/>
        </w:rPr>
        <w:t>. Each time that the Company wishes to issue and sell Shares hereunder (each, a "</w:t>
      </w:r>
      <w:r>
        <w:rPr>
          <w:rFonts w:ascii="Times New Roman" w:cs="Times New Roman" w:eastAsia="Times New Roman" w:hAnsi="Times New Roman"/>
          <w:sz w:val="22"/>
          <w:szCs w:val="22"/>
          <w:b w:val="1"/>
          <w:bCs w:val="1"/>
          <w:color w:val="auto"/>
        </w:rPr>
        <w:t>Placement</w:t>
      </w:r>
      <w:r>
        <w:rPr>
          <w:rFonts w:ascii="Times New Roman" w:cs="Times New Roman" w:eastAsia="Times New Roman" w:hAnsi="Times New Roman"/>
          <w:sz w:val="22"/>
          <w:szCs w:val="22"/>
          <w:color w:val="auto"/>
        </w:rPr>
        <w:t>"), it will notify an Agent (the "</w:t>
      </w:r>
      <w:r>
        <w:rPr>
          <w:rFonts w:ascii="Times New Roman" w:cs="Times New Roman" w:eastAsia="Times New Roman" w:hAnsi="Times New Roman"/>
          <w:sz w:val="22"/>
          <w:szCs w:val="22"/>
          <w:b w:val="1"/>
          <w:bCs w:val="1"/>
          <w:color w:val="auto"/>
        </w:rPr>
        <w:t>Designated Agent</w:t>
      </w:r>
      <w:r>
        <w:rPr>
          <w:rFonts w:ascii="Times New Roman" w:cs="Times New Roman" w:eastAsia="Times New Roman" w:hAnsi="Times New Roman"/>
          <w:sz w:val="22"/>
          <w:szCs w:val="22"/>
          <w:color w:val="auto"/>
        </w:rPr>
        <w:t>") by e-mail notice (or other method mutually agreed to in writing by the parties) (a "</w:t>
      </w:r>
      <w:r>
        <w:rPr>
          <w:rFonts w:ascii="Times New Roman" w:cs="Times New Roman" w:eastAsia="Times New Roman" w:hAnsi="Times New Roman"/>
          <w:sz w:val="22"/>
          <w:szCs w:val="22"/>
          <w:b w:val="1"/>
          <w:bCs w:val="1"/>
          <w:color w:val="auto"/>
        </w:rPr>
        <w:t>Placement Notice</w:t>
      </w:r>
      <w:r>
        <w:rPr>
          <w:rFonts w:ascii="Times New Roman" w:cs="Times New Roman" w:eastAsia="Times New Roman" w:hAnsi="Times New Roman"/>
          <w:sz w:val="22"/>
          <w:szCs w:val="22"/>
          <w:color w:val="auto"/>
        </w:rPr>
        <w:t>") substantially in the form set forth on Schedule 1 hereto, containing the parameters within which it desires to sell the Shares, which shall at a minimum include: (i) the number or amount of Shares to be sold under the applicable Placement pursuant to this Agreement ("</w:t>
      </w:r>
      <w:r>
        <w:rPr>
          <w:rFonts w:ascii="Times New Roman" w:cs="Times New Roman" w:eastAsia="Times New Roman" w:hAnsi="Times New Roman"/>
          <w:sz w:val="22"/>
          <w:szCs w:val="22"/>
          <w:b w:val="1"/>
          <w:bCs w:val="1"/>
          <w:color w:val="auto"/>
        </w:rPr>
        <w:t>Placement Shares</w:t>
      </w:r>
      <w:r>
        <w:rPr>
          <w:rFonts w:ascii="Times New Roman" w:cs="Times New Roman" w:eastAsia="Times New Roman" w:hAnsi="Times New Roman"/>
          <w:sz w:val="22"/>
          <w:szCs w:val="22"/>
          <w:color w:val="auto"/>
        </w:rPr>
        <w:t>"), (ii) the time period during which sales are requested to be made, (iii) any limitation on the number of Placement Shares that may be sold in any one Trading Day, (iv) any minimum price below which sales may not be made, and (v) the amount of the Placement Fee (as hereinafter defined). The Placement Notice shall originate from any of the individuals (each an "</w:t>
      </w:r>
      <w:r>
        <w:rPr>
          <w:rFonts w:ascii="Times New Roman" w:cs="Times New Roman" w:eastAsia="Times New Roman" w:hAnsi="Times New Roman"/>
          <w:sz w:val="22"/>
          <w:szCs w:val="22"/>
          <w:b w:val="1"/>
          <w:bCs w:val="1"/>
          <w:color w:val="auto"/>
        </w:rPr>
        <w:t>Authorized Representative</w:t>
      </w:r>
      <w:r>
        <w:rPr>
          <w:rFonts w:ascii="Times New Roman" w:cs="Times New Roman" w:eastAsia="Times New Roman" w:hAnsi="Times New Roman"/>
          <w:sz w:val="22"/>
          <w:szCs w:val="22"/>
          <w:color w:val="auto"/>
        </w:rPr>
        <w:t>") from the Company set forth on Schedule 2 hereto and shall be addressed to each of the respective individuals from the Designated Agent set forth on Schedule 2 hereto, as such Schedule 2 may be amended from time to time. The Placement Notice shall be effective upon delivery to the Designated Agent unless and until (i) the Designated Agent declines to accept the terms contained therein for any reason, in its sole discretion, in accordance with the notice requirements set forth in Section 4, (ii) the entire amount of the Placement Shares have been sold, (iii) the Company suspends or terminates the Placement Notice in accordance with the notice requirements set forth in Sections 4 or 14, as applicable, (iv) the Company issues a subsequent Placement Notice with parameters superseding those on the earlier Placement Notice, or (v) this Agreement has been terminated under the provisions of Section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ind w:left="4784"/>
        <w:spacing w:after="0"/>
        <w:rPr>
          <w:sz w:val="20"/>
          <w:szCs w:val="20"/>
          <w:color w:val="auto"/>
        </w:rPr>
      </w:pPr>
      <w:r>
        <w:rPr>
          <w:rFonts w:ascii="Times New Roman" w:cs="Times New Roman" w:eastAsia="Times New Roman" w:hAnsi="Times New Roman"/>
          <w:sz w:val="22"/>
          <w:szCs w:val="22"/>
          <w:color w:val="auto"/>
        </w:rPr>
        <w:t>- 2 -</w:t>
      </w:r>
    </w:p>
    <w:p>
      <w:pPr>
        <w:spacing w:after="0" w:line="166" w:lineRule="exact"/>
        <w:rPr>
          <w:sz w:val="20"/>
          <w:szCs w:val="20"/>
          <w:color w:val="auto"/>
        </w:rPr>
      </w:pPr>
    </w:p>
    <w:p>
      <w:pPr>
        <w:jc w:val="both"/>
        <w:ind w:left="644" w:hanging="644"/>
        <w:spacing w:after="0" w:line="239" w:lineRule="auto"/>
        <w:tabs>
          <w:tab w:leader="none" w:pos="68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 Fee</w:t>
      </w:r>
      <w:r>
        <w:rPr>
          <w:rFonts w:ascii="Times New Roman" w:cs="Times New Roman" w:eastAsia="Times New Roman" w:hAnsi="Times New Roman"/>
          <w:sz w:val="22"/>
          <w:szCs w:val="22"/>
          <w:color w:val="auto"/>
        </w:rPr>
        <w:t>. The amount of compensation to be paid by the Company to the Designated Agent with respect to each Placement for which such Agent acted as the Designated Agent under this Agreement shall be equal to 3.0% of the gross proceeds from such Placement (the "</w:t>
      </w:r>
      <w:r>
        <w:rPr>
          <w:rFonts w:ascii="Times New Roman" w:cs="Times New Roman" w:eastAsia="Times New Roman" w:hAnsi="Times New Roman"/>
          <w:sz w:val="22"/>
          <w:szCs w:val="22"/>
          <w:b w:val="1"/>
          <w:bCs w:val="1"/>
          <w:color w:val="auto"/>
        </w:rPr>
        <w:t>Placement Fee</w:t>
      </w:r>
      <w:r>
        <w:rPr>
          <w:rFonts w:ascii="Times New Roman" w:cs="Times New Roman" w:eastAsia="Times New Roman" w:hAnsi="Times New Roman"/>
          <w:sz w:val="22"/>
          <w:szCs w:val="22"/>
          <w:color w:val="auto"/>
        </w:rPr>
        <w:t>"), which amount shall be paid in the same currency as the sale of the Placement Shares it pertains to.</w:t>
      </w:r>
    </w:p>
    <w:p>
      <w:pPr>
        <w:spacing w:after="0" w:line="153"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8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w:t>
      </w:r>
      <w:r>
        <w:rPr>
          <w:rFonts w:ascii="Times New Roman" w:cs="Times New Roman" w:eastAsia="Times New Roman" w:hAnsi="Times New Roman"/>
          <w:sz w:val="22"/>
          <w:szCs w:val="22"/>
          <w:color w:val="auto"/>
        </w:rPr>
        <w:t>. It is expressly acknowledged and agreed that neither the Company nor the Agents will have any obligation whatsoever with respect to a Placement or any Placement Shares unless and until the Company delivers a Placement Notice to an Agent, which Placement Notice has not been declined, suspended or otherwise terminated in accordance with the terms of this Agreement, and then only upon the terms specified therein and herein. It is also expressly acknowledged that the Agents will be under no obligation to purchase Placement Shares on a principal basis. In the event of a conflict between the terms of this Agreement and the terms of a Placement Notice, the terms of the Placement Notice will prevail.</w:t>
      </w:r>
    </w:p>
    <w:p>
      <w:pPr>
        <w:spacing w:after="0" w:line="142"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8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Placements</w:t>
      </w:r>
      <w:r>
        <w:rPr>
          <w:rFonts w:ascii="Times New Roman" w:cs="Times New Roman" w:eastAsia="Times New Roman" w:hAnsi="Times New Roman"/>
          <w:sz w:val="22"/>
          <w:szCs w:val="22"/>
          <w:color w:val="auto"/>
        </w:rPr>
        <w:t>. Under no circumstances shall the Company deliver a Placement Notice if, after giving effect to the issuance of the Placement Shares requested to be issued under such Placement Notice, the aggregate sales proceeds raised from the Placement Shares sold pursuant to this Agreement would exceed US$100,000,000. In the event the Company wishes to change the minimum price at which Placement Shares may be issued, the Company shall deliver a new Placement Notice and the Placement Notice shall cease to be effective upon delivery of such new Placement Notice, in accordance with Section 2(a). Under no circumstances shall the Company cause or request the offer or sale of any Placement Shares if, after giving effect to the sale of such Placement Shares, the aggregate gross sales proceeds of Placement Shares sold pursuant to this Agreement would exceed the amount authorized from time to time to be issued and sold under this Agreement by the Company's board of directors and notified to the Agents in writing.</w:t>
      </w:r>
    </w:p>
    <w:p>
      <w:pPr>
        <w:spacing w:after="0" w:line="138"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68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shall the Agents cause or request the offer or sale of any Placement Shares pursuant to this Agreement at a price lower than the minimum price authorized from time to time in the applicable Placement Notice. Notwithstanding anything to the contrary contained herein, the parties hereto agree that compliance with the limitations set forth in this Section 2 on the amount of Placement Shares issued and sold under this Agreement shall be the sole responsibility of the Company and that the Agents shall have no obligation in connection with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113665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1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of Placement Shares by the Agents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Subject to the terms and conditions of this Agreement, upon the Company's issuance of a Placement Notice, and unless the sale of the Placement Shares described therein has been declined, suspended, or otherwise terminated in accordance with the terms of this Agreement, the Designated Agent will use its commercially reasonable efforts consistent with its normal trading and sales practices to sell on behalf of the Company and as agent, such Placement Shares up to the amount specified during the time period specified, and otherwise in accordance with the terms of such Placement Notice.</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Designated Agent covenants and the Company acknowledges that the Agents will conduct the sale of Placement Shares in compliance with all applicable Securities Laws, and, if applicable, the rules of the Exchanges, or any other "marketplace" (as such term is defined in NI 21-101) on which the Shares are listed or posted for trading, and that such compliance may result in a delay in commencement of sales efforts after receipt of a Placement Notice.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Designated Agent will provide written confirmation to the Company no later than the opening of the Trading Day immediately following the Trading Day on which it has made sales of Placement Shares hereunder setting forth:</w:t>
      </w:r>
    </w:p>
    <w:p>
      <w:pPr>
        <w:spacing w:after="0" w:line="131" w:lineRule="exact"/>
        <w:rPr>
          <w:sz w:val="20"/>
          <w:szCs w:val="20"/>
          <w:color w:val="auto"/>
        </w:rPr>
      </w:pPr>
    </w:p>
    <w:p>
      <w:pPr>
        <w:jc w:val="both"/>
        <w:ind w:left="440" w:hanging="432"/>
        <w:spacing w:after="0" w:line="239" w:lineRule="auto"/>
        <w:tabs>
          <w:tab w:leader="none" w:pos="47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Placement Shares sold on such day (showing the number of Placement Shares sold on the Exchanges, or any other "marketplace" (as such term is defined in NI 21-101) in Canada (a "</w:t>
      </w:r>
      <w:r>
        <w:rPr>
          <w:rFonts w:ascii="Times New Roman" w:cs="Times New Roman" w:eastAsia="Times New Roman" w:hAnsi="Times New Roman"/>
          <w:sz w:val="22"/>
          <w:szCs w:val="22"/>
          <w:b w:val="1"/>
          <w:bCs w:val="1"/>
          <w:color w:val="auto"/>
        </w:rPr>
        <w:t>Canadian Marketplace</w:t>
      </w:r>
      <w:r>
        <w:rPr>
          <w:rFonts w:ascii="Times New Roman" w:cs="Times New Roman" w:eastAsia="Times New Roman" w:hAnsi="Times New Roman"/>
          <w:sz w:val="22"/>
          <w:szCs w:val="22"/>
          <w:color w:val="auto"/>
        </w:rPr>
        <w:t>"), or any national securities exchange or automatic quotation system in the United States (a "</w:t>
      </w:r>
      <w:r>
        <w:rPr>
          <w:rFonts w:ascii="Times New Roman" w:cs="Times New Roman" w:eastAsia="Times New Roman" w:hAnsi="Times New Roman"/>
          <w:sz w:val="22"/>
          <w:szCs w:val="22"/>
          <w:b w:val="1"/>
          <w:bCs w:val="1"/>
          <w:color w:val="auto"/>
        </w:rPr>
        <w:t>United States Marketplace</w:t>
      </w:r>
      <w:r>
        <w:rPr>
          <w:rFonts w:ascii="Times New Roman" w:cs="Times New Roman" w:eastAsia="Times New Roman" w:hAnsi="Times New Roman"/>
          <w:sz w:val="22"/>
          <w:szCs w:val="22"/>
          <w:color w:val="auto"/>
        </w:rPr>
        <w:t>"), and pursuant to any other sales method used by the Agents),</w:t>
      </w:r>
    </w:p>
    <w:p>
      <w:pPr>
        <w:spacing w:after="0" w:line="139" w:lineRule="exact"/>
        <w:rPr>
          <w:rFonts w:ascii="Times New Roman" w:cs="Times New Roman" w:eastAsia="Times New Roman" w:hAnsi="Times New Roman"/>
          <w:sz w:val="22"/>
          <w:szCs w:val="22"/>
          <w:color w:val="auto"/>
        </w:rPr>
      </w:pPr>
    </w:p>
    <w:p>
      <w:pPr>
        <w:ind w:left="440" w:right="20" w:hanging="432"/>
        <w:spacing w:after="0" w:line="258" w:lineRule="auto"/>
        <w:tabs>
          <w:tab w:leader="none" w:pos="48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price of the Placement Shares sold (showing the average price of the Placement Shares sold on the Exchanges and pursuant to any other sales method used by the Agents),</w:t>
      </w:r>
    </w:p>
    <w:p>
      <w:pPr>
        <w:spacing w:after="0" w:line="117"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proceeds,</w:t>
      </w:r>
    </w:p>
    <w:p>
      <w:pPr>
        <w:spacing w:after="0" w:line="179"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Placement Fee payable by the Company to the Agents with respect to such sales, and</w:t>
      </w:r>
    </w:p>
    <w:p>
      <w:pPr>
        <w:spacing w:after="0" w:line="165"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Proceeds payable to the Company.</w:t>
      </w:r>
    </w:p>
    <w:p>
      <w:pPr>
        <w:spacing w:after="0" w:line="16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Subject to the terms and conditions of the Placement Notice, the Agents may sell Placement Shares by any method permitted by law that constitutes an "at-the-market distribution" under NI 44-102 and an "at-the-market offering" as defined in Rule 415(a)(4) under the U.S. Securities Act, including, without limitation, (i) in privately negotiated transactions with the Company's consent and, if required, the consent of the Exchanges; (ii) as block transactions; (iii) as sales made directly on the Exchanges; or (iv) by any method permitted by law. Cantor Fitzgerald &amp; Co. covenants and agrees with the Company that it (i) shall not, directly or indirectly, advertise or solicit offers to purchase or sell Placement Shares in Canada, and (ii) shall not sell Placement Shares on any Canadian Marketplace. For the avoidance of doubt, Cantor Fitzgerald &amp; Co. is not acting as an underwriter of or agent with respect to the Placement Shares in the Canadian Qualifying Jurisdictions and no action on the part of Cantor Fitzgerald &amp; Co. in its capacity as agent of the offering of the Placement Shares in the United States is intended to create any impression or support any conclusion that it is acting as an underwriter of or agent with respect to the Placement Shares in the Canadian Qualifying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While a Placement Notice is in effect, the Agents shall not (i) over-allot Shares in connection with the distribution of Placement Shares in an "at-the-market distribution" (as defined in NI 44-102) or (ii) engage in any transactions or activities that are intended to stabilize or maintain the market price of the Shares. For the avoidance of doubt, this restriction shall not apply to transactions by or on behalf of any customer of the Agents or transactions by the Agents to facilitate any such transactions by or on behalf of any customer of the Agents.</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anything to the contrary set forth in this Agreement or a Placement Notice, the Company acknowledges and agrees that (i) there can be no assurance that the Agents will be successful in selling any Placement Shares or as to the price at which any Placement Shares are sold, if at all, and (ii) the Agents will incur no liability or obligation to the Company or any other person or entity if they do not sell Placement Shares for any reason other than a failure by the Agents to use their commercially reasonable efforts consistent with its normal trading and sales practices to sell, on behalf of the Company and as agent, such Placement Shares as provided under this Section 3.</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terms of any Placement as set forth in a Placement Notice contemplate that the Placement Shares shall be sold on more than one Trading Day, then the Company and the Agent shall mutually agree to such additional terms and conditions as they deem necessary in respect of such multiple Trading Days, and such additional terms and conditions shall be binding to the same extent as any other terms contained in the relevant Placement Notice.</w:t>
      </w:r>
    </w:p>
    <w:p>
      <w:pPr>
        <w:spacing w:after="0" w:line="13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Suspension of Sales</w:t>
      </w:r>
    </w:p>
    <w:p>
      <w:pPr>
        <w:spacing w:after="0" w:line="183"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3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the Designated Agent may, upon notice to the other party in writing, by telephone (confirmed promptly by e-mail) or by e-mail notice (or other method mutually agreed to in writing by the parties), suspend any sale of Placement Shares for which it has received a Placement Notice or in the case of the Agents only, decline to accept the terms of a Placement Notice; provided, however, that such suspension shall not affect or impair any party's obligations with respect to any Placement Shares sold hereunder prior to the receipt of such notice. The Company and the Agents (severally and not jointly) agree that no such notice shall be effective against any other party unless it is made to one of the individuals named on Schedule 2 hereto, as such Schedule may be amended from time to time.</w:t>
      </w:r>
    </w:p>
    <w:p>
      <w:pPr>
        <w:spacing w:after="0" w:line="137"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4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during any period in which the Company is in possession of material non-public information with respect to the Company or the Shares, the Company and the Agents (provided they have been given prior written notice of such possession by the Company, which notice the Agents agree to treat confidentially) agree (severally and not jointly) that no sale of Placement Shares will take place. The Company and the Agents (severally and not jointly) agree that no such notice shall be effective against any other party unless it is made to one of the individuals named on Schedule 2 hereto, as such Schedule may be amended from time to time. Material non-public information includes, without limitation, any material fact or material change that has not been generally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16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p>
    <w:p>
      <w:pPr>
        <w:spacing w:after="0" w:line="183" w:lineRule="exact"/>
        <w:rPr>
          <w:rFonts w:ascii="Times New Roman" w:cs="Times New Roman" w:eastAsia="Times New Roman" w:hAnsi="Times New Roman"/>
          <w:sz w:val="22"/>
          <w:szCs w:val="22"/>
          <w:b w:val="1"/>
          <w:bCs w:val="1"/>
          <w:color w:val="auto"/>
        </w:rPr>
      </w:pPr>
    </w:p>
    <w:p>
      <w:pPr>
        <w:jc w:val="both"/>
        <w:ind w:left="1300" w:hanging="644"/>
        <w:spacing w:after="0" w:line="236" w:lineRule="auto"/>
        <w:tabs>
          <w:tab w:leader="none" w:pos="132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color w:val="auto"/>
        </w:rPr>
        <w:t>. Settlement for sales of Placement Shares will occur on the first (1st) Trading Day following the date on which such sales are made (each a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The amount of proceeds to be delivered to the Company on a Settlement Date against the receipt of the Placement Shares sold will be equal to the aggregate sales price at which such Placement Shares were sold, after deduction for the commission or other compensation for such sales payable by the Company to the Designated Agent pursuant to Section 2 hereof ("</w:t>
      </w:r>
      <w:r>
        <w:rPr>
          <w:rFonts w:ascii="Times New Roman" w:cs="Times New Roman" w:eastAsia="Times New Roman" w:hAnsi="Times New Roman"/>
          <w:sz w:val="22"/>
          <w:szCs w:val="22"/>
          <w:b w:val="1"/>
          <w:bCs w:val="1"/>
          <w:color w:val="auto"/>
        </w:rPr>
        <w:t>Net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Proceeds</w:t>
      </w:r>
      <w:r>
        <w:rPr>
          <w:rFonts w:ascii="Times New Roman" w:cs="Times New Roman" w:eastAsia="Times New Roman" w:hAnsi="Times New Roman"/>
          <w:sz w:val="22"/>
          <w:szCs w:val="22"/>
          <w:color w:val="auto"/>
        </w:rPr>
        <w:t>").</w:t>
      </w:r>
    </w:p>
    <w:p>
      <w:pPr>
        <w:spacing w:after="0" w:line="140" w:lineRule="exact"/>
        <w:rPr>
          <w:rFonts w:ascii="Times New Roman" w:cs="Times New Roman" w:eastAsia="Times New Roman" w:hAnsi="Times New Roman"/>
          <w:sz w:val="22"/>
          <w:szCs w:val="22"/>
          <w:color w:val="auto"/>
        </w:rPr>
      </w:pPr>
    </w:p>
    <w:p>
      <w:pPr>
        <w:jc w:val="both"/>
        <w:ind w:left="1300" w:hanging="644"/>
        <w:spacing w:after="0" w:line="242" w:lineRule="auto"/>
        <w:tabs>
          <w:tab w:leader="none" w:pos="1341"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Placement Shares</w:t>
      </w:r>
      <w:r>
        <w:rPr>
          <w:rFonts w:ascii="Times New Roman" w:cs="Times New Roman" w:eastAsia="Times New Roman" w:hAnsi="Times New Roman"/>
          <w:sz w:val="21"/>
          <w:szCs w:val="21"/>
          <w:color w:val="auto"/>
        </w:rPr>
        <w:t>. On each Settlement Date, the Placement Shares sold through the Designated Agent for settlement on such date shall be issued and delivered by the Company to the Designated Agent against payment by the Designated Agent to the Company of the Net Proceeds from the sale of such Placement Shares. Settlement of all such Placement Shares shall be effected by free delivery of the Placement Shares by the Company or its transfer agent to electronically transfer the Placement Shares being sold by crediting the Designated Agent's account or its designee's account (provided that the Designated Agent shall have given the Company written notice of such designee at least one Trading Day prior to the Settlement Date) at The Depository Trust Company through its Deposit Withdrawal at Custodian System for Placement Shares sold in the United States and at CDS though its CDSX system for Placement Shares sold in Canada or by such other means of delivery as may be mutually agreed upon by the parties hereto and, upon receipt of such Placement Shares, which in all cases shall be freely tradeable, transferable, registered shares in good deliverable form, in return for payment in same day funds to an account designated by the Company prior to the Settlement Date. If the Company defaults in its obligation to deliver Placement Shares on a Settlement Date, the Company agrees that in addition to and in no way limiting the rights and obligations set forth in Section 12 hereto, it will (i) hold the Agents harmless against any loss, claim, damage, or expense (including reasonable legal fees and expenses), as incurred, arising out of or in connection with such default by the Company and (ii) pay to the Designated Agent any commission, discount, or other compensation to which it would otherwise have been entitled absent such default; provided, however, that without limiting Section 12 herein, with respect to (ii) above, the Company shall not be obligated to pay the Agents any commission, discount or other compensation on any Placement Shares that it is not possible to settle due to: (A) a suspension or material limitation in trading in securities generally on either of the Exchanges;</w:t>
      </w:r>
    </w:p>
    <w:p>
      <w:pPr>
        <w:spacing w:after="0" w:line="14" w:lineRule="exact"/>
        <w:rPr>
          <w:rFonts w:ascii="Times New Roman" w:cs="Times New Roman" w:eastAsia="Times New Roman" w:hAnsi="Times New Roman"/>
          <w:sz w:val="21"/>
          <w:szCs w:val="21"/>
          <w:color w:val="auto"/>
        </w:rPr>
      </w:pPr>
    </w:p>
    <w:p>
      <w:pPr>
        <w:jc w:val="both"/>
        <w:ind w:left="130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 material disruption in securities settlement or clearance services in the United States or Canada; (C) failure by an Agent to comply with its obligations under the terms of this Agreement; or (D) if the Company and the Agents agree pursuant to Section 4(b) that no sale of Placement Shares will take place.</w:t>
      </w:r>
    </w:p>
    <w:p>
      <w:pPr>
        <w:spacing w:after="0" w:line="133"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Registration Statements and Prospectuses</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 has prepared and filed with the Securities Commissions: (a) the Canadian Preliminary Base Prospectus, and (b) the Canadian Final Base Prospectus, in respect of an aggregate of up to C$1,700,000,000 million in common shares, warrants to purchase other securities, units comprising of one or more of the other securities, senior and subordinated unsecured debt securities, including debt securities convertible or exchangeable into other securities, and subscription receipts of the Company, or any combination of such securities (collectively, the "</w:t>
      </w:r>
      <w:r>
        <w:rPr>
          <w:rFonts w:ascii="Times New Roman" w:cs="Times New Roman" w:eastAsia="Times New Roman" w:hAnsi="Times New Roman"/>
          <w:sz w:val="21"/>
          <w:szCs w:val="21"/>
          <w:b w:val="1"/>
          <w:bCs w:val="1"/>
          <w:color w:val="auto"/>
        </w:rPr>
        <w:t>Shelf Securities</w:t>
      </w:r>
      <w:r>
        <w:rPr>
          <w:rFonts w:ascii="Times New Roman" w:cs="Times New Roman" w:eastAsia="Times New Roman" w:hAnsi="Times New Roman"/>
          <w:sz w:val="21"/>
          <w:szCs w:val="21"/>
          <w:color w:val="auto"/>
        </w:rPr>
        <w:t>") in each case in accordance with Canadian Securities Laws. The Ontario Securities Commission (the "</w:t>
      </w:r>
      <w:r>
        <w:rPr>
          <w:rFonts w:ascii="Times New Roman" w:cs="Times New Roman" w:eastAsia="Times New Roman" w:hAnsi="Times New Roman"/>
          <w:sz w:val="21"/>
          <w:szCs w:val="21"/>
          <w:b w:val="1"/>
          <w:bCs w:val="1"/>
          <w:color w:val="auto"/>
        </w:rPr>
        <w:t>Reviewing Authority</w:t>
      </w:r>
      <w:r>
        <w:rPr>
          <w:rFonts w:ascii="Times New Roman" w:cs="Times New Roman" w:eastAsia="Times New Roman" w:hAnsi="Times New Roman"/>
          <w:sz w:val="21"/>
          <w:szCs w:val="21"/>
          <w:color w:val="auto"/>
        </w:rPr>
        <w:t xml:space="preserve">") is the principal regulator of the Company under the passport system procedures provided for under Multilateral Instrument 11-102 - </w:t>
      </w:r>
      <w:r>
        <w:rPr>
          <w:rFonts w:ascii="Times New Roman" w:cs="Times New Roman" w:eastAsia="Times New Roman" w:hAnsi="Times New Roman"/>
          <w:sz w:val="21"/>
          <w:szCs w:val="21"/>
          <w:i w:val="1"/>
          <w:iCs w:val="1"/>
          <w:color w:val="auto"/>
        </w:rPr>
        <w:t>Passport System</w:t>
      </w:r>
      <w:r>
        <w:rPr>
          <w:rFonts w:ascii="Times New Roman" w:cs="Times New Roman" w:eastAsia="Times New Roman" w:hAnsi="Times New Roman"/>
          <w:sz w:val="21"/>
          <w:szCs w:val="21"/>
          <w:color w:val="auto"/>
        </w:rPr>
        <w:t xml:space="preserve"> and National Policy 11-202 - </w:t>
      </w:r>
      <w:r>
        <w:rPr>
          <w:rFonts w:ascii="Times New Roman" w:cs="Times New Roman" w:eastAsia="Times New Roman" w:hAnsi="Times New Roman"/>
          <w:sz w:val="21"/>
          <w:szCs w:val="21"/>
          <w:i w:val="1"/>
          <w:iCs w:val="1"/>
          <w:color w:val="auto"/>
        </w:rPr>
        <w:t xml:space="preserve">Process for Prospectus Reviews </w:t>
      </w:r>
      <w:r>
        <w:rPr>
          <w:rFonts w:ascii="Times New Roman" w:cs="Times New Roman" w:eastAsia="Times New Roman" w:hAnsi="Times New Roman"/>
          <w:sz w:val="21"/>
          <w:szCs w:val="21"/>
          <w:color w:val="auto"/>
        </w:rPr>
        <w:t>in Multiple Jurisdictions, in respect of the Shelf Securities and the Offering. The Reviewing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Authority has issued a receipt evidencing that a receipt has been issued on behalf of itself and the other Securities Commissions, for the Canadian Final Base Prospectus (the "</w:t>
      </w:r>
      <w:r>
        <w:rPr>
          <w:rFonts w:ascii="Times New Roman" w:cs="Times New Roman" w:eastAsia="Times New Roman" w:hAnsi="Times New Roman"/>
          <w:sz w:val="21"/>
          <w:szCs w:val="21"/>
          <w:b w:val="1"/>
          <w:bCs w:val="1"/>
          <w:color w:val="auto"/>
        </w:rPr>
        <w:t>Final Receipt</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color w:val="auto"/>
        </w:rPr>
        <w:t>Canadian Base Prospectus</w:t>
      </w:r>
      <w:r>
        <w:rPr>
          <w:rFonts w:ascii="Times New Roman" w:cs="Times New Roman" w:eastAsia="Times New Roman" w:hAnsi="Times New Roman"/>
          <w:sz w:val="21"/>
          <w:szCs w:val="21"/>
          <w:color w:val="auto"/>
        </w:rPr>
        <w:t xml:space="preserve"> " means the Canadian Final Base Prospectus, relating to the Shelf Securities, at the time the Reviewing Authority issued the Final Receipt with respect thereto in accordance with Canadian Securities Laws, including NI 44-101 and NI 44-102, and includes all documents incorporated therein by reference and the documents otherwise deemed to be a part thereof or included therein pursuant to Canadian Securities Laws, including but not limited to, all Designated News Releases. As used herein, a "</w:t>
      </w:r>
      <w:r>
        <w:rPr>
          <w:rFonts w:ascii="Times New Roman" w:cs="Times New Roman" w:eastAsia="Times New Roman" w:hAnsi="Times New Roman"/>
          <w:sz w:val="21"/>
          <w:szCs w:val="21"/>
          <w:b w:val="1"/>
          <w:bCs w:val="1"/>
          <w:color w:val="auto"/>
        </w:rPr>
        <w:t>Designated News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means a news release disseminated by the Company in respect of previously undisclosed information that,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determination, constitutes a material fact (as such term is defined in Canadian Securities Laws) and identified by the Company as a "designated news release" in writing on the face page of the version of such news release that is filed by the Company on SEDAR+. As used herein, "</w:t>
      </w:r>
      <w:r>
        <w:rPr>
          <w:rFonts w:ascii="Times New Roman" w:cs="Times New Roman" w:eastAsia="Times New Roman" w:hAnsi="Times New Roman"/>
          <w:sz w:val="21"/>
          <w:szCs w:val="21"/>
          <w:b w:val="1"/>
          <w:bCs w:val="1"/>
          <w:color w:val="auto"/>
        </w:rPr>
        <w:t>Canadian Prospectus Supplement</w:t>
      </w:r>
      <w:r>
        <w:rPr>
          <w:rFonts w:ascii="Times New Roman" w:cs="Times New Roman" w:eastAsia="Times New Roman" w:hAnsi="Times New Roman"/>
          <w:sz w:val="21"/>
          <w:szCs w:val="21"/>
          <w:color w:val="auto"/>
        </w:rPr>
        <w:t>" means the prospectus supplement dated December 30, 2025 to the Canadian Final Base Prospectus to the Canadian Base Prospectus relating to the Placement Shares, to be filed by the Company with the Securities Commissions in accordance with Canadian Securities Laws. The Canadian Prospectus Supplement shall provide that any and all Designated News Releases shall be deemed to be incorporated by reference in the Canadian Base Prospectus. The "</w:t>
      </w:r>
      <w:r>
        <w:rPr>
          <w:rFonts w:ascii="Times New Roman" w:cs="Times New Roman" w:eastAsia="Times New Roman" w:hAnsi="Times New Roman"/>
          <w:sz w:val="21"/>
          <w:szCs w:val="21"/>
          <w:b w:val="1"/>
          <w:bCs w:val="1"/>
          <w:color w:val="auto"/>
        </w:rPr>
        <w:t>Canadian Prospectus</w:t>
      </w:r>
      <w:r>
        <w:rPr>
          <w:rFonts w:ascii="Times New Roman" w:cs="Times New Roman" w:eastAsia="Times New Roman" w:hAnsi="Times New Roman"/>
          <w:sz w:val="21"/>
          <w:szCs w:val="21"/>
          <w:color w:val="auto"/>
        </w:rPr>
        <w:t xml:space="preserve"> " means the Canadian Prospectus Supplement (and any additional Canadian prospectus supplement prepared in accordance with the provisions of this Agreement and filed with the Securities Commissions in accordance with Canadian Securities Laws), together with the Canadian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Company has also prepared and filed with the SEC, pursuant to the Canada/United States Multi-Jurisdictional Disclosure System adopted by the SEC and the Securities Commissions, a registration statement on Form F-10 (File No. 333-292294), covering the registration of the Shelf Securities under the U.S. Securities Act and the rules and regulations of the SEC thereunder (the "</w:t>
      </w:r>
      <w:r>
        <w:rPr>
          <w:rFonts w:ascii="Times New Roman" w:cs="Times New Roman" w:eastAsia="Times New Roman" w:hAnsi="Times New Roman"/>
          <w:sz w:val="21"/>
          <w:szCs w:val="21"/>
          <w:b w:val="1"/>
          <w:bCs w:val="1"/>
          <w:color w:val="auto"/>
        </w:rPr>
        <w:t>Rules and Regulations</w:t>
      </w:r>
      <w:r>
        <w:rPr>
          <w:rFonts w:ascii="Times New Roman" w:cs="Times New Roman" w:eastAsia="Times New Roman" w:hAnsi="Times New Roman"/>
          <w:sz w:val="21"/>
          <w:szCs w:val="21"/>
          <w:color w:val="auto"/>
        </w:rPr>
        <w:t>"). Such registration statement, including the Canadian Base Prospectus (with such deletions therefrom and additions thereto as are permitted or required by Form F-10 and the Rules and Regulations and including exhibits to such registration statement), became automatically effective upon filing in such form pursuant to Rule 467(a) under the U.S. Securities Act on December 19, 2025. Such registration statement on Form F-10, at any given time, including amendments and supplements thereto to such time, the exhibits and any schedules thereto at such time and the documents incorporated by reference therein at such time, is herein called the "</w:t>
      </w:r>
      <w:r>
        <w:rPr>
          <w:rFonts w:ascii="Times New Roman" w:cs="Times New Roman" w:eastAsia="Times New Roman" w:hAnsi="Times New Roman"/>
          <w:sz w:val="21"/>
          <w:szCs w:val="21"/>
          <w:b w:val="1"/>
          <w:bCs w:val="1"/>
          <w:color w:val="auto"/>
        </w:rPr>
        <w:t>Registration Statement</w:t>
      </w:r>
      <w:r>
        <w:rPr>
          <w:rFonts w:ascii="Times New Roman" w:cs="Times New Roman" w:eastAsia="Times New Roman" w:hAnsi="Times New Roman"/>
          <w:sz w:val="21"/>
          <w:szCs w:val="21"/>
          <w:color w:val="auto"/>
        </w:rPr>
        <w:t>". The Canadian Base Prospectus, with such deletions therefrom and additions thereto as are permitted or required by Form F-10 and the Rules and Regulations in the form in which it appeared in the Registration Statement on the date it became effective under the U.S. Securities Act is herein called the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Base Prospectus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U.S. Prospectus Supplement</w:t>
      </w:r>
      <w:r>
        <w:rPr>
          <w:rFonts w:ascii="Times New Roman" w:cs="Times New Roman" w:eastAsia="Times New Roman" w:hAnsi="Times New Roman"/>
          <w:sz w:val="21"/>
          <w:szCs w:val="21"/>
          <w:color w:val="auto"/>
        </w:rPr>
        <w:t>" means the Canadian Prospectus Supplement, with such deletions therefrom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additions thereto as are permitted or required by Form F-10 and the U.S. Securities Act, relating to the offering of the Placement Shares, to be filed by the Company with the SEC pursuant to General Instruction II.L of Form F-10;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means the U.S. Prospectus Supplement (and any additional United States prospectus supplement prepared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provisions of this Agreement and filed with the SEC in accordance with General Instruction II.L of Form F-</w:t>
      </w:r>
    </w:p>
    <w:p>
      <w:pPr>
        <w:spacing w:after="0" w:line="16" w:lineRule="exact"/>
        <w:rPr>
          <w:sz w:val="20"/>
          <w:szCs w:val="20"/>
          <w:color w:val="auto"/>
        </w:rPr>
      </w:pPr>
    </w:p>
    <w:p>
      <w:pPr>
        <w:jc w:val="both"/>
        <w:ind w:firstLine="8"/>
        <w:spacing w:after="0" w:line="232" w:lineRule="auto"/>
        <w:tabs>
          <w:tab w:leader="none" w:pos="34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together with the U.S. Base Prospectus; "</w:t>
      </w:r>
      <w:r>
        <w:rPr>
          <w:rFonts w:ascii="Times New Roman" w:cs="Times New Roman" w:eastAsia="Times New Roman" w:hAnsi="Times New Roman"/>
          <w:sz w:val="22"/>
          <w:szCs w:val="22"/>
          <w:b w:val="1"/>
          <w:bCs w:val="1"/>
          <w:color w:val="auto"/>
        </w:rPr>
        <w:t>Base Prospectuses</w:t>
      </w:r>
      <w:r>
        <w:rPr>
          <w:rFonts w:ascii="Times New Roman" w:cs="Times New Roman" w:eastAsia="Times New Roman" w:hAnsi="Times New Roman"/>
          <w:sz w:val="22"/>
          <w:szCs w:val="22"/>
          <w:color w:val="auto"/>
        </w:rPr>
        <w:t>" means, collectively, the Canadian Base Prospectus and the U.S. Base Prospectus; "</w:t>
      </w:r>
      <w:r>
        <w:rPr>
          <w:rFonts w:ascii="Times New Roman" w:cs="Times New Roman" w:eastAsia="Times New Roman" w:hAnsi="Times New Roman"/>
          <w:sz w:val="22"/>
          <w:szCs w:val="22"/>
          <w:b w:val="1"/>
          <w:bCs w:val="1"/>
          <w:color w:val="auto"/>
        </w:rPr>
        <w:t>Prospectuses</w:t>
      </w:r>
      <w:r>
        <w:rPr>
          <w:rFonts w:ascii="Times New Roman" w:cs="Times New Roman" w:eastAsia="Times New Roman" w:hAnsi="Times New Roman"/>
          <w:sz w:val="22"/>
          <w:szCs w:val="22"/>
          <w:color w:val="auto"/>
        </w:rPr>
        <w:t>" means, collectively, the Canadian Prospectus and the U.S.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Supplements</w:t>
      </w:r>
      <w:r>
        <w:rPr>
          <w:rFonts w:ascii="Times New Roman" w:cs="Times New Roman" w:eastAsia="Times New Roman" w:hAnsi="Times New Roman"/>
          <w:sz w:val="22"/>
          <w:szCs w:val="22"/>
          <w:color w:val="auto"/>
        </w:rPr>
        <w:t>" means, collectively, the Canadian Prospectus Supplement and the U.S. Prospectus Supplement; and "</w:t>
      </w:r>
      <w:r>
        <w:rPr>
          <w:rFonts w:ascii="Times New Roman" w:cs="Times New Roman" w:eastAsia="Times New Roman" w:hAnsi="Times New Roman"/>
          <w:sz w:val="22"/>
          <w:szCs w:val="22"/>
          <w:b w:val="1"/>
          <w:bCs w:val="1"/>
          <w:color w:val="auto"/>
        </w:rPr>
        <w:t>Issuer Free Writing Prospectus</w:t>
      </w:r>
      <w:r>
        <w:rPr>
          <w:rFonts w:ascii="Times New Roman" w:cs="Times New Roman" w:eastAsia="Times New Roman" w:hAnsi="Times New Roman"/>
          <w:sz w:val="22"/>
          <w:szCs w:val="22"/>
          <w:color w:val="auto"/>
        </w:rPr>
        <w:t>" means any "issuer free writing prospectus" as defined in Rule 433 relating to the Placement Shares that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required to be filed with the SEC by the Company or (ii) is exempt from filing pursuant to Rule 433(d)(5)(i), in each case in the form filed or required to be filed with the SEC or, if not required to be filed, in the form retained in the Company's records pursuant to Rule 433(g).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color w:val="auto"/>
        </w:rPr>
        <w:t>- 7 -</w:t>
      </w:r>
    </w:p>
    <w:p>
      <w:pPr>
        <w:spacing w:after="0" w:line="16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Any reference herein to the Registration Statement, the Base Prospectuses, the Prospectus Supplements or the Prospectuses or any amendment or supplement thereto shall be deemed to refer to and include the documents incorporated by reference therein, and any reference herein to the terms "amend," "amendment" or "supplement" with respect to the Registration Statement, the Base Prospectuses, the Prospectus Supplements or the Prospectuses shall be deemed to refer to and include the filing or furnishing of any document with or to the SEC or Securities Commissions, as applicable, on or after the effective date of the Registration Statement or the date of the Base Prospectuses, the Prospectus Supplements or the Prospectuses, as the case may be, and deemed to be incorporated by reference therein. For purposes of this Agreement, all references to the Canadian Base Prospectus, the Canadian Prospectus Supplement and the Canadian Prospectus or any amendment or supplement thereto shall be deemed to include any copy filed with any Securities Commission pursuant to SEDAR+ and all references to the Registration Statement, the U.S. Base Prospectus, the U.S. Prospectus Supplement and the U.S. Prospectus or any amendment or supplement thereto shall be deemed to include any copy filed with the SEC pursuant to its EDGAR.</w:t>
      </w:r>
    </w:p>
    <w:p>
      <w:pPr>
        <w:spacing w:after="0" w:line="16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has also prepared and filed with the SEC an appointment of agent for service of process upon the Company on Form F-X in conjunction with the filing of the Registration Statement.</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references in this Agreement to financial statements and schedules and other information which is "contained," "included" or "stated" in the Registration Statement, the U.S. Base Prospectus, the U.S.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U.S. Base Prospectus or the U.S. Prospectus, as the case may be; and all references in this Agreement to amendments or supplements to the Registration Statement, the U.S. Base Prospectus or the U.S. Prospectus shall be deemed to mean and include the filing of any document under the Exchange Act, and which is deemed to be incorporated therein by reference or otherwise deemed by the Rules and Regulations to be a part of or included in the Registration Statement, the U.S. Base Prospectus, the U.S. Prospectus, as the case may be. All references in this Agreement to financial statements and other information which is "described," "contained," "included" or "stated" in the Canadian Base Prospectus or the Canadian Prospectus (or other references of like import) shall be deemed to mean and include all such financial statements and other information which is incorporated by reference in or otherwise deemed by Canadian Securities Laws to be a part of or included in the Canadian Prospectus.</w:t>
      </w:r>
    </w:p>
    <w:p>
      <w:pPr>
        <w:spacing w:after="0" w:line="12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represents and warrants to, and agrees with, the Agents, and acknowledges that the Agents are relying upon such representation and warranties in entering into this Agreement, that as of the date of this Agreement and as of each Applicable Time, unless such representation, warranty or agreement specifies a specific date, that:</w:t>
      </w:r>
    </w:p>
    <w:p>
      <w:pPr>
        <w:spacing w:after="0" w:line="129" w:lineRule="exact"/>
        <w:rPr>
          <w:sz w:val="20"/>
          <w:szCs w:val="20"/>
          <w:color w:val="auto"/>
        </w:rPr>
      </w:pPr>
    </w:p>
    <w:p>
      <w:pPr>
        <w:jc w:val="both"/>
        <w:ind w:left="1460" w:hanging="804"/>
        <w:spacing w:after="0" w:line="236" w:lineRule="auto"/>
        <w:tabs>
          <w:tab w:leader="none" w:pos="14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Registration Statement and Prospectuses</w:t>
      </w:r>
      <w:r>
        <w:rPr>
          <w:rFonts w:ascii="Times New Roman" w:cs="Times New Roman" w:eastAsia="Times New Roman" w:hAnsi="Times New Roman"/>
          <w:sz w:val="22"/>
          <w:szCs w:val="22"/>
          <w:color w:val="auto"/>
        </w:rPr>
        <w:t>. The Company is a "foreign private issuer" (as defined in Rule 405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U.S. Securities Act) and is eligible to use Form F-10 under the U.S. Securities Act to register the offering of the Placement Shares under the U.S. Securities Act. The Company has prepared and filed with the SEC an appointment of agent for service of process upon the Company on Form F-X in conjunction with the filing of the Registration Statement. The Registration Statement and the Form F-X conform, and any further amendments to the Registration Statement or the Form F-X will conform, in all material respects, to the requirements of the U.S.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ind w:left="4784"/>
        <w:spacing w:after="0"/>
        <w:rPr>
          <w:sz w:val="20"/>
          <w:szCs w:val="20"/>
          <w:color w:val="auto"/>
        </w:rPr>
      </w:pPr>
      <w:r>
        <w:rPr>
          <w:rFonts w:ascii="Times New Roman" w:cs="Times New Roman" w:eastAsia="Times New Roman" w:hAnsi="Times New Roman"/>
          <w:sz w:val="22"/>
          <w:szCs w:val="22"/>
          <w:color w:val="auto"/>
        </w:rPr>
        <w:t>- 8 -</w:t>
      </w:r>
    </w:p>
    <w:p>
      <w:pPr>
        <w:spacing w:after="0" w:line="162" w:lineRule="exact"/>
        <w:rPr>
          <w:sz w:val="20"/>
          <w:szCs w:val="20"/>
          <w:color w:val="auto"/>
        </w:rPr>
      </w:pPr>
    </w:p>
    <w:p>
      <w:pPr>
        <w:jc w:val="both"/>
        <w:ind w:left="804" w:hanging="804"/>
        <w:spacing w:after="0" w:line="244" w:lineRule="auto"/>
        <w:tabs>
          <w:tab w:leader="none" w:pos="84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Compliance with Canadian Requirements. </w:t>
      </w:r>
      <w:r>
        <w:rPr>
          <w:rFonts w:ascii="Times New Roman" w:cs="Times New Roman" w:eastAsia="Times New Roman" w:hAnsi="Times New Roman"/>
          <w:sz w:val="21"/>
          <w:szCs w:val="21"/>
          <w:color w:val="auto"/>
        </w:rPr>
        <w:t>The Company is eligible to use the Shelf Procedures. No cease trade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order preventing or suspending the use of the Canadian Base Prospectus or preventing the distribution of the Shelf Securities has been issued and no proceeding for that purpose has been initiated or, to the knowledge of the Company, threatened, by any of the Securities Commissions; as of the date of Canadian Base Prospectus, as applicable, the Canadian Base Prospectus complied in all material respects with Canadian Securities Laws.; each of the Securities Commissions in the Qualifying Jurisdictions has issued or is deemed to have issued receipts for the Canadian Base Prospectus. At each Applicable Time (i) the Canadian Prospectus will comply in all material respects with Canadian Securities Laws, and (ii) the Canadian Prospectus or any amendment or supplement thereto constituted at the respective dates thereof, and will constitute at the Applicable Time full, true and plain disclosure of all material facts relating to the Shelf Securities (including, as applicable, the Placements Shares), that is required to be in the Canadian Prospectus, and did not at the respective dates thereof, and will not at the Applicable Time contain a misrepresentation or an untrue statement of a material fact or omit to state a material fact required to be stated therein or necessary to make the statements therein, in the light of the circumstances under which they were made, not misleading. To its knowledge, except as disclosed in the Registration Statement, or included or incorporated in the Prospectuses and the Time of Sale Prospectus (as defined below), the Company is not a "related issuer" or "connected issuer" (as those terms are defined in National Instrument 33-105 - </w:t>
      </w:r>
      <w:r>
        <w:rPr>
          <w:rFonts w:ascii="Times New Roman" w:cs="Times New Roman" w:eastAsia="Times New Roman" w:hAnsi="Times New Roman"/>
          <w:sz w:val="21"/>
          <w:szCs w:val="21"/>
          <w:i w:val="1"/>
          <w:iCs w:val="1"/>
          <w:color w:val="auto"/>
        </w:rPr>
        <w:t>Underwriting Conflicts</w:t>
      </w:r>
      <w:r>
        <w:rPr>
          <w:rFonts w:ascii="Times New Roman" w:cs="Times New Roman" w:eastAsia="Times New Roman" w:hAnsi="Times New Roman"/>
          <w:sz w:val="21"/>
          <w:szCs w:val="21"/>
          <w:color w:val="auto"/>
        </w:rPr>
        <w:t xml:space="preserve"> of the Canadian Securities Administrators) of any of the Agents.</w:t>
      </w:r>
    </w:p>
    <w:p>
      <w:pPr>
        <w:spacing w:after="0" w:line="146" w:lineRule="exact"/>
        <w:rPr>
          <w:rFonts w:ascii="Times New Roman" w:cs="Times New Roman" w:eastAsia="Times New Roman" w:hAnsi="Times New Roman"/>
          <w:sz w:val="21"/>
          <w:szCs w:val="21"/>
          <w:color w:val="auto"/>
        </w:rPr>
      </w:pPr>
    </w:p>
    <w:p>
      <w:pPr>
        <w:jc w:val="both"/>
        <w:ind w:left="804" w:hanging="804"/>
        <w:spacing w:after="0" w:line="236" w:lineRule="auto"/>
        <w:tabs>
          <w:tab w:leader="none" w:pos="8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Continuous Disclosure</w:t>
      </w:r>
      <w:r>
        <w:rPr>
          <w:rFonts w:ascii="Times New Roman" w:cs="Times New Roman" w:eastAsia="Times New Roman" w:hAnsi="Times New Roman"/>
          <w:sz w:val="22"/>
          <w:szCs w:val="22"/>
          <w:color w:val="auto"/>
        </w:rPr>
        <w:t>. The Continuous Disclosure Materials do not contain any untrue statement of a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fact or omit to state a material fact that is required to be stated or that is necessary to make the statements therein, in light of the circumstances under which they were made, not misleading as of the date of the statements in the Continuous Disclosure Materials and were prepared in accordance with and comply in all material respects with Canadian Securities Laws of the Qualifying Jurisdictions and the Company is not in default of its filings under, nor has it failed to file or publish any document required to be filed or published under Canadian Securities Laws of the Qualifying Jurisdictions.</w:t>
      </w:r>
    </w:p>
    <w:p>
      <w:pPr>
        <w:spacing w:after="0" w:line="135" w:lineRule="exact"/>
        <w:rPr>
          <w:rFonts w:ascii="Times New Roman" w:cs="Times New Roman" w:eastAsia="Times New Roman" w:hAnsi="Times New Roman"/>
          <w:sz w:val="22"/>
          <w:szCs w:val="22"/>
          <w:color w:val="auto"/>
        </w:rPr>
      </w:pPr>
    </w:p>
    <w:p>
      <w:pPr>
        <w:jc w:val="both"/>
        <w:ind w:left="804" w:hanging="804"/>
        <w:spacing w:after="0" w:line="244" w:lineRule="auto"/>
        <w:tabs>
          <w:tab w:leader="none" w:pos="84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Compliance with U.S. Requirements</w:t>
      </w:r>
      <w:r>
        <w:rPr>
          <w:rFonts w:ascii="Times New Roman" w:cs="Times New Roman" w:eastAsia="Times New Roman" w:hAnsi="Times New Roman"/>
          <w:sz w:val="21"/>
          <w:szCs w:val="21"/>
          <w:color w:val="auto"/>
        </w:rPr>
        <w:t>. The Registration Statement was declared effective under the U.S.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Securities Act. No stop order suspending the effectiveness of the Registration Statement is in effect and no proceedings for such purpose have been instituted or are pending or, to the knowledge of the Company, are contemplated or threatened by the SEC. The U.S. Prospectus when filed complied in all material respects with the U.S. Securities Act and was identical in all material respects to the copy thereof delivered to the Agents for use in connection with the offer and sale of the Placement Shares. Each of the Registration Statement and any post-effective amendment thereto, at the time it became effective and at each Applicable Time, complied and will comply in all material respects with the U.S. Securities Act and did not and will not contain any untrue statement of a material fact or omit to state a material fact required to be stated therein or necessary to make the statements therein not misleading. The U.S. Prospectus, on the date of filing with the SEC, and the U.S. Prospectus together with any Issuer Free Writing Prospectus(es), if any, issued at or prior to such Applicable Time, taken together (collectively, and with respect to any Placement Shares, together with the public offering price for such Placement Shares, the "</w:t>
      </w:r>
      <w:r>
        <w:rPr>
          <w:rFonts w:ascii="Times New Roman" w:cs="Times New Roman" w:eastAsia="Times New Roman" w:hAnsi="Times New Roman"/>
          <w:sz w:val="21"/>
          <w:szCs w:val="21"/>
          <w:b w:val="1"/>
          <w:bCs w:val="1"/>
          <w:color w:val="auto"/>
        </w:rPr>
        <w:t>Time of Sale Prospectus</w:t>
      </w:r>
      <w:r>
        <w:rPr>
          <w:rFonts w:ascii="Times New Roman" w:cs="Times New Roman" w:eastAsia="Times New Roman" w:hAnsi="Times New Roman"/>
          <w:sz w:val="21"/>
          <w:szCs w:val="21"/>
          <w:color w:val="auto"/>
        </w:rPr>
        <w:t>") at each Applicable Time did not and will not, contain any untrue statement of a material fact or omit to state a material fact necessary to make the statements therein, in the light of the circumstances under which they were made, not misleading. The foregoing shall not apply to statements or omissions in any such Registration Statement, U.S. Prospectus or Time of Sale Prospectus made in reliance on information furnished in writing to the Company by or on behalf of the Agents specifically for use in the Registration Statement, the U.S. Prospectus, or any amendment or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100965</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1" w:name="page12"/>
    <w:bookmarkEnd w:id="11"/>
    <w:p>
      <w:pPr>
        <w:ind w:left="4784"/>
        <w:spacing w:after="0"/>
        <w:rPr>
          <w:sz w:val="20"/>
          <w:szCs w:val="20"/>
          <w:color w:val="auto"/>
        </w:rPr>
      </w:pPr>
      <w:r>
        <w:rPr>
          <w:rFonts w:ascii="Times New Roman" w:cs="Times New Roman" w:eastAsia="Times New Roman" w:hAnsi="Times New Roman"/>
          <w:sz w:val="22"/>
          <w:szCs w:val="22"/>
          <w:color w:val="auto"/>
        </w:rPr>
        <w:t>- 9 -</w:t>
      </w:r>
    </w:p>
    <w:p>
      <w:pPr>
        <w:spacing w:after="0" w:line="162" w:lineRule="exact"/>
        <w:rPr>
          <w:sz w:val="20"/>
          <w:szCs w:val="20"/>
          <w:color w:val="auto"/>
        </w:rPr>
      </w:pPr>
    </w:p>
    <w:p>
      <w:pPr>
        <w:jc w:val="both"/>
        <w:ind w:left="804" w:hanging="804"/>
        <w:spacing w:after="0" w:line="237" w:lineRule="auto"/>
        <w:tabs>
          <w:tab w:leader="none" w:pos="8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Good Standing of the Company. </w:t>
      </w:r>
      <w:r>
        <w:rPr>
          <w:rFonts w:ascii="Times New Roman" w:cs="Times New Roman" w:eastAsia="Times New Roman" w:hAnsi="Times New Roman"/>
          <w:sz w:val="22"/>
          <w:szCs w:val="22"/>
          <w:color w:val="auto"/>
        </w:rPr>
        <w:t>The Company is a company duly formed and validly existing under the</w:t>
      </w:r>
      <w:r>
        <w:rPr>
          <w:rFonts w:ascii="Times New Roman" w:cs="Times New Roman" w:eastAsia="Times New Roman" w:hAnsi="Times New Roman"/>
          <w:sz w:val="22"/>
          <w:szCs w:val="22"/>
          <w:i w:val="1"/>
          <w:iCs w:val="1"/>
          <w:color w:val="auto"/>
        </w:rPr>
        <w:t xml:space="preserve"> Business Corporations Act </w:t>
      </w:r>
      <w:r>
        <w:rPr>
          <w:rFonts w:ascii="Times New Roman" w:cs="Times New Roman" w:eastAsia="Times New Roman" w:hAnsi="Times New Roman"/>
          <w:sz w:val="22"/>
          <w:szCs w:val="22"/>
          <w:color w:val="auto"/>
        </w:rPr>
        <w:t>(Ontario) and has all requisite corporate power and authority and is duly qualified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holds or has applied for all necessary material Licences necessary or required to carry on its Business as now conducted and proposed to be conducted in all material respects, to own, lease or operate its properties and assets and no steps or proceedings have been taken by any person, voluntary or otherwise, requiring or authorizing its dissolution or winding up.</w:t>
      </w:r>
    </w:p>
    <w:p>
      <w:pPr>
        <w:spacing w:after="0" w:line="148"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Good Standing of the Subsidiaries. </w:t>
      </w:r>
      <w:r>
        <w:rPr>
          <w:rFonts w:ascii="Times New Roman" w:cs="Times New Roman" w:eastAsia="Times New Roman" w:hAnsi="Times New Roman"/>
          <w:sz w:val="22"/>
          <w:szCs w:val="22"/>
          <w:color w:val="auto"/>
        </w:rPr>
        <w:t>The subsidiaries of the Company listed in Schedule 3 (collectively,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include all of the Company's significant subsidiaries (as such term is defined in Rule 1-02 of Regulation S-X promulgated by the SEC). Schedule 3 is true, complete and accurate in all respects. Each Subsidiary is formed, organized and existing under the laws of the jurisdiction set out in Schedule 3, is current and up to date with all material filings required to be made and has all requisite corporate power and capacity to own, lease and operate its properties and assets and to conduct its Business as is now carried on by it, and is duly qualified to transact business and is in good standing in each jurisdiction in which such qualification is required in all material respects. All of the issued and outstanding shares in the capital of the Subsidiaries have been duly authorized and validly issued, are fully paid and are directly or indirectly beneficially owned by the Company. All of the issued and outstanding shares in the capital of the Subsidiaries owned by the Company are owned free and clear of any Liens, and none of the outstanding securities of the Subsidiaries were issued in violation of the pre-emptive or similar rights of any security holder of the Subsidiaries. There exist no options, warrants, purchase rights, or other contracts or commitments that could require the Company to sell, transfer or otherwise dispose of any securities of the Subsidiaries.</w:t>
      </w:r>
    </w:p>
    <w:p>
      <w:pPr>
        <w:spacing w:after="0" w:line="139"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4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The Company and each of its Material Subsidiaries are, and will be, duly organized, validly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existing as a corporation and in good standing (where such concept is recognized) under the laws of their respective jurisdictions of organization. The Company and each of the Material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or included or incorporated by reference in the Time of Sale Prospectus and the Prospectuses, except where the failure to be so qualified or in good standing or have such power or authority would not, individually or in the aggregate,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106045</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2" w:name="page13"/>
    <w:bookmarkEnd w:id="12"/>
    <w:p>
      <w:pPr>
        <w:ind w:left="4744"/>
        <w:spacing w:after="0"/>
        <w:rPr>
          <w:sz w:val="20"/>
          <w:szCs w:val="20"/>
          <w:color w:val="auto"/>
        </w:rPr>
      </w:pPr>
      <w:r>
        <w:rPr>
          <w:rFonts w:ascii="Times New Roman" w:cs="Times New Roman" w:eastAsia="Times New Roman" w:hAnsi="Times New Roman"/>
          <w:sz w:val="22"/>
          <w:szCs w:val="22"/>
          <w:color w:val="auto"/>
        </w:rPr>
        <w:t>- 10 -</w:t>
      </w:r>
    </w:p>
    <w:p>
      <w:pPr>
        <w:spacing w:after="0" w:line="162" w:lineRule="exact"/>
        <w:rPr>
          <w:sz w:val="20"/>
          <w:szCs w:val="20"/>
          <w:color w:val="auto"/>
        </w:rPr>
      </w:pPr>
    </w:p>
    <w:p>
      <w:pPr>
        <w:ind w:left="804" w:hanging="804"/>
        <w:spacing w:after="0" w:line="262" w:lineRule="auto"/>
        <w:tabs>
          <w:tab w:leader="none" w:pos="84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Fair Market Value of Subsidiaries. </w:t>
      </w:r>
      <w:r>
        <w:rPr>
          <w:rFonts w:ascii="Times New Roman" w:cs="Times New Roman" w:eastAsia="Times New Roman" w:hAnsi="Times New Roman"/>
          <w:sz w:val="22"/>
          <w:szCs w:val="22"/>
          <w:color w:val="auto"/>
        </w:rPr>
        <w:t>No Subsidiary, other than the Material Subsidiaries and Cybin UK Ltd, owns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assets that have an aggregate fair value of more than C$50,000 as of September 30, 2025.</w:t>
      </w:r>
    </w:p>
    <w:p>
      <w:pPr>
        <w:spacing w:after="0" w:line="122" w:lineRule="exact"/>
        <w:rPr>
          <w:rFonts w:ascii="Times New Roman" w:cs="Times New Roman" w:eastAsia="Times New Roman" w:hAnsi="Times New Roman"/>
          <w:sz w:val="22"/>
          <w:szCs w:val="22"/>
          <w:color w:val="auto"/>
        </w:rPr>
      </w:pPr>
    </w:p>
    <w:p>
      <w:pPr>
        <w:ind w:left="804" w:hanging="804"/>
        <w:spacing w:after="0" w:line="262" w:lineRule="auto"/>
        <w:tabs>
          <w:tab w:leader="none" w:pos="83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Investments. </w:t>
      </w:r>
      <w:r>
        <w:rPr>
          <w:rFonts w:ascii="Times New Roman" w:cs="Times New Roman" w:eastAsia="Times New Roman" w:hAnsi="Times New Roman"/>
          <w:sz w:val="22"/>
          <w:szCs w:val="22"/>
          <w:color w:val="auto"/>
        </w:rPr>
        <w:t>The Company has no direct or indirect subsidiary or any investment in any person, other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Subsidiaries or as disclosed in the Continuous Disclosure Materials.</w:t>
      </w:r>
    </w:p>
    <w:p>
      <w:pPr>
        <w:spacing w:after="0" w:line="109"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3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Licences. </w:t>
      </w:r>
      <w:r>
        <w:rPr>
          <w:rFonts w:ascii="Times New Roman" w:cs="Times New Roman" w:eastAsia="Times New Roman" w:hAnsi="Times New Roman"/>
          <w:sz w:val="22"/>
          <w:szCs w:val="22"/>
          <w:color w:val="auto"/>
        </w:rPr>
        <w:t>Each Cybin Entity (to the Company's knowledge in respect of Cybin UK Ltd) has conducted and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conducting its business in material compliance with all Applicable Laws of each jurisdiction in which it carries on business. Each Cybin Entity holds all material requisite licences, registrations, qualifications, permits and consents necessary or appropriate for carrying on its business as currently carried on (collectively, "</w:t>
      </w:r>
      <w:r>
        <w:rPr>
          <w:rFonts w:ascii="Times New Roman" w:cs="Times New Roman" w:eastAsia="Times New Roman" w:hAnsi="Times New Roman"/>
          <w:sz w:val="22"/>
          <w:szCs w:val="22"/>
          <w:b w:val="1"/>
          <w:bCs w:val="1"/>
          <w:color w:val="auto"/>
        </w:rPr>
        <w:t>Licences</w:t>
      </w:r>
      <w:r>
        <w:rPr>
          <w:rFonts w:ascii="Times New Roman" w:cs="Times New Roman" w:eastAsia="Times New Roman" w:hAnsi="Times New Roman"/>
          <w:sz w:val="22"/>
          <w:szCs w:val="22"/>
          <w:color w:val="auto"/>
        </w:rPr>
        <w:t>") and all such Licences are valid and subsisting and in good standing in all material respects. Without limiting the generality of the foregoing, to the knowledge of the Company, no Cybin Entity has received a written notice of non-compliance nor does it know of, nor have reasonable grounds to know of, any facts that could give rise to a notice of non-compliance with any Applicable Laws which would have a Material Adverse Effect. This Offering (including the proposed use of proceeds) will not have any adverse impact on the Licences or require a Cybin Entity, as applicable, to obtain any new licence or consent or approval thereunder.</w:t>
      </w:r>
    </w:p>
    <w:p>
      <w:pPr>
        <w:spacing w:after="0" w:line="138"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4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Governmental Notices. </w:t>
      </w:r>
      <w:r>
        <w:rPr>
          <w:rFonts w:ascii="Times New Roman" w:cs="Times New Roman" w:eastAsia="Times New Roman" w:hAnsi="Times New Roman"/>
          <w:sz w:val="22"/>
          <w:szCs w:val="22"/>
          <w:color w:val="auto"/>
        </w:rPr>
        <w:t>No legal or governmental proceedings or inquiries are pending to which a Cybin Entity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a party or to which the property thereof is subject that would result in the revocation or modification of any Licence that is necessary to conduct the Business now conducted by a Cybin Entity and, to the knowledge of the Company, no such legal or governmental proceedings or inquiries have been threatened against or are contemplated with respect to a Cybin Entity or with respect to the properties or assets thereof.</w:t>
      </w:r>
    </w:p>
    <w:p>
      <w:pPr>
        <w:spacing w:after="0" w:line="149"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3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Applicable Laws. </w:t>
      </w:r>
      <w:r>
        <w:rPr>
          <w:rFonts w:ascii="Times New Roman" w:cs="Times New Roman" w:eastAsia="Times New Roman" w:hAnsi="Times New Roman"/>
          <w:sz w:val="22"/>
          <w:szCs w:val="22"/>
          <w:color w:val="auto"/>
        </w:rPr>
        <w:t>The Company is not aware of any Applicable Law of any Governmental Authority having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lawful jurisdiction over a Cybin Entity presently in force or any publicly disseminated or announced pending or contemplated change to any Applicable Law of any Governmental Authority having lawful jurisdiction over a Cybin Entity presently in force, that the Company anticipates a Cybin Entity will be unable to comply with or which could reasonably be expected to materially adversely affect the Business of a Cybin Entity or the business environment or legal environment under which such entity operates.</w:t>
      </w:r>
    </w:p>
    <w:p>
      <w:pPr>
        <w:spacing w:after="0" w:line="134"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5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Absence of Proceedings. </w:t>
      </w:r>
      <w:r>
        <w:rPr>
          <w:rFonts w:ascii="Times New Roman" w:cs="Times New Roman" w:eastAsia="Times New Roman" w:hAnsi="Times New Roman"/>
          <w:sz w:val="22"/>
          <w:szCs w:val="22"/>
          <w:color w:val="auto"/>
        </w:rPr>
        <w:t>There are no material actions, suits, judgments, investigations, inquiries or proceedings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kind whatsoever outstanding or, to the best of the Company's knowledge, pending or threatened against or affecting any Cybin Entity or its directors, officers or employees, at law or in equity or before or by any commission, board, bureau or agency of any kind whatsoever and, to the best of the Company's knowledge, there is no basis therefor and no Cybin Entity is subject to any judgment, order, writ, injunction, decree, award, rule, policy or regulation of any Governmental Authority, which may have a Material Adverse Effect or that would materially adversely affect the ability of the Company to perform its obligations under this Agreement and the Offering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105410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3" w:name="page14"/>
    <w:bookmarkEnd w:id="13"/>
    <w:p>
      <w:pPr>
        <w:ind w:left="4744"/>
        <w:spacing w:after="0"/>
        <w:rPr>
          <w:sz w:val="20"/>
          <w:szCs w:val="20"/>
          <w:color w:val="auto"/>
        </w:rPr>
      </w:pPr>
      <w:r>
        <w:rPr>
          <w:rFonts w:ascii="Times New Roman" w:cs="Times New Roman" w:eastAsia="Times New Roman" w:hAnsi="Times New Roman"/>
          <w:sz w:val="22"/>
          <w:szCs w:val="22"/>
          <w:color w:val="auto"/>
        </w:rPr>
        <w:t>- 11 -</w:t>
      </w:r>
    </w:p>
    <w:p>
      <w:pPr>
        <w:spacing w:after="0" w:line="162" w:lineRule="exact"/>
        <w:rPr>
          <w:sz w:val="20"/>
          <w:szCs w:val="20"/>
          <w:color w:val="auto"/>
        </w:rPr>
      </w:pPr>
    </w:p>
    <w:p>
      <w:pPr>
        <w:jc w:val="both"/>
        <w:ind w:left="804" w:hanging="804"/>
        <w:spacing w:after="0" w:line="234" w:lineRule="auto"/>
        <w:tabs>
          <w:tab w:leader="none" w:pos="84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Material Adverse Effect</w:t>
      </w:r>
      <w:r>
        <w:rPr>
          <w:rFonts w:ascii="Times New Roman" w:cs="Times New Roman" w:eastAsia="Times New Roman" w:hAnsi="Times New Roman"/>
          <w:sz w:val="22"/>
          <w:szCs w:val="22"/>
          <w:color w:val="auto"/>
        </w:rPr>
        <w:t>. Except as has been or will be disclosed in or contemplated by the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 the Prospectus or the Time of Sale Prospectus (including any amendments or supplements thereto or document deemed incorporated by reference therein), there has not been (i) any Material Adverse Effect, (ii) any transaction which is material to the Company and the Subsidiaries (as defined below)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the Subsidiaries or (v) any dividend or distribution of any kind declared, paid or made on the capital stock of the Company or any Subsidiary, other than in each case above in the Ordinary Course or as otherwise disclosed in the Registration Statement or included or incorporated by reference in the Time of Sale Prospectus and the Prospectuses.</w:t>
      </w:r>
    </w:p>
    <w:p>
      <w:pPr>
        <w:spacing w:after="0" w:line="148"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4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Absence of Defaults and Conflicts. </w:t>
      </w:r>
      <w:r>
        <w:rPr>
          <w:rFonts w:ascii="Times New Roman" w:cs="Times New Roman" w:eastAsia="Times New Roman" w:hAnsi="Times New Roman"/>
          <w:sz w:val="22"/>
          <w:szCs w:val="22"/>
          <w:color w:val="auto"/>
        </w:rPr>
        <w:t>Neither the Company nor any Subsidiary is in violation of its constating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documents or, to the knowledge of the Company, in default in any material respect in the performance or observance of any material obligation, agreement, covenant or condition contained in any contract, indenture, trust deed, mortgage, loan agreement, note, lease, licence or other agreement or instrument to which it is a party or by which it or its property or assets may be bound. Each of the execution and delivery of this Agreement and the Offering Documents, the performance by the Company of its obligations hereunder or thereunder, the issue and sale of the Placement Shares hereunder and the consummation of the transactions contemplated in this Agreement, including the issuance and delivery of the Placement Shares, (i) do not and will not conflict with or result in a breach or violation of any of the terms or provisions of, or constitute a default under (whether after notice or lapse of time or both): (A) any Applicable Law, including, without limitation,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(Ontario) and Applicable Securities Laws; (B) the constating documents, by-laws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resolutions of the directors or shareholders of the Company or the Subsidiaries which are in effect at the date hereof; (C) any mortgage, note, indenture, contract, agreement, instrument, lease or other document to which the Company is a party or by which it is bound; or (D) any judgment, decree or order binding the Company or the property or assets of the Company.</w:t>
      </w:r>
    </w:p>
    <w:p>
      <w:pPr>
        <w:spacing w:after="0" w:line="136"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4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Misstatement or Omission in an Issuer Free Writing Prospectus or marketing materials</w:t>
      </w:r>
      <w:r>
        <w:rPr>
          <w:rFonts w:ascii="Times New Roman" w:cs="Times New Roman" w:eastAsia="Times New Roman" w:hAnsi="Times New Roman"/>
          <w:sz w:val="22"/>
          <w:szCs w:val="22"/>
          <w:color w:val="auto"/>
        </w:rPr>
        <w:t>. Each Issuer Free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Writing Prospectus, if any, and any marketing materials, as of its issue date and as of each Applicable Time, did not, does not and will not include any information that conflicted, conflicts or will conflict with the information contained in the Registration Statement or included or incorporated by reference in the Time of Sale Prospectus and the Prospectuses, including any incorporated document deemed to be a part thereof that has not been superseded or modified. The foregoing sentence does not apply to statements in or omissions from any Issuer Free Writing Prospectus or any marketing materials made in reliance upon, and in conformity with, written information furnished to the Company by or on behalf of the Agents specifically for inclusion therein as contemplated by Section 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102235</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4" w:name="page15"/>
    <w:bookmarkEnd w:id="14"/>
    <w:p>
      <w:pPr>
        <w:ind w:left="4744"/>
        <w:spacing w:after="0"/>
        <w:rPr>
          <w:sz w:val="20"/>
          <w:szCs w:val="20"/>
          <w:color w:val="auto"/>
        </w:rPr>
      </w:pPr>
      <w:r>
        <w:rPr>
          <w:rFonts w:ascii="Times New Roman" w:cs="Times New Roman" w:eastAsia="Times New Roman" w:hAnsi="Times New Roman"/>
          <w:sz w:val="22"/>
          <w:szCs w:val="22"/>
          <w:color w:val="auto"/>
        </w:rPr>
        <w:t>- 12 -</w:t>
      </w:r>
    </w:p>
    <w:p>
      <w:pPr>
        <w:spacing w:after="0" w:line="162" w:lineRule="exact"/>
        <w:rPr>
          <w:sz w:val="20"/>
          <w:szCs w:val="20"/>
          <w:color w:val="auto"/>
        </w:rPr>
      </w:pPr>
    </w:p>
    <w:p>
      <w:pPr>
        <w:jc w:val="both"/>
        <w:ind w:left="804" w:hanging="804"/>
        <w:spacing w:after="0" w:line="236" w:lineRule="auto"/>
        <w:tabs>
          <w:tab w:leader="none" w:pos="84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Conformity of Issuer Free Writing Prospectus</w:t>
      </w:r>
      <w:r>
        <w:rPr>
          <w:rFonts w:ascii="Times New Roman" w:cs="Times New Roman" w:eastAsia="Times New Roman" w:hAnsi="Times New Roman"/>
          <w:sz w:val="22"/>
          <w:szCs w:val="22"/>
          <w:color w:val="auto"/>
        </w:rPr>
        <w:t>. Each Issuer Free Writing Prospectus, if any, conformed or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conform in all material respects with the requirements of the U.S. Securities Act on the date of first use, and the Company has complied or will comply with any filing requirements applicable to such Issuer Free Writing Prospectus pursuant to the U.S. Securities Act. The Company has not made any offer relating to the Placement Shares that would constitute an Issuer Free Writing Prospectus without the prior written consent of the Agents. The Company has retained in accordance with the U.S. Securities Act all Issuer Free Writing Prospectuses, if any, that were not required to be filed pursuant to the U.S. Securities Act.</w:t>
      </w:r>
    </w:p>
    <w:p>
      <w:pPr>
        <w:spacing w:after="0" w:line="148"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Reports and Documents, etc</w:t>
      </w:r>
      <w:r>
        <w:rPr>
          <w:rFonts w:ascii="Times New Roman" w:cs="Times New Roman" w:eastAsia="Times New Roman" w:hAnsi="Times New Roman"/>
          <w:sz w:val="22"/>
          <w:szCs w:val="22"/>
          <w:color w:val="auto"/>
        </w:rPr>
        <w:t>. There are no reports or information of the Company or, to the knowledge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of any third party, that in accordance with the requirements of the Canadian Securities Laws or U.S. Securities Laws must be made publicly available in connection with the offering of the Placement Shares that have not been made publicly available as required by such laws. There are no documents of the Company or, to the knowledge of the Company, of any third party, required to be filed with the Securities Commissions or with the SEC in the United States in connection with the Time of Sale Prospectus, the Canadian Prospectus and the U.S. Prospectus that have not been filed as required pursuant to the Canadian Securities Laws or U.S. Securities Laws, as applicable. There are no agreements, contracts, arrangements or understandings (written or oral) or other documents of the Company or, to the knowledge of the Company, of any third party, required to be described in the Time of Sale Prospectus, the Canadian Prospectus and the U.S. Prospectus which have not been described or filed, as applicable, as required pursuant to the Canadian Securities Laws or U.S. Securities Laws, as applicable.</w:t>
      </w:r>
    </w:p>
    <w:p>
      <w:pPr>
        <w:spacing w:after="0" w:line="144"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Consents, Approvals etc. </w:t>
      </w:r>
      <w:r>
        <w:rPr>
          <w:rFonts w:ascii="Times New Roman" w:cs="Times New Roman" w:eastAsia="Times New Roman" w:hAnsi="Times New Roman"/>
          <w:sz w:val="22"/>
          <w:szCs w:val="22"/>
          <w:color w:val="auto"/>
        </w:rPr>
        <w:t>As at the date of this Agreement, no consent, approval, authorization, order,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registration or qualification of or with Governmental Authority or stock exchange is required for the execution, delivery and performance by the Company of this Agreement, the issuance and sale by the Company of the Placement Shares, except for (i) the qualification of the Placement Shares for distribution in the United States and in Canada; (ii) the approval of the Canadian Stock Exchange and authorization of, or notification to, the United States Stock Exchange; and (iii) such consents, approvals, authorizations, orders and registrations or qualifications as may be required under applicable United States federal and state securities laws in connection with the sale of the Placement Shares by the Agents.</w:t>
      </w:r>
    </w:p>
    <w:p>
      <w:pPr>
        <w:spacing w:after="0" w:line="137"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Preferential Rights</w:t>
      </w:r>
      <w:r>
        <w:rPr>
          <w:rFonts w:ascii="Times New Roman" w:cs="Times New Roman" w:eastAsia="Times New Roman" w:hAnsi="Times New Roman"/>
          <w:sz w:val="22"/>
          <w:szCs w:val="22"/>
          <w:color w:val="auto"/>
        </w:rPr>
        <w:t>. Except as set forth in the Registration Statement or included or incorporated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 in the Time of Sale Prospectus and the Prospectuses, (i) and except pursuant to options and warrants to purchase Shares pursuant to outstanding convertible securities of the Company, no person has the right, contractual or otherwise, to cause the Company to issue or sell to such person any Shares or other securities of the Company, (ii) the Company has not granted to any person any preemptive rights, resale rights, rights of first refusal, or any other rights (whether pursuant to a "poison pill" provision or otherwise) to purchase any Shares or other securities of the Company, (iii) no person has the right to act as an underwriter or as a financial advisor to the Company in connection with the offer and sale of the Placement Shares, and (iv) no person has the right, contractual or otherwise, to require the Company to register under the U.S. Securities Act or qualify for distribution under Canadian Securities Laws any Shares or other securities of the Company, or to include any such Shares or other securities in the Registration Statement or included or incorporated by reference in the Time of Sale Prospectus and the Prospectuses, whether as a result of the filing or effectiveness of the Registration Statement, the Time of Sale Prospectus, the Prospectuses (or documents incorporated by reference therein) or the sale of the Placement Shares as contemplated thereby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114935</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5" w:name="page16"/>
    <w:bookmarkEnd w:id="15"/>
    <w:p>
      <w:pPr>
        <w:ind w:left="4744"/>
        <w:spacing w:after="0"/>
        <w:rPr>
          <w:sz w:val="20"/>
          <w:szCs w:val="20"/>
          <w:color w:val="auto"/>
        </w:rPr>
      </w:pPr>
      <w:r>
        <w:rPr>
          <w:rFonts w:ascii="Times New Roman" w:cs="Times New Roman" w:eastAsia="Times New Roman" w:hAnsi="Times New Roman"/>
          <w:sz w:val="22"/>
          <w:szCs w:val="22"/>
          <w:color w:val="auto"/>
        </w:rPr>
        <w:t>- 13 -</w:t>
      </w:r>
    </w:p>
    <w:p>
      <w:pPr>
        <w:spacing w:after="0" w:line="162" w:lineRule="exact"/>
        <w:rPr>
          <w:sz w:val="20"/>
          <w:szCs w:val="20"/>
          <w:color w:val="auto"/>
        </w:rPr>
      </w:pPr>
    </w:p>
    <w:p>
      <w:pPr>
        <w:jc w:val="both"/>
        <w:ind w:left="804" w:hanging="804"/>
        <w:spacing w:after="0" w:line="236" w:lineRule="auto"/>
        <w:tabs>
          <w:tab w:leader="none" w:pos="84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Forms of Certificates</w:t>
      </w:r>
      <w:r>
        <w:rPr>
          <w:rFonts w:ascii="Times New Roman" w:cs="Times New Roman" w:eastAsia="Times New Roman" w:hAnsi="Times New Roman"/>
          <w:sz w:val="22"/>
          <w:szCs w:val="22"/>
          <w:color w:val="auto"/>
        </w:rPr>
        <w:t>. Upon the date the Placement Shares are issued, the forms of the certificates representing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Placement Shares, to the extent that physical certificates are issued for such securities, will have been duly approved and adopted by the Company and comply in all respects with the applicable requirements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the constating documents of the Company and applicable requirements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Exchanges, The Depository Trust Company and CDS or will have been otherwise approved by the Exchanges, if required. The Placement Shares will have been made eligible by The Depository Trust Company and CDS.</w:t>
      </w:r>
    </w:p>
    <w:p>
      <w:pPr>
        <w:spacing w:after="0" w:line="148"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4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Valid and Binding Documents</w:t>
      </w:r>
      <w:r>
        <w:rPr>
          <w:rFonts w:ascii="Times New Roman" w:cs="Times New Roman" w:eastAsia="Times New Roman" w:hAnsi="Times New Roman"/>
          <w:sz w:val="22"/>
          <w:szCs w:val="22"/>
          <w:color w:val="auto"/>
        </w:rPr>
        <w:t>. The Company has the power and capacity to enter into and perform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under this Agreement and the Offering Documents and to carry out the transactions contemplated in this Agreement and the Offering Documents. This Agreement is duly authorized, executed and delivered by the Company and when executed will be legal, valid and binding obligations of the Company and each shall be enforceable against the Company in accordance with its terms, except as enforcement thereof may be limited by bankruptcy, insolvency, reorganization, moratorium and other laws relating to or affecting the rights of creditors generally and except as limited by the application of equitable principles when equitable remedies are sought, and by the fact that rights to indemnity, contribution and waiver, and the ability to sever unenforceable terms, may be limited by Applicable Law.</w:t>
      </w:r>
    </w:p>
    <w:p>
      <w:pPr>
        <w:spacing w:after="0" w:line="133"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5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Third Party Agreements. </w:t>
      </w:r>
      <w:r>
        <w:rPr>
          <w:rFonts w:ascii="Times New Roman" w:cs="Times New Roman" w:eastAsia="Times New Roman" w:hAnsi="Times New Roman"/>
          <w:sz w:val="22"/>
          <w:szCs w:val="22"/>
          <w:color w:val="auto"/>
        </w:rPr>
        <w:t>All material agreements between the Company and third parties expressly referenced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the Registration Statement or included or incorporated by reference in the Base Prospectuses, the Prospectuses, and any Prospectus Supplements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Applicable Laws or public policy considerations in respect thereof, and except for any other potentially unenforceable term that, individually or in the aggregate, would not reasonably be expected to be material to the Company.</w:t>
      </w:r>
    </w:p>
    <w:p>
      <w:pPr>
        <w:spacing w:after="0" w:line="133"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4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Corporate Actions</w:t>
      </w:r>
      <w:r>
        <w:rPr>
          <w:rFonts w:ascii="Times New Roman" w:cs="Times New Roman" w:eastAsia="Times New Roman" w:hAnsi="Times New Roman"/>
          <w:sz w:val="22"/>
          <w:szCs w:val="22"/>
          <w:color w:val="auto"/>
        </w:rPr>
        <w:t>. The Company has taken, or will have taken, all necessary corporate action, to (i) authorize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execution, delivery, performance and filing, as applicable, of the this Agreement and the Offering Documents, and (ii) validly issue and sell the Placement Shares as fully paid and non-assessable Shares.</w:t>
      </w:r>
    </w:p>
    <w:p>
      <w:pPr>
        <w:spacing w:after="0" w:line="140" w:lineRule="exact"/>
        <w:rPr>
          <w:rFonts w:ascii="Times New Roman" w:cs="Times New Roman" w:eastAsia="Times New Roman" w:hAnsi="Times New Roman"/>
          <w:sz w:val="22"/>
          <w:szCs w:val="22"/>
          <w:color w:val="auto"/>
        </w:rPr>
      </w:pPr>
    </w:p>
    <w:p>
      <w:pPr>
        <w:ind w:left="804" w:right="20" w:hanging="804"/>
        <w:spacing w:after="0" w:line="262" w:lineRule="auto"/>
        <w:tabs>
          <w:tab w:leader="none" w:pos="85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Voting or Control. </w:t>
      </w:r>
      <w:r>
        <w:rPr>
          <w:rFonts w:ascii="Times New Roman" w:cs="Times New Roman" w:eastAsia="Times New Roman" w:hAnsi="Times New Roman"/>
          <w:sz w:val="22"/>
          <w:szCs w:val="22"/>
          <w:color w:val="auto"/>
        </w:rPr>
        <w:t>The Company is not party to any agreement, nor is the Company aware of any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in any manner affects the voting or control of any of the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86995</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6" w:name="page17"/>
    <w:bookmarkEnd w:id="16"/>
    <w:p>
      <w:pPr>
        <w:ind w:left="4744"/>
        <w:spacing w:after="0"/>
        <w:rPr>
          <w:sz w:val="20"/>
          <w:szCs w:val="20"/>
          <w:color w:val="auto"/>
        </w:rPr>
      </w:pPr>
      <w:r>
        <w:rPr>
          <w:rFonts w:ascii="Times New Roman" w:cs="Times New Roman" w:eastAsia="Times New Roman" w:hAnsi="Times New Roman"/>
          <w:sz w:val="22"/>
          <w:szCs w:val="22"/>
          <w:color w:val="auto"/>
        </w:rPr>
        <w:t>- 14 -</w:t>
      </w:r>
    </w:p>
    <w:p>
      <w:pPr>
        <w:spacing w:after="0" w:line="162" w:lineRule="exact"/>
        <w:rPr>
          <w:sz w:val="20"/>
          <w:szCs w:val="20"/>
          <w:color w:val="auto"/>
        </w:rPr>
      </w:pPr>
    </w:p>
    <w:p>
      <w:pPr>
        <w:jc w:val="both"/>
        <w:ind w:left="804" w:hanging="804"/>
        <w:spacing w:after="0" w:line="241" w:lineRule="auto"/>
        <w:tabs>
          <w:tab w:leader="none" w:pos="84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Restrictions to Compete. </w:t>
      </w:r>
      <w:r>
        <w:rPr>
          <w:rFonts w:ascii="Times New Roman" w:cs="Times New Roman" w:eastAsia="Times New Roman" w:hAnsi="Times New Roman"/>
          <w:sz w:val="22"/>
          <w:szCs w:val="22"/>
          <w:color w:val="auto"/>
        </w:rPr>
        <w:t>Other than the Licences, no Cybin Entity is affected by any commitment,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or document containing any covenant which expressly and materially limits the freedom of the Cybin Entity to compete in any line of business, transfer or move any of its respective assets or operations or which adversely materially affects the business practices, operations or condition of the Cybin Entity.</w:t>
      </w:r>
    </w:p>
    <w:p>
      <w:pPr>
        <w:spacing w:after="0" w:line="145" w:lineRule="exact"/>
        <w:rPr>
          <w:sz w:val="20"/>
          <w:szCs w:val="20"/>
          <w:color w:val="auto"/>
        </w:rPr>
      </w:pPr>
    </w:p>
    <w:p>
      <w:pPr>
        <w:jc w:val="both"/>
        <w:ind w:left="804" w:hanging="804"/>
        <w:spacing w:after="0" w:line="241" w:lineRule="auto"/>
        <w:tabs>
          <w:tab w:leader="none" w:pos="85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Applicable Registration or Other Similar Rights</w:t>
      </w:r>
      <w:r>
        <w:rPr>
          <w:rFonts w:ascii="Times New Roman" w:cs="Times New Roman" w:eastAsia="Times New Roman" w:hAnsi="Times New Roman"/>
          <w:sz w:val="22"/>
          <w:szCs w:val="22"/>
          <w:color w:val="auto"/>
        </w:rPr>
        <w:t>. There are no persons with registration or other similar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to have any equity or debt securities registered or qualified for sale under the Registration Statement or the Canadian Prospectus or included in the Offering contemplated by this Agreement who have not waived such rights in writing (including electronically) prior to the execution of this Agreement.</w:t>
      </w:r>
    </w:p>
    <w:p>
      <w:pPr>
        <w:spacing w:after="0" w:line="131" w:lineRule="exact"/>
        <w:rPr>
          <w:rFonts w:ascii="Times New Roman" w:cs="Times New Roman" w:eastAsia="Times New Roman" w:hAnsi="Times New Roman"/>
          <w:sz w:val="22"/>
          <w:szCs w:val="22"/>
          <w:color w:val="auto"/>
        </w:rPr>
      </w:pPr>
    </w:p>
    <w:p>
      <w:pPr>
        <w:jc w:val="both"/>
        <w:ind w:left="804" w:hanging="804"/>
        <w:spacing w:after="0" w:line="231" w:lineRule="auto"/>
        <w:tabs>
          <w:tab w:leader="none" w:pos="86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Share Capital of the Company</w:t>
      </w:r>
      <w:r>
        <w:rPr>
          <w:rFonts w:ascii="Times New Roman" w:cs="Times New Roman" w:eastAsia="Times New Roman" w:hAnsi="Times New Roman"/>
          <w:sz w:val="22"/>
          <w:szCs w:val="22"/>
          <w:color w:val="auto"/>
        </w:rPr>
        <w:t>. The authorized capital of the Company consists of an unlimited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Shares and preferred shares, of which, as at the date hereof, </w:t>
      </w:r>
      <w:r>
        <w:rPr>
          <w:rFonts w:ascii="Times New Roman" w:cs="Times New Roman" w:eastAsia="Times New Roman" w:hAnsi="Times New Roman"/>
          <w:sz w:val="22"/>
          <w:szCs w:val="22"/>
          <w:b w:val="1"/>
          <w:bCs w:val="1"/>
          <w:color w:val="auto"/>
        </w:rPr>
        <w:t>49,894,131</w:t>
      </w:r>
      <w:r>
        <w:rPr>
          <w:rFonts w:ascii="Times New Roman" w:cs="Times New Roman" w:eastAsia="Times New Roman" w:hAnsi="Times New Roman"/>
          <w:sz w:val="22"/>
          <w:szCs w:val="22"/>
          <w:color w:val="auto"/>
        </w:rPr>
        <w:t xml:space="preserve"> Shares are issued and outstanding as fully paid and non-assessable shares in the capital of the Company and no preferred shares are outstanding. Except as disclosed in the Offering Documents, no securities exchangeable or convertible into Shares or preferred shares are issued and outstanding as of the date hereof, other than (i) an aggregate of </w:t>
      </w:r>
      <w:r>
        <w:rPr>
          <w:rFonts w:ascii="Times New Roman" w:cs="Times New Roman" w:eastAsia="Times New Roman" w:hAnsi="Times New Roman"/>
          <w:sz w:val="22"/>
          <w:szCs w:val="22"/>
          <w:b w:val="1"/>
          <w:bCs w:val="1"/>
          <w:color w:val="auto"/>
        </w:rPr>
        <w:t>4,167,897</w:t>
      </w:r>
      <w:r>
        <w:rPr>
          <w:rFonts w:ascii="Times New Roman" w:cs="Times New Roman" w:eastAsia="Times New Roman" w:hAnsi="Times New Roman"/>
          <w:sz w:val="22"/>
          <w:szCs w:val="22"/>
          <w:color w:val="auto"/>
        </w:rPr>
        <w:t xml:space="preserve"> options to purchase </w:t>
      </w:r>
      <w:r>
        <w:rPr>
          <w:rFonts w:ascii="Times New Roman" w:cs="Times New Roman" w:eastAsia="Times New Roman" w:hAnsi="Times New Roman"/>
          <w:sz w:val="22"/>
          <w:szCs w:val="22"/>
          <w:b w:val="1"/>
          <w:bCs w:val="1"/>
          <w:color w:val="auto"/>
        </w:rPr>
        <w:t>4,167,897</w:t>
      </w:r>
      <w:r>
        <w:rPr>
          <w:rFonts w:ascii="Times New Roman" w:cs="Times New Roman" w:eastAsia="Times New Roman" w:hAnsi="Times New Roman"/>
          <w:sz w:val="22"/>
          <w:szCs w:val="22"/>
          <w:color w:val="auto"/>
        </w:rPr>
        <w:t xml:space="preserve"> Shares under the Company's equity incentive plan, (ii) an aggregate of </w:t>
      </w:r>
      <w:r>
        <w:rPr>
          <w:rFonts w:ascii="Times New Roman" w:cs="Times New Roman" w:eastAsia="Times New Roman" w:hAnsi="Times New Roman"/>
          <w:sz w:val="22"/>
          <w:szCs w:val="22"/>
          <w:b w:val="1"/>
          <w:bCs w:val="1"/>
          <w:color w:val="auto"/>
        </w:rPr>
        <w:t>4,164,440</w:t>
      </w:r>
      <w:r>
        <w:rPr>
          <w:rFonts w:ascii="Times New Roman" w:cs="Times New Roman" w:eastAsia="Times New Roman" w:hAnsi="Times New Roman"/>
          <w:sz w:val="22"/>
          <w:szCs w:val="22"/>
          <w:color w:val="auto"/>
        </w:rPr>
        <w:t xml:space="preserve"> restricted share units entitling the holders to receive up to </w:t>
      </w:r>
      <w:r>
        <w:rPr>
          <w:rFonts w:ascii="Times New Roman" w:cs="Times New Roman" w:eastAsia="Times New Roman" w:hAnsi="Times New Roman"/>
          <w:sz w:val="22"/>
          <w:szCs w:val="22"/>
          <w:b w:val="1"/>
          <w:bCs w:val="1"/>
          <w:color w:val="auto"/>
        </w:rPr>
        <w:t>4,164,440</w:t>
      </w:r>
      <w:r>
        <w:rPr>
          <w:rFonts w:ascii="Times New Roman" w:cs="Times New Roman" w:eastAsia="Times New Roman" w:hAnsi="Times New Roman"/>
          <w:sz w:val="22"/>
          <w:szCs w:val="22"/>
          <w:color w:val="auto"/>
        </w:rPr>
        <w:t xml:space="preserve"> Shares under the Company's equity incentive plan, (iii) an aggregate of </w:t>
      </w:r>
      <w:r>
        <w:rPr>
          <w:rFonts w:ascii="Times New Roman" w:cs="Times New Roman" w:eastAsia="Times New Roman" w:hAnsi="Times New Roman"/>
          <w:sz w:val="22"/>
          <w:szCs w:val="22"/>
          <w:b w:val="1"/>
          <w:bCs w:val="1"/>
          <w:color w:val="auto"/>
        </w:rPr>
        <w:t>12,205,334</w:t>
      </w:r>
      <w:r>
        <w:rPr>
          <w:rFonts w:ascii="Times New Roman" w:cs="Times New Roman" w:eastAsia="Times New Roman" w:hAnsi="Times New Roman"/>
          <w:sz w:val="22"/>
          <w:szCs w:val="22"/>
          <w:color w:val="auto"/>
        </w:rPr>
        <w:t xml:space="preserve"> warrants to purchase </w:t>
      </w:r>
      <w:r>
        <w:rPr>
          <w:rFonts w:ascii="Times New Roman" w:cs="Times New Roman" w:eastAsia="Times New Roman" w:hAnsi="Times New Roman"/>
          <w:sz w:val="22"/>
          <w:szCs w:val="22"/>
          <w:b w:val="1"/>
          <w:bCs w:val="1"/>
          <w:color w:val="auto"/>
        </w:rPr>
        <w:t>12,205,334</w:t>
      </w:r>
      <w:r>
        <w:rPr>
          <w:rFonts w:ascii="Times New Roman" w:cs="Times New Roman" w:eastAsia="Times New Roman" w:hAnsi="Times New Roman"/>
          <w:sz w:val="22"/>
          <w:szCs w:val="22"/>
          <w:color w:val="auto"/>
        </w:rPr>
        <w:t xml:space="preserve"> Shares, and (iv) an aggregate of </w:t>
      </w:r>
      <w:r>
        <w:rPr>
          <w:rFonts w:ascii="Times New Roman" w:cs="Times New Roman" w:eastAsia="Times New Roman" w:hAnsi="Times New Roman"/>
          <w:sz w:val="22"/>
          <w:szCs w:val="22"/>
          <w:b w:val="1"/>
          <w:bCs w:val="1"/>
          <w:color w:val="auto"/>
        </w:rPr>
        <w:t xml:space="preserve">4,605,500 </w:t>
      </w:r>
      <w:r>
        <w:rPr>
          <w:rFonts w:ascii="Times New Roman" w:cs="Times New Roman" w:eastAsia="Times New Roman" w:hAnsi="Times New Roman"/>
          <w:sz w:val="22"/>
          <w:szCs w:val="22"/>
          <w:color w:val="auto"/>
        </w:rPr>
        <w:t>pre-funded warrants to purchase</w:t>
      </w:r>
      <w:r>
        <w:rPr>
          <w:rFonts w:ascii="Times New Roman" w:cs="Times New Roman" w:eastAsia="Times New Roman" w:hAnsi="Times New Roman"/>
          <w:sz w:val="22"/>
          <w:szCs w:val="22"/>
          <w:b w:val="1"/>
          <w:bCs w:val="1"/>
          <w:color w:val="auto"/>
        </w:rPr>
        <w:t xml:space="preserve"> 4,605,500 </w:t>
      </w:r>
      <w:r>
        <w:rPr>
          <w:rFonts w:ascii="Times New Roman" w:cs="Times New Roman" w:eastAsia="Times New Roman" w:hAnsi="Times New Roman"/>
          <w:sz w:val="22"/>
          <w:szCs w:val="22"/>
          <w:color w:val="auto"/>
        </w:rPr>
        <w:t>Shares. The rights, privileges, restrictions, conditions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terms attaching to the Shares and preferred shares, respectively, conform in all material respects to the description thereof contained in the Offering Documents. The issued and outstanding Shares have been validly issued, are fully paid and non-assessable and, to the knowledge of the Company, are not subject to any preemptive rights, rights of first refusal or similar rights. The Company has an authorized, issued and outstanding capitalization as set forth in the Registration Statement or included or incorporated by reference in the Time of Sale Prospectus and the Prospectuses as of the dates referred to therein (other than the grant of additional options or restricted share units under the Company's existing equity incentive plans, or changes in the number of outstanding Shares of the Company due to the issuance of shares upon the exercise or conversion of securities exercisable for, or convertible into, Shares outstanding on the date hereof) and such authorized capital stock conforms in all material respects to the description thereof set forth in the Registration Statement or included or incorporated by reference in the Time of Sale Prospectus and the Prospectuses. The description of the securities of the Company in the Registration Statement or included or incorporated by reference in the Time of Sale Prospectus and the Prospectuses is complete and accurate in all material respects. Except as disclosed in or contemplated by the Registration Statement or included or incorporated by reference in the Time of Sale Prospectus and the Prospectuses, as of the date referred to therein, the Company does not have outstanding any options to purchase, or any rights or warrants to subscribe for, or any securities or obligations convertible into, or exchangeable for, or any contracts or commitments to issue or sell, any Shares or other securities. Except as disclosed in or contemplated by or included or incorporated by reference in the Prospectuses and the Time of Sale Prospectus, no person has any agreement or option or right or privilege (whether by law, pre-emptive or contractual) issued or capable of becoming an agreement for: (i) the purchase, subscription or issuance of any unissued shares, securities or warrants of the Company; or (ii) the repurchase by or on behalf of the Company of any issued and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119380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7" w:name="page18"/>
    <w:bookmarkEnd w:id="17"/>
    <w:p>
      <w:pPr>
        <w:ind w:left="4744"/>
        <w:spacing w:after="0"/>
        <w:rPr>
          <w:sz w:val="20"/>
          <w:szCs w:val="20"/>
          <w:color w:val="auto"/>
        </w:rPr>
      </w:pPr>
      <w:r>
        <w:rPr>
          <w:rFonts w:ascii="Times New Roman" w:cs="Times New Roman" w:eastAsia="Times New Roman" w:hAnsi="Times New Roman"/>
          <w:sz w:val="22"/>
          <w:szCs w:val="22"/>
          <w:color w:val="auto"/>
        </w:rPr>
        <w:t>- 15 -</w:t>
      </w:r>
    </w:p>
    <w:p>
      <w:pPr>
        <w:spacing w:after="0" w:line="162" w:lineRule="exact"/>
        <w:rPr>
          <w:sz w:val="20"/>
          <w:szCs w:val="20"/>
          <w:color w:val="auto"/>
        </w:rPr>
      </w:pPr>
    </w:p>
    <w:p>
      <w:pPr>
        <w:jc w:val="both"/>
        <w:ind w:left="804" w:hanging="804"/>
        <w:spacing w:after="0" w:line="248" w:lineRule="auto"/>
        <w:tabs>
          <w:tab w:leader="none" w:pos="85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Authorization of Placement Shares</w:t>
      </w:r>
      <w:r>
        <w:rPr>
          <w:rFonts w:ascii="Times New Roman" w:cs="Times New Roman" w:eastAsia="Times New Roman" w:hAnsi="Times New Roman"/>
          <w:sz w:val="21"/>
          <w:szCs w:val="21"/>
          <w:color w:val="auto"/>
        </w:rPr>
        <w:t>. The Placement Shares, when issued and delivered pursuant to the terms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Prospectuses.</w:t>
      </w:r>
    </w:p>
    <w:p>
      <w:pPr>
        <w:spacing w:after="0" w:line="143" w:lineRule="exact"/>
        <w:rPr>
          <w:rFonts w:ascii="Times New Roman" w:cs="Times New Roman" w:eastAsia="Times New Roman" w:hAnsi="Times New Roman"/>
          <w:sz w:val="21"/>
          <w:szCs w:val="21"/>
          <w:color w:val="auto"/>
        </w:rPr>
      </w:pPr>
    </w:p>
    <w:p>
      <w:pPr>
        <w:jc w:val="both"/>
        <w:ind w:left="804" w:hanging="804"/>
        <w:spacing w:after="0" w:line="246" w:lineRule="auto"/>
        <w:tabs>
          <w:tab w:leader="none" w:pos="87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Audit Committee</w:t>
      </w:r>
      <w:r>
        <w:rPr>
          <w:rFonts w:ascii="Times New Roman" w:cs="Times New Roman" w:eastAsia="Times New Roman" w:hAnsi="Times New Roman"/>
          <w:sz w:val="22"/>
          <w:szCs w:val="22"/>
          <w:color w:val="auto"/>
        </w:rPr>
        <w:t>. The audit committee of the Company is comprised and operates in accordance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requirements of National Instrument 52-110 - </w:t>
      </w:r>
      <w:r>
        <w:rPr>
          <w:rFonts w:ascii="Times New Roman" w:cs="Times New Roman" w:eastAsia="Times New Roman" w:hAnsi="Times New Roman"/>
          <w:sz w:val="22"/>
          <w:szCs w:val="22"/>
          <w:i w:val="1"/>
          <w:iCs w:val="1"/>
          <w:color w:val="auto"/>
        </w:rPr>
        <w:t>Audit Committees</w:t>
      </w:r>
      <w:r>
        <w:rPr>
          <w:rFonts w:ascii="Times New Roman" w:cs="Times New Roman" w:eastAsia="Times New Roman" w:hAnsi="Times New Roman"/>
          <w:sz w:val="22"/>
          <w:szCs w:val="22"/>
          <w:color w:val="auto"/>
        </w:rPr>
        <w:t>, and the United States Stock Exchange that are applicable to the Company and Rule 10A-3 under the Exchange Act.</w:t>
      </w:r>
    </w:p>
    <w:p>
      <w:pPr>
        <w:spacing w:after="0" w:line="126"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5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Share Capital of the Subsidiaries. </w:t>
      </w:r>
      <w:r>
        <w:rPr>
          <w:rFonts w:ascii="Times New Roman" w:cs="Times New Roman" w:eastAsia="Times New Roman" w:hAnsi="Times New Roman"/>
          <w:sz w:val="22"/>
          <w:szCs w:val="22"/>
          <w:color w:val="auto"/>
        </w:rPr>
        <w:t>The authorized capital and issued capital of each Subsidiary is set out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 3. Except as disclosed in the Offering Documents or the Continuous Disclosure Materials, there are no outstanding rights, warrants, options, convertible debt or any other securities or rights capable of being converted into, or exchanged or exercised for, any securities or any Subsidiary.</w:t>
      </w:r>
    </w:p>
    <w:p>
      <w:pPr>
        <w:spacing w:after="0" w:line="131" w:lineRule="exact"/>
        <w:rPr>
          <w:rFonts w:ascii="Times New Roman" w:cs="Times New Roman" w:eastAsia="Times New Roman" w:hAnsi="Times New Roman"/>
          <w:sz w:val="22"/>
          <w:szCs w:val="22"/>
          <w:color w:val="auto"/>
        </w:rPr>
      </w:pPr>
    </w:p>
    <w:p>
      <w:pPr>
        <w:jc w:val="both"/>
        <w:ind w:left="804" w:hanging="804"/>
        <w:spacing w:after="0" w:line="244" w:lineRule="auto"/>
        <w:tabs>
          <w:tab w:leader="none" w:pos="85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Exchange Registration</w:t>
      </w:r>
      <w:r>
        <w:rPr>
          <w:rFonts w:ascii="Times New Roman" w:cs="Times New Roman" w:eastAsia="Times New Roman" w:hAnsi="Times New Roman"/>
          <w:sz w:val="21"/>
          <w:szCs w:val="21"/>
          <w:color w:val="auto"/>
        </w:rPr>
        <w:t>. The Shares are registered pursuant to Section 12(b) of the Exchange Act and are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accepted for trading on the Exchanges under the symbol "CYBN" (which is expected to be modified to the symbol "HELP" upon the Company's listing on the Nasdaq Global Market) and the Company has taken no action designed to terminate the registration of the Shares under the Exchange Act or delisting the Shares from either of the Exchanges, nor, except as disclosed in the Registration Statement or included or incorporated by reference in the Time of Sale Prospectus and the Prospectuses, has the Company received any notification that the SEC, the Securities Commissions or either of the Exchanges is contemplating terminating such registration or listing. Except as disclosed in the Registration Statement or included or incorporated by reference in the Time of Sale Prospectus and the Prospectuses, the Company has complied in all material respects with the applicable requirements of the Exchanges for maintenance of inclusion of the Shares thereon. As at each Applicable Time, the Company will have obtained, all necessary consents, approvals, authorizations or orders of, or filing, notification or registration with, the Exchanges, the SEC and the Securities Commissions, where applicable, required for the listing and trading of the Placement Shares, subject only to satisfying their standard listing and maintenance requirements. The Company has no reason to believe that it will not in the foreseeable future continue to be in compliance with all such listing and maintenance requirements of each Exchange.</w:t>
      </w:r>
    </w:p>
    <w:p>
      <w:pPr>
        <w:spacing w:after="0" w:line="151" w:lineRule="exact"/>
        <w:rPr>
          <w:rFonts w:ascii="Times New Roman" w:cs="Times New Roman" w:eastAsia="Times New Roman" w:hAnsi="Times New Roman"/>
          <w:sz w:val="21"/>
          <w:szCs w:val="21"/>
          <w:color w:val="auto"/>
        </w:rPr>
      </w:pPr>
    </w:p>
    <w:p>
      <w:pPr>
        <w:jc w:val="both"/>
        <w:ind w:left="804" w:hanging="804"/>
        <w:spacing w:after="0" w:line="238" w:lineRule="auto"/>
        <w:tabs>
          <w:tab w:leader="none" w:pos="87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Purchases by the Agents</w:t>
      </w:r>
      <w:r>
        <w:rPr>
          <w:rFonts w:ascii="Times New Roman" w:cs="Times New Roman" w:eastAsia="Times New Roman" w:hAnsi="Times New Roman"/>
          <w:sz w:val="22"/>
          <w:szCs w:val="22"/>
          <w:color w:val="auto"/>
        </w:rPr>
        <w:t>. The Company acknowledges and agrees that the Agents have informed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the Agents may, but are not required to, to the extent permitted under Canadian Securities Laws and U.S. Securities Laws and this Agreement, purchase and sell Shares for the Agents' own respective accounts and for the accounts of their respective clients at the same time as sales of Placement Shares occur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104140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8" w:name="page19"/>
    <w:bookmarkEnd w:id="18"/>
    <w:p>
      <w:pPr>
        <w:ind w:left="4744"/>
        <w:spacing w:after="0"/>
        <w:rPr>
          <w:sz w:val="20"/>
          <w:szCs w:val="20"/>
          <w:color w:val="auto"/>
        </w:rPr>
      </w:pPr>
      <w:r>
        <w:rPr>
          <w:rFonts w:ascii="Times New Roman" w:cs="Times New Roman" w:eastAsia="Times New Roman" w:hAnsi="Times New Roman"/>
          <w:sz w:val="22"/>
          <w:szCs w:val="22"/>
          <w:color w:val="auto"/>
        </w:rPr>
        <w:t>- 16 -</w:t>
      </w:r>
    </w:p>
    <w:p>
      <w:pPr>
        <w:spacing w:after="0" w:line="162" w:lineRule="exact"/>
        <w:rPr>
          <w:sz w:val="20"/>
          <w:szCs w:val="20"/>
          <w:color w:val="auto"/>
        </w:rPr>
      </w:pPr>
    </w:p>
    <w:p>
      <w:pPr>
        <w:jc w:val="both"/>
        <w:ind w:left="804" w:hanging="804"/>
        <w:spacing w:after="0" w:line="236" w:lineRule="auto"/>
        <w:tabs>
          <w:tab w:leader="none" w:pos="86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Qualified Investments. </w:t>
      </w:r>
      <w:r>
        <w:rPr>
          <w:rFonts w:ascii="Times New Roman" w:cs="Times New Roman" w:eastAsia="Times New Roman" w:hAnsi="Times New Roman"/>
          <w:sz w:val="22"/>
          <w:szCs w:val="22"/>
          <w:color w:val="auto"/>
        </w:rPr>
        <w:t>Provided that the Shares continue to be listed and posted for trading on a "designated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exchange" as defined in the Tax Act (which currently includes the Exchanges), and subject to the qualifications and limitations described under the heading "Eligibility for Investment" in the Prospectus Supplement, the Placement Shares, if issued on the date hereof, will be qualified investments under the Tax Act for trusts governed by "registered retirement savings plans", "registered retirement income funds", "registered education savings plans", "deferred profit sharing plans", "registered disability savings plans", "tax-free savings accounts" and "first home savings accounts" (each, as defined in the Tax Act).</w:t>
      </w:r>
    </w:p>
    <w:p>
      <w:pPr>
        <w:spacing w:after="0" w:line="148"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5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Registrar and Transfer Agent</w:t>
      </w:r>
      <w:r>
        <w:rPr>
          <w:rFonts w:ascii="Times New Roman" w:cs="Times New Roman" w:eastAsia="Times New Roman" w:hAnsi="Times New Roman"/>
          <w:sz w:val="22"/>
          <w:szCs w:val="22"/>
          <w:color w:val="auto"/>
        </w:rPr>
        <w:t>. Odyssey Trust Company at its principal office in Calgary, Alberta has been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appointed as the registrar and transfer agent for the Shares and Odyssey Trust Company has been duly appointed as the United States registrar and transfer agent for the Shares.</w:t>
      </w:r>
    </w:p>
    <w:p>
      <w:pPr>
        <w:spacing w:after="0" w:line="126"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6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Title to Assets. </w:t>
      </w:r>
      <w:r>
        <w:rPr>
          <w:rFonts w:ascii="Times New Roman" w:cs="Times New Roman" w:eastAsia="Times New Roman" w:hAnsi="Times New Roman"/>
          <w:sz w:val="22"/>
          <w:szCs w:val="22"/>
          <w:color w:val="auto"/>
        </w:rPr>
        <w:t>Other than the Leased Premises, each Cybin Entity is the absolute legal and beneficial owner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of its material assets, and no other property or assets are necessary for the conduct of its Business as currently conducted. Any and all of the agreements and other documents and instruments pursuant to which each Cybin Entity (to the Company's knowledge in respect of Cybin UK Ltd) holds its assets (including any interest in, or right to earn an interest in, any Intellectual Property Rights) are valid and subsisting agreements, documents and instruments in full force and effect, enforceable in accordance with the terms thereof, and such properties and assets are in good standing in all material respects under the applicable statutes and regulations of the jurisdictions in which they are situated, and all material leases, licenses and other agreements pursuant to which the Cybin Entities derive the interests thereof in such property are in good standing in all material respects. The Company does not know of any claim or the basis for any claim that might or could materially and adversely affect the right of the Cybin Entities to use, transfer or otherwise exploit their respective assets, none of the properties (or any interest in, or right to earn an interest in, any property) of the Cybin Entity is subject to any right of first refusal or purchase or acquisition right, and, no Cybin Entity has a responsibility or obligation to pay any commission, royalty, licence fee or similar payment to any person with respect to the property and assets thereof.</w:t>
      </w:r>
    </w:p>
    <w:p>
      <w:pPr>
        <w:spacing w:after="0" w:line="136"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6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Absence of Counterparty Default. </w:t>
      </w:r>
      <w:r>
        <w:rPr>
          <w:rFonts w:ascii="Times New Roman" w:cs="Times New Roman" w:eastAsia="Times New Roman" w:hAnsi="Times New Roman"/>
          <w:sz w:val="22"/>
          <w:szCs w:val="22"/>
          <w:color w:val="auto"/>
        </w:rPr>
        <w:t>To the knowledge of the Company, no counterparty to any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 agreement, covenant or condition contained in any material contract, indenture, trust deed, mortgage, loan agreement, note, lease or other agreement or instrument to which any Cybin Entity is a party is in default in the performance or observance thereof.</w:t>
      </w:r>
    </w:p>
    <w:p>
      <w:pPr>
        <w:spacing w:after="0" w:line="144" w:lineRule="exact"/>
        <w:rPr>
          <w:rFonts w:ascii="Times New Roman" w:cs="Times New Roman" w:eastAsia="Times New Roman" w:hAnsi="Times New Roman"/>
          <w:sz w:val="22"/>
          <w:szCs w:val="22"/>
          <w:color w:val="auto"/>
        </w:rPr>
      </w:pPr>
    </w:p>
    <w:p>
      <w:pPr>
        <w:jc w:val="both"/>
        <w:ind w:left="644" w:hanging="644"/>
        <w:spacing w:after="0" w:line="232" w:lineRule="auto"/>
        <w:tabs>
          <w:tab w:leader="none" w:pos="6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Financial Information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consolidated financial statements of the Company filed with the SEC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Commissions as a part of the Prospectuses, the Time of Sale Prospectus and the Registration Statement, together with the related notes and schedules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present fairly, in all material respects, the financial position of the Company and the Subsidiaries on a consolidated basis and the statements of operations, retained earnings, cash flow from operations and changes in financial information of the Company on a consolidated basis for the periods specified in such Financial Statements and the consolidated statements of comprehensive income, shareholders' equity and cash flows of the Company for the periods specified. Such Financial Statements conform in all material respects with International Financial Reporting Standards as issued by the International Accounting Standards Board ("</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applied on a consistent basis during the periods involved and do not contain any misrepresentations with respect to the period covered by the Financial Statements. The other financial and statistical data with respect to the Company and the Subsidiaries contained or incorporated by reference in the Prospectuses, the Time of Sale Prospectus and the Registration Statement are accurately and fairly presented in all material respects and prepared on a basis consistent with the Financial Statements and books and records of the Company; there are no financial statements (historical or pro-forma) that are required to be included or incorporated by reference in the Prospectuses, the Time of Sale Prospectus and the Registration Statement that are not included or incorporated by reference as required; and no other Financial Statements are required to be set forth or to be incorporated by reference in the Registration Statement or included or incorporated by reference in the Prospectuses and the Time of Sale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111760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19" w:name="page20"/>
    <w:bookmarkEnd w:id="19"/>
    <w:p>
      <w:pPr>
        <w:ind w:left="4744"/>
        <w:spacing w:after="0"/>
        <w:rPr>
          <w:sz w:val="20"/>
          <w:szCs w:val="20"/>
          <w:color w:val="auto"/>
        </w:rPr>
      </w:pPr>
      <w:r>
        <w:rPr>
          <w:rFonts w:ascii="Times New Roman" w:cs="Times New Roman" w:eastAsia="Times New Roman" w:hAnsi="Times New Roman"/>
          <w:sz w:val="22"/>
          <w:szCs w:val="22"/>
          <w:color w:val="auto"/>
        </w:rPr>
        <w:t>- 17 -</w:t>
      </w:r>
    </w:p>
    <w:p>
      <w:pPr>
        <w:spacing w:after="0" w:line="162" w:lineRule="exact"/>
        <w:rPr>
          <w:sz w:val="20"/>
          <w:szCs w:val="20"/>
          <w:color w:val="auto"/>
        </w:rPr>
      </w:pPr>
    </w:p>
    <w:p>
      <w:pPr>
        <w:jc w:val="both"/>
        <w:ind w:left="804" w:hanging="804"/>
        <w:spacing w:after="0" w:line="233" w:lineRule="auto"/>
        <w:tabs>
          <w:tab w:leader="none" w:pos="87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Accounting Controls</w:t>
      </w:r>
      <w:r>
        <w:rPr>
          <w:rFonts w:ascii="Times New Roman" w:cs="Times New Roman" w:eastAsia="Times New Roman" w:hAnsi="Times New Roman"/>
          <w:sz w:val="22"/>
          <w:szCs w:val="22"/>
          <w:color w:val="auto"/>
        </w:rPr>
        <w:t>. Each Cybin Entity maintains a system of internal accounting controls sufficient to provide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 (iv) the recorded accountability for assets is compared with the existing assets at reasonable intervals and appropriate action is taken with respect to any differences. The Company and each of the Subsidiaries maintains a system of internal control over financial reporting (as such term is defined in Rule 13a-15(f) under the Exchange Act) that complies in all material respects with the applicable requirements of the Exchange Act. The Company maintains disclosure controls and procedures (as such term is defined in Rule 13a-15(e) under the Exchange Act) that comply in all material respects with the applicable requirements of the Exchange Act and such disclosure controls and procedures were effective as of March 31, 2025.</w:t>
      </w:r>
    </w:p>
    <w:p>
      <w:pPr>
        <w:spacing w:after="0" w:line="157"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6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Auditors. </w:t>
      </w:r>
      <w:r>
        <w:rPr>
          <w:rFonts w:ascii="Times New Roman" w:cs="Times New Roman" w:eastAsia="Times New Roman" w:hAnsi="Times New Roman"/>
          <w:sz w:val="22"/>
          <w:szCs w:val="22"/>
          <w:color w:val="auto"/>
        </w:rPr>
        <w:t>The Company's Auditors are independent public, certified public or chartered accountants as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U.S. Securities Act, the Exchange Act and applicable Canadian Securities Laws. There has not been any "reportable event" (as that term is defined in NI 51-102) with the Company's Auditors, except as disclosed in the Continuous Disclosure Materials. To the Company's knowledge, the Company's Auditors are not in violation of the auditor independence requirements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104140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0" w:name="page21"/>
    <w:bookmarkEnd w:id="20"/>
    <w:p>
      <w:pPr>
        <w:ind w:left="4744"/>
        <w:spacing w:after="0"/>
        <w:rPr>
          <w:sz w:val="20"/>
          <w:szCs w:val="20"/>
          <w:color w:val="auto"/>
        </w:rPr>
      </w:pPr>
      <w:r>
        <w:rPr>
          <w:rFonts w:ascii="Times New Roman" w:cs="Times New Roman" w:eastAsia="Times New Roman" w:hAnsi="Times New Roman"/>
          <w:sz w:val="22"/>
          <w:szCs w:val="22"/>
          <w:color w:val="auto"/>
        </w:rPr>
        <w:t>- 18 -</w:t>
      </w:r>
    </w:p>
    <w:p>
      <w:pPr>
        <w:spacing w:after="0" w:line="162" w:lineRule="exact"/>
        <w:rPr>
          <w:sz w:val="20"/>
          <w:szCs w:val="20"/>
          <w:color w:val="auto"/>
        </w:rPr>
      </w:pPr>
    </w:p>
    <w:p>
      <w:pPr>
        <w:jc w:val="both"/>
        <w:ind w:left="804" w:right="20" w:hanging="804"/>
        <w:spacing w:after="0" w:line="246" w:lineRule="auto"/>
        <w:tabs>
          <w:tab w:leader="none" w:pos="87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Off-Balance Sheet Arrangements and Liabilities. </w:t>
      </w:r>
      <w:r>
        <w:rPr>
          <w:rFonts w:ascii="Times New Roman" w:cs="Times New Roman" w:eastAsia="Times New Roman" w:hAnsi="Times New Roman"/>
          <w:sz w:val="22"/>
          <w:szCs w:val="22"/>
          <w:color w:val="auto"/>
        </w:rPr>
        <w:t>There are no material off balance sheet transactions,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arrangements, obligations or liabilities of the Company or its Subsidiaries whether direct, indirect, absolute, contingent or otherwise.</w:t>
      </w:r>
    </w:p>
    <w:p>
      <w:pPr>
        <w:spacing w:after="0" w:line="140" w:lineRule="exact"/>
        <w:rPr>
          <w:rFonts w:ascii="Times New Roman" w:cs="Times New Roman" w:eastAsia="Times New Roman" w:hAnsi="Times New Roman"/>
          <w:sz w:val="22"/>
          <w:szCs w:val="22"/>
          <w:color w:val="auto"/>
        </w:rPr>
      </w:pPr>
    </w:p>
    <w:p>
      <w:pPr>
        <w:ind w:left="804" w:right="20" w:hanging="804"/>
        <w:spacing w:after="0" w:line="262" w:lineRule="auto"/>
        <w:tabs>
          <w:tab w:leader="none" w:pos="87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Related Party Transactions</w:t>
      </w:r>
      <w:r>
        <w:rPr>
          <w:rFonts w:ascii="Times New Roman" w:cs="Times New Roman" w:eastAsia="Times New Roman" w:hAnsi="Times New Roman"/>
          <w:sz w:val="22"/>
          <w:szCs w:val="22"/>
          <w:color w:val="auto"/>
        </w:rPr>
        <w:t>. Except as disclosed in the Registration Statement or included or incorporated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 in the Time of Sale Prospectus and the Prospectuses:</w:t>
      </w:r>
    </w:p>
    <w:p>
      <w:pPr>
        <w:spacing w:after="0" w:line="113" w:lineRule="exact"/>
        <w:rPr>
          <w:rFonts w:ascii="Times New Roman" w:cs="Times New Roman" w:eastAsia="Times New Roman" w:hAnsi="Times New Roman"/>
          <w:sz w:val="22"/>
          <w:szCs w:val="22"/>
          <w:color w:val="auto"/>
        </w:rPr>
      </w:pPr>
    </w:p>
    <w:p>
      <w:pPr>
        <w:jc w:val="both"/>
        <w:ind w:left="1304" w:hanging="494"/>
        <w:spacing w:after="0" w:line="238" w:lineRule="auto"/>
        <w:tabs>
          <w:tab w:leader="none" w:pos="133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owes any monies to or has any present loans to, or borrowed any monies from or is otherwise indebted to, any officer, director, employee, shareholder or any person not dealing at "arm's length" (as such term is defined in the Tax Act) with any of them except for usual employee reimbursements and compensation paid in the ordinary and normal course of its business, except where any such arrangement would not have a Material Adverse Effect;</w:t>
      </w:r>
    </w:p>
    <w:p>
      <w:pPr>
        <w:spacing w:after="0" w:line="136" w:lineRule="exact"/>
        <w:rPr>
          <w:rFonts w:ascii="Times New Roman" w:cs="Times New Roman" w:eastAsia="Times New Roman" w:hAnsi="Times New Roman"/>
          <w:sz w:val="22"/>
          <w:szCs w:val="22"/>
          <w:color w:val="auto"/>
        </w:rPr>
      </w:pPr>
    </w:p>
    <w:p>
      <w:pPr>
        <w:jc w:val="both"/>
        <w:ind w:left="1304" w:hanging="494"/>
        <w:spacing w:after="0" w:line="236" w:lineRule="auto"/>
        <w:tabs>
          <w:tab w:leader="none" w:pos="134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Registration Statement or included or incorporated by reference in the Time of Sale Prospectus and the Prospectuses, and usual employee or consulting arrangements made in the ordinary and normal course of business, neither the Company nor any Subsidiary is a party to any contract, agreement or understanding with any officer, director, employee, shareholder or any other person not dealing at arm's length with it, except where such arrangement would not have a Material Adverse Effect; and</w:t>
      </w:r>
    </w:p>
    <w:p>
      <w:pPr>
        <w:spacing w:after="0" w:line="154" w:lineRule="exact"/>
        <w:rPr>
          <w:rFonts w:ascii="Times New Roman" w:cs="Times New Roman" w:eastAsia="Times New Roman" w:hAnsi="Times New Roman"/>
          <w:sz w:val="22"/>
          <w:szCs w:val="22"/>
          <w:color w:val="auto"/>
        </w:rPr>
      </w:pPr>
    </w:p>
    <w:p>
      <w:pPr>
        <w:jc w:val="both"/>
        <w:ind w:left="1304" w:hanging="494"/>
        <w:spacing w:after="0" w:line="238" w:lineRule="auto"/>
        <w:tabs>
          <w:tab w:leader="none" w:pos="135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directors, officers or employees of the Company, any known holder of more than ten percent (10%) of any class of shares of the Company, or any known associate or affiliate of any of the foregoing persons has had any material interest, direct or indirect, in any material transaction with the Company or any Subsidiary, or any proposed material transaction which, as the case may be, materially affected, is material to or will materially affect the Company, any Subsidiary or their respective businesses.</w:t>
      </w:r>
    </w:p>
    <w:p>
      <w:pPr>
        <w:spacing w:after="0" w:line="132" w:lineRule="exact"/>
        <w:rPr>
          <w:rFonts w:ascii="Times New Roman" w:cs="Times New Roman" w:eastAsia="Times New Roman" w:hAnsi="Times New Roman"/>
          <w:sz w:val="22"/>
          <w:szCs w:val="22"/>
          <w:color w:val="auto"/>
        </w:rPr>
      </w:pPr>
    </w:p>
    <w:p>
      <w:pPr>
        <w:jc w:val="both"/>
        <w:ind w:left="804" w:hanging="804"/>
        <w:spacing w:after="0" w:line="243" w:lineRule="auto"/>
        <w:tabs>
          <w:tab w:leader="none" w:pos="861"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Taxes. </w:t>
      </w:r>
      <w:r>
        <w:rPr>
          <w:rFonts w:ascii="Times New Roman" w:cs="Times New Roman" w:eastAsia="Times New Roman" w:hAnsi="Times New Roman"/>
          <w:sz w:val="21"/>
          <w:szCs w:val="21"/>
          <w:color w:val="auto"/>
        </w:rPr>
        <w:t>All taxes (including income tax, capital tax, payroll taxes, employer health tax, workers' compensation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payments, property taxes, custom and land transfer taxes), duties, royalties, levies, imposts, assessments, deductions, charges or withholdings and all liabilities with respect thereto including any penalty and interest payable with respect thereto (collectively, the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due and payable by the Company and the Subsidiaries have been paid, except where the failure to pay Taxes would not have a Material Adverse Effect. The Company and each of the Subsidiaries have filed all federal, state, provincial, local and foreign Tax returns, declarations, remittances and filings which are required to be filed, and all such Tax returns, declarations, remittances and filings are correct and complete in all material respects and no material fact or facts have been omitted therefrom which would make any of them misleading,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included or incorporated by reference in the Time of Sale Prospectus and the Prospectuses, (i) no examination of any Tax return of the Company or any Subsidiary is currently in progress,</w:t>
      </w:r>
    </w:p>
    <w:p>
      <w:pPr>
        <w:spacing w:after="0" w:line="8" w:lineRule="exact"/>
        <w:rPr>
          <w:rFonts w:ascii="Times New Roman" w:cs="Times New Roman" w:eastAsia="Times New Roman" w:hAnsi="Times New Roman"/>
          <w:sz w:val="21"/>
          <w:szCs w:val="21"/>
          <w:color w:val="auto"/>
        </w:rPr>
      </w:pPr>
    </w:p>
    <w:p>
      <w:pPr>
        <w:jc w:val="both"/>
        <w:ind w:left="804" w:firstLine="6"/>
        <w:spacing w:after="0" w:line="232" w:lineRule="auto"/>
        <w:tabs>
          <w:tab w:leader="none" w:pos="114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issues, disputes outstanding with any Governmental Authority respecting any Taxes that have been paid, or may be payable, by the Company or any Subsidiary in any case, except where such examinations, issues or disputes would not have a Material Adverse Effect, and (iii) no Tax deficiency has been determined adversely to the Company or any of the Subsidiaries which would have, individually or in the aggregate, a Material Adverse Effect. The Company has no knowledge of any federal, state, provincial or other governmental tax deficiency, penalty or assessment which has been asserted or threatened in writing against it which would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104775</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1" w:name="page22"/>
    <w:bookmarkEnd w:id="21"/>
    <w:p>
      <w:pPr>
        <w:ind w:left="4744"/>
        <w:spacing w:after="0"/>
        <w:rPr>
          <w:sz w:val="20"/>
          <w:szCs w:val="20"/>
          <w:color w:val="auto"/>
        </w:rPr>
      </w:pPr>
      <w:r>
        <w:rPr>
          <w:rFonts w:ascii="Times New Roman" w:cs="Times New Roman" w:eastAsia="Times New Roman" w:hAnsi="Times New Roman"/>
          <w:sz w:val="22"/>
          <w:szCs w:val="22"/>
          <w:color w:val="auto"/>
        </w:rPr>
        <w:t>- 19 -</w:t>
      </w:r>
    </w:p>
    <w:p>
      <w:pPr>
        <w:spacing w:after="0" w:line="162" w:lineRule="exact"/>
        <w:rPr>
          <w:sz w:val="20"/>
          <w:szCs w:val="20"/>
          <w:color w:val="auto"/>
        </w:rPr>
      </w:pPr>
    </w:p>
    <w:p>
      <w:pPr>
        <w:jc w:val="both"/>
        <w:ind w:left="804" w:hanging="804"/>
        <w:spacing w:after="0" w:line="238" w:lineRule="auto"/>
        <w:tabs>
          <w:tab w:leader="none" w:pos="85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Company Act</w:t>
      </w:r>
      <w:r>
        <w:rPr>
          <w:rFonts w:ascii="Times New Roman" w:cs="Times New Roman" w:eastAsia="Times New Roman" w:hAnsi="Times New Roman"/>
          <w:sz w:val="22"/>
          <w:szCs w:val="22"/>
          <w:color w:val="auto"/>
        </w:rPr>
        <w:t>. Neither the Company nor any of the Subsidiaries is or, after giving effect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offering and sale of the Placement Shares and the application of the proceeds thereof as described in the Registration Statement or included or incorporated by reference in the Time of Sale Prospectus and the Prospectuses, will be required to register as an "investment company" or an entity "controlled" by an "investment company," as such terms are defined in the Investment Company Act of 1940, as amended.</w:t>
      </w:r>
    </w:p>
    <w:p>
      <w:pPr>
        <w:spacing w:after="0" w:line="149"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5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FINRA Matters</w:t>
      </w:r>
      <w:r>
        <w:rPr>
          <w:rFonts w:ascii="Times New Roman" w:cs="Times New Roman" w:eastAsia="Times New Roman" w:hAnsi="Times New Roman"/>
          <w:sz w:val="22"/>
          <w:szCs w:val="22"/>
          <w:color w:val="auto"/>
        </w:rPr>
        <w:t>. All of the information provided to the Agents or to counsel for the Agents by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to the knowledge of the Company, its officers and directors and the holders of any securities (debt or equity) or options to acquire any securities of the Company in connection with letters, filings or other supplemental information provided to FINRA pursuant to FINRA Conduct Rule 5110, 5121 or 5190 is true, complete and correct in all material aspects.</w:t>
      </w:r>
    </w:p>
    <w:p>
      <w:pPr>
        <w:spacing w:after="0" w:line="136"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Company is not a "Controlled Foreign Corporation"</w:t>
      </w:r>
      <w:r>
        <w:rPr>
          <w:rFonts w:ascii="Times New Roman" w:cs="Times New Roman" w:eastAsia="Times New Roman" w:hAnsi="Times New Roman"/>
          <w:sz w:val="22"/>
          <w:szCs w:val="22"/>
          <w:color w:val="auto"/>
        </w:rPr>
        <w:t>. To the Company's knowledge, based solely upon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record ownership of shares, and without regard to the beneficial ownership of shares held in street name, the option to acquire shares granted hereunder to the Agents, and any indirect or constructive ownership by U.S. persons pursuant Section 958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not actually disclosed to the Company, the Company is not a "controlled foreign corporation," as such term is defined in the Code, and does not expect to become a controlled foreign corporation in the foreseeable future.</w:t>
      </w:r>
    </w:p>
    <w:p>
      <w:pPr>
        <w:spacing w:after="0" w:line="134"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6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Passive Investment Company</w:t>
      </w:r>
      <w:r>
        <w:rPr>
          <w:rFonts w:ascii="Times New Roman" w:cs="Times New Roman" w:eastAsia="Times New Roman" w:hAnsi="Times New Roman"/>
          <w:sz w:val="22"/>
          <w:szCs w:val="22"/>
          <w:color w:val="auto"/>
        </w:rPr>
        <w:t>. Based on the Company's current estimates and characterization of its gross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and its gross assets, and the nature of its business and its current business plan, the Company expects to be a "passive foreign investment company" (as defined in Section 1297 of the Code, and the regulations promulgated thereunder) for its current tax year and may be a passive foreign investment company in future tax years. For each tax year that the Company qualifies as a PFIC, the Company: (a) intends to make available to U.S. shareholders who acquire their Shares in the Offering, upon their written request, a PFIC Annual Information Statement as described in Treasury Regulation Section 1.1295-1(g) (or any successor Treasury Regulation) and (b) upon written request, use commercially reasonable efforts to provide such additional information that such U.S. shareholder is reasonably required to obtain in connection with maintaining a "qualified electing fund" election (within the meaning of Section 1295 of the Code) with regard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112395</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2" w:name="page23"/>
    <w:bookmarkEnd w:id="22"/>
    <w:p>
      <w:pPr>
        <w:ind w:left="4744"/>
        <w:spacing w:after="0"/>
        <w:rPr>
          <w:sz w:val="20"/>
          <w:szCs w:val="20"/>
          <w:color w:val="auto"/>
        </w:rPr>
      </w:pPr>
      <w:r>
        <w:rPr>
          <w:rFonts w:ascii="Times New Roman" w:cs="Times New Roman" w:eastAsia="Times New Roman" w:hAnsi="Times New Roman"/>
          <w:sz w:val="22"/>
          <w:szCs w:val="22"/>
          <w:color w:val="auto"/>
        </w:rPr>
        <w:t>- 20 -</w:t>
      </w:r>
    </w:p>
    <w:p>
      <w:pPr>
        <w:spacing w:after="0" w:line="162" w:lineRule="exact"/>
        <w:rPr>
          <w:sz w:val="20"/>
          <w:szCs w:val="20"/>
          <w:color w:val="auto"/>
        </w:rPr>
      </w:pPr>
    </w:p>
    <w:p>
      <w:pPr>
        <w:ind w:left="864" w:hanging="864"/>
        <w:spacing w:after="0"/>
        <w:tabs>
          <w:tab w:leader="none" w:pos="86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p>
    <w:p>
      <w:pPr>
        <w:spacing w:after="0" w:line="183" w:lineRule="exact"/>
        <w:rPr>
          <w:rFonts w:ascii="Times New Roman" w:cs="Times New Roman" w:eastAsia="Times New Roman" w:hAnsi="Times New Roman"/>
          <w:sz w:val="22"/>
          <w:szCs w:val="22"/>
          <w:color w:val="auto"/>
        </w:rPr>
      </w:pPr>
    </w:p>
    <w:p>
      <w:pPr>
        <w:jc w:val="both"/>
        <w:ind w:left="1464" w:hanging="654"/>
        <w:spacing w:after="0" w:line="234" w:lineRule="auto"/>
        <w:tabs>
          <w:tab w:leader="none" w:pos="149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(to the Company's knowledge in respect of Cybin UK Ltd) owns or possesses the right to use all Intellectual Property Rights necessary for the conduct of the Business, and the Company is not aware of any bona fide claim to the contrary or any challenge by any other person to the rights of the Company and the Subsidiaries with respect to the foregoing. To the knowledge of the Company, the Business of the Company and that of the Subsidiaries, as now conducted does not infringe the Intellectual Property Rights of any person. To the knowledge of the Company, the Business of the Company and that of the Subsidiaries, as currently proposed to be conducted within a two year period from the effective date of this Agreement will not infringe the Intellectual Property Rights of any person. No bona fide claim has been made against the Company or the Subsidiaries alleging the infringement by the Company or the Subsidiaries of any Intellectual Property Rights of any person;</w:t>
      </w:r>
    </w:p>
    <w:p>
      <w:pPr>
        <w:spacing w:after="0" w:line="138" w:lineRule="exact"/>
        <w:rPr>
          <w:rFonts w:ascii="Times New Roman" w:cs="Times New Roman" w:eastAsia="Times New Roman" w:hAnsi="Times New Roman"/>
          <w:sz w:val="22"/>
          <w:szCs w:val="22"/>
          <w:color w:val="auto"/>
        </w:rPr>
      </w:pPr>
    </w:p>
    <w:p>
      <w:pPr>
        <w:jc w:val="both"/>
        <w:ind w:left="1464" w:hanging="654"/>
        <w:spacing w:after="0" w:line="238" w:lineRule="auto"/>
        <w:tabs>
          <w:tab w:leader="none" w:pos="151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Cybin Entity has received any written notice nor is the Company aware of any infringement of or conflict with asserted rights of others with respect to any Intellectual Property Rights or of any facts or circumstances that would render any Intellectual Property Rights invalid or unregistrable and which infringement, conflict (if subject to an unfavourable decision, ruling or finding), invalidity or unregisterability would have a Material Adverse Effect;</w:t>
      </w:r>
    </w:p>
    <w:p>
      <w:pPr>
        <w:spacing w:after="0" w:line="136" w:lineRule="exact"/>
        <w:rPr>
          <w:rFonts w:ascii="Times New Roman" w:cs="Times New Roman" w:eastAsia="Times New Roman" w:hAnsi="Times New Roman"/>
          <w:sz w:val="22"/>
          <w:szCs w:val="22"/>
          <w:color w:val="auto"/>
        </w:rPr>
      </w:pPr>
    </w:p>
    <w:p>
      <w:pPr>
        <w:jc w:val="both"/>
        <w:ind w:left="1464" w:hanging="654"/>
        <w:spacing w:after="0" w:line="244" w:lineRule="auto"/>
        <w:tabs>
          <w:tab w:leader="none" w:pos="151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Cybin Entity has received any written notice with respect to any Intellectual Property Rights asserting that such Intellectual Property Rights are inadequate to protect the interests of each Cybin Entity therein;</w:t>
      </w:r>
    </w:p>
    <w:p>
      <w:pPr>
        <w:spacing w:after="0" w:line="146" w:lineRule="exact"/>
        <w:rPr>
          <w:rFonts w:ascii="Times New Roman" w:cs="Times New Roman" w:eastAsia="Times New Roman" w:hAnsi="Times New Roman"/>
          <w:sz w:val="22"/>
          <w:szCs w:val="22"/>
          <w:color w:val="auto"/>
        </w:rPr>
      </w:pPr>
    </w:p>
    <w:p>
      <w:pPr>
        <w:jc w:val="both"/>
        <w:ind w:left="1464" w:hanging="654"/>
        <w:spacing w:after="0" w:line="239" w:lineRule="auto"/>
        <w:tabs>
          <w:tab w:leader="none" w:pos="151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(to the Company's knowledge in respect of Cybin UK Ltd) has taken or proposes to take commercially reasonable steps to protect its Intellectual Property Rights in those jurisdictions where, in the reasonable opinion of the Company, each carries on a sufficient business to justify such filings;</w:t>
      </w:r>
    </w:p>
    <w:p>
      <w:pPr>
        <w:spacing w:after="0" w:line="139" w:lineRule="exact"/>
        <w:rPr>
          <w:rFonts w:ascii="Times New Roman" w:cs="Times New Roman" w:eastAsia="Times New Roman" w:hAnsi="Times New Roman"/>
          <w:sz w:val="22"/>
          <w:szCs w:val="22"/>
          <w:color w:val="auto"/>
        </w:rPr>
      </w:pPr>
    </w:p>
    <w:p>
      <w:pPr>
        <w:jc w:val="both"/>
        <w:ind w:left="1464" w:hanging="654"/>
        <w:spacing w:after="0" w:line="239" w:lineRule="auto"/>
        <w:tabs>
          <w:tab w:leader="none" w:pos="1505"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restrictions on the ability of any Cybin Entity to use its Intellectual Property Rights in the Ordinary Course of its Business. None of the rights of each Cybin Entity in its Intellectual Property Rights will be impaired or affected in any way by the transactions contemplated by this Agreement and by the Offering Documents;</w:t>
      </w:r>
    </w:p>
    <w:p>
      <w:pPr>
        <w:spacing w:after="0" w:line="139" w:lineRule="exact"/>
        <w:rPr>
          <w:rFonts w:ascii="Times New Roman" w:cs="Times New Roman" w:eastAsia="Times New Roman" w:hAnsi="Times New Roman"/>
          <w:sz w:val="22"/>
          <w:szCs w:val="22"/>
          <w:color w:val="auto"/>
        </w:rPr>
      </w:pPr>
    </w:p>
    <w:p>
      <w:pPr>
        <w:jc w:val="both"/>
        <w:ind w:left="1464" w:hanging="654"/>
        <w:spacing w:after="0" w:line="236" w:lineRule="auto"/>
        <w:tabs>
          <w:tab w:leader="none" w:pos="151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Cybin Entity has received any notice or claim (whether written, oral or otherwise) challenging its ownership or right to use of any Intellectual Property Rights or suggesting that any other person has any claim of legal or beneficial ownership or other claim or interest with respect thereto, nor to the knowledge of the Company, is there a reasonable basis for any claim that any person other than a Cybin Entity has any claim of legal or beneficial ownership or other claim or interest in any Intellectual Property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113665</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3" w:name="page24"/>
    <w:bookmarkEnd w:id="23"/>
    <w:p>
      <w:pPr>
        <w:ind w:left="4744"/>
        <w:spacing w:after="0"/>
        <w:rPr>
          <w:sz w:val="20"/>
          <w:szCs w:val="20"/>
          <w:color w:val="auto"/>
        </w:rPr>
      </w:pPr>
      <w:r>
        <w:rPr>
          <w:rFonts w:ascii="Times New Roman" w:cs="Times New Roman" w:eastAsia="Times New Roman" w:hAnsi="Times New Roman"/>
          <w:sz w:val="22"/>
          <w:szCs w:val="22"/>
          <w:color w:val="auto"/>
        </w:rPr>
        <w:t>- 21 -</w:t>
      </w:r>
    </w:p>
    <w:p>
      <w:pPr>
        <w:spacing w:after="0" w:line="166" w:lineRule="exact"/>
        <w:rPr>
          <w:sz w:val="20"/>
          <w:szCs w:val="20"/>
          <w:color w:val="auto"/>
        </w:rPr>
      </w:pPr>
    </w:p>
    <w:p>
      <w:pPr>
        <w:jc w:val="both"/>
        <w:ind w:left="1464" w:hanging="654"/>
        <w:spacing w:after="0" w:line="236" w:lineRule="auto"/>
        <w:tabs>
          <w:tab w:leader="none" w:pos="152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registrations of Intellectual Property Rights owned by a Cybin Entity are in good standing and are recorded in the name of a Cybin Entity in the appropriate offices to preserve the rights thereto. All such registrations and applications have been filed, prosecuted and obtained in accordance with all applicable legal requirements and are currently in effect and in compliance with all applicable legal requirements. No registration of Intellectual Property Rights has expired, become abandoned, been cancelled or expunged, or has lapsed for failure to be renewed or maintained.</w:t>
      </w:r>
    </w:p>
    <w:p>
      <w:pPr>
        <w:spacing w:after="0" w:line="150" w:lineRule="exact"/>
        <w:rPr>
          <w:rFonts w:ascii="Times New Roman" w:cs="Times New Roman" w:eastAsia="Times New Roman" w:hAnsi="Times New Roman"/>
          <w:sz w:val="22"/>
          <w:szCs w:val="22"/>
          <w:color w:val="auto"/>
        </w:rPr>
      </w:pPr>
    </w:p>
    <w:p>
      <w:pPr>
        <w:jc w:val="both"/>
        <w:ind w:left="804" w:hanging="804"/>
        <w:spacing w:after="0" w:line="232" w:lineRule="auto"/>
        <w:tabs>
          <w:tab w:leader="none" w:pos="87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Canadian and Foreign Regulatory Representations. </w:t>
      </w:r>
      <w:r>
        <w:rPr>
          <w:rFonts w:ascii="Times New Roman" w:cs="Times New Roman" w:eastAsia="Times New Roman" w:hAnsi="Times New Roman"/>
          <w:sz w:val="22"/>
          <w:szCs w:val="22"/>
          <w:color w:val="auto"/>
        </w:rPr>
        <w:t>The Company acknowledges that the Business is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restrictions, requirements and prohibitions under Applicable Laws in force (including the CDSA, the FDA (Canada), the FDR-C, the FDR-J, the Criminal Code, and state, provincial, territorial and municipal laws relating to controlled substances, any applicable state corporate practice of medicine statues or any applicable anti-money laundering legislation), which may change from time to time. The Company and the Subsidiaries are in compliance with and have complied in all material respects with all Applicable Laws, including obtaining all material Authorizations. All Authorizations issued to date are valid and in full force and effect and neither the Company nor any Subsidiary has received any correspondence or notice from the Office of Controlled Substances, other offices of Health Canada, the United States Food and Drug Administration (the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or any Governmental Authority alleging or asserting non-compliance with any Applicable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 Neither the Company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(Canada), the FDR-C, the NHPR, or the FDR- J, and has no knowledge or reason to believe that any such Governmental Authority is considering taking or would have reasonable ground to take any such action. Neither the Company nor any Subsidiary is aware of any non-compliance with any Applicable Law, including the CDSA, the FDA (Canada), the FDR-C, the NHPR, the FDR-J, the Criminal Code or any provincial, territorial or municipal legislation that the Company or any Subsidiary have reason to believe could result in a Material Adverse Effect.</w:t>
      </w:r>
    </w:p>
    <w:p>
      <w:pPr>
        <w:spacing w:after="0" w:line="146" w:lineRule="exact"/>
        <w:rPr>
          <w:rFonts w:ascii="Times New Roman" w:cs="Times New Roman" w:eastAsia="Times New Roman" w:hAnsi="Times New Roman"/>
          <w:sz w:val="22"/>
          <w:szCs w:val="22"/>
          <w:color w:val="auto"/>
        </w:rPr>
      </w:pPr>
    </w:p>
    <w:p>
      <w:pPr>
        <w:jc w:val="both"/>
        <w:ind w:left="804" w:hanging="804"/>
        <w:spacing w:after="0" w:line="243" w:lineRule="auto"/>
        <w:tabs>
          <w:tab w:leader="none" w:pos="87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United States Regulatory Representations. </w:t>
      </w:r>
      <w:r>
        <w:rPr>
          <w:rFonts w:ascii="Times New Roman" w:cs="Times New Roman" w:eastAsia="Times New Roman" w:hAnsi="Times New Roman"/>
          <w:sz w:val="21"/>
          <w:szCs w:val="21"/>
          <w:color w:val="auto"/>
        </w:rPr>
        <w:t>The Company and its Subsidiaries have made all filings, applications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submissions required by, possesses and is operating in compliance with, all approvals, licenses, certificates, certifications, clearances, consents, grants, exemptions, marks, notifications, orders, permits and other authorizations issued by, the appropriate U.S. federal, state or local Governmental Authority (including, without limitation, the FDA(US), the United States Drug Enforcement Administration ("</w:t>
      </w:r>
      <w:r>
        <w:rPr>
          <w:rFonts w:ascii="Times New Roman" w:cs="Times New Roman" w:eastAsia="Times New Roman" w:hAnsi="Times New Roman"/>
          <w:sz w:val="21"/>
          <w:szCs w:val="21"/>
          <w:b w:val="1"/>
          <w:bCs w:val="1"/>
          <w:color w:val="auto"/>
        </w:rPr>
        <w:t>DEA</w:t>
      </w:r>
      <w:r>
        <w:rPr>
          <w:rFonts w:ascii="Times New Roman" w:cs="Times New Roman" w:eastAsia="Times New Roman" w:hAnsi="Times New Roman"/>
          <w:sz w:val="21"/>
          <w:szCs w:val="21"/>
          <w:color w:val="auto"/>
        </w:rPr>
        <w:t>") or any other federal, state,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Registration Statement and the Prospectus (collectively, "</w:t>
      </w:r>
      <w:r>
        <w:rPr>
          <w:rFonts w:ascii="Times New Roman" w:cs="Times New Roman" w:eastAsia="Times New Roman" w:hAnsi="Times New Roman"/>
          <w:sz w:val="21"/>
          <w:szCs w:val="21"/>
          <w:b w:val="1"/>
          <w:bCs w:val="1"/>
          <w:color w:val="auto"/>
        </w:rPr>
        <w:t>Permits</w:t>
      </w:r>
      <w:r>
        <w:rPr>
          <w:rFonts w:ascii="Times New Roman" w:cs="Times New Roman" w:eastAsia="Times New Roman" w:hAnsi="Times New Roman"/>
          <w:sz w:val="21"/>
          <w:szCs w:val="21"/>
          <w:color w:val="auto"/>
        </w:rPr>
        <w:t>"), except for such 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have a Material Adverse Effect, or has any reason to believe that any such license, certificate, permit or authorization will not be renewed in the Ordinary Course. To the extent required by applicable laws and regulations of the FDA (U.S.), the Company or the applicable Subsidiary has submitted to the FDA (U.S.) an Investigational New Drug Application or amendment or supplement thereto for each clinical trial it has conducted or sponsored or is conducting or sponsoring; all such submissions were in material compliance with applicable laws and rules and regulations when submitted and no material deficiencies have been asserted by the FDA (U.S.) with respect to any such submissions. The Company has operated and currently is, in all material respects, in compliance with the United States Federal Food, Drug, and Cosmetic Act, all applicable rules and regulations of the FDA (U.S.), DEA, and other federal, state, and local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260985</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4" w:name="page25"/>
    <w:bookmarkEnd w:id="24"/>
    <w:p>
      <w:pPr>
        <w:ind w:left="4744"/>
        <w:spacing w:after="0"/>
        <w:rPr>
          <w:sz w:val="20"/>
          <w:szCs w:val="20"/>
          <w:color w:val="auto"/>
        </w:rPr>
      </w:pPr>
      <w:r>
        <w:rPr>
          <w:rFonts w:ascii="Times New Roman" w:cs="Times New Roman" w:eastAsia="Times New Roman" w:hAnsi="Times New Roman"/>
          <w:sz w:val="22"/>
          <w:szCs w:val="22"/>
          <w:color w:val="auto"/>
        </w:rPr>
        <w:t>- 22 -</w:t>
      </w:r>
    </w:p>
    <w:p>
      <w:pPr>
        <w:spacing w:after="0" w:line="162" w:lineRule="exact"/>
        <w:rPr>
          <w:sz w:val="20"/>
          <w:szCs w:val="20"/>
          <w:color w:val="auto"/>
        </w:rPr>
      </w:pPr>
    </w:p>
    <w:p>
      <w:pPr>
        <w:jc w:val="both"/>
        <w:ind w:left="804" w:hanging="804"/>
        <w:spacing w:after="0" w:line="233" w:lineRule="auto"/>
        <w:tabs>
          <w:tab w:leader="none" w:pos="87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Clinical Trials. </w:t>
      </w:r>
      <w:r>
        <w:rPr>
          <w:rFonts w:ascii="Times New Roman" w:cs="Times New Roman" w:eastAsia="Times New Roman" w:hAnsi="Times New Roman"/>
          <w:sz w:val="22"/>
          <w:szCs w:val="22"/>
          <w:color w:val="auto"/>
        </w:rPr>
        <w:t>All clinical, pre-clinical and other studies and tests (collectively, the "</w:t>
      </w:r>
      <w:r>
        <w:rPr>
          <w:rFonts w:ascii="Times New Roman" w:cs="Times New Roman" w:eastAsia="Times New Roman" w:hAnsi="Times New Roman"/>
          <w:sz w:val="22"/>
          <w:szCs w:val="22"/>
          <w:b w:val="1"/>
          <w:bCs w:val="1"/>
          <w:color w:val="auto"/>
        </w:rPr>
        <w:t>Clinical Trials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conducted by or on behalf of the Company or any Cybin Entity (to the Company's knowledge in respect of Cybin UK Ltd) related to the Business and/or the development of the Drug Products (to the Company's knowledge in respect of Cybin UK Ltd) have been conducted, and to the extent they are still pending are currently being conducted, in accordance with accepted medical, scientific and ethical research procedures and all Applicable Laws. The descriptions of the results of the Clinical Trials described or referred to in the Offering Documents are accurate and complete in all material respects and fairly represent the published data derived from the Clinical Trials and neither the Company nor any Cybin Entity has knowledge of other studies or tests the results of which are materially inconsistent with or otherwise call into question the results described or referred to in the Offering Documents. Neither the Company nor any Cybin Entity has received any notices or written correspondence from any Governmental Authority or applicable regulatory authority with respect to any Clinical Trial requiring the termination or suspension of such Clinical Trial.</w:t>
      </w:r>
    </w:p>
    <w:p>
      <w:pPr>
        <w:spacing w:after="0" w:line="157" w:lineRule="exact"/>
        <w:rPr>
          <w:rFonts w:ascii="Times New Roman" w:cs="Times New Roman" w:eastAsia="Times New Roman" w:hAnsi="Times New Roman"/>
          <w:sz w:val="22"/>
          <w:szCs w:val="22"/>
          <w:color w:val="auto"/>
        </w:rPr>
      </w:pPr>
    </w:p>
    <w:p>
      <w:pPr>
        <w:jc w:val="both"/>
        <w:ind w:left="804" w:hanging="804"/>
        <w:spacing w:after="0" w:line="248" w:lineRule="auto"/>
        <w:tabs>
          <w:tab w:leader="none" w:pos="85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Standard Operating Procedures</w:t>
      </w:r>
      <w:r>
        <w:rPr>
          <w:rFonts w:ascii="Times New Roman" w:cs="Times New Roman" w:eastAsia="Times New Roman" w:hAnsi="Times New Roman"/>
          <w:sz w:val="21"/>
          <w:szCs w:val="21"/>
          <w:color w:val="auto"/>
        </w:rPr>
        <w:t>. All product research and development activities, including quality assurance,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quality control, testing, and research and analysis activities, conducted by each Cybin Entity (to the Company's knowledge in respect of Cybin UK Ltd) in connection with its Business is being conducted in accordance with industry practices in all material respects and in compliance, in all material respects, with all industry, laboratory safety, management and training standards applicable to the Business, and all such processes, procedures and practices, required in connection with such activities are or will be in place as necessary at the applicable time in all material respects and are being or will be complied with at the applicable time,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100330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5" w:name="page26"/>
    <w:bookmarkEnd w:id="25"/>
    <w:p>
      <w:pPr>
        <w:ind w:left="4744"/>
        <w:spacing w:after="0"/>
        <w:rPr>
          <w:sz w:val="20"/>
          <w:szCs w:val="20"/>
          <w:color w:val="auto"/>
        </w:rPr>
      </w:pPr>
      <w:r>
        <w:rPr>
          <w:rFonts w:ascii="Times New Roman" w:cs="Times New Roman" w:eastAsia="Times New Roman" w:hAnsi="Times New Roman"/>
          <w:sz w:val="22"/>
          <w:szCs w:val="22"/>
          <w:color w:val="auto"/>
        </w:rPr>
        <w:t>- 23 -</w:t>
      </w:r>
    </w:p>
    <w:p>
      <w:pPr>
        <w:spacing w:after="0" w:line="162" w:lineRule="exact"/>
        <w:rPr>
          <w:sz w:val="20"/>
          <w:szCs w:val="20"/>
          <w:color w:val="auto"/>
        </w:rPr>
      </w:pPr>
    </w:p>
    <w:p>
      <w:pPr>
        <w:jc w:val="both"/>
        <w:ind w:left="804" w:hanging="804"/>
        <w:spacing w:after="0" w:line="237" w:lineRule="auto"/>
        <w:tabs>
          <w:tab w:leader="none" w:pos="87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Defects. </w:t>
      </w:r>
      <w:r>
        <w:rPr>
          <w:rFonts w:ascii="Times New Roman" w:cs="Times New Roman" w:eastAsia="Times New Roman" w:hAnsi="Times New Roman"/>
          <w:sz w:val="22"/>
          <w:szCs w:val="22"/>
          <w:color w:val="auto"/>
        </w:rPr>
        <w:t>No Cybin Entity has received any notice or communication from any customer or any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regulatory authority alleging a defect or claim in respect of any products supplied or sold by a Cybin Entity to a customer except in the Ordinary Course of its Business and, to the Company's knowledge, there are no circumstances that would give rise to any reports, recalls, public disclosure, announcements or customer communications required to be made by a Cybin Entity in respect of any products supplied or sold by a Cybin Entity.</w:t>
      </w:r>
    </w:p>
    <w:p>
      <w:pPr>
        <w:spacing w:after="0" w:line="148" w:lineRule="exact"/>
        <w:rPr>
          <w:rFonts w:ascii="Times New Roman" w:cs="Times New Roman" w:eastAsia="Times New Roman" w:hAnsi="Times New Roman"/>
          <w:sz w:val="22"/>
          <w:szCs w:val="22"/>
          <w:color w:val="auto"/>
        </w:rPr>
      </w:pPr>
    </w:p>
    <w:p>
      <w:pPr>
        <w:jc w:val="both"/>
        <w:ind w:left="804" w:hanging="804"/>
        <w:spacing w:after="0" w:line="243" w:lineRule="auto"/>
        <w:tabs>
          <w:tab w:leader="none" w:pos="87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IT Systems. </w:t>
      </w:r>
      <w:r>
        <w:rPr>
          <w:rFonts w:ascii="Times New Roman" w:cs="Times New Roman" w:eastAsia="Times New Roman" w:hAnsi="Times New Roman"/>
          <w:sz w:val="21"/>
          <w:szCs w:val="21"/>
          <w:color w:val="auto"/>
        </w:rPr>
        <w:t>To the Company's knowledge in respect of Cybin UK Ltd, and each Cybin Entity's information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technology assets and equipment, computers, systems, networks, hardware, software, websites, applications, and databases (collectively, "</w:t>
      </w:r>
      <w:r>
        <w:rPr>
          <w:rFonts w:ascii="Times New Roman" w:cs="Times New Roman" w:eastAsia="Times New Roman" w:hAnsi="Times New Roman"/>
          <w:sz w:val="21"/>
          <w:szCs w:val="21"/>
          <w:b w:val="1"/>
          <w:bCs w:val="1"/>
          <w:color w:val="auto"/>
        </w:rPr>
        <w:t>IT Systems</w:t>
      </w:r>
      <w:r>
        <w:rPr>
          <w:rFonts w:ascii="Times New Roman" w:cs="Times New Roman" w:eastAsia="Times New Roman" w:hAnsi="Times New Roman"/>
          <w:sz w:val="21"/>
          <w:szCs w:val="21"/>
          <w:color w:val="auto"/>
        </w:rPr>
        <w:t>") are adequate for, and operate and perform in all material respects as required in connection with the operation of the business of each Cybin Entity as currently conducted, free and clear of all bugs, errors, defects, Trojan horses, time bombs, malware and other corruptants, except as would not reasonably be expected to, individually or in the aggregate, result in a Material Adverse Effect. To the Company's knowledge in respect of Cybin UK Ltd, and each Cybin Entity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21"/>
          <w:szCs w:val="21"/>
          <w:b w:val="1"/>
          <w:bCs w:val="1"/>
          <w:color w:val="auto"/>
        </w:rPr>
        <w:t>Personal Data</w:t>
      </w:r>
      <w:r>
        <w:rPr>
          <w:rFonts w:ascii="Times New Roman" w:cs="Times New Roman" w:eastAsia="Times New Roman" w:hAnsi="Times New Roman"/>
          <w:sz w:val="21"/>
          <w:szCs w:val="21"/>
          <w:color w:val="auto"/>
        </w:rPr>
        <w:t xml:space="preserve">")) used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To the Company's knowledge in respect of Cybin UK Ltd, and each Cybin Entity is presently in compliance with Applicable Law, internal policies and contractual obligations relating to the privacy and security of IT Systems and Personal Data in all material respects and has taken commercially reasonable steps to protect such IT Systems and Personal Data from unauthorized use, access, misappropriation or modification. To the Company's knowledge in respect of Cybin UK Ltd, and each Cybin Entity has taken all necessary actions to comply with the Canada's </w:t>
      </w:r>
      <w:r>
        <w:rPr>
          <w:rFonts w:ascii="Times New Roman" w:cs="Times New Roman" w:eastAsia="Times New Roman" w:hAnsi="Times New Roman"/>
          <w:sz w:val="21"/>
          <w:szCs w:val="21"/>
          <w:i w:val="1"/>
          <w:iCs w:val="1"/>
          <w:color w:val="auto"/>
        </w:rPr>
        <w:t>Personal Information Protection and Electronic Documents Act</w:t>
      </w:r>
      <w:r>
        <w:rPr>
          <w:rFonts w:ascii="Times New Roman" w:cs="Times New Roman" w:eastAsia="Times New Roman" w:hAnsi="Times New Roman"/>
          <w:sz w:val="21"/>
          <w:szCs w:val="21"/>
          <w:color w:val="auto"/>
        </w:rPr>
        <w:t xml:space="preserve"> (and all other Applicable Laws and regulations with respect to Personal Data for which any non-compliance with same would be reasonably likely to have a Material Adverse Effect).</w:t>
      </w:r>
    </w:p>
    <w:p>
      <w:pPr>
        <w:spacing w:after="0" w:line="143" w:lineRule="exact"/>
        <w:rPr>
          <w:rFonts w:ascii="Times New Roman" w:cs="Times New Roman" w:eastAsia="Times New Roman" w:hAnsi="Times New Roman"/>
          <w:sz w:val="21"/>
          <w:szCs w:val="21"/>
          <w:color w:val="auto"/>
        </w:rPr>
      </w:pPr>
    </w:p>
    <w:p>
      <w:pPr>
        <w:jc w:val="both"/>
        <w:ind w:left="804" w:hanging="804"/>
        <w:spacing w:after="0" w:line="232" w:lineRule="auto"/>
        <w:tabs>
          <w:tab w:leader="none" w:pos="87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Litigation</w:t>
      </w:r>
      <w:r>
        <w:rPr>
          <w:rFonts w:ascii="Times New Roman" w:cs="Times New Roman" w:eastAsia="Times New Roman" w:hAnsi="Times New Roman"/>
          <w:sz w:val="22"/>
          <w:szCs w:val="22"/>
          <w:color w:val="auto"/>
        </w:rPr>
        <w:t>. Except as disclosed in or incorporated by reference in the Time of Sale Prospectus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Prospectuses, there are no legal, governmental or regulatory actions, suits or proceedings pending, nor, to the Company's knowledge, any legal, governmental or regulatory audits or investigations, to which the Company or a Subsidiary is a party or to which any property of the Company or any of the Subsidiaries is the subject that, individually or in the aggregate, if determined adversely to the Company or any of the Subsidiaries, could reasonably be expected to have a Material Adverse Effect or materially and adversely affect the ability of the Company to perform its obligations under this Agreement; except as disclosed in the Registration Statement or included or incorporated by reference in the Time of Sale Prospectus and the Prospectuses, to the Company's knowledge, no such actions, suits or proceedings are threatened or contemplated by any Governmental Authority or threatened by others that, individually or in the aggregate, if determined adversely to the Company or any of the Subsidiaries, could reasonably be expected to have a Material Adverse Effect or materially and adversely affect the ability of the Company to perform its obligations under this Agreement; and (i) there are no current or pending audits or investigations, actions, suits or proceedings by or before any Governmental Authority that are required under the U.S. Securities Act or Canadian Securities Laws to be described in the Registration Statement or included or incorporated by reference in the Time of Sale Prospectus and the Prospectuses that are not so described; and (ii) there are no agreements, contracts, arrangements or understandings (written or oral) or other documents that are required under the U.S. Securities Act to be filed as exhibits to the Registration Statement that are not so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111760</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6" w:name="page27"/>
    <w:bookmarkEnd w:id="26"/>
    <w:p>
      <w:pPr>
        <w:ind w:left="4744"/>
        <w:spacing w:after="0"/>
        <w:rPr>
          <w:sz w:val="20"/>
          <w:szCs w:val="20"/>
          <w:color w:val="auto"/>
        </w:rPr>
      </w:pPr>
      <w:r>
        <w:rPr>
          <w:rFonts w:ascii="Times New Roman" w:cs="Times New Roman" w:eastAsia="Times New Roman" w:hAnsi="Times New Roman"/>
          <w:sz w:val="22"/>
          <w:szCs w:val="22"/>
          <w:color w:val="auto"/>
        </w:rPr>
        <w:t>- 24 -</w:t>
      </w:r>
    </w:p>
    <w:p>
      <w:pPr>
        <w:spacing w:after="0" w:line="162" w:lineRule="exact"/>
        <w:rPr>
          <w:sz w:val="20"/>
          <w:szCs w:val="20"/>
          <w:color w:val="auto"/>
        </w:rPr>
      </w:pPr>
    </w:p>
    <w:p>
      <w:pPr>
        <w:jc w:val="both"/>
        <w:ind w:left="804" w:hanging="804"/>
        <w:spacing w:after="0" w:line="232" w:lineRule="auto"/>
        <w:tabs>
          <w:tab w:leader="none" w:pos="87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Environmental Laws. </w:t>
      </w:r>
      <w:r>
        <w:rPr>
          <w:rFonts w:ascii="Times New Roman" w:cs="Times New Roman" w:eastAsia="Times New Roman" w:hAnsi="Times New Roman"/>
          <w:sz w:val="22"/>
          <w:szCs w:val="22"/>
          <w:color w:val="auto"/>
        </w:rPr>
        <w:t>(i) The Company is not in material violation of any Applicable Laws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environmental, health or safety matters (collectively,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including without limitation laws relating to the processing, use, treatment, storage, disposal, discharge, transport or handling of any pollutants, contaminants, chemicals or industrial, toxic or hazardous wastes or substance ("</w:t>
      </w:r>
      <w:r>
        <w:rPr>
          <w:rFonts w:ascii="Times New Roman" w:cs="Times New Roman" w:eastAsia="Times New Roman" w:hAnsi="Times New Roman"/>
          <w:sz w:val="22"/>
          <w:szCs w:val="22"/>
          <w:b w:val="1"/>
          <w:bCs w:val="1"/>
          <w:color w:val="auto"/>
        </w:rPr>
        <w:t>Hazardous Substances</w:t>
      </w:r>
      <w:r>
        <w:rPr>
          <w:rFonts w:ascii="Times New Roman" w:cs="Times New Roman" w:eastAsia="Times New Roman" w:hAnsi="Times New Roman"/>
          <w:sz w:val="22"/>
          <w:szCs w:val="22"/>
          <w:color w:val="auto"/>
        </w:rPr>
        <w:t>"); (ii) the Company has obtained all material licenses, permits, approvals, consents, certificates, registrations and other Authorizations under all applicable Environmental Laws (the "</w:t>
      </w:r>
      <w:r>
        <w:rPr>
          <w:rFonts w:ascii="Times New Roman" w:cs="Times New Roman" w:eastAsia="Times New Roman" w:hAnsi="Times New Roman"/>
          <w:sz w:val="22"/>
          <w:szCs w:val="22"/>
          <w:b w:val="1"/>
          <w:bCs w:val="1"/>
          <w:color w:val="auto"/>
        </w:rPr>
        <w:t>Environmental Permits</w:t>
      </w:r>
      <w:r>
        <w:rPr>
          <w:rFonts w:ascii="Times New Roman" w:cs="Times New Roman" w:eastAsia="Times New Roman" w:hAnsi="Times New Roman"/>
          <w:sz w:val="22"/>
          <w:szCs w:val="22"/>
          <w:color w:val="auto"/>
        </w:rPr>
        <w:t>") necessary as at the date hereof for the operation of the businesses carried on by the Company and to the knowledge of the Company, the Company is not in default or breach of any Environmental Permit which would have a Material Adverse Effect, and no proceeding is pending or, to the knowledge of the Company threatened, to revoke or limit any Environmental Permit; (iii) the Company has not used, distributed, treated, stored, disposed of, transported or handled any Hazardous Substance, except in material compliance with all Environmental Laws and Environmental Permits; (iv) the Company has not received any notice of, or been prosecuted for an offence alleging, non-compliance with any Environmental Law that would have a Material Adverse Effect; (v) to the knowledge of the Company there are no orders or directions relating to environmental matters requiring any material work, repairs, construction or capital expenditures to be made with respect to any of the assets of the Company, nor has the Company received notice of any of the same; (vi) the Company has not received any notice wherein it is alleged or stated that the Company is potentially responsible for a federal, provincial, territorial, state, municipal or local clean-up site or corrective action under any Environmental Laws; and (vii) the Company has not received any request for information in connection with any federal, provincial, territorial, state, municipal or local inquiries as to disposal sites.</w:t>
      </w:r>
    </w:p>
    <w:p>
      <w:pPr>
        <w:spacing w:after="0" w:line="158"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7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Non-competition. </w:t>
      </w:r>
      <w:r>
        <w:rPr>
          <w:rFonts w:ascii="Times New Roman" w:cs="Times New Roman" w:eastAsia="Times New Roman" w:hAnsi="Times New Roman"/>
          <w:sz w:val="22"/>
          <w:szCs w:val="22"/>
          <w:color w:val="auto"/>
        </w:rPr>
        <w:t>No current or proposed officer or director of a Cybin Entity, nor to the knowledge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any employee of a Cybin Entity, is subject to any limitations or restrictions on their activities or investments, including any non-competition provisions, that would in any way limit or restrict their involvement with a Cybin Entity or the business affairs of a Cybin Entity as now conducted or presently proposed to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104140</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7" w:name="page28"/>
    <w:bookmarkEnd w:id="27"/>
    <w:p>
      <w:pPr>
        <w:ind w:left="4744"/>
        <w:spacing w:after="0"/>
        <w:rPr>
          <w:sz w:val="20"/>
          <w:szCs w:val="20"/>
          <w:color w:val="auto"/>
        </w:rPr>
      </w:pPr>
      <w:r>
        <w:rPr>
          <w:rFonts w:ascii="Times New Roman" w:cs="Times New Roman" w:eastAsia="Times New Roman" w:hAnsi="Times New Roman"/>
          <w:sz w:val="22"/>
          <w:szCs w:val="22"/>
          <w:color w:val="auto"/>
        </w:rPr>
        <w:t>- 25 -</w:t>
      </w:r>
    </w:p>
    <w:p>
      <w:pPr>
        <w:spacing w:after="0" w:line="162" w:lineRule="exact"/>
        <w:rPr>
          <w:sz w:val="20"/>
          <w:szCs w:val="20"/>
          <w:color w:val="auto"/>
        </w:rPr>
      </w:pPr>
    </w:p>
    <w:p>
      <w:pPr>
        <w:jc w:val="both"/>
        <w:ind w:left="804" w:hanging="804"/>
        <w:spacing w:after="0" w:line="244" w:lineRule="auto"/>
        <w:tabs>
          <w:tab w:leader="none" w:pos="86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Insurance. </w:t>
      </w:r>
      <w:r>
        <w:rPr>
          <w:rFonts w:ascii="Times New Roman" w:cs="Times New Roman" w:eastAsia="Times New Roman" w:hAnsi="Times New Roman"/>
          <w:sz w:val="21"/>
          <w:szCs w:val="21"/>
          <w:color w:val="auto"/>
        </w:rPr>
        <w:t>The Company and the Subsidiaries maintain insurance or where insurance has not yet been obtained,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 using commercially reasonable efforts to obtain and maintain insurance, by insurers of recognized financial responsibility, against such losses, risks and damages to the property and assets of the Company in such amounts that are customary for the business in which they are engaged and on a basis consistent with reasonably prudent persons in comparable businesses, and all of the policies in respect of such insurance coverage, fidelity or surety bonds insuring the Company, the Subsidiaries, and their respective directors, officers and employees, and the property and assets of the Company, are in good standing and in full force and effect in all material respects, and not in default. Each of the Company and the Subsidiaries has complied with the terms of such policies and instruments in all material respects and there are no material claims by the Company or the Subsidiaries under any such policy or instrument as to which any insurance company is denying liability or defending under a reservation of rights clause; the Company has no reason to believe that it will not be able to renew such existing insurance coverage as and when such coverage expires or to obtain similar coverage from similar insurers as may be necessary to continue the Business at a cost that would not have a Material Adverse Effect, and neither the Company nor the Subsidiaries have failed to promptly give any notice of any material claim thereunder.</w:t>
      </w:r>
    </w:p>
    <w:p>
      <w:pPr>
        <w:spacing w:after="0" w:line="153" w:lineRule="exact"/>
        <w:rPr>
          <w:rFonts w:ascii="Times New Roman" w:cs="Times New Roman" w:eastAsia="Times New Roman" w:hAnsi="Times New Roman"/>
          <w:sz w:val="21"/>
          <w:szCs w:val="21"/>
          <w:color w:val="auto"/>
        </w:rPr>
      </w:pPr>
    </w:p>
    <w:p>
      <w:pPr>
        <w:jc w:val="both"/>
        <w:ind w:left="804" w:hanging="804"/>
        <w:spacing w:after="0" w:line="237" w:lineRule="auto"/>
        <w:tabs>
          <w:tab w:leader="none" w:pos="87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Leased Premises. </w:t>
      </w:r>
      <w:r>
        <w:rPr>
          <w:rFonts w:ascii="Times New Roman" w:cs="Times New Roman" w:eastAsia="Times New Roman" w:hAnsi="Times New Roman"/>
          <w:sz w:val="22"/>
          <w:szCs w:val="22"/>
          <w:color w:val="auto"/>
        </w:rPr>
        <w:t>The Company occupies the Leased Premises and has the exclusive right to occupy and use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Leased Premises and each of the leases pursuant to which a Cybin Entity occupies the Leased Premises is in good standing and in full force and effect in all material respects. The performance of obligations pursuant to and in compliance with the terms of this Agreement and the completion of the transactions described herein and the Offering Documents, will not afford any of the parties to such leases or any other person the right to terminate such leases or result in any additional or more onerous obligations under such leases.</w:t>
      </w:r>
    </w:p>
    <w:p>
      <w:pPr>
        <w:spacing w:after="0" w:line="134" w:lineRule="exact"/>
        <w:rPr>
          <w:rFonts w:ascii="Times New Roman" w:cs="Times New Roman" w:eastAsia="Times New Roman" w:hAnsi="Times New Roman"/>
          <w:sz w:val="22"/>
          <w:szCs w:val="22"/>
          <w:color w:val="auto"/>
        </w:rPr>
      </w:pPr>
    </w:p>
    <w:p>
      <w:pPr>
        <w:ind w:left="804" w:right="20" w:hanging="804"/>
        <w:spacing w:after="0" w:line="262" w:lineRule="auto"/>
        <w:tabs>
          <w:tab w:leader="none" w:pos="87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Employment Practices. </w:t>
      </w:r>
      <w:r>
        <w:rPr>
          <w:rFonts w:ascii="Times New Roman" w:cs="Times New Roman" w:eastAsia="Times New Roman" w:hAnsi="Times New Roman"/>
          <w:sz w:val="22"/>
          <w:szCs w:val="22"/>
          <w:color w:val="auto"/>
        </w:rPr>
        <w:t>Each Cybin Entity is in material compliance with all laws respecting employment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practices, terms and conditions of employment, pay equity and wages.</w:t>
      </w:r>
    </w:p>
    <w:p>
      <w:pPr>
        <w:spacing w:after="0" w:line="109" w:lineRule="exact"/>
        <w:rPr>
          <w:rFonts w:ascii="Times New Roman" w:cs="Times New Roman" w:eastAsia="Times New Roman" w:hAnsi="Times New Roman"/>
          <w:sz w:val="22"/>
          <w:szCs w:val="22"/>
          <w:color w:val="auto"/>
        </w:rPr>
      </w:pPr>
    </w:p>
    <w:p>
      <w:pPr>
        <w:jc w:val="both"/>
        <w:ind w:left="804" w:hanging="804"/>
        <w:spacing w:after="0" w:line="234" w:lineRule="auto"/>
        <w:tabs>
          <w:tab w:leader="none" w:pos="85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Employment Standards. </w:t>
      </w:r>
      <w:r>
        <w:rPr>
          <w:rFonts w:ascii="Times New Roman" w:cs="Times New Roman" w:eastAsia="Times New Roman" w:hAnsi="Times New Roman"/>
          <w:sz w:val="22"/>
          <w:szCs w:val="22"/>
          <w:color w:val="auto"/>
        </w:rPr>
        <w:t>To the knowledge of the Company, there are no material complaints against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the Subsidiaries before any employment standards branch or tribunal or human rights tribunal, nor any complaints or any occurrence which would reasonably be expected to lead to a complaint under any human rights legislation or employment standards legislation that would be material to the Company. There are no outstanding decisions or settlements or pending settlements under applicable employment standards legislation, which place any material obligation upon the Company or the Subsidiaries to do or refrain from doing any act. The Company and Subsidiaries are currently in compliance with all workers' compensation, occupational health and safety and similar legislation in all material respects, including payment in full of all amounts owing thereunder, and there are no pending claims or outstanding orders of a material nature against any of them under applicable workers' compensation legislation, occupational health and safety or similar legislation nor has any event occurred which may give rise to any such material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112395</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8" w:name="page29"/>
    <w:bookmarkEnd w:id="28"/>
    <w:p>
      <w:pPr>
        <w:ind w:left="4744"/>
        <w:spacing w:after="0"/>
        <w:rPr>
          <w:sz w:val="20"/>
          <w:szCs w:val="20"/>
          <w:color w:val="auto"/>
        </w:rPr>
      </w:pPr>
      <w:r>
        <w:rPr>
          <w:rFonts w:ascii="Times New Roman" w:cs="Times New Roman" w:eastAsia="Times New Roman" w:hAnsi="Times New Roman"/>
          <w:sz w:val="22"/>
          <w:szCs w:val="22"/>
          <w:color w:val="auto"/>
        </w:rPr>
        <w:t>- 26 -</w:t>
      </w:r>
    </w:p>
    <w:p>
      <w:pPr>
        <w:spacing w:after="0" w:line="162" w:lineRule="exact"/>
        <w:rPr>
          <w:sz w:val="20"/>
          <w:szCs w:val="20"/>
          <w:color w:val="auto"/>
        </w:rPr>
      </w:pPr>
    </w:p>
    <w:p>
      <w:pPr>
        <w:jc w:val="both"/>
        <w:ind w:left="804" w:hanging="804"/>
        <w:spacing w:after="0" w:line="241" w:lineRule="auto"/>
        <w:tabs>
          <w:tab w:leader="none" w:pos="85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Collective Bargaining Agreements. </w:t>
      </w:r>
      <w:r>
        <w:rPr>
          <w:rFonts w:ascii="Times New Roman" w:cs="Times New Roman" w:eastAsia="Times New Roman" w:hAnsi="Times New Roman"/>
          <w:sz w:val="22"/>
          <w:szCs w:val="22"/>
          <w:color w:val="auto"/>
        </w:rPr>
        <w:t>Neither the Company nor any Subsidiary is party to any collective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bargaining agreements with unionized employees. To the knowledge of the Company, no action has been taken or is being contemplated to organize or unionize any other employees of the Company or any Subsidiary that would have a Material Adverse Effect.</w:t>
      </w:r>
    </w:p>
    <w:p>
      <w:pPr>
        <w:spacing w:after="0" w:line="144"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7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Plans. </w:t>
      </w:r>
      <w:r>
        <w:rPr>
          <w:rFonts w:ascii="Times New Roman" w:cs="Times New Roman" w:eastAsia="Times New Roman" w:hAnsi="Times New Roman"/>
          <w:sz w:val="22"/>
          <w:szCs w:val="22"/>
          <w:color w:val="auto"/>
        </w:rPr>
        <w:t>Each material plan for retirement, bonus, stock purchase, profit sharing, stock option, deferred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severance or termination pay, insurance, medical, hospital, dental, vision care, drug, sick leave, disability, salary continuation, legal benefits, unemployment benefits, vacation, incentive or otherwise contributed to, or required to be contributed to, by the Company for the benefit of any current or former director, officer, employee or consultant of the Company (the "</w:t>
      </w:r>
      <w:r>
        <w:rPr>
          <w:rFonts w:ascii="Times New Roman" w:cs="Times New Roman" w:eastAsia="Times New Roman" w:hAnsi="Times New Roman"/>
          <w:sz w:val="22"/>
          <w:szCs w:val="22"/>
          <w:b w:val="1"/>
          <w:bCs w:val="1"/>
          <w:color w:val="auto"/>
        </w:rPr>
        <w:t>Employee Plans</w:t>
      </w:r>
      <w:r>
        <w:rPr>
          <w:rFonts w:ascii="Times New Roman" w:cs="Times New Roman" w:eastAsia="Times New Roman" w:hAnsi="Times New Roman"/>
          <w:sz w:val="22"/>
          <w:szCs w:val="22"/>
          <w:color w:val="auto"/>
        </w:rPr>
        <w:t xml:space="preserve">") has been maintained in all material respects with its terms and with the requirements prescribed by any and all Applicable Laws that are applicable to such Employee Plans. The Company does not have a material employee benefit plan, within the meaning of Section 3(3) of the </w:t>
      </w:r>
      <w:r>
        <w:rPr>
          <w:rFonts w:ascii="Times New Roman" w:cs="Times New Roman" w:eastAsia="Times New Roman" w:hAnsi="Times New Roman"/>
          <w:sz w:val="22"/>
          <w:szCs w:val="22"/>
          <w:i w:val="1"/>
          <w:iCs w:val="1"/>
          <w:color w:val="auto"/>
        </w:rPr>
        <w:t>Employee Retirement Income Security Act</w:t>
      </w:r>
      <w:r>
        <w:rPr>
          <w:rFonts w:ascii="Times New Roman" w:cs="Times New Roman" w:eastAsia="Times New Roman" w:hAnsi="Times New Roman"/>
          <w:sz w:val="22"/>
          <w:szCs w:val="22"/>
          <w:color w:val="auto"/>
        </w:rPr>
        <w:t xml:space="preserve"> of 1974, as amended.</w:t>
      </w:r>
    </w:p>
    <w:p>
      <w:pPr>
        <w:spacing w:after="0" w:line="137"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5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Unlawful Contributions. </w:t>
      </w:r>
      <w:r>
        <w:rPr>
          <w:rFonts w:ascii="Times New Roman" w:cs="Times New Roman" w:eastAsia="Times New Roman" w:hAnsi="Times New Roman"/>
          <w:sz w:val="22"/>
          <w:szCs w:val="22"/>
          <w:color w:val="auto"/>
        </w:rPr>
        <w:t>No Cybin Entity, or, to the knowledge of the Company, any employee or agent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thereof, has made any unlawful contribution or other payment to any official of, or candidate for, any federal, state, provincial or foreign office, or failed to disclose fully any contribution, in violation of any law, or made any payment to any governmental officer or official in any jurisdiction, or other person charged with similar public or quasi-public duties, other than payments required or permitted by Applicable Laws.</w:t>
      </w:r>
    </w:p>
    <w:p>
      <w:pPr>
        <w:spacing w:after="0" w:line="136"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91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Minute Books and Records. </w:t>
      </w:r>
      <w:r>
        <w:rPr>
          <w:rFonts w:ascii="Times New Roman" w:cs="Times New Roman" w:eastAsia="Times New Roman" w:hAnsi="Times New Roman"/>
          <w:sz w:val="22"/>
          <w:szCs w:val="22"/>
          <w:color w:val="auto"/>
        </w:rPr>
        <w:t>The minute books and corporate records of each Cybin Entity for the period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incorporation to the date hereof made available to the Agents are complete in all material respects, contain copies of all material proceedings (or certified copies thereof or drafts thereof pending approval) of the shareholders and the directors (or any committee thereof) thereof and there have been no other meetings, resolutions or proceedings of the shareholders or directors of each Cybin Entity to the date hereof not reflected in such corporate records, other than those which are not material to each Cybin Entity, as the case may be.</w:t>
      </w:r>
    </w:p>
    <w:p>
      <w:pPr>
        <w:spacing w:after="0" w:line="148"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7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Market Data. </w:t>
      </w:r>
      <w:r>
        <w:rPr>
          <w:rFonts w:ascii="Times New Roman" w:cs="Times New Roman" w:eastAsia="Times New Roman" w:hAnsi="Times New Roman"/>
          <w:sz w:val="22"/>
          <w:szCs w:val="22"/>
          <w:color w:val="auto"/>
        </w:rPr>
        <w:t>The statistical, industry and market related data included in the Offering Documents is derived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sources which the Company reasonably believes to be accurate, reasonable and reliable, and such data is consistent with the sources from which it was derived.</w:t>
      </w:r>
    </w:p>
    <w:p>
      <w:pPr>
        <w:spacing w:after="0" w:line="126" w:lineRule="exact"/>
        <w:rPr>
          <w:rFonts w:ascii="Times New Roman" w:cs="Times New Roman" w:eastAsia="Times New Roman" w:hAnsi="Times New Roman"/>
          <w:sz w:val="22"/>
          <w:szCs w:val="22"/>
          <w:color w:val="auto"/>
        </w:rPr>
      </w:pPr>
    </w:p>
    <w:p>
      <w:pPr>
        <w:jc w:val="both"/>
        <w:ind w:left="804" w:hanging="804"/>
        <w:spacing w:after="0" w:line="243" w:lineRule="auto"/>
        <w:tabs>
          <w:tab w:leader="none" w:pos="87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Anti-Bribery Laws. </w:t>
      </w:r>
      <w:r>
        <w:rPr>
          <w:rFonts w:ascii="Times New Roman" w:cs="Times New Roman" w:eastAsia="Times New Roman" w:hAnsi="Times New Roman"/>
          <w:sz w:val="21"/>
          <w:szCs w:val="21"/>
          <w:color w:val="auto"/>
        </w:rPr>
        <w:t>Neither the Company nor any Subsidiary nor to the knowledge of the Company,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director, officer, employee, consultant, representative or agent of the foregoing, has (i) violated any anti bribery or anti-corruption laws applicable to the Company and the Subsidiaries, including Canada's </w:t>
      </w:r>
      <w:r>
        <w:rPr>
          <w:rFonts w:ascii="Times New Roman" w:cs="Times New Roman" w:eastAsia="Times New Roman" w:hAnsi="Times New Roman"/>
          <w:sz w:val="21"/>
          <w:szCs w:val="21"/>
          <w:i w:val="1"/>
          <w:iCs w:val="1"/>
          <w:color w:val="auto"/>
        </w:rPr>
        <w:t>Corruption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Foreign Public Officials Act</w:t>
      </w:r>
      <w:r>
        <w:rPr>
          <w:rFonts w:ascii="Times New Roman" w:cs="Times New Roman" w:eastAsia="Times New Roman" w:hAnsi="Times New Roman"/>
          <w:sz w:val="21"/>
          <w:szCs w:val="21"/>
          <w:color w:val="auto"/>
        </w:rPr>
        <w:t>, or the</w:t>
      </w:r>
      <w:r>
        <w:rPr>
          <w:rFonts w:ascii="Times New Roman" w:cs="Times New Roman" w:eastAsia="Times New Roman" w:hAnsi="Times New Roman"/>
          <w:sz w:val="21"/>
          <w:szCs w:val="21"/>
          <w:i w:val="1"/>
          <w:iCs w:val="1"/>
          <w:color w:val="auto"/>
        </w:rPr>
        <w:t xml:space="preserve"> United States Foreign Corrupt Practices Act of 1977</w:t>
      </w:r>
      <w:r>
        <w:rPr>
          <w:rFonts w:ascii="Times New Roman" w:cs="Times New Roman" w:eastAsia="Times New Roman" w:hAnsi="Times New Roman"/>
          <w:sz w:val="21"/>
          <w:szCs w:val="21"/>
          <w:color w:val="auto"/>
        </w:rPr>
        <w:t>, or (ii) offered, paid,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promised to pay, or authorized the payment of any money, or offered, given, promised to give, or authorized the giving of anything of value, that goes beyond what is reasonable and customary and/or of modest value: (A) to any Government Official, whether directly or through any other person, for the purpose of influencing any act or decision of a Government Official in his or her official capacity; inducing a Government Official to do or omit to do any act in violation of his or her lawful duties; securing any improper advantage; inducing a Government Official to influence or affect any act or decision of any Governmental Authority; or assisting any representative of the Company or the Subsidiaries in obtaining or retaining business for or with, or directing business to, any person; or (B) to any person in a manner which would constitute or have the purpose or effect of public or commercial bribery, or the acceptance of or acquiescence in extortion, kickbacks, or other unlawful or improper means of obtaining business or any improper advantage. Neither the Company nor the Subsidiaries nor to the knowledge of the Company, any director, officer, employee, consultant, representative or agent of foregoing, has</w:t>
      </w:r>
    </w:p>
    <w:p>
      <w:pPr>
        <w:spacing w:after="0" w:line="5" w:lineRule="exact"/>
        <w:rPr>
          <w:rFonts w:ascii="Times New Roman" w:cs="Times New Roman" w:eastAsia="Times New Roman" w:hAnsi="Times New Roman"/>
          <w:sz w:val="21"/>
          <w:szCs w:val="21"/>
          <w:color w:val="auto"/>
        </w:rPr>
      </w:pPr>
    </w:p>
    <w:p>
      <w:pPr>
        <w:jc w:val="both"/>
        <w:ind w:left="804"/>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 conducted or initiated any review, audit, or internal investigation that concluded the Company, a subsidiary or any director, officer, employee, consultant, representative or agent of the foregoing violated such laws or committed any material wrongdoing, or (y) made a voluntary, directed, or involuntary disclosure to any Governmental Authority responsible for enforcing anti-bribery or anti-corruption laws, in each case with respect to any alleged act or omission arising under or relating to non-compliance with any such laws, or received any notice, request, or citation from any person alleging non-compliance with any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105410</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9" w:name="page30"/>
    <w:bookmarkEnd w:id="29"/>
    <w:p>
      <w:pPr>
        <w:ind w:left="4744"/>
        <w:spacing w:after="0"/>
        <w:rPr>
          <w:sz w:val="20"/>
          <w:szCs w:val="20"/>
          <w:color w:val="auto"/>
        </w:rPr>
      </w:pPr>
      <w:r>
        <w:rPr>
          <w:rFonts w:ascii="Times New Roman" w:cs="Times New Roman" w:eastAsia="Times New Roman" w:hAnsi="Times New Roman"/>
          <w:sz w:val="22"/>
          <w:szCs w:val="22"/>
          <w:color w:val="auto"/>
        </w:rPr>
        <w:t>- 27 -</w:t>
      </w:r>
    </w:p>
    <w:p>
      <w:pPr>
        <w:spacing w:after="0" w:line="162" w:lineRule="exact"/>
        <w:rPr>
          <w:sz w:val="20"/>
          <w:szCs w:val="20"/>
          <w:color w:val="auto"/>
        </w:rPr>
      </w:pPr>
    </w:p>
    <w:p>
      <w:pPr>
        <w:jc w:val="both"/>
        <w:ind w:left="804" w:hanging="804"/>
        <w:spacing w:after="0" w:line="234" w:lineRule="auto"/>
        <w:tabs>
          <w:tab w:leader="none" w:pos="87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Anti-Money Laundering. </w:t>
      </w:r>
      <w:r>
        <w:rPr>
          <w:rFonts w:ascii="Times New Roman" w:cs="Times New Roman" w:eastAsia="Times New Roman" w:hAnsi="Times New Roman"/>
          <w:sz w:val="22"/>
          <w:szCs w:val="22"/>
          <w:color w:val="auto"/>
        </w:rPr>
        <w:t>The operations of the Company and its Subsidiaries are and have been conducted at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times in material compliance with the requirements of applicable anti-money laundering laws, including, but not limited to the </w:t>
      </w:r>
      <w:r>
        <w:rPr>
          <w:rFonts w:ascii="Times New Roman" w:cs="Times New Roman" w:eastAsia="Times New Roman" w:hAnsi="Times New Roman"/>
          <w:sz w:val="22"/>
          <w:szCs w:val="22"/>
          <w:i w:val="1"/>
          <w:iCs w:val="1"/>
          <w:color w:val="auto"/>
        </w:rPr>
        <w:t>Bank Secrecy Act of 1970</w:t>
      </w:r>
      <w:r>
        <w:rPr>
          <w:rFonts w:ascii="Times New Roman" w:cs="Times New Roman" w:eastAsia="Times New Roman" w:hAnsi="Times New Roman"/>
          <w:sz w:val="22"/>
          <w:szCs w:val="22"/>
          <w:color w:val="auto"/>
        </w:rPr>
        <w:t xml:space="preserve">, as amended by the </w:t>
      </w:r>
      <w:r>
        <w:rPr>
          <w:rFonts w:ascii="Times New Roman" w:cs="Times New Roman" w:eastAsia="Times New Roman" w:hAnsi="Times New Roman"/>
          <w:sz w:val="22"/>
          <w:szCs w:val="22"/>
          <w:i w:val="1"/>
          <w:iCs w:val="1"/>
          <w:color w:val="auto"/>
        </w:rPr>
        <w:t>USA Patriot Act of 2001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Proceeds of Crime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(Money Laundering)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Terrorist Financing Act (Canada)</w:t>
      </w:r>
      <w:r>
        <w:rPr>
          <w:rFonts w:ascii="Times New Roman" w:cs="Times New Roman" w:eastAsia="Times New Roman" w:hAnsi="Times New Roman"/>
          <w:sz w:val="22"/>
          <w:szCs w:val="22"/>
          <w:color w:val="auto"/>
        </w:rPr>
        <w:t>, Part II.1 of the</w:t>
      </w:r>
      <w:r>
        <w:rPr>
          <w:rFonts w:ascii="Times New Roman" w:cs="Times New Roman" w:eastAsia="Times New Roman" w:hAnsi="Times New Roman"/>
          <w:sz w:val="22"/>
          <w:szCs w:val="22"/>
          <w:i w:val="1"/>
          <w:iCs w:val="1"/>
          <w:color w:val="auto"/>
        </w:rPr>
        <w:t xml:space="preserve"> Criminal Code </w:t>
      </w:r>
      <w:r>
        <w:rPr>
          <w:rFonts w:ascii="Times New Roman" w:cs="Times New Roman" w:eastAsia="Times New Roman" w:hAnsi="Times New Roman"/>
          <w:sz w:val="22"/>
          <w:szCs w:val="22"/>
          <w:color w:val="auto"/>
        </w:rPr>
        <w:t>(Canada) and,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case, the rules and regulations promulgated thereunder, and the anti-money laundering laws of the various jurisdictions in which the Company and its Subsidiaries, including any related or similar rules, regulations or guidelines, issued, administered or enforced by any Governmental Authority (collectively, the "</w:t>
      </w:r>
      <w:r>
        <w:rPr>
          <w:rFonts w:ascii="Times New Roman" w:cs="Times New Roman" w:eastAsia="Times New Roman" w:hAnsi="Times New Roman"/>
          <w:sz w:val="22"/>
          <w:szCs w:val="22"/>
          <w:b w:val="1"/>
          <w:bCs w:val="1"/>
          <w:color w:val="auto"/>
        </w:rPr>
        <w:t>Money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Laundering Laws</w:t>
      </w:r>
      <w:r>
        <w:rPr>
          <w:rFonts w:ascii="Times New Roman" w:cs="Times New Roman" w:eastAsia="Times New Roman" w:hAnsi="Times New Roman"/>
          <w:sz w:val="22"/>
          <w:szCs w:val="22"/>
          <w:color w:val="auto"/>
        </w:rPr>
        <w:t>"), and no action, suit or proceeding by or before any court of Governmental Authority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 non-Governmental Authority involving the Company or its Subsidiaries with respect to the Money Laundering Laws is, to the Company's knowledge, pending or threatened.</w:t>
      </w:r>
    </w:p>
    <w:p>
      <w:pPr>
        <w:spacing w:after="0" w:line="152"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Sanctions</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1304" w:hanging="656"/>
        <w:spacing w:after="0" w:line="244" w:lineRule="auto"/>
        <w:tabs>
          <w:tab w:leader="none" w:pos="13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 no Cybin Entity or any director, officer, employee, agent, affiliate or representative of a Cybin Entity, is a government, individual, or entity (in this paragraph (qqq), "</w:t>
      </w:r>
      <w:r>
        <w:rPr>
          <w:rFonts w:ascii="Times New Roman" w:cs="Times New Roman" w:eastAsia="Times New Roman" w:hAnsi="Times New Roman"/>
          <w:sz w:val="22"/>
          <w:szCs w:val="22"/>
          <w:b w:val="1"/>
          <w:bCs w:val="1"/>
          <w:color w:val="auto"/>
        </w:rPr>
        <w:t>Member</w:t>
      </w:r>
      <w:r>
        <w:rPr>
          <w:rFonts w:ascii="Times New Roman" w:cs="Times New Roman" w:eastAsia="Times New Roman" w:hAnsi="Times New Roman"/>
          <w:sz w:val="22"/>
          <w:szCs w:val="22"/>
          <w:color w:val="auto"/>
        </w:rPr>
        <w:t>") that is, or is owned or controlled by a Member that is:</w:t>
      </w:r>
    </w:p>
    <w:p>
      <w:pPr>
        <w:spacing w:after="0" w:line="132" w:lineRule="exact"/>
        <w:rPr>
          <w:rFonts w:ascii="Times New Roman" w:cs="Times New Roman" w:eastAsia="Times New Roman" w:hAnsi="Times New Roman"/>
          <w:sz w:val="22"/>
          <w:szCs w:val="22"/>
          <w:color w:val="auto"/>
        </w:rPr>
      </w:pPr>
    </w:p>
    <w:p>
      <w:pPr>
        <w:jc w:val="both"/>
        <w:ind w:left="1944" w:hanging="648"/>
        <w:spacing w:after="0" w:line="236" w:lineRule="auto"/>
        <w:tabs>
          <w:tab w:leader="none" w:pos="1994"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OFAC, the United Nations Security Council, the European Union, His Majesty's Treasury, the office of the Superintendent of Financial Institutions (Canada), or pursuant to the Special Economic Measures Act (Canada) or other relevant sanctions authorities, including, without limitation, designation on OFAC's Specially Designated Nationals and Blocked Persons List or OFAC's Foreign Sanctions Evaders List (as amended, collectively,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113665</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0" w:name="page31"/>
    <w:bookmarkEnd w:id="30"/>
    <w:p>
      <w:pPr>
        <w:ind w:left="4744"/>
        <w:spacing w:after="0"/>
        <w:rPr>
          <w:sz w:val="20"/>
          <w:szCs w:val="20"/>
          <w:color w:val="auto"/>
        </w:rPr>
      </w:pPr>
      <w:r>
        <w:rPr>
          <w:rFonts w:ascii="Times New Roman" w:cs="Times New Roman" w:eastAsia="Times New Roman" w:hAnsi="Times New Roman"/>
          <w:sz w:val="22"/>
          <w:szCs w:val="22"/>
          <w:color w:val="auto"/>
        </w:rPr>
        <w:t>- 28 -</w:t>
      </w:r>
    </w:p>
    <w:p>
      <w:pPr>
        <w:spacing w:after="0" w:line="166" w:lineRule="exact"/>
        <w:rPr>
          <w:sz w:val="20"/>
          <w:szCs w:val="20"/>
          <w:color w:val="auto"/>
        </w:rPr>
      </w:pPr>
    </w:p>
    <w:p>
      <w:pPr>
        <w:jc w:val="both"/>
        <w:ind w:left="1944" w:hanging="648"/>
        <w:spacing w:after="0" w:line="244" w:lineRule="auto"/>
        <w:tabs>
          <w:tab w:leader="none" w:pos="1986"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that broadly prohibit dealings with that country or territory (including, without limitation, Cuba, Iran, North Korea, Syria, and Russia) (the "</w:t>
      </w:r>
      <w:r>
        <w:rPr>
          <w:rFonts w:ascii="Times New Roman" w:cs="Times New Roman" w:eastAsia="Times New Roman" w:hAnsi="Times New Roman"/>
          <w:sz w:val="22"/>
          <w:szCs w:val="22"/>
          <w:b w:val="1"/>
          <w:bCs w:val="1"/>
          <w:color w:val="auto"/>
        </w:rPr>
        <w:t>Sanctioned Countries</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left="1304" w:hanging="494"/>
        <w:spacing w:after="0" w:line="244" w:lineRule="auto"/>
        <w:tabs>
          <w:tab w:leader="none" w:pos="135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represents and covenants that it will not, directly or indirectly, use the proceeds of the Offering, or lend, contribute or otherwise make available such proceeds to any Subsidiary, joint venture partner or other Member:</w:t>
      </w:r>
    </w:p>
    <w:p>
      <w:pPr>
        <w:spacing w:after="0" w:line="132" w:lineRule="exact"/>
        <w:rPr>
          <w:rFonts w:ascii="Times New Roman" w:cs="Times New Roman" w:eastAsia="Times New Roman" w:hAnsi="Times New Roman"/>
          <w:sz w:val="22"/>
          <w:szCs w:val="22"/>
          <w:color w:val="auto"/>
        </w:rPr>
      </w:pPr>
    </w:p>
    <w:p>
      <w:pPr>
        <w:jc w:val="both"/>
        <w:ind w:left="1944" w:hanging="648"/>
        <w:spacing w:after="0" w:line="282" w:lineRule="auto"/>
        <w:tabs>
          <w:tab w:leader="none" w:pos="1996"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fund or facilitate any activities or business of or with any person in any country or territory that, at the time of such funding or facilitation, is the subject of Sanctions or is a Sanctioned Country; or</w:t>
      </w:r>
    </w:p>
    <w:p>
      <w:pPr>
        <w:spacing w:after="0" w:line="94" w:lineRule="exact"/>
        <w:rPr>
          <w:rFonts w:ascii="Times New Roman" w:cs="Times New Roman" w:eastAsia="Times New Roman" w:hAnsi="Times New Roman"/>
          <w:sz w:val="21"/>
          <w:szCs w:val="21"/>
          <w:color w:val="auto"/>
        </w:rPr>
      </w:pPr>
    </w:p>
    <w:p>
      <w:pPr>
        <w:ind w:left="1944" w:right="20" w:hanging="648"/>
        <w:spacing w:after="0" w:line="258" w:lineRule="auto"/>
        <w:tabs>
          <w:tab w:leader="none" w:pos="1986"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Member (including any Member participating in the Offering, whether as Agent, advisor, investor or otherwise).</w:t>
      </w:r>
    </w:p>
    <w:p>
      <w:pPr>
        <w:spacing w:after="0" w:line="131" w:lineRule="exact"/>
        <w:rPr>
          <w:rFonts w:ascii="Times New Roman" w:cs="Times New Roman" w:eastAsia="Times New Roman" w:hAnsi="Times New Roman"/>
          <w:sz w:val="22"/>
          <w:szCs w:val="22"/>
          <w:color w:val="auto"/>
        </w:rPr>
      </w:pPr>
    </w:p>
    <w:p>
      <w:pPr>
        <w:jc w:val="both"/>
        <w:ind w:left="1304" w:hanging="494"/>
        <w:spacing w:after="0" w:line="239" w:lineRule="auto"/>
        <w:tabs>
          <w:tab w:leader="none" w:pos="135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(to the Company's knowledge in respect of Cybin UK Ltd) represents and covenants that for the past 5 years, it has not engaged in, is not now engaging in, and will not engage in, any dealings or transactions with any Member, or in any country or territory, that at the time of the dealing or transaction is or was the subject of Sanctions or is or was a Sanctioned Country.</w:t>
      </w:r>
    </w:p>
    <w:p>
      <w:pPr>
        <w:spacing w:after="0" w:line="135"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6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Orders. </w:t>
      </w:r>
      <w:r>
        <w:rPr>
          <w:rFonts w:ascii="Times New Roman" w:cs="Times New Roman" w:eastAsia="Times New Roman" w:hAnsi="Times New Roman"/>
          <w:sz w:val="22"/>
          <w:szCs w:val="22"/>
          <w:color w:val="auto"/>
        </w:rPr>
        <w:t>Neither any Securities Commissions nor either of the Exchanges has issued any order preventing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suspending the use of the Prospectus, or preventing the suspending the offer, sale or distribution of the Placement Shares or other securities of the Company in the manner contemplated herein, if any, nor instituted proceedings for that purpose and no such proceedings are pending or, to the knowledge of the Company, contemplated or threatened.</w:t>
      </w:r>
    </w:p>
    <w:p>
      <w:pPr>
        <w:spacing w:after="0" w:line="136" w:lineRule="exact"/>
        <w:rPr>
          <w:rFonts w:ascii="Times New Roman" w:cs="Times New Roman" w:eastAsia="Times New Roman" w:hAnsi="Times New Roman"/>
          <w:sz w:val="22"/>
          <w:szCs w:val="22"/>
          <w:color w:val="auto"/>
        </w:rPr>
      </w:pPr>
    </w:p>
    <w:p>
      <w:pPr>
        <w:jc w:val="both"/>
        <w:ind w:left="804" w:hanging="804"/>
        <w:spacing w:after="0" w:line="233" w:lineRule="auto"/>
        <w:tabs>
          <w:tab w:leader="none" w:pos="8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Certification of Disclosure</w:t>
      </w:r>
      <w:r>
        <w:rPr>
          <w:rFonts w:ascii="Times New Roman" w:cs="Times New Roman" w:eastAsia="Times New Roman" w:hAnsi="Times New Roman"/>
          <w:sz w:val="22"/>
          <w:szCs w:val="22"/>
          <w:color w:val="auto"/>
        </w:rPr>
        <w:t>. There has been no failure on the part of the Company or any of the Company's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or officers, in their capacities as such, to comply in all material respects with any applicable provisions of the Sarbanes-Oxley Act, NI 52-109 and the rules and regulations promulgated thereunder. Each of the principal executive officer and the principal financial officer of the Company (or each former principal executive officer of the Company and each former principal financial officer of the Company as applicable) and each certifying officer of the Company (or each former certifying officer of the Company and each former certifying officer of the Company as applicable) has made all certifications required by Sections 302 and 906 of the Sarbanes-Oxley Act with respect to all reports, schedules, forms, statements and other documents required to be filed by it or furnished by it to the SEC and as required to be made and filed by NI 52-109. For purposes of the preceding sentence, "principal executive officer" and "principal financial officer" shall have the meanings given to such terms in the Sarbanes-Oxley Act and "certifying officer" shall have the meanings given to such term in NI 52-109.</w:t>
      </w:r>
    </w:p>
    <w:p>
      <w:pPr>
        <w:spacing w:after="0" w:line="157"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5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Reporting Issuer and Exchange Status. </w:t>
      </w:r>
      <w:r>
        <w:rPr>
          <w:rFonts w:ascii="Times New Roman" w:cs="Times New Roman" w:eastAsia="Times New Roman" w:hAnsi="Times New Roman"/>
          <w:sz w:val="22"/>
          <w:szCs w:val="22"/>
          <w:color w:val="auto"/>
        </w:rPr>
        <w:t>The Company (i) is a "reporting issuer" (within the meaning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Canadian Securities Laws) in each of the Qualifying Jurisdictions and (ii) is not in default in any material respect of any of the requirements of the Canadian Securities Laws of the Qualifying Jurisdictions. The Company is in compliance in all material respects with the by-laws, rules and regulations of each of the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104140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1" w:name="page32"/>
    <w:bookmarkEnd w:id="31"/>
    <w:p>
      <w:pPr>
        <w:ind w:left="4744"/>
        <w:spacing w:after="0"/>
        <w:rPr>
          <w:sz w:val="20"/>
          <w:szCs w:val="20"/>
          <w:color w:val="auto"/>
        </w:rPr>
      </w:pPr>
      <w:r>
        <w:rPr>
          <w:rFonts w:ascii="Times New Roman" w:cs="Times New Roman" w:eastAsia="Times New Roman" w:hAnsi="Times New Roman"/>
          <w:sz w:val="22"/>
          <w:szCs w:val="22"/>
          <w:color w:val="auto"/>
        </w:rPr>
        <w:t>- 29 -</w:t>
      </w:r>
    </w:p>
    <w:p>
      <w:pPr>
        <w:spacing w:after="0" w:line="162" w:lineRule="exact"/>
        <w:rPr>
          <w:sz w:val="20"/>
          <w:szCs w:val="20"/>
          <w:color w:val="auto"/>
        </w:rPr>
      </w:pPr>
    </w:p>
    <w:p>
      <w:pPr>
        <w:jc w:val="both"/>
        <w:ind w:left="804" w:hanging="804"/>
        <w:spacing w:after="0" w:line="241" w:lineRule="auto"/>
        <w:tabs>
          <w:tab w:leader="none" w:pos="87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Short-Form Eligibility</w:t>
      </w:r>
      <w:r>
        <w:rPr>
          <w:rFonts w:ascii="Times New Roman" w:cs="Times New Roman" w:eastAsia="Times New Roman" w:hAnsi="Times New Roman"/>
          <w:sz w:val="22"/>
          <w:szCs w:val="22"/>
          <w:color w:val="auto"/>
        </w:rPr>
        <w:t>. The Company is qualified under NI 44-101 to file a prospectus in the form of a short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form prospectus in each of the Qualifying Jurisdictions and on the date of and upon filing of the Canadian Prospectus there will be no documents required to be filed under Canadian Securities Laws in connection with the distribution of the Placement Shares that will not have been filed as required.</w:t>
      </w:r>
    </w:p>
    <w:p>
      <w:pPr>
        <w:spacing w:after="0" w:line="144" w:lineRule="exact"/>
        <w:rPr>
          <w:rFonts w:ascii="Times New Roman" w:cs="Times New Roman" w:eastAsia="Times New Roman" w:hAnsi="Times New Roman"/>
          <w:sz w:val="22"/>
          <w:szCs w:val="22"/>
          <w:color w:val="auto"/>
        </w:rPr>
      </w:pPr>
    </w:p>
    <w:p>
      <w:pPr>
        <w:ind w:left="804" w:hanging="804"/>
        <w:spacing w:after="0" w:line="262" w:lineRule="auto"/>
        <w:tabs>
          <w:tab w:leader="none" w:pos="87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Market Capitalization</w:t>
      </w:r>
      <w:r>
        <w:rPr>
          <w:rFonts w:ascii="Times New Roman" w:cs="Times New Roman" w:eastAsia="Times New Roman" w:hAnsi="Times New Roman"/>
          <w:sz w:val="22"/>
          <w:szCs w:val="22"/>
          <w:color w:val="auto"/>
        </w:rPr>
        <w:t>. At the time the Registration Statement was initially filed, the Company met the then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requirements for the use of Form F-10 under the U.S. Securities Act.</w:t>
      </w:r>
    </w:p>
    <w:p>
      <w:pPr>
        <w:spacing w:after="0" w:line="109"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9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Material Defaults</w:t>
      </w:r>
      <w:r>
        <w:rPr>
          <w:rFonts w:ascii="Times New Roman" w:cs="Times New Roman" w:eastAsia="Times New Roman" w:hAnsi="Times New Roman"/>
          <w:sz w:val="22"/>
          <w:szCs w:val="22"/>
          <w:color w:val="auto"/>
        </w:rPr>
        <w:t>. Neither the Company nor any of the Subsidiaries has defaulted on any installment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40-F,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35"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87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Prospectus. </w:t>
      </w:r>
      <w:r>
        <w:rPr>
          <w:rFonts w:ascii="Times New Roman" w:cs="Times New Roman" w:eastAsia="Times New Roman" w:hAnsi="Times New Roman"/>
          <w:sz w:val="22"/>
          <w:szCs w:val="22"/>
          <w:color w:val="auto"/>
        </w:rPr>
        <w:t>The information and statements contained in the Offering Documents (except information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statements relating solely to the Agents and furnished by them in writing specifically for use therein) will, at the time of delivery of the Prospectus Supplement: (i) be true and correct in all material respects; (ii) contain no misrepresentation relating to the Company and its Subsidiaries or the Offering and will be in compliance with applicable Canadian Securities Laws in all material respects; and (iii) not omit any material fact or information which is necessary to make the statements or information contained therein not misleading in light of the circumstances under which they were made.</w:t>
      </w:r>
    </w:p>
    <w:p>
      <w:pPr>
        <w:spacing w:after="0" w:line="148"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87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No forward-looking statement (within the meaning of Section 27A of the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Securities Act and Section 21E of the Exchange Act and no forward looking information within the meaning of Section 1(1) of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 contained or incorporated by reference in the Registration Statement, the Prospectuses or the Time of Sale Prospectus has been made or reaffirmed without a reasonable basis or has been disclosed other than in good faith. The Company has a reasonable basis for disclosing any forward-looking or future-oriented financial information contained in the Offering Documents and is not, as at the date hereof, required to update any such forward-looking information pursuant to NI 51-102.</w:t>
      </w:r>
    </w:p>
    <w:p>
      <w:pPr>
        <w:spacing w:after="0" w:line="135"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87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Continuous Disclosure Obligations</w:t>
      </w:r>
      <w:r>
        <w:rPr>
          <w:rFonts w:ascii="Times New Roman" w:cs="Times New Roman" w:eastAsia="Times New Roman" w:hAnsi="Times New Roman"/>
          <w:sz w:val="22"/>
          <w:szCs w:val="22"/>
          <w:color w:val="auto"/>
        </w:rPr>
        <w:t>. Except as provided herein, the Company is in compliance in all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respects with its continuous and timely disclosure obligations under Canadian Securities Laws and the rules and regulations of the Exchanges and has filed all documents required to be filed by it with the Securities Commissions under applicable Canadian Securities Laws, and no document has been filed on a confidential basis with the Securities Commissions that remains confidential at the date hereof. None of the documents filed in accordance with applicable Canadian Securities Laws contained, as at the date of filing thereof, a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103505</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2" w:name="page33"/>
    <w:bookmarkEnd w:id="32"/>
    <w:p>
      <w:pPr>
        <w:ind w:left="4744"/>
        <w:spacing w:after="0"/>
        <w:rPr>
          <w:sz w:val="20"/>
          <w:szCs w:val="20"/>
          <w:color w:val="auto"/>
        </w:rPr>
      </w:pPr>
      <w:r>
        <w:rPr>
          <w:rFonts w:ascii="Times New Roman" w:cs="Times New Roman" w:eastAsia="Times New Roman" w:hAnsi="Times New Roman"/>
          <w:sz w:val="22"/>
          <w:szCs w:val="22"/>
          <w:color w:val="auto"/>
        </w:rPr>
        <w:t>- 30 -</w:t>
      </w:r>
    </w:p>
    <w:p>
      <w:pPr>
        <w:spacing w:after="0" w:line="162" w:lineRule="exact"/>
        <w:rPr>
          <w:sz w:val="20"/>
          <w:szCs w:val="20"/>
          <w:color w:val="auto"/>
        </w:rPr>
      </w:pPr>
    </w:p>
    <w:p>
      <w:pPr>
        <w:jc w:val="both"/>
        <w:ind w:left="804" w:hanging="804"/>
        <w:spacing w:after="0" w:line="235" w:lineRule="auto"/>
        <w:tabs>
          <w:tab w:leader="none" w:pos="89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Exchange Compliance</w:t>
      </w:r>
      <w:r>
        <w:rPr>
          <w:rFonts w:ascii="Times New Roman" w:cs="Times New Roman" w:eastAsia="Times New Roman" w:hAnsi="Times New Roman"/>
          <w:sz w:val="22"/>
          <w:szCs w:val="22"/>
          <w:color w:val="auto"/>
        </w:rPr>
        <w:t>. The Company is in compliance in all material respects with the by-laws, policies, rules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regulations of the Exchanges existing on the date hereof. The Placement Shares will be listed and posted for trading on the Exchanges and neither the Company nor the Subsidiaries has taken any action which would reasonably be expected to result in the delisting or suspension of the Shares on or from the Exchanges. All necessary notices and filings have been made by the Company with the Exchanges to reasonably ensure that the Placement Shares will be listed and posted for trading on the Exchanges upon their issuance other than the filing of certain standard documents with the Exchanges, which documents shall be filed within any deadline imposed by the Exchanges.</w:t>
      </w:r>
    </w:p>
    <w:p>
      <w:pPr>
        <w:spacing w:after="0" w:line="151"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9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Filings</w:t>
      </w:r>
      <w:r>
        <w:rPr>
          <w:rFonts w:ascii="Times New Roman" w:cs="Times New Roman" w:eastAsia="Times New Roman" w:hAnsi="Times New Roman"/>
          <w:sz w:val="21"/>
          <w:szCs w:val="21"/>
          <w:color w:val="auto"/>
        </w:rPr>
        <w:t>. The Company has filed all documents or information required to be filed or furnished by it 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Canadian Securities Laws, U.S. Securities Laws, and the rules, regulations and policies of the Exchanges, except where the failure to file or furnish such documents or information will not have a Material Adverse Effect, either individually or in the aggregate; all material change reports, annual information forms, financial statements, management proxy circulars and other documents filed by or on behalf of the Company with the Exchanges, the SEC and the Securities Commissions, as of its date, did not contain any untrue statement of a material fact or omit to state a material fact required to be stated therein or necessary to make the statements therein, in light of the circumstances under which they were made, not misleading and did not contain a misrepresentation at the time at which it was filed; the Company has not filed any confidential material change report or any document requesting confidential treatment with any Governmental Authority that at the date hereof remains confidential.</w:t>
      </w:r>
    </w:p>
    <w:p>
      <w:pPr>
        <w:spacing w:after="0" w:line="130" w:lineRule="exact"/>
        <w:rPr>
          <w:rFonts w:ascii="Times New Roman" w:cs="Times New Roman" w:eastAsia="Times New Roman" w:hAnsi="Times New Roman"/>
          <w:sz w:val="21"/>
          <w:szCs w:val="21"/>
          <w:color w:val="auto"/>
        </w:rPr>
      </w:pPr>
    </w:p>
    <w:p>
      <w:pPr>
        <w:jc w:val="both"/>
        <w:ind w:left="804" w:hanging="804"/>
        <w:spacing w:after="0" w:line="247" w:lineRule="auto"/>
        <w:tabs>
          <w:tab w:leader="none" w:pos="89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Acquisitions</w:t>
      </w:r>
      <w:r>
        <w:rPr>
          <w:rFonts w:ascii="Times New Roman" w:cs="Times New Roman" w:eastAsia="Times New Roman" w:hAnsi="Times New Roman"/>
          <w:sz w:val="21"/>
          <w:szCs w:val="21"/>
          <w:color w:val="auto"/>
        </w:rPr>
        <w:t>. Except as disclosed in the Prospectuses, no Cybin Entity has made any significant acquisition,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term is defined in Part 8 of NI 51-102 and used in NI 44-101, in its current financial year or prior financial years in respect of which historical and/or pro forma financial statements or other information would be required to be included or incorporated by reference into the Prospectuses and for which a business acquisition report has not been filed under NI 51-102, the Company has not entered into any agreement or arrangement in respect of a transaction that would be a significant acquisition for purposes of Part 8 of NI 51-102 and there are no proposed acquisitions by the Company that have progressed to the state where a reasonable person would believe that the likelihood of the Company completing the acquisition is high and would be a significant acquisition for the purposes of Part 8 of NI 51-102 if completed as of the date of the Prospectuses.</w:t>
      </w:r>
    </w:p>
    <w:p>
      <w:pPr>
        <w:spacing w:after="0" w:line="125" w:lineRule="exact"/>
        <w:rPr>
          <w:rFonts w:ascii="Times New Roman" w:cs="Times New Roman" w:eastAsia="Times New Roman" w:hAnsi="Times New Roman"/>
          <w:sz w:val="21"/>
          <w:szCs w:val="21"/>
          <w:color w:val="auto"/>
        </w:rPr>
      </w:pPr>
    </w:p>
    <w:p>
      <w:pPr>
        <w:jc w:val="both"/>
        <w:ind w:left="804" w:hanging="804"/>
        <w:spacing w:after="0" w:line="234" w:lineRule="auto"/>
        <w:tabs>
          <w:tab w:leader="none" w:pos="89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Incorporated Documents</w:t>
      </w:r>
      <w:r>
        <w:rPr>
          <w:rFonts w:ascii="Times New Roman" w:cs="Times New Roman" w:eastAsia="Times New Roman" w:hAnsi="Times New Roman"/>
          <w:sz w:val="22"/>
          <w:szCs w:val="22"/>
          <w:color w:val="auto"/>
        </w:rPr>
        <w:t>. The documents incorporated or deemed to be incorporated by reference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Prospectuses, the Time of Sale Prospectus and the Registration Statement, when they were filed with the Securities Commissions or the SEC under the U.S. Securities Act or the Exchange Act, conformed in all material respects to the requirements of the Canadian Securities Laws or U.S. Securities Laws, as applicable; and any further documents to be incorporated by reference in the Prospectuses, the Time of Sale Prospectus or the Registration Statement subsequent to the effectiveness of the Registration Statement and prior to the completion of the distribution of the Placement Shares, when such documents are so filed, will conform in all material respects to the applicable requirements of Canadian Securities Laws and U.S. Securities Laws, as applicable, and will not contain a misrepresentation or an untrue statement of a material fact or omit to state a material fact required to be stated therein or necessary to make the statements therein, in the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112395</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3" w:name="page34"/>
    <w:bookmarkEnd w:id="33"/>
    <w:p>
      <w:pPr>
        <w:ind w:left="4744"/>
        <w:spacing w:after="0"/>
        <w:rPr>
          <w:sz w:val="20"/>
          <w:szCs w:val="20"/>
          <w:color w:val="auto"/>
        </w:rPr>
      </w:pPr>
      <w:r>
        <w:rPr>
          <w:rFonts w:ascii="Times New Roman" w:cs="Times New Roman" w:eastAsia="Times New Roman" w:hAnsi="Times New Roman"/>
          <w:sz w:val="22"/>
          <w:szCs w:val="22"/>
          <w:color w:val="auto"/>
        </w:rPr>
        <w:t>- 31 -</w:t>
      </w:r>
    </w:p>
    <w:p>
      <w:pPr>
        <w:spacing w:after="0" w:line="162" w:lineRule="exact"/>
        <w:rPr>
          <w:sz w:val="20"/>
          <w:szCs w:val="20"/>
          <w:color w:val="auto"/>
        </w:rPr>
      </w:pPr>
    </w:p>
    <w:p>
      <w:pPr>
        <w:jc w:val="both"/>
        <w:ind w:left="804" w:hanging="804"/>
        <w:spacing w:after="0" w:line="234" w:lineRule="auto"/>
        <w:tabs>
          <w:tab w:leader="none" w:pos="8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Except as disclosed in the Offering Documents, none of the directors, officers or employees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any known holder of more than 10% of any class of securities of the Company or securities of any person exchangeable for more than 10% of any class of securities of the Company, or any known associate or affiliate of any of the foregoing persons or companies (as such terms are defined in the Securities Act), has had any material interest, direct or indirect, in any material transaction with the Company since the incorporation of the Company, or any proposed material transaction which, as the case may be, materially affected or is reasonably expected to materially affect the Company and any Subsidiary, on a consolidated basis. Neither the Company nor any Subsidiary has any material loans or other indebtedness outstanding which has been made to any of its shareholders, officers, directors or employees, past or present, or any person not dealing at "arm's length" (within the meaning of the Tax Act) with them.</w:t>
      </w:r>
    </w:p>
    <w:p>
      <w:pPr>
        <w:spacing w:after="0" w:line="152"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7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Changes. </w:t>
      </w:r>
      <w:r>
        <w:rPr>
          <w:rFonts w:ascii="Times New Roman" w:cs="Times New Roman" w:eastAsia="Times New Roman" w:hAnsi="Times New Roman"/>
          <w:sz w:val="22"/>
          <w:szCs w:val="22"/>
          <w:color w:val="auto"/>
        </w:rPr>
        <w:t>Except as disclosed in the Prospectuses, since September 30, 2025 (i) there has been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change in the assets, liabilities, obligations (absolute, accrued, contingent or otherwise) business, condition (financial or otherwise), properties, capital or results of operations of the Company and the Subsidiaries considered as one enterprise, and (ii) there have been no transactions entered into by the Company or the Subsidiaries, other than those in the Ordinary Course of Business, which are material with respect to the Company and the Subsidiaries considered as one enterprise.</w:t>
      </w:r>
    </w:p>
    <w:p>
      <w:pPr>
        <w:spacing w:after="0" w:line="134"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90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Dividends</w:t>
      </w:r>
      <w:r>
        <w:rPr>
          <w:rFonts w:ascii="Times New Roman" w:cs="Times New Roman" w:eastAsia="Times New Roman" w:hAnsi="Times New Roman"/>
          <w:sz w:val="22"/>
          <w:szCs w:val="22"/>
          <w:color w:val="auto"/>
        </w:rPr>
        <w:t>. During the previous 12 months, the Company has not, directly or indirectly, declared or paid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dividend, or declared or made any other distribution on any of its shares or securities of any class, or, directly or indirectly, redeemed, purchased or otherwise acquired any of its Shares or other securities, or agreed to do any of the foregoing. There are no restrictions upon the declaration or payment of dividends by the directors of the Company or the payment of dividends by the Company in its constating documents.</w:t>
      </w:r>
    </w:p>
    <w:p>
      <w:pPr>
        <w:spacing w:after="0" w:line="136"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9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Fees and Commissions</w:t>
      </w:r>
      <w:r>
        <w:rPr>
          <w:rFonts w:ascii="Times New Roman" w:cs="Times New Roman" w:eastAsia="Times New Roman" w:hAnsi="Times New Roman"/>
          <w:sz w:val="22"/>
          <w:szCs w:val="22"/>
          <w:color w:val="auto"/>
        </w:rPr>
        <w:t>. Other than the Agents (and their selling group members) pursuant to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 is no other person acting at the request of the Company, or to the knowledge of the Company, purporting to act, who is entitled to any brokerage, agency or other fiscal advisory or similar fee in connection with the Offering or transactions contemplated herein.</w:t>
      </w:r>
    </w:p>
    <w:p>
      <w:pPr>
        <w:spacing w:after="0" w:line="144" w:lineRule="exact"/>
        <w:rPr>
          <w:rFonts w:ascii="Times New Roman" w:cs="Times New Roman" w:eastAsia="Times New Roman" w:hAnsi="Times New Roman"/>
          <w:sz w:val="22"/>
          <w:szCs w:val="22"/>
          <w:color w:val="auto"/>
        </w:rPr>
      </w:pPr>
    </w:p>
    <w:p>
      <w:pPr>
        <w:jc w:val="both"/>
        <w:ind w:left="804" w:hanging="804"/>
        <w:spacing w:after="0" w:line="256" w:lineRule="auto"/>
        <w:tabs>
          <w:tab w:leader="none" w:pos="87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Broker/Dealer Relationships</w:t>
      </w:r>
      <w:r>
        <w:rPr>
          <w:rFonts w:ascii="Times New Roman" w:cs="Times New Roman" w:eastAsia="Times New Roman" w:hAnsi="Times New Roman"/>
          <w:sz w:val="21"/>
          <w:szCs w:val="21"/>
          <w:color w:val="auto"/>
        </w:rPr>
        <w:t>. Neither the Company nor any of the Subsidiaries or any related entities (i)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required to register as a "broker" or "dealer" under Securities Laws or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92075</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4" w:name="page35"/>
    <w:bookmarkEnd w:id="34"/>
    <w:p>
      <w:pPr>
        <w:ind w:left="4744"/>
        <w:spacing w:after="0"/>
        <w:rPr>
          <w:sz w:val="20"/>
          <w:szCs w:val="20"/>
          <w:color w:val="auto"/>
        </w:rPr>
      </w:pPr>
      <w:r>
        <w:rPr>
          <w:rFonts w:ascii="Times New Roman" w:cs="Times New Roman" w:eastAsia="Times New Roman" w:hAnsi="Times New Roman"/>
          <w:sz w:val="22"/>
          <w:szCs w:val="22"/>
          <w:color w:val="auto"/>
        </w:rPr>
        <w:t>- 32 -</w:t>
      </w:r>
    </w:p>
    <w:p>
      <w:pPr>
        <w:spacing w:after="0" w:line="162" w:lineRule="exact"/>
        <w:rPr>
          <w:sz w:val="20"/>
          <w:szCs w:val="20"/>
          <w:color w:val="auto"/>
        </w:rPr>
      </w:pPr>
    </w:p>
    <w:p>
      <w:pPr>
        <w:jc w:val="both"/>
        <w:ind w:left="804" w:hanging="804"/>
        <w:spacing w:after="0" w:line="234" w:lineRule="auto"/>
        <w:tabs>
          <w:tab w:leader="none" w:pos="86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Due Diligence Session. </w:t>
      </w:r>
      <w:r>
        <w:rPr>
          <w:rFonts w:ascii="Times New Roman" w:cs="Times New Roman" w:eastAsia="Times New Roman" w:hAnsi="Times New Roman"/>
          <w:sz w:val="22"/>
          <w:szCs w:val="22"/>
          <w:color w:val="auto"/>
        </w:rPr>
        <w:t>(i) The responses given by the Company and its officers at all oral due diligence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sessions conducted by the Agents in connection with the Offering, as they relate to matters of fact, have been and shall continue to be true and correct in all material respects as at the time such responses have been or are given, as the case may be, and such responses taken as a whole have not and shall not omit any fact or information necessary to make any of the responses not misleading in light of the circumstances in which such response were given or shall be given, as the case may be; and (ii) where the responses reflect the opinion or view of the Company or its officers (including responses or portions of such responses which are forward-looking or otherwise relating to projections, forecasts, or estimates of future performance or results (operating, financial or otherwise)), such opinions or views have been and will be honestly held and believed to be reasonable at the time they are given.</w:t>
      </w:r>
    </w:p>
    <w:p>
      <w:pPr>
        <w:spacing w:after="0" w:line="152"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89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Price Stabilization or Manipulation; Compliance with Regulation M</w:t>
      </w:r>
      <w:r>
        <w:rPr>
          <w:rFonts w:ascii="Times New Roman" w:cs="Times New Roman" w:eastAsia="Times New Roman" w:hAnsi="Times New Roman"/>
          <w:sz w:val="22"/>
          <w:szCs w:val="22"/>
          <w:color w:val="auto"/>
        </w:rPr>
        <w:t>. The Company, nor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nor to the knowledge of the Company any of their respective directors or officers, has not taken, directly or indirectly, any action designed to or that might be reasonably expected to cause or result in stabilization or manipulation of the price of the Shares, as applicable, or any other "reference security" (as defined in Rule 100 of Regulation M under the Exchange Act ("</w:t>
      </w:r>
      <w:r>
        <w:rPr>
          <w:rFonts w:ascii="Times New Roman" w:cs="Times New Roman" w:eastAsia="Times New Roman" w:hAnsi="Times New Roman"/>
          <w:sz w:val="22"/>
          <w:szCs w:val="22"/>
          <w:b w:val="1"/>
          <w:bCs w:val="1"/>
          <w:color w:val="auto"/>
        </w:rPr>
        <w:t>Regulation M</w:t>
      </w:r>
      <w:r>
        <w:rPr>
          <w:rFonts w:ascii="Times New Roman" w:cs="Times New Roman" w:eastAsia="Times New Roman" w:hAnsi="Times New Roman"/>
          <w:sz w:val="22"/>
          <w:szCs w:val="22"/>
          <w:color w:val="auto"/>
        </w:rPr>
        <w:t>")) whether to facilitate the sale or resale of the Placement Shares, as applicable, or otherwise, and has taken no action which would directly or indirectly violate Regulation M.</w:t>
      </w:r>
    </w:p>
    <w:p>
      <w:pPr>
        <w:spacing w:after="0" w:line="135"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6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Advice</w:t>
      </w:r>
      <w:r>
        <w:rPr>
          <w:rFonts w:ascii="Times New Roman" w:cs="Times New Roman" w:eastAsia="Times New Roman" w:hAnsi="Times New Roman"/>
          <w:sz w:val="22"/>
          <w:szCs w:val="22"/>
          <w:color w:val="auto"/>
        </w:rPr>
        <w:t>. The Company has not relied upon the Agents or legal counsel for the Agents for any legal, tax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accounting advice in connection with the Offering and sale of the Placement Shares. All advice (written or oral) given by the Agents in connection with the Agents' engagement is intended solely for the benefit and use of the Company, and no such advice shall be used for any other purpose or reproduced, disseminated, quoted from or referred to at any time, in any manner or for any purpose, nor shall any public references to the Agents be made by or on behalf of the Company, except as required by Applicable Law (in which case the content of such disclosures must be approved by the Agents, such approval not to be unreasonably withheld, conditioned, or delayed).</w:t>
      </w:r>
    </w:p>
    <w:p>
      <w:pPr>
        <w:spacing w:after="0" w:line="137" w:lineRule="exact"/>
        <w:rPr>
          <w:rFonts w:ascii="Times New Roman" w:cs="Times New Roman" w:eastAsia="Times New Roman" w:hAnsi="Times New Roman"/>
          <w:sz w:val="22"/>
          <w:szCs w:val="22"/>
          <w:color w:val="auto"/>
        </w:rPr>
      </w:pPr>
    </w:p>
    <w:p>
      <w:pPr>
        <w:ind w:left="1424" w:hanging="1424"/>
        <w:spacing w:after="0"/>
        <w:tabs>
          <w:tab w:leader="none" w:pos="142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Improper Practices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1324" w:hanging="676"/>
        <w:spacing w:after="0"/>
        <w:tabs>
          <w:tab w:leader="none" w:pos="132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improper practices:</w:t>
      </w:r>
    </w:p>
    <w:p>
      <w:pPr>
        <w:spacing w:after="0" w:line="165" w:lineRule="exact"/>
        <w:rPr>
          <w:rFonts w:ascii="Times New Roman" w:cs="Times New Roman" w:eastAsia="Times New Roman" w:hAnsi="Times New Roman"/>
          <w:sz w:val="22"/>
          <w:szCs w:val="22"/>
          <w:color w:val="auto"/>
        </w:rPr>
      </w:pPr>
    </w:p>
    <w:p>
      <w:pPr>
        <w:jc w:val="both"/>
        <w:ind w:left="1944" w:hanging="648"/>
        <w:spacing w:after="0" w:line="235" w:lineRule="auto"/>
        <w:tabs>
          <w:tab w:leader="none" w:pos="199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the Subsidiaries nor any of their employees or agents have made any unlawful contribution or other payment to any official of, or candidate for, any federal, state, provincial or foreign office, or failed to disclose fully any contribution in violation of any law, or made any payment to any foreign, Canadian, provincial or governmental officer or official, or other person charged with similar public or quasi-public duties, other than payments required or permitted by applicable laws, in a manner that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106045</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5" w:name="page36"/>
    <w:bookmarkEnd w:id="35"/>
    <w:p>
      <w:pPr>
        <w:ind w:left="4280"/>
        <w:spacing w:after="0"/>
        <w:rPr>
          <w:sz w:val="20"/>
          <w:szCs w:val="20"/>
          <w:color w:val="auto"/>
        </w:rPr>
      </w:pPr>
      <w:r>
        <w:rPr>
          <w:rFonts w:ascii="Times New Roman" w:cs="Times New Roman" w:eastAsia="Times New Roman" w:hAnsi="Times New Roman"/>
          <w:sz w:val="22"/>
          <w:szCs w:val="22"/>
          <w:color w:val="auto"/>
        </w:rPr>
        <w:t>- 33 -</w:t>
      </w:r>
    </w:p>
    <w:p>
      <w:pPr>
        <w:spacing w:after="0" w:line="166" w:lineRule="exact"/>
        <w:rPr>
          <w:sz w:val="20"/>
          <w:szCs w:val="20"/>
          <w:color w:val="auto"/>
        </w:rPr>
      </w:pPr>
    </w:p>
    <w:p>
      <w:pPr>
        <w:jc w:val="both"/>
        <w:ind w:left="1480" w:hanging="648"/>
        <w:spacing w:after="0" w:line="236" w:lineRule="auto"/>
        <w:tabs>
          <w:tab w:leader="none" w:pos="153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relationship, direct or indirect, exists between or among the Company or, to the Company's knowledge, any Subsidiary or any affiliate of any of them, on the one hand, and the directors, officers and shareholders of the Company or, to the Company's knowledge, any Subsidiary, on the other hand, that is required by the Securities Act or Canadian Securities Laws to be described in the Registration Statement or included or incorporated by reference in the Preliminary Prospectuses, the Time of Sale Prospectus and the Prospectuses that is not so described;</w:t>
      </w:r>
    </w:p>
    <w:p>
      <w:pPr>
        <w:spacing w:after="0" w:line="154" w:lineRule="exact"/>
        <w:rPr>
          <w:rFonts w:ascii="Times New Roman" w:cs="Times New Roman" w:eastAsia="Times New Roman" w:hAnsi="Times New Roman"/>
          <w:sz w:val="22"/>
          <w:szCs w:val="22"/>
          <w:color w:val="auto"/>
        </w:rPr>
      </w:pPr>
    </w:p>
    <w:p>
      <w:pPr>
        <w:jc w:val="both"/>
        <w:ind w:left="1480" w:hanging="648"/>
        <w:spacing w:after="0" w:line="236" w:lineRule="auto"/>
        <w:tabs>
          <w:tab w:leader="none" w:pos="152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relationship, direct or indirect, exists between or among the Company or any Subsidiary or any affiliate of them, on the one hand, and the directors, officers, or shareholders of the Company or, to the Company's knowledge, any Subsidiary, on the other hand, that is required by the rules of FINRA (or Canadian equivalent thereof) to be described in the Registration Statement or included or incorporated by reference in the Preliminary Prospectuses, the Time of Sale Prospectus and the Prospectuses that is not so described;</w:t>
      </w:r>
    </w:p>
    <w:p>
      <w:pPr>
        <w:spacing w:after="0" w:line="140" w:lineRule="exact"/>
        <w:rPr>
          <w:rFonts w:ascii="Times New Roman" w:cs="Times New Roman" w:eastAsia="Times New Roman" w:hAnsi="Times New Roman"/>
          <w:sz w:val="22"/>
          <w:szCs w:val="22"/>
          <w:color w:val="auto"/>
        </w:rPr>
      </w:pPr>
    </w:p>
    <w:p>
      <w:pPr>
        <w:jc w:val="both"/>
        <w:ind w:left="1480" w:hanging="648"/>
        <w:spacing w:after="0" w:line="238" w:lineRule="auto"/>
        <w:tabs>
          <w:tab w:leader="none" w:pos="15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indebted or under any obligation to any of its respective directors, officers or shareholders, on any account whatsoever, other than for (i) payment of salary, directors' fees, bonus and other employment or consulting compensation, (ii) reimbursement for expenses duly incurred in connection with the business of the Company, and (iii) for other standard employee benefits made generally available to all employees; and</w:t>
      </w:r>
    </w:p>
    <w:p>
      <w:pPr>
        <w:spacing w:after="0" w:line="136" w:lineRule="exact"/>
        <w:rPr>
          <w:rFonts w:ascii="Times New Roman" w:cs="Times New Roman" w:eastAsia="Times New Roman" w:hAnsi="Times New Roman"/>
          <w:sz w:val="22"/>
          <w:szCs w:val="22"/>
          <w:color w:val="auto"/>
        </w:rPr>
      </w:pPr>
    </w:p>
    <w:p>
      <w:pPr>
        <w:jc w:val="both"/>
        <w:ind w:left="1480" w:hanging="648"/>
        <w:spacing w:after="0" w:line="233" w:lineRule="auto"/>
        <w:tabs>
          <w:tab w:leader="none" w:pos="152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Company or any of its Subsidiaries and the businesses now run by the Company or any of its Subsidiaries, and none of the directors, officers, supervisors, managers, agents, employees or other persons associated with or acting on behalf of the Company or any of its Subsidiaries has, to their knowledge (i) made or authorized any contribution, payment or gift of funds, property or anything else of value to any official, employee or agent of any Governmental Authority, agency or instrumentality in the United States of America or any other jurisdiction, (ii) used any corporate funds, or made any direct or indirect unlawful payment from corporate funds, to any foreign or domestic government official or employee or for any unlawful contribution, gift, entertainment or other unlawful expense relating to political activity; (iii) violated or is in violation of any provision of the </w:t>
      </w:r>
      <w:r>
        <w:rPr>
          <w:rFonts w:ascii="Times New Roman" w:cs="Times New Roman" w:eastAsia="Times New Roman" w:hAnsi="Times New Roman"/>
          <w:sz w:val="22"/>
          <w:szCs w:val="22"/>
          <w:i w:val="1"/>
          <w:iCs w:val="1"/>
          <w:color w:val="auto"/>
        </w:rPr>
        <w:t>United States Foreign Corrupt Practices Act of 1977</w:t>
      </w:r>
      <w:r>
        <w:rPr>
          <w:rFonts w:ascii="Times New Roman" w:cs="Times New Roman" w:eastAsia="Times New Roman" w:hAnsi="Times New Roman"/>
          <w:sz w:val="22"/>
          <w:szCs w:val="22"/>
          <w:color w:val="auto"/>
        </w:rPr>
        <w:t xml:space="preserve"> or the </w:t>
      </w:r>
      <w:r>
        <w:rPr>
          <w:rFonts w:ascii="Times New Roman" w:cs="Times New Roman" w:eastAsia="Times New Roman" w:hAnsi="Times New Roman"/>
          <w:sz w:val="22"/>
          <w:szCs w:val="22"/>
          <w:i w:val="1"/>
          <w:iCs w:val="1"/>
          <w:color w:val="auto"/>
        </w:rPr>
        <w:t>Corruption of Foreign Public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Officials Act </w:t>
      </w:r>
      <w:r>
        <w:rPr>
          <w:rFonts w:ascii="Times New Roman" w:cs="Times New Roman" w:eastAsia="Times New Roman" w:hAnsi="Times New Roman"/>
          <w:sz w:val="22"/>
          <w:szCs w:val="22"/>
          <w:color w:val="auto"/>
        </w:rPr>
        <w:t>(Canada), including making any contribution to any candidate for public office,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either case, where either the payment or gift or the purpose of such contribution, payment or gift was or is prohibited under the foregoing or any other applicable law, rule or regulation of any locality; or (iv) made any bribe, rebate, payoff, influence payment, kickback or other unlawful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110490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2"/>
          <w:szCs w:val="22"/>
          <w:color w:val="auto"/>
        </w:rPr>
        <w:t>- 34 -</w:t>
      </w:r>
    </w:p>
    <w:p>
      <w:pPr>
        <w:spacing w:after="0" w:line="166" w:lineRule="exact"/>
        <w:rPr>
          <w:sz w:val="20"/>
          <w:szCs w:val="20"/>
          <w:color w:val="auto"/>
        </w:rPr>
      </w:pPr>
    </w:p>
    <w:p>
      <w:pPr>
        <w:jc w:val="both"/>
        <w:ind w:left="1960" w:hanging="656"/>
        <w:spacing w:after="0" w:line="235" w:lineRule="auto"/>
        <w:tabs>
          <w:tab w:leader="none" w:pos="20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help the United States government fight the funding of terrorism and money laundering activities, the federal laws of the United States require all financial institutions to obtain, verify and record information that identifies each person with whom they do business as a condition to doing such business. To permit compliance with this requirement, upon request the Company will provide the Agents with information or documents sufficient to verify the Company's identity, including (as appropriate) a government-issued identification number, a government-issued business license, a certified charter, certificate of incorporation, partnership agreement or trust instrument and other constituent documents.</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covenants and agrees with the Agents that:</w:t>
      </w:r>
    </w:p>
    <w:p>
      <w:pPr>
        <w:spacing w:after="0" w:line="166" w:lineRule="exact"/>
        <w:rPr>
          <w:sz w:val="20"/>
          <w:szCs w:val="20"/>
          <w:color w:val="auto"/>
        </w:rPr>
      </w:pPr>
    </w:p>
    <w:p>
      <w:pPr>
        <w:jc w:val="both"/>
        <w:ind w:left="1300" w:hanging="644"/>
        <w:spacing w:after="0" w:line="243" w:lineRule="auto"/>
        <w:tabs>
          <w:tab w:leader="none" w:pos="132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Prospectus and Registration Statement Amendments</w:t>
      </w:r>
      <w:r>
        <w:rPr>
          <w:rFonts w:ascii="Times New Roman" w:cs="Times New Roman" w:eastAsia="Times New Roman" w:hAnsi="Times New Roman"/>
          <w:sz w:val="21"/>
          <w:szCs w:val="21"/>
          <w:color w:val="auto"/>
        </w:rPr>
        <w:t>. After the date of this Agreement and until the completion of the sales contemplated hereunder, (i) the Company will notify the Agents promptly of the time when any subsequent amendment to the Canadian Prospectus Supplement or the U.S. Prospectus Supplement has been filed with any Securities Commission or the SEC and has been declared or become effective or where a receipt has been issued therefor, as applicable (each, an "</w:t>
      </w:r>
      <w:r>
        <w:rPr>
          <w:rFonts w:ascii="Times New Roman" w:cs="Times New Roman" w:eastAsia="Times New Roman" w:hAnsi="Times New Roman"/>
          <w:sz w:val="21"/>
          <w:szCs w:val="21"/>
          <w:b w:val="1"/>
          <w:bCs w:val="1"/>
          <w:color w:val="auto"/>
        </w:rPr>
        <w:t>Amendment Date</w:t>
      </w:r>
      <w:r>
        <w:rPr>
          <w:rFonts w:ascii="Times New Roman" w:cs="Times New Roman" w:eastAsia="Times New Roman" w:hAnsi="Times New Roman"/>
          <w:sz w:val="21"/>
          <w:szCs w:val="21"/>
          <w:color w:val="auto"/>
        </w:rPr>
        <w:t>") and of any request by the SEC or any Securities Commission for any amendment to the Canadian Prospectus Supplement or the U.S. Prospectus Supplement for additional information; (ii) the Company will file promptly all other material required to be filed by it with the SEC pursuant to Rule 433(d) and with the Securities Commissions; (iii) the Company will submit to the Agents a copy of any amendment or supplement to the Canadian Prospectus Supplement or the U.S. Prospectus Supplement (other than a copy of any documents incorporated by reference into the Registration Statement, the Time of Sale Prospectus or the Prospectuses) a reasonable period of time before the filing thereof and will afford the Agents and the Agents' counsel a reasonable opportunity to comment on any such proposed filing prior to such proposed filing; and (iv) the Company will furnish to the Agents at the time of filing thereof a copy of any document that upon filing is deemed to be incorporated by reference in the Canadian Prospectus Supplement or the U.S. Prospectus Supplement (provided that the Company shall not be required to deliver documents or information incorporated by reference into the Canadian Prospectus Supplement or the U.S. Prospectus Supplement if such documents are accessible from SEDAR+ or EDGAR) and the Company will cause (i) each amendment to the U.S. Prospectus to be filed with the SEC as required pursuant to General Instruction II.L of Form F-10 and the Rules and Regulations or, in the case of any document to be incorporated therein by reference, to be filed with the SEC as required pursuant to the Exchange Act, within the prescribed time period and (ii) each amendment to the Canadian Prospectus to be filed with the Securities Commissions as required pursuant to Shelf Procedures or, in the case of any document to be incorporated therein by reference, to be filed with the Securities Commissions as required pursuant to the Canadian Securities Laws, within the time period prescribed.</w:t>
      </w:r>
    </w:p>
    <w:p>
      <w:pPr>
        <w:spacing w:after="0" w:line="154" w:lineRule="exact"/>
        <w:rPr>
          <w:rFonts w:ascii="Times New Roman" w:cs="Times New Roman" w:eastAsia="Times New Roman" w:hAnsi="Times New Roman"/>
          <w:sz w:val="21"/>
          <w:szCs w:val="21"/>
          <w:color w:val="auto"/>
        </w:rPr>
      </w:pPr>
    </w:p>
    <w:p>
      <w:pPr>
        <w:jc w:val="both"/>
        <w:ind w:left="1300" w:hanging="644"/>
        <w:spacing w:after="0" w:line="243" w:lineRule="auto"/>
        <w:tabs>
          <w:tab w:leader="none" w:pos="134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Stop Orders</w:t>
      </w:r>
      <w:r>
        <w:rPr>
          <w:rFonts w:ascii="Times New Roman" w:cs="Times New Roman" w:eastAsia="Times New Roman" w:hAnsi="Times New Roman"/>
          <w:sz w:val="21"/>
          <w:szCs w:val="21"/>
          <w:color w:val="auto"/>
        </w:rPr>
        <w:t>. The Company will advise the Agents, promptly after it receives notice thereof, of the issuance by the SEC or the Securities Commissions of any stop order or of any order preventing or suspending the use of the Prospectuses or other prospectus in respect of the Shares, of any notice of objection of the SEC to the use of the Registration Statement or any post-effective amendment thereto, of the suspension of the qualification of the Shares for offering or sale in the Qualifying Jurisdictions, of the initiation or threatening of any proceeding for any such purpose, or of any request by the SEC or the Securities Commissions for the amending or supplementing of the Registration Statement or the Prospectuses or for additional information relating to the Shares. If there is a Placement Notice that has been issued by the Company that has not been suspended or terminated in accordance with the notice requirements set forth in Section 4 or Section 14, as applicable, the Company will use its commercially reasonable efforts to prevent the issuance of any stop order or any order preventing or suspending the use of the Prospectuses or other prospectus in respect of the Shares, a notice of objection of the SEC to the Registration Statement or any post-effective amendment thereto, the suspension of any qualification for offering or sale in the Qualifying Jurisdictions, and, in the event of the issuance of any such stop order or any such order preventing or suspending the use of any prospectus relating to the Shares or suspending any such qualification, the Company will use its commercially reasonable efforts to obtain the lifting or withdrawal of such order as soon as possible. If there is no such outstanding Placement Notice, then, if, in the Company's determination and at the Company's sole discretion, it is necessary to prevent the issuance of any stop order or have a stop order lifted, the Company will use its commercially reasonable efforts to prevent the issuance of any stop order or any order preventing or suspending the use of the Prospectuses or other prospectus in respect of the Shares, a notice of objection of the SEC to the Registration Statement or any post-effective amendment thereto, the suspension of any qualification for offering or sale in the Qualifying Jurisdictions, and, in the event of the issuance of any such stop order or any such order preventing or suspending the use of any prospectus relating to the Shares or suspending any such qualification, the Company will use its commercially reasonable efforts to obtain the lifting or withdrawal of such order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ind w:left="4744"/>
        <w:spacing w:after="0"/>
        <w:rPr>
          <w:sz w:val="20"/>
          <w:szCs w:val="20"/>
          <w:color w:val="auto"/>
        </w:rPr>
      </w:pPr>
      <w:r>
        <w:rPr>
          <w:rFonts w:ascii="Times New Roman" w:cs="Times New Roman" w:eastAsia="Times New Roman" w:hAnsi="Times New Roman"/>
          <w:sz w:val="22"/>
          <w:szCs w:val="22"/>
          <w:color w:val="auto"/>
        </w:rPr>
        <w:t>- 35 -</w:t>
      </w:r>
    </w:p>
    <w:p>
      <w:pPr>
        <w:spacing w:after="0" w:line="166" w:lineRule="exact"/>
        <w:rPr>
          <w:sz w:val="20"/>
          <w:szCs w:val="20"/>
          <w:color w:val="auto"/>
        </w:rPr>
      </w:pPr>
    </w:p>
    <w:p>
      <w:pPr>
        <w:jc w:val="both"/>
        <w:ind w:left="644" w:hanging="644"/>
        <w:spacing w:after="0" w:line="243" w:lineRule="auto"/>
        <w:tabs>
          <w:tab w:leader="none" w:pos="68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Prospectus; Subsequent Changes</w:t>
      </w:r>
      <w:r>
        <w:rPr>
          <w:rFonts w:ascii="Times New Roman" w:cs="Times New Roman" w:eastAsia="Times New Roman" w:hAnsi="Times New Roman"/>
          <w:sz w:val="21"/>
          <w:szCs w:val="21"/>
          <w:color w:val="auto"/>
        </w:rPr>
        <w:t>. Within the time during which a prospectus relating to the Shares is required to be delivered by the Agents under the U.S. Securities Act (including in circumstances where such requirement may be satisfied pursuant to Rule 153, Rule 172 or Rule 173(a) under the U.S. Securities Act) or the Canadian Securities Laws, the Company will comply in all material respects with all requirements imposed upon it by the U.S. Securities Act, by the Rules and Regulations and by the Canadian Securities Laws, as appropriate and as from time to time in force, and will file or furnish on or before their respective due dates all reports required to be filed or furnished by it with the SEC pursuant to Sections 13(a), 13(c), or 15(d) of the Exchange Act, if applicable, or any other provision of or under the Exchange Act or with the Securities Commissions pursuant to the Canadian Securities Laws, as appropriate. If during such period any event occurs as a result of which the Time of Sale Prospectus or the Prospectuses as then amended or supplemented would include an untrue statement of material fact or omit to state a material fact necessary to make the statements therein, in the light of the circumstances then existing, not misleading, or if during such period it is necessary to amend or supplement the Registration Statement, the Time of Sale Prospectus or the Prospectuses to comply with the U.S. Securities Act or the Canadian Securities Laws, the Company will promptly notify the Agents to suspend the offering of Placement Shares during such period and, if, in the Company's determination and at the Company's sole discretion, it is necessary to file an amendment or supplement to the Registration Statement, the Time of Sale Prospectus or the Prospectuses to comply with the U.S. Securities Act or the Canadian Securities Laws, the Company will promptly prepare and file with the Securities Commissions and the SEC such amendment or supplement as may be necessary to correct such statement or omission or to make the Registration Statement, the Time of Sale Prospectus or the Prospectuses comply with such requirements, and the Company will furnish to the Agents such number of copies of such amendment or supplement as the Agents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115570</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8" w:name="page39"/>
    <w:bookmarkEnd w:id="38"/>
    <w:p>
      <w:pPr>
        <w:ind w:left="4744"/>
        <w:spacing w:after="0"/>
        <w:rPr>
          <w:sz w:val="20"/>
          <w:szCs w:val="20"/>
          <w:color w:val="auto"/>
        </w:rPr>
      </w:pPr>
      <w:r>
        <w:rPr>
          <w:rFonts w:ascii="Times New Roman" w:cs="Times New Roman" w:eastAsia="Times New Roman" w:hAnsi="Times New Roman"/>
          <w:sz w:val="22"/>
          <w:szCs w:val="22"/>
          <w:color w:val="auto"/>
        </w:rPr>
        <w:t>- 36 -</w:t>
      </w:r>
    </w:p>
    <w:p>
      <w:pPr>
        <w:spacing w:after="0" w:line="166" w:lineRule="exact"/>
        <w:rPr>
          <w:sz w:val="20"/>
          <w:szCs w:val="20"/>
          <w:color w:val="auto"/>
        </w:rPr>
      </w:pPr>
    </w:p>
    <w:p>
      <w:pPr>
        <w:jc w:val="both"/>
        <w:ind w:left="644" w:hanging="644"/>
        <w:spacing w:after="0" w:line="233" w:lineRule="auto"/>
        <w:tabs>
          <w:tab w:leader="none" w:pos="68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Prospectuses</w:t>
      </w:r>
      <w:r>
        <w:rPr>
          <w:rFonts w:ascii="Times New Roman" w:cs="Times New Roman" w:eastAsia="Times New Roman" w:hAnsi="Times New Roman"/>
          <w:sz w:val="22"/>
          <w:szCs w:val="22"/>
          <w:color w:val="auto"/>
        </w:rPr>
        <w:t>. The Company will furnish to the Agents and their counsel (at the expense of the Company) copies of the Registration Statement, the Time of Sale Prospectus or the Prospectuses (including all documents incorporated by reference therein) and all amendments and supplements to the Registration Statement, the Time of Sale Prospectus or the Prospectuses that are filed with the SEC or Securities Commissions during the period in which a prospectus relating to the Shares is required to be delivered under the U.S. Securities Act (including all documents filed with the SEC during such period that are deemed to be incorporated by reference therein) or the Securities Commissions (including all documents filed with the Securities Commissions during such period that are deemed to be incorporated by reference therein), in each case as soon as reasonably practicable and in such quantities as the Agents may from time to time reasonably request provided, however, the Company shall not be required to furnish any documents to the Agents that are available on SEDAR+ or EDGAR.</w:t>
      </w:r>
    </w:p>
    <w:p>
      <w:pPr>
        <w:spacing w:after="0" w:line="160"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Information</w:t>
      </w:r>
      <w:r>
        <w:rPr>
          <w:rFonts w:ascii="Times New Roman" w:cs="Times New Roman" w:eastAsia="Times New Roman" w:hAnsi="Times New Roman"/>
          <w:sz w:val="22"/>
          <w:szCs w:val="22"/>
          <w:color w:val="auto"/>
        </w:rPr>
        <w:t>. The Company will furnish to the Agents such information in its possession as is reasonably requested by the Agents as necessary or appropriate to fulfil its obligations as agent pursuant to this Agreement, the U.S. Securities Act and Canadian Securities Laws.</w:t>
      </w:r>
    </w:p>
    <w:p>
      <w:pPr>
        <w:spacing w:after="0" w:line="132"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6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The Company will make generally available to its security holders as soon as practicable an earnings statement covering a 12 month period that satisfies the provisions of Section 11(a) of the U.S. Securities Act and Rule 158 under the U.S. Securities Act.</w:t>
      </w:r>
    </w:p>
    <w:p>
      <w:pPr>
        <w:spacing w:after="0" w:line="132"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7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The Company covenants that it will not issue a Placement Notice to the Agents in accordance with Section 2 hereof if the Company is in possession of material non-public information regarding the Company and its subsidiaries, taken as a whole, or the Shares.</w:t>
      </w:r>
    </w:p>
    <w:p>
      <w:pPr>
        <w:spacing w:after="0" w:line="146"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68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pay the fees and expenses of Agents including, but not limited to, the fees and expenses of the U.S. and Canadian counsels to the Agents, in amounts not to exceed (i) US$100,000 (excluding taxes and disbursements) or such other amount as may be agreed upon by the Company and Agents in writing in connection with the execution of this Agreement, payable upon the execution of this Agreement, and (ii) US$15,000 (excluding taxes and disbursements) in connection with each Representation Date with respect to which the Company is obligated to deliver a certificate in the form attached hereto as 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104775</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39" w:name="page40"/>
    <w:bookmarkEnd w:id="39"/>
    <w:p>
      <w:pPr>
        <w:ind w:left="4744"/>
        <w:spacing w:after="0"/>
        <w:rPr>
          <w:sz w:val="20"/>
          <w:szCs w:val="20"/>
          <w:color w:val="auto"/>
        </w:rPr>
      </w:pPr>
      <w:r>
        <w:rPr>
          <w:rFonts w:ascii="Times New Roman" w:cs="Times New Roman" w:eastAsia="Times New Roman" w:hAnsi="Times New Roman"/>
          <w:sz w:val="22"/>
          <w:szCs w:val="22"/>
          <w:color w:val="auto"/>
        </w:rPr>
        <w:t>- 37 -</w:t>
      </w:r>
    </w:p>
    <w:p>
      <w:pPr>
        <w:spacing w:after="0" w:line="166" w:lineRule="exact"/>
        <w:rPr>
          <w:sz w:val="20"/>
          <w:szCs w:val="20"/>
          <w:color w:val="auto"/>
        </w:rPr>
      </w:pPr>
    </w:p>
    <w:p>
      <w:pPr>
        <w:ind w:left="644" w:hanging="644"/>
        <w:spacing w:after="0" w:line="258" w:lineRule="auto"/>
        <w:tabs>
          <w:tab w:leader="none" w:pos="67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Supplement under the heading "Use of Proceeds".</w:t>
      </w:r>
    </w:p>
    <w:p>
      <w:pPr>
        <w:spacing w:after="0" w:line="131"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7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Other Sales</w:t>
      </w:r>
      <w:r>
        <w:rPr>
          <w:rFonts w:ascii="Times New Roman" w:cs="Times New Roman" w:eastAsia="Times New Roman" w:hAnsi="Times New Roman"/>
          <w:sz w:val="21"/>
          <w:szCs w:val="21"/>
          <w:color w:val="auto"/>
        </w:rPr>
        <w:t>. Without the prior written consent of the Agent, the Company will not, directly or indirectly, offer to sell, sell, contract to sell, grant any option to sell or otherwise dispose of any Shares (other than the Placement Shares offered pursuant to this Agreement) or securities convertible into or exchangeable for Shares, warrants or any rights to purchase or acquire, Shares during the period beginning on the fifth (5th) Trading Day immediately prior to the date on which any Placement Notice is delivered to the Agents hereunder and ending on the fifth (5th)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Shares (other than the Placement Shares offered pursuant to this Agreement) or securities convertible into or exchangeable for Shares, warrants or any rights to purchase or</w:t>
      </w:r>
    </w:p>
    <w:p>
      <w:pPr>
        <w:spacing w:after="0" w:line="2" w:lineRule="exact"/>
        <w:rPr>
          <w:sz w:val="20"/>
          <w:szCs w:val="20"/>
          <w:color w:val="auto"/>
        </w:rPr>
      </w:pPr>
    </w:p>
    <w:p>
      <w:pPr>
        <w:jc w:val="both"/>
        <w:ind w:left="644"/>
        <w:spacing w:after="0" w:line="234" w:lineRule="auto"/>
        <w:rPr>
          <w:sz w:val="20"/>
          <w:szCs w:val="20"/>
          <w:color w:val="auto"/>
        </w:rPr>
      </w:pPr>
      <w:r>
        <w:rPr>
          <w:rFonts w:ascii="Times New Roman" w:cs="Times New Roman" w:eastAsia="Times New Roman" w:hAnsi="Times New Roman"/>
          <w:sz w:val="21"/>
          <w:szCs w:val="21"/>
          <w:color w:val="auto"/>
        </w:rPr>
        <w:t>acquire, Shares prior to the forty-fifth (45</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day immediately following the termination of this Agreement; provided, however, that such restrictions will not be required in connection with the (i) grant or exercise of equity compensation pursuant to the Company's existing equity compensation plans or Shares issuable upon the exercise, vesting, settlement or conversion of any securities issued pursuant to any employment agreement, consulting agreement, advisory agreement, or other compensatory or incentive arrangement of the Company, whether now in effect or hereafter implemented; (ii) issuance or sale of Shares issuable upon conversion of securities or the exercise of warrants, options or other rights in effect or outstanding, and disclosed in filings by the Company available on SEDAR+ or EDGAR or otherwise in writing to the Agents; (iii) obligations in respect of existing agreements described in the Prospectuses, including the obligations in respect of the Corporation's Shareholder Rights Plan; and (iv) issuance or sale of Shares or securities convertible into or exchangeable for shares of Shares as consideration for mergers, acquisitions, other business combinations, joint ventures, licensing consulting, or strategic alliances occurring after the date of this Agreement which are not issued for capital raising purposes.</w:t>
      </w:r>
    </w:p>
    <w:p>
      <w:pPr>
        <w:spacing w:after="0" w:line="145" w:lineRule="exact"/>
        <w:rPr>
          <w:sz w:val="20"/>
          <w:szCs w:val="20"/>
          <w:color w:val="auto"/>
        </w:rPr>
      </w:pPr>
    </w:p>
    <w:p>
      <w:pPr>
        <w:jc w:val="both"/>
        <w:ind w:left="644" w:hanging="644"/>
        <w:spacing w:after="0" w:line="238" w:lineRule="auto"/>
        <w:tabs>
          <w:tab w:leader="none" w:pos="68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During the term of this Agreement, the Company will, at any time during a fiscal quarter in which the Company intends to deliver a Placement Notice to the Agents to sell Placement Shares, advise the Agents promptly after it has received notice or obtained knowledge thereof, of any information or fact that would alter or affect in any material respect any opinion, certificate, letter or other document provided to the Agents pursuant to this Agreement.</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7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The Company will cooperate with any due diligence review conducted by the Agents or their agents, including, without limitation, providing information and making available documents and senior corporate officers, as the Agents or their counsel may reasonably request; provided, however, that the Company shall be required to make available senior corporate officers only (i) by telephone or at the Company's principal offices and (ii) during the Company's ordinary business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110490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0" w:name="page41"/>
    <w:bookmarkEnd w:id="40"/>
    <w:p>
      <w:pPr>
        <w:ind w:left="4744"/>
        <w:spacing w:after="0"/>
        <w:rPr>
          <w:sz w:val="20"/>
          <w:szCs w:val="20"/>
          <w:color w:val="auto"/>
        </w:rPr>
      </w:pPr>
      <w:r>
        <w:rPr>
          <w:rFonts w:ascii="Times New Roman" w:cs="Times New Roman" w:eastAsia="Times New Roman" w:hAnsi="Times New Roman"/>
          <w:sz w:val="22"/>
          <w:szCs w:val="22"/>
          <w:color w:val="auto"/>
        </w:rPr>
        <w:t>- 38 -</w:t>
      </w:r>
    </w:p>
    <w:p>
      <w:pPr>
        <w:spacing w:after="0" w:line="166" w:lineRule="exact"/>
        <w:rPr>
          <w:sz w:val="20"/>
          <w:szCs w:val="20"/>
          <w:color w:val="auto"/>
        </w:rPr>
      </w:pPr>
    </w:p>
    <w:p>
      <w:pPr>
        <w:jc w:val="both"/>
        <w:ind w:left="644" w:hanging="644"/>
        <w:spacing w:after="0" w:line="238" w:lineRule="auto"/>
        <w:tabs>
          <w:tab w:leader="none" w:pos="69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 of Representations, Warranties, Covenants and Other Agreements</w:t>
      </w:r>
      <w:r>
        <w:rPr>
          <w:rFonts w:ascii="Times New Roman" w:cs="Times New Roman" w:eastAsia="Times New Roman" w:hAnsi="Times New Roman"/>
          <w:sz w:val="22"/>
          <w:szCs w:val="22"/>
          <w:color w:val="auto"/>
        </w:rPr>
        <w:t>. Upon commencement of the offering of the Placement Shares under this Agreement (and upon the recommencement of the offering of the Placement Shares under this Agreement following any suspension of sales under Section 4), and, upon delivery of each Placement Notice at each Applicable Time, each Settlement Date and each Amendment Date, the Company shall be deemed to have affirmed each representation and warranty contained in this Agreement.</w:t>
      </w:r>
    </w:p>
    <w:p>
      <w:pPr>
        <w:spacing w:after="0" w:line="149"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8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Filings Relating to Placement of Placement Shares</w:t>
      </w:r>
      <w:r>
        <w:rPr>
          <w:rFonts w:ascii="Times New Roman" w:cs="Times New Roman" w:eastAsia="Times New Roman" w:hAnsi="Times New Roman"/>
          <w:sz w:val="22"/>
          <w:szCs w:val="22"/>
          <w:color w:val="auto"/>
        </w:rPr>
        <w:t>. In each quarterly report, annual information form, annual financial statements, or annual report on Form 40-F, Form 20-F or Form 10-K filed by the Company in respect of any period in which sales of Placement Shares were made by the Agents under this Agreement, the Company shall set forth with regard to such period the number of Placement Shares sold through the Agents under this Agreement, the Net Proceeds received by the Company and the compensation paid by the Company to the Agents with respect to sales of Placement Shares pursuant to this Agreement. For so long as the Shares are listed on the Exchange, the Company will provide the Exchanges with all information it requires with respect to the Offering within the timelines prescribed by the Exchanges.</w:t>
      </w:r>
    </w:p>
    <w:p>
      <w:pPr>
        <w:spacing w:after="0" w:line="137" w:lineRule="exact"/>
        <w:rPr>
          <w:rFonts w:ascii="Times New Roman" w:cs="Times New Roman" w:eastAsia="Times New Roman" w:hAnsi="Times New Roman"/>
          <w:sz w:val="22"/>
          <w:szCs w:val="22"/>
          <w:color w:val="auto"/>
        </w:rPr>
      </w:pPr>
    </w:p>
    <w:p>
      <w:pPr>
        <w:jc w:val="both"/>
        <w:ind w:left="644" w:hanging="644"/>
        <w:spacing w:after="0" w:line="243" w:lineRule="auto"/>
        <w:tabs>
          <w:tab w:leader="none" w:pos="68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 Dates; Certificate</w:t>
      </w:r>
      <w:r>
        <w:rPr>
          <w:rFonts w:ascii="Times New Roman" w:cs="Times New Roman" w:eastAsia="Times New Roman" w:hAnsi="Times New Roman"/>
          <w:sz w:val="21"/>
          <w:szCs w:val="21"/>
          <w:color w:val="auto"/>
        </w:rPr>
        <w:t>. During the term of this Agreement, each time the Company (i) files the Prospectuses relating to the Placement Shares or amends or supplements the Registration Statement or the Prospectuses relating to the Placement Shares by means of a post-effective amendment or supplement but not by means of incorporation of document(s) by reference to the Registration Statement or the Prospectuses relating to the Placement Shares; (ii) files or amends an annual report on Form 40-F, Form 20-F or Form 10-K or (iii) files or amends interim financial statements on Form 6-K; or (iv) at any other time reasonably requested by the Agents (each date of filing of one or more of the documents referred to in clauses (i) through (iii) and at any time of request pursuant to (iv) above shall be a "</w:t>
      </w:r>
      <w:r>
        <w:rPr>
          <w:rFonts w:ascii="Times New Roman" w:cs="Times New Roman" w:eastAsia="Times New Roman" w:hAnsi="Times New Roman"/>
          <w:sz w:val="21"/>
          <w:szCs w:val="21"/>
          <w:b w:val="1"/>
          <w:bCs w:val="1"/>
          <w:color w:val="auto"/>
        </w:rPr>
        <w:t>Representation Date</w:t>
      </w:r>
      <w:r>
        <w:rPr>
          <w:rFonts w:ascii="Times New Roman" w:cs="Times New Roman" w:eastAsia="Times New Roman" w:hAnsi="Times New Roman"/>
          <w:sz w:val="21"/>
          <w:szCs w:val="21"/>
          <w:color w:val="auto"/>
        </w:rPr>
        <w:t>"), the Company shall furnish the Agents with a certificate, in the form attached hereto as Exhibit A-1 within five (5) Trading Days of any Representation Date. For greater certainty, any supplement in this Section shall only include a prospectus supplement relating to the Placement Shares. The requirement to provide a certificate under this Section 8(o)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40-F, Form 20-F or Form 10-K. Notwithstanding the foregoing, if the Company subsequently decides to sell Placement Shares following a Representation Date when the Company relied on such waiver and did not provide the Agents with a certificate under this Section 8(o), then on or before the time the Company delivers the Placement Notice or the Agents sells any Placement Shares, the Company shall provide the Agents with a certificate, in the form attached hereto as Exhibit A-1, dated the date of the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107950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1" w:name="page42"/>
    <w:bookmarkEnd w:id="41"/>
    <w:p>
      <w:pPr>
        <w:ind w:left="4744"/>
        <w:spacing w:after="0"/>
        <w:rPr>
          <w:sz w:val="20"/>
          <w:szCs w:val="20"/>
          <w:color w:val="auto"/>
        </w:rPr>
      </w:pPr>
      <w:r>
        <w:rPr>
          <w:rFonts w:ascii="Times New Roman" w:cs="Times New Roman" w:eastAsia="Times New Roman" w:hAnsi="Times New Roman"/>
          <w:sz w:val="22"/>
          <w:szCs w:val="22"/>
          <w:color w:val="auto"/>
        </w:rPr>
        <w:t>- 39 -</w:t>
      </w:r>
    </w:p>
    <w:p>
      <w:pPr>
        <w:spacing w:after="0" w:line="166" w:lineRule="exact"/>
        <w:rPr>
          <w:sz w:val="20"/>
          <w:szCs w:val="20"/>
          <w:color w:val="auto"/>
        </w:rPr>
      </w:pPr>
    </w:p>
    <w:p>
      <w:pPr>
        <w:jc w:val="both"/>
        <w:ind w:left="644" w:hanging="644"/>
        <w:spacing w:after="0" w:line="238" w:lineRule="auto"/>
        <w:tabs>
          <w:tab w:leader="none" w:pos="68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Upon execution of the Agreement (x) and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will furnish or cause to be furnished to the Agents and to counsel to the Agents:</w:t>
      </w:r>
    </w:p>
    <w:p>
      <w:pPr>
        <w:spacing w:after="0" w:line="149" w:lineRule="exact"/>
        <w:rPr>
          <w:rFonts w:ascii="Times New Roman" w:cs="Times New Roman" w:eastAsia="Times New Roman" w:hAnsi="Times New Roman"/>
          <w:sz w:val="22"/>
          <w:szCs w:val="22"/>
          <w:color w:val="auto"/>
        </w:rPr>
      </w:pPr>
    </w:p>
    <w:p>
      <w:pPr>
        <w:jc w:val="both"/>
        <w:ind w:left="1304" w:hanging="656"/>
        <w:spacing w:after="0" w:line="239" w:lineRule="auto"/>
        <w:tabs>
          <w:tab w:leader="none" w:pos="133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favourable legal opinions of Aird &amp; Berlis LLP, as Canadian counsel to the Company, as to matters of Canadian federal and Ontario provincial law, and from local counsel acceptable to the Agents' counsel as to matters governed by the laws of jurisdictions in Canada other than the province of Ontario, to the effect set forth in Schedule 5;</w:t>
      </w:r>
    </w:p>
    <w:p>
      <w:pPr>
        <w:spacing w:after="0" w:line="139" w:lineRule="exact"/>
        <w:rPr>
          <w:rFonts w:ascii="Times New Roman" w:cs="Times New Roman" w:eastAsia="Times New Roman" w:hAnsi="Times New Roman"/>
          <w:sz w:val="22"/>
          <w:szCs w:val="22"/>
          <w:color w:val="auto"/>
        </w:rPr>
      </w:pPr>
    </w:p>
    <w:p>
      <w:pPr>
        <w:jc w:val="both"/>
        <w:ind w:left="1304" w:hanging="656"/>
        <w:spacing w:after="0" w:line="238" w:lineRule="auto"/>
        <w:tabs>
          <w:tab w:leader="none" w:pos="134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favourable legal opinions from legal counsel to each Material Subsidiary (who may rely, to the extent appropriate in the circumstances, as to matters of fact on certificates of officers, public and exchange officials related to each Material Subsidiary), regarding each of the Material Subsidiaries in form and substance satisfactory to the Agents and their counsel, acting reasonably, subject to customary assumptions, qualifications and limitations, pertaining to:</w:t>
      </w:r>
    </w:p>
    <w:p>
      <w:pPr>
        <w:spacing w:after="0" w:line="136" w:lineRule="exact"/>
        <w:rPr>
          <w:rFonts w:ascii="Times New Roman" w:cs="Times New Roman" w:eastAsia="Times New Roman" w:hAnsi="Times New Roman"/>
          <w:sz w:val="22"/>
          <w:szCs w:val="22"/>
          <w:color w:val="auto"/>
        </w:rPr>
      </w:pPr>
    </w:p>
    <w:p>
      <w:pPr>
        <w:ind w:left="1944" w:hanging="648"/>
        <w:spacing w:after="0" w:line="258" w:lineRule="auto"/>
        <w:tabs>
          <w:tab w:leader="none" w:pos="1996"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Material Subsidiary having been incorporated and existing under the Applicable Laws of their respective jurisdictions of incorporation;</w:t>
      </w:r>
    </w:p>
    <w:p>
      <w:pPr>
        <w:spacing w:after="0" w:line="131" w:lineRule="exact"/>
        <w:rPr>
          <w:rFonts w:ascii="Times New Roman" w:cs="Times New Roman" w:eastAsia="Times New Roman" w:hAnsi="Times New Roman"/>
          <w:sz w:val="22"/>
          <w:szCs w:val="22"/>
          <w:color w:val="auto"/>
        </w:rPr>
      </w:pPr>
    </w:p>
    <w:p>
      <w:pPr>
        <w:ind w:left="1944" w:hanging="648"/>
        <w:spacing w:after="0" w:line="258" w:lineRule="auto"/>
        <w:tabs>
          <w:tab w:leader="none" w:pos="1986"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Material Subsidiary having the corporate capacity and power to own and lease their properties and assets and to conduct their Business as described in the Prospectuses; and</w:t>
      </w:r>
    </w:p>
    <w:p>
      <w:pPr>
        <w:spacing w:after="0" w:line="117" w:lineRule="exact"/>
        <w:rPr>
          <w:rFonts w:ascii="Times New Roman" w:cs="Times New Roman" w:eastAsia="Times New Roman" w:hAnsi="Times New Roman"/>
          <w:sz w:val="22"/>
          <w:szCs w:val="22"/>
          <w:color w:val="auto"/>
        </w:rPr>
      </w:pPr>
    </w:p>
    <w:p>
      <w:pPr>
        <w:ind w:left="1944" w:right="20" w:hanging="648"/>
        <w:spacing w:after="0" w:line="258" w:lineRule="auto"/>
        <w:tabs>
          <w:tab w:leader="none" w:pos="1986"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authorized and issued share capital of such Material Subsidiary, with the exception of Cybin IRL Limited, and to the ownership thereof;</w:t>
      </w:r>
    </w:p>
    <w:p>
      <w:pPr>
        <w:spacing w:after="0" w:line="118" w:lineRule="exact"/>
        <w:rPr>
          <w:sz w:val="20"/>
          <w:szCs w:val="20"/>
          <w:color w:val="auto"/>
        </w:rPr>
      </w:pPr>
    </w:p>
    <w:p>
      <w:pPr>
        <w:jc w:val="both"/>
        <w:ind w:left="1304"/>
        <w:spacing w:after="0" w:line="239" w:lineRule="auto"/>
        <w:rPr>
          <w:sz w:val="20"/>
          <w:szCs w:val="20"/>
          <w:color w:val="auto"/>
        </w:rPr>
      </w:pPr>
      <w:r>
        <w:rPr>
          <w:rFonts w:ascii="Times New Roman" w:cs="Times New Roman" w:eastAsia="Times New Roman" w:hAnsi="Times New Roman"/>
          <w:sz w:val="22"/>
          <w:szCs w:val="22"/>
          <w:color w:val="auto"/>
        </w:rPr>
        <w:t>provided that such opinions regarding the Material Subsidiaries will not be required in respect of Representation Dates where the Representation Date does not relate to a Prospectus filing and where the officer's certificate provided under Section 8(o) has confirmed that there has been no change to the ownership structure of the Material Subsidiaries since the last Representation Date; and</w:t>
      </w:r>
    </w:p>
    <w:p>
      <w:pPr>
        <w:spacing w:after="0" w:line="153" w:lineRule="exact"/>
        <w:rPr>
          <w:sz w:val="20"/>
          <w:szCs w:val="20"/>
          <w:color w:val="auto"/>
        </w:rPr>
      </w:pPr>
    </w:p>
    <w:p>
      <w:pPr>
        <w:jc w:val="both"/>
        <w:ind w:left="1304" w:hanging="656"/>
        <w:spacing w:after="0" w:line="238" w:lineRule="auto"/>
        <w:tabs>
          <w:tab w:leader="none" w:pos="135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favourable United States legal opinion and negative assurance letter of Dorsey &amp; Whitney LLP, as United States counsel for the Company, such letters to be in form and substance reasonably satisfactory to the Agents and their counsel, substantially similar to the form previously provided to the Agents and their counsel, modified, as necessary, to relate to the Registration Statement and the Prospectuses as then amended or supplemented.</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8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Deliverables</w:t>
      </w:r>
      <w:r>
        <w:rPr>
          <w:rFonts w:ascii="Times New Roman" w:cs="Times New Roman" w:eastAsia="Times New Roman" w:hAnsi="Times New Roman"/>
          <w:sz w:val="22"/>
          <w:szCs w:val="22"/>
          <w:color w:val="auto"/>
        </w:rPr>
        <w:t>. Upon execution of the Agreement (x) and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will furnish or cause to be furnished to the Agents, such other opinions or certificates as the Agents or counsel to the Agents may reasonably require in connection with the issuance of the Placement Shares, or, in lieu of any such opinions, counsel last furnishing such opinion to the Agents may furnish the Agents with a letter to the effect that the Agents may rely on such last opinion to the same extent as though it was dated the date of such letter authorizing reliance (except that statements in such last opinion shall be deemed to relate to the Prospectuses as amended and supplemented to the time of delivery of such letter authorizing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103505</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2" w:name="page43"/>
    <w:bookmarkEnd w:id="42"/>
    <w:p>
      <w:pPr>
        <w:ind w:left="4744"/>
        <w:spacing w:after="0"/>
        <w:rPr>
          <w:sz w:val="20"/>
          <w:szCs w:val="20"/>
          <w:color w:val="auto"/>
        </w:rPr>
      </w:pPr>
      <w:r>
        <w:rPr>
          <w:rFonts w:ascii="Times New Roman" w:cs="Times New Roman" w:eastAsia="Times New Roman" w:hAnsi="Times New Roman"/>
          <w:sz w:val="22"/>
          <w:szCs w:val="22"/>
          <w:color w:val="auto"/>
        </w:rPr>
        <w:t>- 40 -</w:t>
      </w:r>
    </w:p>
    <w:p>
      <w:pPr>
        <w:spacing w:after="0" w:line="166" w:lineRule="exact"/>
        <w:rPr>
          <w:sz w:val="20"/>
          <w:szCs w:val="20"/>
          <w:color w:val="auto"/>
        </w:rPr>
      </w:pPr>
    </w:p>
    <w:p>
      <w:pPr>
        <w:jc w:val="both"/>
        <w:ind w:left="644" w:hanging="644"/>
        <w:spacing w:after="0" w:line="231" w:lineRule="auto"/>
        <w:tabs>
          <w:tab w:leader="none" w:pos="6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Letters</w:t>
      </w:r>
      <w:r>
        <w:rPr>
          <w:rFonts w:ascii="Times New Roman" w:cs="Times New Roman" w:eastAsia="Times New Roman" w:hAnsi="Times New Roman"/>
          <w:sz w:val="22"/>
          <w:szCs w:val="22"/>
          <w:color w:val="auto"/>
        </w:rPr>
        <w:t>. Upon execution of this Agreement and (x)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shall cause the Company's Auditors to furnish to the Agents a letter (the "</w:t>
      </w:r>
      <w:r>
        <w:rPr>
          <w:rFonts w:ascii="Times New Roman" w:cs="Times New Roman" w:eastAsia="Times New Roman" w:hAnsi="Times New Roman"/>
          <w:sz w:val="22"/>
          <w:szCs w:val="22"/>
          <w:b w:val="1"/>
          <w:bCs w:val="1"/>
          <w:color w:val="auto"/>
        </w:rPr>
        <w:t>Comfort Letters</w:t>
      </w:r>
      <w:r>
        <w:rPr>
          <w:rFonts w:ascii="Times New Roman" w:cs="Times New Roman" w:eastAsia="Times New Roman" w:hAnsi="Times New Roman"/>
          <w:sz w:val="22"/>
          <w:szCs w:val="22"/>
          <w:color w:val="auto"/>
        </w:rPr>
        <w:t>") dated the date the Comfort Letter is delivered, in form and substance satisfactory to the Agents, acting reasonably, in each case addressed to the Agents, (A) relating to the verification of certain of the financial information and statistical and accounting data relating to the Company and the Subsidiaries, as applicable, contained in the Registration Statement and the Prospectuses or incorporated by reference therein, which comfort letters shall be based on a review having a cutoff date not more than two Business Days prior to the date of such letter, (B) stating that such auditors are independent public accountants within the meaning of the U.S. Securities Act and the rules and regulations thereunder, and that in their opinion the audited financial statements of the Company incorporated by reference in the Registration Statement and the Prospectuses comply as to form in all material respects with the published accounting requirements of the U.S. Securities Act and the related regulations and with the applicable accounting requirements of the U.S. Securities Act and the Exchange Act and the related published rules and regulations adopted by the SEC (the first such letter, the "</w:t>
      </w:r>
      <w:r>
        <w:rPr>
          <w:rFonts w:ascii="Times New Roman" w:cs="Times New Roman" w:eastAsia="Times New Roman" w:hAnsi="Times New Roman"/>
          <w:sz w:val="22"/>
          <w:szCs w:val="22"/>
          <w:b w:val="1"/>
          <w:bCs w:val="1"/>
          <w:color w:val="auto"/>
        </w:rPr>
        <w:t>Initial Comfort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Letter</w:t>
      </w:r>
      <w:r>
        <w:rPr>
          <w:rFonts w:ascii="Times New Roman" w:cs="Times New Roman" w:eastAsia="Times New Roman" w:hAnsi="Times New Roman"/>
          <w:sz w:val="22"/>
          <w:szCs w:val="22"/>
          <w:color w:val="auto"/>
        </w:rPr>
        <w:t>") and (z) updating the Initial Comfort Letter with any information which would have been included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Initial Comfort Letter had it been given on such date and modified as necessary to relate to the Registration Statement and the Prospectuses, as amended and supplemented to the date of such letter. The requirement to furnish the documents set out in this Section 8(q) shall be waived for any Representation Date occurring at a time at which no Placement Notice is pending, which waiver shall continue until the earlier to occur of the date the Company delivers a Placement Notice hereunder, as applicable, and the next occurring Representation Date; provided, however, that such waiver shall not apply for any Representation Date on which the Company files its annual report on Form 40-F, Form 20-F or Form 10-K. Notwithstanding the foregoing, if the Company subsequently decides to sell Shares following a Representation Date when the Company relied on such waiver, then before the Company delivers the Placement Notice, or the Agents sell any Shares, the Company shall provide the Agents with each of the documents set out in this Section 8(r).</w:t>
      </w:r>
    </w:p>
    <w:p>
      <w:pPr>
        <w:spacing w:after="0" w:line="176"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8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directly or indirectly, (i) take any action designed to or that would constitute or that might reasonably be expected to cause or result in, under Canadian Securities Laws or U.S. Securities Laws or otherwise, stabilization or manipulation of the price of any security of the Company to facilitate the sale or resale of the Placement Shares or (ii) sell, bid for, or purchase the Placement Shares, or pay anyone any compensation for soliciting purchases of the Placement Shares other than the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101600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2"/>
          <w:szCs w:val="22"/>
          <w:color w:val="auto"/>
        </w:rPr>
        <w:t>- 41 -</w:t>
      </w:r>
    </w:p>
    <w:p>
      <w:pPr>
        <w:spacing w:after="0" w:line="166" w:lineRule="exact"/>
        <w:rPr>
          <w:sz w:val="20"/>
          <w:szCs w:val="20"/>
          <w:color w:val="auto"/>
        </w:rPr>
      </w:pPr>
    </w:p>
    <w:p>
      <w:pPr>
        <w:jc w:val="both"/>
        <w:ind w:left="1300" w:hanging="644"/>
        <w:spacing w:after="0" w:line="239" w:lineRule="auto"/>
        <w:tabs>
          <w:tab w:leader="none" w:pos="133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xml:space="preserve">. The Company will conduct its affairs in such a manner so as to reasonably ensure that, prior to the termination of this Agreement, it will not be or become required to register as an "investment company" as defined in the </w:t>
      </w:r>
      <w:r>
        <w:rPr>
          <w:rFonts w:ascii="Times New Roman" w:cs="Times New Roman" w:eastAsia="Times New Roman" w:hAnsi="Times New Roman"/>
          <w:sz w:val="22"/>
          <w:szCs w:val="22"/>
          <w:i w:val="1"/>
          <w:iCs w:val="1"/>
          <w:color w:val="auto"/>
        </w:rPr>
        <w:t>United States Investment Company Act of 1940</w:t>
      </w:r>
      <w:r>
        <w:rPr>
          <w:rFonts w:ascii="Times New Roman" w:cs="Times New Roman" w:eastAsia="Times New Roman" w:hAnsi="Times New Roman"/>
          <w:sz w:val="22"/>
          <w:szCs w:val="22"/>
          <w:color w:val="auto"/>
        </w:rPr>
        <w:t>, as amended, and the rules and regulations of the SEC promulgated thereunder.</w:t>
      </w:r>
    </w:p>
    <w:p>
      <w:pPr>
        <w:spacing w:after="0" w:line="15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Neither the Agents nor the Company (including its agents and representatives, other than the Agents in each of their capacities as such) will make, use, prepare, authorize, approve or refer to any written communication that constitutes an offer to sell or solicitation of an offer to buy Placement Shares hereunder.</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the Agents' Trading</w:t>
      </w:r>
      <w:r>
        <w:rPr>
          <w:rFonts w:ascii="Times New Roman" w:cs="Times New Roman" w:eastAsia="Times New Roman" w:hAnsi="Times New Roman"/>
          <w:sz w:val="22"/>
          <w:szCs w:val="22"/>
          <w:color w:val="auto"/>
        </w:rPr>
        <w:t>. The Company consents to the Agents trading in the Shares of the Company (to the extent permitted under U.S. Securities Laws, Canadian Securities Laws, the rules of the Exchanges and under this Agreement): (i) for the account of their clients at the same time as sales of Placement Shares occur pursuant to this Agreement; and (ii) for the Agents' own accounts provided that no such purchase or sale shall take place by an Agent while such Agent has received a Placement Notice that remains in effect, unless the Company has expressly authorized or consented in writing to any such trades by such Agent, and provided further that in the case of clauses (i) or (ii), by providing such consent, the Company will incur no liability on behalf of the Agents or their clients from such trading activity.</w:t>
      </w:r>
    </w:p>
    <w:p>
      <w:pPr>
        <w:spacing w:after="0" w:line="137"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The Placement Shares shall have either (i) (A) been approved for listing, subject to notice of issuance, on the Canadian Stock Exchange and (B) authorized for listing on the United States Stock Exchange, or (ii) the Company shall have filed an application for listing of the Placement Shares on the Exchanges at or prior to the issuance of the Placement Notice.</w:t>
      </w:r>
    </w:p>
    <w:p>
      <w:pPr>
        <w:spacing w:after="0" w:line="149"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Relating to Placement of Placement Shares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Each Agent will use commercially reasonable efforts to deliver to the Company, for each interim and annual period during which Placement Shares are sold through the Agent or distributed pursuant to this Agreement, and otherwise as reasonably requested by the Company to enable the Company to meet its interim and annual reporting requirements under Canadian Securities Laws, U.S. Securities Laws or any applicable requirements of the Exchanges, promptly upon a request from the Company, a report providing sufficient information regarding the distribution of the Placement Shares for the Company to meet its interim and annual reporting requirements under Canadian Securities Laws, U.S. Securities Laws or any applicable requirements of the Exchanges. Unless Canadian Securities Laws, U.S. Securities Laws, the applicable requirements of the Exchanges, the Company and Agent agree that the Agent's report referred to in this Section 9 shall state the number and average price of Placement Shares issued on all Settlement Dates occurring during the interim or annual period, as applicable, and the aggregate gross and the aggregate Net Proceeds raised and the aggregate commission paid or payable, during the interim or annual period,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color w:val="auto"/>
        </w:rPr>
        <w:t>- 42 -</w:t>
      </w:r>
    </w:p>
    <w:p>
      <w:pPr>
        <w:spacing w:after="0" w:line="162" w:lineRule="exact"/>
        <w:rPr>
          <w:sz w:val="20"/>
          <w:szCs w:val="20"/>
          <w:color w:val="auto"/>
        </w:rPr>
      </w:pPr>
    </w:p>
    <w:p>
      <w:pPr>
        <w:ind w:left="700" w:hanging="692"/>
        <w:spacing w:after="0"/>
        <w:tabs>
          <w:tab w:leader="none" w:pos="70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Representations and Covenants of the Company</w:t>
      </w:r>
    </w:p>
    <w:p>
      <w:pPr>
        <w:spacing w:after="0" w:line="183" w:lineRule="exact"/>
        <w:rPr>
          <w:rFonts w:ascii="Times New Roman" w:cs="Times New Roman" w:eastAsia="Times New Roman" w:hAnsi="Times New Roman"/>
          <w:sz w:val="22"/>
          <w:szCs w:val="22"/>
          <w:b w:val="1"/>
          <w:bCs w:val="1"/>
          <w:color w:val="auto"/>
        </w:rPr>
      </w:pPr>
    </w:p>
    <w:p>
      <w:pPr>
        <w:ind w:left="1340" w:hanging="684"/>
        <w:spacing w:after="0"/>
        <w:tabs>
          <w:tab w:leader="none" w:pos="13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Issuer Free Writing Prospectuses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1960" w:hanging="656"/>
        <w:spacing w:after="0" w:line="235" w:lineRule="auto"/>
        <w:tabs>
          <w:tab w:leader="none" w:pos="1995"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 it has not made, and covenants that, unless it obtains the prior written consent of the Agents, it will not make any offer relating to the Placement Shares that would constitute an Issuer Free Writing Prospectus required to be filed by it with the SEC or retained by the Company under Rule 433; except as set forth in a Placement Notice, no use of any Issuer Free Writing Prospectus has been consented to by the Agents. The Company agrees that it will comply with the requirements of Rules 164 and 433 under the U.S. Securities Act applicable to any Issuer Free Writing Prospectus, including timely filing with the SEC or retention where required and legending.</w:t>
      </w:r>
    </w:p>
    <w:p>
      <w:pPr>
        <w:spacing w:after="0" w:line="142" w:lineRule="exact"/>
        <w:rPr>
          <w:rFonts w:ascii="Times New Roman" w:cs="Times New Roman" w:eastAsia="Times New Roman" w:hAnsi="Times New Roman"/>
          <w:sz w:val="22"/>
          <w:szCs w:val="22"/>
          <w:color w:val="auto"/>
        </w:rPr>
      </w:pPr>
    </w:p>
    <w:p>
      <w:pPr>
        <w:jc w:val="both"/>
        <w:ind w:left="1960" w:hanging="656"/>
        <w:spacing w:after="0" w:line="234" w:lineRule="auto"/>
        <w:tabs>
          <w:tab w:leader="none" w:pos="200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no Issuer Free Writing Prospectus, if any, will include any information that conflicts with the information contained in Time of Sale Prospectus, the Prospectuses or the Registration Statement, including any document incorporated by reference therein that has not been superseded or modified. In addition, no Issuer Free Writing Prospectus, if any, together with the Prospectuses, will include an untrue statement of a material fact or omit to state a material fact necessary to make the statements therein, in light of the circumstances under which they were made, not misleading; provided however, the foregoing shall not apply to any statements or omissions in any Issuer Free Writing Prospectus made in reliance on information furnished in writing to the Company by the Agents expressly stating that such information is intended for use therein.</w:t>
      </w:r>
    </w:p>
    <w:p>
      <w:pPr>
        <w:spacing w:after="0" w:line="156" w:lineRule="exact"/>
        <w:rPr>
          <w:rFonts w:ascii="Times New Roman" w:cs="Times New Roman" w:eastAsia="Times New Roman" w:hAnsi="Times New Roman"/>
          <w:sz w:val="22"/>
          <w:szCs w:val="22"/>
          <w:color w:val="auto"/>
        </w:rPr>
      </w:pPr>
    </w:p>
    <w:p>
      <w:pPr>
        <w:jc w:val="both"/>
        <w:ind w:left="1960" w:hanging="656"/>
        <w:spacing w:after="0" w:line="245" w:lineRule="auto"/>
        <w:tabs>
          <w:tab w:leader="none" w:pos="2014"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that if at any time following issuance of an Issuer Free Writing Prospectus, if any, any event occurred or occurs as a result of which such Issuer Free Writing Prospectus would conflict with the information in the Registration Statement, the Time of Sale Prospectus or the Prospectuses, including any document incorporated by reference therein that has not been superseded or modified or would include an untrue statement of a material fact or omit to state a material fact necessary to make the statements therein, in light of the circumstances under which they were made, not misleading, the Company will give prompt notice thereof to the Agents and, if requested by the Agents, will prepare and furnish without charge to the Agents an Issuer Free Writing Prospectus or other document which will correct such conflict, statement or omission; provided, however, the foregoing shall not apply to any statements or omissions in any Issuer Free Writing Prospectus made in reliance on information furnished in writing to the Company by the Agents expressly stating that such information is intended for use therein.</w:t>
      </w:r>
    </w:p>
    <w:p>
      <w:pPr>
        <w:spacing w:after="0" w:line="136" w:lineRule="exact"/>
        <w:rPr>
          <w:rFonts w:ascii="Times New Roman" w:cs="Times New Roman" w:eastAsia="Times New Roman" w:hAnsi="Times New Roman"/>
          <w:sz w:val="21"/>
          <w:szCs w:val="21"/>
          <w:color w:val="auto"/>
        </w:rPr>
      </w:pPr>
    </w:p>
    <w:p>
      <w:pPr>
        <w:jc w:val="both"/>
        <w:ind w:left="1300" w:hanging="644"/>
        <w:spacing w:after="0" w:line="235" w:lineRule="auto"/>
        <w:tabs>
          <w:tab w:leader="none" w:pos="134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Non-Issuer Free Writing Prospectus</w:t>
      </w:r>
      <w:r>
        <w:rPr>
          <w:rFonts w:ascii="Times New Roman" w:cs="Times New Roman" w:eastAsia="Times New Roman" w:hAnsi="Times New Roman"/>
          <w:sz w:val="22"/>
          <w:szCs w:val="22"/>
          <w:color w:val="auto"/>
        </w:rPr>
        <w:t>. The Company consents to the use by the Agents of a free writing prospectus that (a) is not an "Issuer Free Writing Prospectus" as defined in Rule 433, and (b) contains only information describing the terms of the Placement Shares or the Offering, or information permitted under Rule 134 under the U.S. Securities Act; provided that the Agents (severally and not jointly) covenant with the Company not to take any action that would result in the Company being required to file with the SEC under Rule 433(d) a free writing prospectus prepared by or on behalf of the Agents that otherwise would not be required to be filed by the Company thereunder, but for the action of the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color w:val="auto"/>
        </w:rPr>
        <w:t>- 43 -</w:t>
      </w:r>
    </w:p>
    <w:p>
      <w:pPr>
        <w:spacing w:after="0" w:line="166" w:lineRule="exact"/>
        <w:rPr>
          <w:sz w:val="20"/>
          <w:szCs w:val="20"/>
          <w:color w:val="auto"/>
        </w:rPr>
      </w:pPr>
    </w:p>
    <w:p>
      <w:pPr>
        <w:jc w:val="both"/>
        <w:ind w:left="1300" w:hanging="644"/>
        <w:spacing w:after="0" w:line="235" w:lineRule="auto"/>
        <w:tabs>
          <w:tab w:leader="none" w:pos="133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of Offering Materials</w:t>
      </w:r>
      <w:r>
        <w:rPr>
          <w:rFonts w:ascii="Times New Roman" w:cs="Times New Roman" w:eastAsia="Times New Roman" w:hAnsi="Times New Roman"/>
          <w:sz w:val="22"/>
          <w:szCs w:val="22"/>
          <w:color w:val="auto"/>
        </w:rPr>
        <w:t xml:space="preserve">. The Company has not distributed and will not distribute, during the term of this Agreement, any "marketing materials" (as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in connection with the offering and sale of the Placement Shares other than the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 the Time of Sale Prospectus, the Prospectuses or any Issuer Free Writing Prospectus reviewed and consented to by the Agents and included in a Placement Notice (as described in clause (a) (i) above), provided that the Agents (severally and not jointly) covenant with the Company not to take any action that would result in the Company being required to file with the Securities Commissions any "marketing materials" that otherwise would not be required to be filed by the Company, but for the action of the Agents.</w:t>
      </w:r>
    </w:p>
    <w:p>
      <w:pPr>
        <w:spacing w:after="0" w:line="14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the Agents' Obligations.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the Agents in their reasonable judgment, and to the continuing satisfaction (or waiver by the Agents in their sole discretion) of the following additional conditions:</w:t>
      </w:r>
    </w:p>
    <w:p>
      <w:pPr>
        <w:spacing w:after="0" w:line="121" w:lineRule="exact"/>
        <w:rPr>
          <w:sz w:val="20"/>
          <w:szCs w:val="20"/>
          <w:color w:val="auto"/>
        </w:rPr>
      </w:pPr>
    </w:p>
    <w:p>
      <w:pPr>
        <w:jc w:val="both"/>
        <w:ind w:left="1300" w:hanging="644"/>
        <w:spacing w:after="0" w:line="239" w:lineRule="auto"/>
        <w:tabs>
          <w:tab w:leader="none" w:pos="133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Canadian Prospectus Supplement</w:t>
      </w:r>
      <w:r>
        <w:rPr>
          <w:rFonts w:ascii="Times New Roman" w:cs="Times New Roman" w:eastAsia="Times New Roman" w:hAnsi="Times New Roman"/>
          <w:sz w:val="22"/>
          <w:szCs w:val="22"/>
          <w:color w:val="auto"/>
        </w:rPr>
        <w:t>. The Canadian Prospectus Supplement shall have been filed with the Securities Commissions under the Shelf Procedures and in accordance with this Agreement, all requests for additional information on the part of the Securities Commissions shall have been complied with to the reasonable satisfaction of the Agents and the Agents' counsel.</w:t>
      </w:r>
    </w:p>
    <w:p>
      <w:pPr>
        <w:spacing w:after="0" w:line="15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remain effective and shall be available for the sale of (i) all Placement Shares issued pursuant to all prior Placements and not yet sold by the Agents and (ii) all Placement Shares contemplated to be issued by the Placement Notice relating to such Placement.</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32" w:lineRule="auto"/>
        <w:tabs>
          <w:tab w:leader="none" w:pos="133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 the Company of any request for additional information from the SEC, the Securities Commissions or any other federal or state or foreign or other governmental, administrative or self-regulatory authority during the period of effectiveness of the Registration Statement and the Prospectuses, the response to which would require any amendments or supplements to the Registration Statement, the Time of Sale Prospectus or the Prospectuses; (ii) the issuance by the SEC, the Securities Commissions or any other federal or state or foreign or other Governmental Authority of any stop order suspending the effectiveness of the Registration Statement or the Prospectuses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statement made in the Registration Statement, the Time of Sale Prospectus or the Prospectuses or any document incorporated or deemed to be incorporated therein by reference untrue in any material respect or that requires the making of any changes in the Registration Statement, the Time of Sale Prospectus, Prospectuses or documents so that, in the case of the Registration Statement, it will not contain any untrue statement of a material fact or omit to state any material fact required to be stated therein or necessary to make the statements therein not misleading, and in the case of the Time of Sale Prospectus and each Prospectus, it will not contain any untrue statement of a material fact or omit to state any material fact required to be stated therein or necessary to make the statements therein, in the light of the circumstances under which they were made, not misleading; and (v) the Company's reasonable determination that a post-effective amendment to the Registration Statement, the Time of Sale Prospectus or Prospectuses would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ind w:left="4744"/>
        <w:spacing w:after="0"/>
        <w:rPr>
          <w:sz w:val="20"/>
          <w:szCs w:val="20"/>
          <w:color w:val="auto"/>
        </w:rPr>
      </w:pPr>
      <w:r>
        <w:rPr>
          <w:rFonts w:ascii="Times New Roman" w:cs="Times New Roman" w:eastAsia="Times New Roman" w:hAnsi="Times New Roman"/>
          <w:sz w:val="22"/>
          <w:szCs w:val="22"/>
          <w:color w:val="auto"/>
        </w:rPr>
        <w:t>- 44 -</w:t>
      </w:r>
    </w:p>
    <w:p>
      <w:pPr>
        <w:spacing w:after="0" w:line="166" w:lineRule="exact"/>
        <w:rPr>
          <w:sz w:val="20"/>
          <w:szCs w:val="20"/>
          <w:color w:val="auto"/>
        </w:rPr>
      </w:pPr>
    </w:p>
    <w:p>
      <w:pPr>
        <w:jc w:val="both"/>
        <w:ind w:left="644" w:hanging="644"/>
        <w:spacing w:after="0" w:line="235" w:lineRule="auto"/>
        <w:tabs>
          <w:tab w:leader="none" w:pos="68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and appropriately disclosed in the time of Sale Prospectus and the Prospectuses, or disclosed in the Company's reports filed with the SEC and Securities Commissions, in each case at the time the applicable Placement Notice is delivered, there shall not have been any material change, on a consolidated basis, in the authorized common share capital of the Company, or any development that causes or could reasonably be expected to cause a Material Adverse Effect, the effect of which, in the sole judgment of the Agents (without relieving the Company of any obligation or liability it may otherwise have), acting reasonably, is so material as to make it impracticable or inadvisable to proceed with the offering of the Placement Shares on the terms and in the manner contemplated in the Time of Sale Prospectus and the Prospectuses.</w:t>
      </w:r>
    </w:p>
    <w:p>
      <w:pPr>
        <w:spacing w:after="0" w:line="151" w:lineRule="exact"/>
        <w:rPr>
          <w:rFonts w:ascii="Times New Roman" w:cs="Times New Roman" w:eastAsia="Times New Roman" w:hAnsi="Times New Roman"/>
          <w:sz w:val="22"/>
          <w:szCs w:val="22"/>
          <w:color w:val="auto"/>
        </w:rPr>
      </w:pPr>
    </w:p>
    <w:p>
      <w:pPr>
        <w:ind w:left="644" w:hanging="644"/>
        <w:spacing w:after="0" w:line="258" w:lineRule="auto"/>
        <w:tabs>
          <w:tab w:leader="none" w:pos="68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The Agents shall have received the certificate required to be delivered pursuant to Section 8(o) on or before the date on which delivery of such certificate is required pursuant to Section 8(o).</w:t>
      </w:r>
    </w:p>
    <w:p>
      <w:pPr>
        <w:spacing w:after="0" w:line="117"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The Agents shall have received the opinions of counsel to be delivered pursuant to Section 8(p) on or before the date on which such delivery of such opinions are required pursuant to Section 8(p). In addition, counsel to the Company may rely upon the local counsel opinions as to all matters relating to jurisdictions other than the Province of Ontario, not governed by the laws of the respective jurisdiction in which they are qualified to practice, and may rely, to the extent appropriate in the circumstances, as to matters of fact on certificates of the Company, auditors and public officials, and that the opinions of counsel may be subject to usual qualifications as to equitable remedies, creditors' rights laws and public policy considerations.</w:t>
      </w:r>
    </w:p>
    <w:p>
      <w:pPr>
        <w:spacing w:after="0" w:line="142" w:lineRule="exact"/>
        <w:rPr>
          <w:rFonts w:ascii="Times New Roman" w:cs="Times New Roman" w:eastAsia="Times New Roman" w:hAnsi="Times New Roman"/>
          <w:sz w:val="22"/>
          <w:szCs w:val="22"/>
          <w:color w:val="auto"/>
        </w:rPr>
      </w:pPr>
    </w:p>
    <w:p>
      <w:pPr>
        <w:ind w:left="644" w:right="20" w:hanging="644"/>
        <w:spacing w:after="0" w:line="258" w:lineRule="auto"/>
        <w:tabs>
          <w:tab w:leader="none" w:pos="68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Letters</w:t>
      </w:r>
      <w:r>
        <w:rPr>
          <w:rFonts w:ascii="Times New Roman" w:cs="Times New Roman" w:eastAsia="Times New Roman" w:hAnsi="Times New Roman"/>
          <w:sz w:val="22"/>
          <w:szCs w:val="22"/>
          <w:color w:val="auto"/>
        </w:rPr>
        <w:t>. The Agents shall have received the Comfort Letter(s) required to be delivered pursuant to Section 8(q) on or before the date on which the delivery of such letter is required pursuant to Section 8(q).</w:t>
      </w:r>
    </w:p>
    <w:p>
      <w:pPr>
        <w:spacing w:after="0" w:line="131"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8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for Listing; No Suspension</w:t>
      </w:r>
      <w:r>
        <w:rPr>
          <w:rFonts w:ascii="Times New Roman" w:cs="Times New Roman" w:eastAsia="Times New Roman" w:hAnsi="Times New Roman"/>
          <w:sz w:val="22"/>
          <w:szCs w:val="22"/>
          <w:color w:val="auto"/>
        </w:rPr>
        <w:t>. The Placement Shares shall have either been (i) (A) approved for listing, subject to notice of issuance, on the Canadian Stock Exchange and (B) authorized for listing on the United States Stock Exchange, or (ii) the Company shall have filed an application for listing of the Placement Shares on each of the Exchanges at or prior to the issuance of the Placement Notice. Trading in the Shares shall not have been suspended on the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101600</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color w:val="auto"/>
        </w:rPr>
        <w:t>- 45 -</w:t>
      </w:r>
    </w:p>
    <w:p>
      <w:pPr>
        <w:spacing w:after="0" w:line="166" w:lineRule="exact"/>
        <w:rPr>
          <w:sz w:val="20"/>
          <w:szCs w:val="20"/>
          <w:color w:val="auto"/>
        </w:rPr>
      </w:pPr>
    </w:p>
    <w:p>
      <w:pPr>
        <w:jc w:val="both"/>
        <w:ind w:left="1300" w:hanging="644"/>
        <w:spacing w:after="0" w:line="244" w:lineRule="auto"/>
        <w:tabs>
          <w:tab w:leader="none" w:pos="133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On each date on which the Company is required to deliver a certificate pursuant to Section 8(o), the Company shall have furnished to the Agents such appropriate further information, certificates and documents as the Agents may reasonably request.</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3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 Securities Act Filings Made</w:t>
      </w:r>
      <w:r>
        <w:rPr>
          <w:rFonts w:ascii="Times New Roman" w:cs="Times New Roman" w:eastAsia="Times New Roman" w:hAnsi="Times New Roman"/>
          <w:sz w:val="22"/>
          <w:szCs w:val="22"/>
          <w:color w:val="auto"/>
        </w:rPr>
        <w:t>. All filings with the SEC required by General Instruction II.L of Form F-10, the U.S. Securities Act and required by the Securities Commissions to have been filed prior to the issuance of any Placement Notice hereunder shall have been made within the applicable time period prescribed for such filing by General Instruction II.L of Form F-10, the U.S. Securities Act and Canadian Securities Laws.</w:t>
      </w:r>
    </w:p>
    <w:p>
      <w:pPr>
        <w:spacing w:after="0" w:line="139"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If a filing with FINRA is required to be made, FINRA shall not have objected to the fairness or reasonableness of the terms or arrangements for the Agents' compensation under this Agreement.</w:t>
      </w:r>
    </w:p>
    <w:p>
      <w:pPr>
        <w:spacing w:after="0" w:line="113"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and Contribution</w:t>
      </w:r>
    </w:p>
    <w:p>
      <w:pPr>
        <w:spacing w:after="0" w:line="183"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33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and hold harmless each of the Agents and the Agents' directors, officers, shareholders, agents and employees and each person who controls any Agent within the meaning of section 15 of the U.S. Securities Act or section 20 of the Exchange Act (collectively, the "</w:t>
      </w:r>
      <w:r>
        <w:rPr>
          <w:rFonts w:ascii="Times New Roman" w:cs="Times New Roman" w:eastAsia="Times New Roman" w:hAnsi="Times New Roman"/>
          <w:sz w:val="22"/>
          <w:szCs w:val="22"/>
          <w:b w:val="1"/>
          <w:bCs w:val="1"/>
          <w:color w:val="auto"/>
        </w:rPr>
        <w:t>Indemnified Parties</w:t>
      </w:r>
      <w:r>
        <w:rPr>
          <w:rFonts w:ascii="Times New Roman" w:cs="Times New Roman" w:eastAsia="Times New Roman" w:hAnsi="Times New Roman"/>
          <w:sz w:val="22"/>
          <w:szCs w:val="22"/>
          <w:color w:val="auto"/>
        </w:rPr>
        <w:t>" and individually, an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from and against all liabilities, claims, demands, losses (other than loss of profit in connection with the distribution of the Placement Shares), costs, damages and expenses (including, without limitation, any reasonable legal fees or other expenses reasonably incurred by them in connection with investigating or defending any such liability, claim, demand, or loss) (collectively, the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in any way caused by or arising directly or indirectly from or in consequence of:</w:t>
      </w:r>
    </w:p>
    <w:p>
      <w:pPr>
        <w:spacing w:after="0" w:line="137" w:lineRule="exact"/>
        <w:rPr>
          <w:rFonts w:ascii="Times New Roman" w:cs="Times New Roman" w:eastAsia="Times New Roman" w:hAnsi="Times New Roman"/>
          <w:sz w:val="22"/>
          <w:szCs w:val="22"/>
          <w:color w:val="auto"/>
        </w:rPr>
      </w:pPr>
    </w:p>
    <w:p>
      <w:pPr>
        <w:jc w:val="both"/>
        <w:ind w:left="1960" w:hanging="656"/>
        <w:spacing w:after="0" w:line="238" w:lineRule="auto"/>
        <w:tabs>
          <w:tab w:leader="none" w:pos="1995"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of any representation or warranty of the Company made in this Agreement or an Offering Document or the failure of the Company to comply with any of its obligations in this Agreement or an Offering Document or any omission or alleged omission to state any fact required to be stated in such documents or necessary to make any statement in such documents not misleading in light of the circumstances under which it was made;</w:t>
      </w:r>
    </w:p>
    <w:p>
      <w:pPr>
        <w:spacing w:after="0" w:line="136" w:lineRule="exact"/>
        <w:rPr>
          <w:rFonts w:ascii="Times New Roman" w:cs="Times New Roman" w:eastAsia="Times New Roman" w:hAnsi="Times New Roman"/>
          <w:sz w:val="22"/>
          <w:szCs w:val="22"/>
          <w:color w:val="auto"/>
        </w:rPr>
      </w:pPr>
    </w:p>
    <w:p>
      <w:pPr>
        <w:jc w:val="both"/>
        <w:ind w:left="1960" w:hanging="656"/>
        <w:spacing w:after="0" w:line="235" w:lineRule="auto"/>
        <w:tabs>
          <w:tab w:leader="none" w:pos="200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or statement (except any information or statements that has been provided in writing to the Company by or on behalf of any Agent specifically for inclusion therein) in the Canadian Prospectus or any amendment thereto, the U.S. Prospectus or any amendment thereto or in any other document incorporated therein by reference being alleged to be a misrepresentation or untrue, or any omission or alleged omission to state therein any fact or information (except facts or information that has been provided in writing to the Company by or on behalf of any Agent specifically for inclusion therein) required to be stated therein or necessary to make any of the statements therein not misleading in light of the circumstances in which they were made;</w:t>
      </w:r>
    </w:p>
    <w:p>
      <w:pPr>
        <w:spacing w:after="0" w:line="151" w:lineRule="exact"/>
        <w:rPr>
          <w:rFonts w:ascii="Times New Roman" w:cs="Times New Roman" w:eastAsia="Times New Roman" w:hAnsi="Times New Roman"/>
          <w:sz w:val="22"/>
          <w:szCs w:val="22"/>
          <w:color w:val="auto"/>
        </w:rPr>
      </w:pPr>
    </w:p>
    <w:p>
      <w:pPr>
        <w:jc w:val="both"/>
        <w:ind w:left="1960" w:hanging="656"/>
        <w:spacing w:after="0" w:line="234" w:lineRule="auto"/>
        <w:tabs>
          <w:tab w:leader="none" w:pos="2014"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misrepresentation, untrue statement or alleged untrue statement of a material fact in the Registration Statement or any amendment thereto or any omission or alleged omission of a material fact required to be stated therein or necessary to make the statements therein not misleading, or any untrue statement or alleged untrue statement of a material fact in the Canadian Prospectus or any amendment thereto, U.S. Prospectus or any amendment thereto or any Issuer Free Writing Prospectus or any amendment or supplement thereto, or any omission or alleged omission of a material fact (except facts or information that has been provided in writing to the Company by or on behalf of any Agent specifically for inclusion therein) necessary to make the statements therein, in the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ind w:left="4744"/>
        <w:spacing w:after="0"/>
        <w:rPr>
          <w:sz w:val="20"/>
          <w:szCs w:val="20"/>
          <w:color w:val="auto"/>
        </w:rPr>
      </w:pPr>
      <w:r>
        <w:rPr>
          <w:rFonts w:ascii="Times New Roman" w:cs="Times New Roman" w:eastAsia="Times New Roman" w:hAnsi="Times New Roman"/>
          <w:sz w:val="22"/>
          <w:szCs w:val="22"/>
          <w:color w:val="auto"/>
        </w:rPr>
        <w:t>- 46 -</w:t>
      </w:r>
    </w:p>
    <w:p>
      <w:pPr>
        <w:spacing w:after="0" w:line="166" w:lineRule="exact"/>
        <w:rPr>
          <w:sz w:val="20"/>
          <w:szCs w:val="20"/>
          <w:color w:val="auto"/>
        </w:rPr>
      </w:pPr>
    </w:p>
    <w:p>
      <w:pPr>
        <w:ind w:left="1304" w:hanging="656"/>
        <w:spacing w:after="0" w:line="258" w:lineRule="auto"/>
        <w:tabs>
          <w:tab w:leader="none" w:pos="135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not complying with any requirement of applicable Canadian Securities Laws or U.S. Securities Laws in connection with the transactions contemplated herein; or</w:t>
      </w:r>
    </w:p>
    <w:p>
      <w:pPr>
        <w:spacing w:after="0" w:line="131" w:lineRule="exact"/>
        <w:rPr>
          <w:rFonts w:ascii="Times New Roman" w:cs="Times New Roman" w:eastAsia="Times New Roman" w:hAnsi="Times New Roman"/>
          <w:sz w:val="22"/>
          <w:szCs w:val="22"/>
          <w:color w:val="auto"/>
        </w:rPr>
      </w:pPr>
    </w:p>
    <w:p>
      <w:pPr>
        <w:jc w:val="both"/>
        <w:ind w:left="1304" w:hanging="656"/>
        <w:spacing w:after="0" w:line="235" w:lineRule="auto"/>
        <w:tabs>
          <w:tab w:leader="none" w:pos="134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made or any inquiry, investigation (whether formal or informal) or proceeding commenced or threatened by any securities, regulatory or other competent authority based upon any untrue statement, omission or misrepresentation or alleged untrue statement, omission or misrepresentation (except a statement, omission or misrepresentation relating solely to the Agents or any of them that has been provided in writing to the Company by or on behalf of any Agent specifically for inclusion therein) in the Continuous Disclosure Materials preventing or restricting the trading in or the distribution of the Placement Shares or any of them in any of the provinces or territories of Canada or in the United States.</w:t>
      </w:r>
    </w:p>
    <w:p>
      <w:pPr>
        <w:spacing w:after="0" w:line="142" w:lineRule="exact"/>
        <w:rPr>
          <w:rFonts w:ascii="Times New Roman" w:cs="Times New Roman" w:eastAsia="Times New Roman" w:hAnsi="Times New Roman"/>
          <w:sz w:val="22"/>
          <w:szCs w:val="22"/>
          <w:color w:val="auto"/>
        </w:rPr>
      </w:pPr>
    </w:p>
    <w:p>
      <w:pPr>
        <w:jc w:val="both"/>
        <w:ind w:left="644" w:hanging="644"/>
        <w:spacing w:after="0" w:line="233" w:lineRule="auto"/>
        <w:tabs>
          <w:tab w:leader="none" w:pos="68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(severally and not jointly) agrees to indemnify and hold harmless each of the Company and its directors, officers, employees and agents and each person who controls the Company within the meaning of Section 15 of the U.S. Securities Act and Section 20 of the Exchange Act, from and against any and all losses (other than loss of profit in connection with the distribution of the Placement Shares), claims, damages and liabilities (including, without limitation, the legal fees and other expenses incurred in connection with any suit, action or proceeding or any claim asserted) caused by any untrue statement or alleged untrue statement of a material fact relating solely to the Agents that has been provided in writing to the Company by or on behalf of any Agent specifically for inclusion therein contained in the Time of Sale Prospectus and the Prospectuses (including any amendment or supplement if the Company shall have furnished any amendments or supplements thereto), or any Issuer Free Writing Prospectus, or caused by any omission or alleged omission to state therein a material fact required to be stated therein or necessary to make the statements therein not misleading.</w:t>
      </w:r>
    </w:p>
    <w:p>
      <w:pPr>
        <w:spacing w:after="0" w:line="146" w:lineRule="exact"/>
        <w:rPr>
          <w:rFonts w:ascii="Times New Roman" w:cs="Times New Roman" w:eastAsia="Times New Roman" w:hAnsi="Times New Roman"/>
          <w:sz w:val="22"/>
          <w:szCs w:val="22"/>
          <w:color w:val="auto"/>
        </w:rPr>
      </w:pPr>
    </w:p>
    <w:p>
      <w:pPr>
        <w:ind w:left="644" w:hanging="644"/>
        <w:spacing w:after="0" w:line="258" w:lineRule="auto"/>
        <w:tabs>
          <w:tab w:leader="none" w:pos="68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acknowledges that the names of the Agents set forth on the cover of the Prospectus constitutes the only information furnished in writing, by or on behalf of the Agents for inclusion in the Prospectuses.</w:t>
      </w:r>
    </w:p>
    <w:p>
      <w:pPr>
        <w:spacing w:after="0" w:line="131"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8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obligations in (a) and (b) above will not apply to the extent that a court of competent jurisdiction in a final judgment that has become non-appealable shall determine that such Losses were solely caused by the gross negligence, willful misconduct, bad faith or fraud of the Indemnified Party, such Indemnified Party will promptly reimburse the Company any funds advanced to the Indemnified Party in respect of such liability, claim, demand, loss, cost, damage or expense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For greater certainty, the Company and the Agents agree that they do not intend that any failure by the Agents to conduct such reasonable investigation as necessary to provide the Agents with reasonable grounds for believing the applicable document contained no misrepresentation shall constitute "gross negligence" or "willful misconduct" for purposes of this Section 12 or otherwise disentitle the Agents from indemnification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106045</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9" w:name="page50"/>
    <w:bookmarkEnd w:id="49"/>
    <w:p>
      <w:pPr>
        <w:ind w:left="4744"/>
        <w:spacing w:after="0"/>
        <w:rPr>
          <w:sz w:val="20"/>
          <w:szCs w:val="20"/>
          <w:color w:val="auto"/>
        </w:rPr>
      </w:pPr>
      <w:r>
        <w:rPr>
          <w:rFonts w:ascii="Times New Roman" w:cs="Times New Roman" w:eastAsia="Times New Roman" w:hAnsi="Times New Roman"/>
          <w:sz w:val="22"/>
          <w:szCs w:val="22"/>
          <w:color w:val="auto"/>
        </w:rPr>
        <w:t>- 47 -</w:t>
      </w:r>
    </w:p>
    <w:p>
      <w:pPr>
        <w:spacing w:after="0" w:line="166" w:lineRule="exact"/>
        <w:rPr>
          <w:sz w:val="20"/>
          <w:szCs w:val="20"/>
          <w:color w:val="auto"/>
        </w:rPr>
      </w:pPr>
    </w:p>
    <w:p>
      <w:pPr>
        <w:jc w:val="both"/>
        <w:ind w:left="644" w:hanging="644"/>
        <w:spacing w:after="0" w:line="236" w:lineRule="auto"/>
        <w:tabs>
          <w:tab w:leader="none" w:pos="68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provide for just and equitable contribution in circumstances in which the indemnification provided for in Section 12 hereof is unavailable, in whole or in part, for any reason to an Indemnified Party in respect of any liabilities, claims, demands, losses, costs, damages and expenses referred to therein, the Company shall contribute to the amount paid or payable (or, if such indemnity is unavailable only in respect of a portion of the amount so paid or payable, such portion of the amount so paid or payable) by such Indemnified Party as a result of such liabilities, claims, demands, losses, costs, damages and expenses:</w:t>
      </w:r>
    </w:p>
    <w:p>
      <w:pPr>
        <w:spacing w:after="0" w:line="154" w:lineRule="exact"/>
        <w:rPr>
          <w:rFonts w:ascii="Times New Roman" w:cs="Times New Roman" w:eastAsia="Times New Roman" w:hAnsi="Times New Roman"/>
          <w:sz w:val="22"/>
          <w:szCs w:val="22"/>
          <w:color w:val="auto"/>
        </w:rPr>
      </w:pPr>
    </w:p>
    <w:p>
      <w:pPr>
        <w:ind w:left="1304" w:hanging="656"/>
        <w:spacing w:after="0" w:line="258" w:lineRule="auto"/>
        <w:tabs>
          <w:tab w:leader="none" w:pos="133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proportion as is appropriate to reflect the relative benefits received by the Company on the one hand and the Agents on the other hand from the distribution of the Placement Shares; or</w:t>
      </w:r>
    </w:p>
    <w:p>
      <w:pPr>
        <w:spacing w:after="0" w:line="117" w:lineRule="exact"/>
        <w:rPr>
          <w:rFonts w:ascii="Times New Roman" w:cs="Times New Roman" w:eastAsia="Times New Roman" w:hAnsi="Times New Roman"/>
          <w:sz w:val="22"/>
          <w:szCs w:val="22"/>
          <w:color w:val="auto"/>
        </w:rPr>
      </w:pPr>
    </w:p>
    <w:p>
      <w:pPr>
        <w:jc w:val="both"/>
        <w:ind w:left="1304" w:hanging="656"/>
        <w:spacing w:after="0" w:line="238" w:lineRule="auto"/>
        <w:tabs>
          <w:tab w:leader="none" w:pos="134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Agents on the other hand in connection with the matters or things referred to in Section 12 hereof which resulted in such liabilities, claims, demands, losses, costs, damages or expenses, as well as any other relevant equitable considerations;</w:t>
      </w:r>
    </w:p>
    <w:p>
      <w:pPr>
        <w:spacing w:after="0" w:line="136" w:lineRule="exact"/>
        <w:rPr>
          <w:sz w:val="20"/>
          <w:szCs w:val="20"/>
          <w:color w:val="auto"/>
        </w:rPr>
      </w:pPr>
    </w:p>
    <w:p>
      <w:pPr>
        <w:jc w:val="both"/>
        <w:ind w:left="644"/>
        <w:spacing w:after="0" w:line="244" w:lineRule="auto"/>
        <w:rPr>
          <w:sz w:val="20"/>
          <w:szCs w:val="20"/>
          <w:color w:val="auto"/>
        </w:rPr>
      </w:pPr>
      <w:r>
        <w:rPr>
          <w:rFonts w:ascii="Times New Roman" w:cs="Times New Roman" w:eastAsia="Times New Roman" w:hAnsi="Times New Roman"/>
          <w:sz w:val="21"/>
          <w:szCs w:val="21"/>
          <w:color w:val="auto"/>
        </w:rPr>
        <w:t>provided that the Agents shall not in any event be liable to contribute, in the aggregate, any amount in excess of the Placement Fee or any portion thereof actually received. The relative benefits received by the Company on the one hand and the Agents on the other shall be deemed to be in the same ratio as the total Net Proceeds from the distribution of Placement Shares received by the Company is to the Placement Fee received by the Agents. The relative fault of the Company on the one hand and of the Agents on the other shall be determined by reference to, among other things, whether the matters or things referred to in Section 12 hereof which resulted in such liabilities, claims, demands, losses, costs, damages and expenses relate to information supplied by or steps or actions taken or done or not taken or done by or on behalf of the Company (including indirectly as aforesaid) or to information supplied by or steps or actions taken or done or not taken or done by or on behalf of the Agents and the relative intent, knowledge, access to information and opportunity to correct or prevent such statement, omission or misrepresentation, or other matter or thing referred to in Section 12 hereof. The parties hereto agree that it would not be just and equitable if contribution pursuant to this Section 12 were determined by any method of allocation which does not take into account the equitable considerations referred to above in this Section 12.</w:t>
      </w:r>
    </w:p>
    <w:p>
      <w:pPr>
        <w:spacing w:after="0" w:line="156" w:lineRule="exact"/>
        <w:rPr>
          <w:sz w:val="20"/>
          <w:szCs w:val="20"/>
          <w:color w:val="auto"/>
        </w:rPr>
      </w:pPr>
    </w:p>
    <w:p>
      <w:pPr>
        <w:jc w:val="both"/>
        <w:ind w:left="644"/>
        <w:spacing w:after="0" w:line="244" w:lineRule="auto"/>
        <w:rPr>
          <w:sz w:val="20"/>
          <w:szCs w:val="20"/>
          <w:color w:val="auto"/>
        </w:rPr>
      </w:pPr>
      <w:r>
        <w:rPr>
          <w:rFonts w:ascii="Times New Roman" w:cs="Times New Roman" w:eastAsia="Times New Roman" w:hAnsi="Times New Roman"/>
          <w:sz w:val="22"/>
          <w:szCs w:val="22"/>
          <w:color w:val="auto"/>
        </w:rPr>
        <w:t>Notwithstanding the provisions of this Section 12, no person guilty of fraudulent misrepresentation (within the meaning of Section 11(f) of the U.S. Securities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99695</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0" w:name="page51"/>
    <w:bookmarkEnd w:id="50"/>
    <w:p>
      <w:pPr>
        <w:ind w:left="4744"/>
        <w:spacing w:after="0"/>
        <w:rPr>
          <w:sz w:val="20"/>
          <w:szCs w:val="20"/>
          <w:color w:val="auto"/>
        </w:rPr>
      </w:pPr>
      <w:r>
        <w:rPr>
          <w:rFonts w:ascii="Times New Roman" w:cs="Times New Roman" w:eastAsia="Times New Roman" w:hAnsi="Times New Roman"/>
          <w:sz w:val="22"/>
          <w:szCs w:val="22"/>
          <w:color w:val="auto"/>
        </w:rPr>
        <w:t>- 48 -</w:t>
      </w:r>
    </w:p>
    <w:p>
      <w:pPr>
        <w:spacing w:after="0" w:line="166" w:lineRule="exact"/>
        <w:rPr>
          <w:sz w:val="20"/>
          <w:szCs w:val="20"/>
          <w:color w:val="auto"/>
        </w:rPr>
      </w:pPr>
    </w:p>
    <w:p>
      <w:pPr>
        <w:jc w:val="both"/>
        <w:ind w:left="644" w:hanging="644"/>
        <w:spacing w:after="0" w:line="242" w:lineRule="auto"/>
        <w:tabs>
          <w:tab w:leader="none" w:pos="68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matter or thing contemplated by this Section 12 shall be asserted against any Indemnified Party, the Indemnified Party concerned shall promptly notify the Company and the Agents of the nature of such claim (provided that any failure to so notify the Company promptly shall relieve the Company of liability under this Section 12 only to the extent that such failure prejudices the Company's ability to defend such claim), and the Company shall, subject as hereinafter provided, be entitled (but not required) to assume the defence of any suit or proceeding (including any governmental or regulatory investigation or proceeding) brought to enforce such claim. Any such defence shall be through legal counsel acceptable to the Indemnified Party (whose acceptance shall not be unreasonably withheld). An Indemnified Party shall have the right to employ separate counsel in any such suit and participate in the defence thereof but the fees and expenses of such counsel shall be at the expense of the Indemnified Party unless: (i) the Company fails to assume the defence of such suit on behalf of the Indemnified Party within a reasonable period of time; or (ii) the employment of such counsel has been authorized in writing by the Company; or (iii) the named parties to any such suit or proceeding include the Indemnified Party as well as the Company and the Indemnified Party shall have received advice of counsel that there may be one or more legal defences available to the Indemnified Party which are different from or in addition to those available to the Company (in which case, if such Indemnified Party notifies the Company in writing that it elects to employ separate counsel at the expense of the Company, the Company shall not have the right to assume the defence of such suit or proceeding on behalf of the Indemnified Party and shall be liable to pay the reasonable fees and expenses of counsel for the Indemnified Party),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law firm for all such Indemnified Parties (other than local counsel). The Company shall not be liable for any settlement of any action or suit effected without its written consent (which consent will not be unreasonably withheld or delayed). The Company shall not, without the prior written consent of each Indemnified Party, settle or compromise or consent to the entry of any judgment in any pending or threatened claim, action or proceeding relating to the matters contemplated by this Section 12 (whether or not any Indemnified Party is a party thereto), unless such settlement, compromise or consent (i) includes an unconditional release of each Indemnified Party from all liability arising or that may arise out of such claim, action or proceeding and (ii) does not include a statement as to or an admission of fault, culpability or a failure to act by or on behalf of any Indemnified Party. Notwithstanding the foregoing, if at any time an Indemnified Party shall have requested the Company to reimburse the Indemnified Party for fees and expenses of counsel, the Company agrees that it shall be liable for any settlement of the nature contemplated by Section 12 effected without its written consent if (i) such settlement is entered into more than 45 days after receipt by the Company of the aforesaid request, (ii) the Company shall have received notice of the terms of such settlement at least 30 days prior to such settlement being entered into and</w:t>
      </w:r>
    </w:p>
    <w:p>
      <w:pPr>
        <w:spacing w:after="0" w:line="251" w:lineRule="exact"/>
        <w:rPr>
          <w:rFonts w:ascii="Times New Roman" w:cs="Times New Roman" w:eastAsia="Times New Roman" w:hAnsi="Times New Roman"/>
          <w:sz w:val="21"/>
          <w:szCs w:val="21"/>
          <w:color w:val="auto"/>
        </w:rPr>
      </w:pPr>
    </w:p>
    <w:p>
      <w:pPr>
        <w:jc w:val="both"/>
        <w:ind w:left="644" w:firstLine="4"/>
        <w:spacing w:after="0" w:line="232" w:lineRule="auto"/>
        <w:tabs>
          <w:tab w:leader="none" w:pos="1035"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have reimbursed such Indemnified Party in accordance with such request prior to the date of such settlement. It is the intention of the Company to constitute each of the Agents as trustees, for the Agents' directors, officers, shareholders, agents and employees, and each person who controls any Agent of the covenants of the Company under Sections 12 hereof with respect to the Agents' directors, officers, shareholders, agents and employees, and each person who controls any Agent, and the Agents agree to accept such trust and to hold and enforce such covenants on behalf of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114300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color w:val="auto"/>
        </w:rPr>
        <w:t>- 49 -</w:t>
      </w:r>
    </w:p>
    <w:p>
      <w:pPr>
        <w:spacing w:after="0" w:line="166" w:lineRule="exact"/>
        <w:rPr>
          <w:sz w:val="20"/>
          <w:szCs w:val="20"/>
          <w:color w:val="auto"/>
        </w:rPr>
      </w:pPr>
    </w:p>
    <w:p>
      <w:pPr>
        <w:jc w:val="both"/>
        <w:ind w:left="1300" w:hanging="644"/>
        <w:spacing w:after="0" w:line="235" w:lineRule="auto"/>
        <w:tabs>
          <w:tab w:leader="none" w:pos="13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in case any legal proceedings or investigation shall be brought against or initiated against the Company by any governmental commission, regulatory authority, exchange, court or other authority and an Indemnified Party or other representative of any of the Agents shall be required to testify or respond to procedures designed to discover information regarding, in connection with or relating to the performance of professional services rendered to the Company by one or more of the Agents, the Company agrees to pay the Agent the reasonable costs (including an amount to reimburse the Agent for the time spent by the personnel in connection therewith on a per diem basis and out-of-pocket expenses) in connection therewith.</w:t>
      </w:r>
    </w:p>
    <w:p>
      <w:pPr>
        <w:spacing w:after="0" w:line="156"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provided in this Section 12 shall be in addition to and not in derogation of any other right which the Agents may have by statute or otherwise at law.</w:t>
      </w:r>
    </w:p>
    <w:p>
      <w:pPr>
        <w:spacing w:after="0" w:line="113"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to Survive Delivery</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representations and warranties of the Company herein or in certificates delivered pursuant hereto shall remain operative and in full force and effect regardless of (i) any investigation made by or on behalf of the Agent, its affiliates, directors, officers, shareholders, agents and employees and any controlling persons, (ii) delivery and acceptance of the Placement Shares and payment therefor or (iii) any termination of this Agreement.</w:t>
      </w:r>
    </w:p>
    <w:p>
      <w:pPr>
        <w:spacing w:after="0" w:line="149" w:lineRule="exact"/>
        <w:rPr>
          <w:sz w:val="20"/>
          <w:szCs w:val="20"/>
          <w:color w:val="auto"/>
        </w:rPr>
      </w:pPr>
    </w:p>
    <w:p>
      <w:pPr>
        <w:ind w:left="700" w:hanging="692"/>
        <w:spacing w:after="0"/>
        <w:tabs>
          <w:tab w:leader="none" w:pos="7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169" w:lineRule="exact"/>
        <w:rPr>
          <w:rFonts w:ascii="Times New Roman" w:cs="Times New Roman" w:eastAsia="Times New Roman" w:hAnsi="Times New Roman"/>
          <w:sz w:val="22"/>
          <w:szCs w:val="22"/>
          <w:b w:val="1"/>
          <w:bCs w:val="1"/>
          <w:color w:val="auto"/>
        </w:rPr>
      </w:pPr>
    </w:p>
    <w:p>
      <w:pPr>
        <w:jc w:val="both"/>
        <w:ind w:left="1300" w:hanging="644"/>
        <w:spacing w:after="0" w:line="243" w:lineRule="auto"/>
        <w:tabs>
          <w:tab w:leader="none" w:pos="133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Agents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earnings, results of operations or prospects of the Cybin Entities considered as one enterprise, whether or not arising in the ordinary course of business, which individually or in the aggregate, in the sole judgment of the Agents is material and adverse and makes it impractical or inadvisable to market the Placement Shares or to enforce contracts for the sale of the Placement Shares, (2) if there has occurred any material adverse change in the financial markets in Canada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Agents, impracticable or inadvisable to market the Placement Shares or to enforce contracts for the sale of the Placement Shares, (3) if trading in the Shares has been suspended or limited by the Securities Commissions or the Exchange, or if trading generally on the Exchanges has been suspended or limited, or minimum prices for trading have been fixed on the Canadian Stock Exchange, (4) if any suspension of trading of any securities of the Company on any exchange or in the over-the-counter market shall have occurred and be continuing, or (5) if a major disruption of securities settlements or clearance services in Canada shall have occurred and be continuing. Any such termination shall be without liability of any party to any other party except that the provisions of Sections 8(h), 12, 13, 14(e), 16, 19 and 20 hereof shall remain in full force and effect notwithstanding such termination. If the Agents elect to terminate this Agreement as provided in this Section 14(a), the Agents shall provide the required notice as specified in Section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ind w:left="4744"/>
        <w:spacing w:after="0"/>
        <w:rPr>
          <w:sz w:val="20"/>
          <w:szCs w:val="20"/>
          <w:color w:val="auto"/>
        </w:rPr>
      </w:pPr>
      <w:r>
        <w:rPr>
          <w:rFonts w:ascii="Times New Roman" w:cs="Times New Roman" w:eastAsia="Times New Roman" w:hAnsi="Times New Roman"/>
          <w:sz w:val="22"/>
          <w:szCs w:val="22"/>
          <w:color w:val="auto"/>
        </w:rPr>
        <w:t>- 50 -</w:t>
      </w:r>
    </w:p>
    <w:p>
      <w:pPr>
        <w:spacing w:after="0" w:line="166" w:lineRule="exact"/>
        <w:rPr>
          <w:sz w:val="20"/>
          <w:szCs w:val="20"/>
          <w:color w:val="auto"/>
        </w:rPr>
      </w:pPr>
    </w:p>
    <w:p>
      <w:pPr>
        <w:jc w:val="both"/>
        <w:ind w:left="644" w:hanging="644"/>
        <w:spacing w:after="0" w:line="239" w:lineRule="auto"/>
        <w:tabs>
          <w:tab w:leader="none" w:pos="68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to terminate this Agreement by giving ten (10) days' notice as hereinafter specified to terminate this Agreement in its sole discretion at any time after the date of this Agreement. Any such termination shall be without liability of any party to any other party except that the provisions of Sections 8(h), 12, 13, 14(e), 16, 19 and 20 hereof shall remain in full force and effect notwithstanding such termination.</w:t>
      </w:r>
    </w:p>
    <w:p>
      <w:pPr>
        <w:spacing w:after="0" w:line="153"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8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have the right to terminate its obligations under this Agreement in its sole discretion by giving ten (10) days' notice as hereinafter specified to terminate this Agreement in its sole discretion at any time after the date of this Agreement. Any such termination shall be without liability of any party to any other party except that the provisions of Sections 8(h), 12, 13, 14(e), 16, 19 and 20 hereof shall remain in full force and effect notwithstanding such termination.</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68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remain in full force and effect until the earliest to occur of (i) termination pursuant to Sections 14(a), 14(b) or 14(c) or otherwise by mutual agreement of the parties; (ii) such date that the aggregate gross sales proceeds of Placement Shares sold pursuant to this Agreement equals US$100,000,000; (iii) October 17, 2027, being the date the Base Shelf Prospectus lapses in accordance with Canadian Securities Laws; or (iv) the date the Base Shelf Prospectus is withdrawn; provided that any such termination shall in all cases be deemed to provide that Sections 8(h), 12, 13, 14(e), 16, 19 and 20 shall remain in full force and effect.</w:t>
      </w:r>
    </w:p>
    <w:p>
      <w:pPr>
        <w:spacing w:after="0" w:line="140" w:lineRule="exact"/>
        <w:rPr>
          <w:rFonts w:ascii="Times New Roman" w:cs="Times New Roman" w:eastAsia="Times New Roman" w:hAnsi="Times New Roman"/>
          <w:sz w:val="22"/>
          <w:szCs w:val="22"/>
          <w:color w:val="auto"/>
        </w:rPr>
      </w:pPr>
    </w:p>
    <w:p>
      <w:pPr>
        <w:jc w:val="both"/>
        <w:ind w:left="644" w:hanging="644"/>
        <w:spacing w:after="0" w:line="255" w:lineRule="auto"/>
        <w:tabs>
          <w:tab w:leader="none" w:pos="68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termination of this Agreement shall be effective on the date specified in such notice of termination; provided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w:t>
      </w:r>
    </w:p>
    <w:p>
      <w:pPr>
        <w:spacing w:after="0" w:line="134" w:lineRule="exact"/>
        <w:rPr>
          <w:rFonts w:ascii="Times New Roman" w:cs="Times New Roman" w:eastAsia="Times New Roman" w:hAnsi="Times New Roman"/>
          <w:sz w:val="21"/>
          <w:szCs w:val="21"/>
          <w:color w:val="auto"/>
        </w:rPr>
      </w:pPr>
    </w:p>
    <w:p>
      <w:pPr>
        <w:jc w:val="both"/>
        <w:ind w:left="644" w:hanging="644"/>
        <w:spacing w:after="0" w:line="236" w:lineRule="auto"/>
        <w:tabs>
          <w:tab w:leader="none" w:pos="6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terminates this Agreement, as permitted under Section 14(b), the Company shall be under no continuing obligation, either pursuant to this Agreement or otherwise, to utilize the services of the Agents in connection with any sale of securities of the Company or to pay any compensation to the Agents other than compensation with respect to sales of Placement Shares subscribed on or before the termination date and the Company shall be free to engage other placement agents and underwriters before (except with respect to the sale of securities hereunder), from and after the termination date with no continuing obligation to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104775</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22"/>
          <w:szCs w:val="22"/>
          <w:color w:val="auto"/>
        </w:rPr>
        <w:t>- 51 -</w:t>
      </w:r>
    </w:p>
    <w:p>
      <w:pPr>
        <w:spacing w:after="0" w:line="162" w:lineRule="exact"/>
        <w:rPr>
          <w:sz w:val="20"/>
          <w:szCs w:val="20"/>
          <w:color w:val="auto"/>
        </w:rPr>
      </w:pPr>
    </w:p>
    <w:p>
      <w:pPr>
        <w:ind w:left="680" w:hanging="672"/>
        <w:spacing w:after="0"/>
        <w:tabs>
          <w:tab w:leader="none" w:pos="68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All notices or other communications required or permitted to be given by any party to any other party pursuant to the terms of this Agreement shall be in writing and if sent to the Agents shall be delivered to:</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Cantor Fitzgerald Canada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181 University Avenue, Suite 1500</w:t>
      </w:r>
    </w:p>
    <w:p>
      <w:pPr>
        <w:ind w:left="660"/>
        <w:spacing w:after="0"/>
        <w:rPr>
          <w:sz w:val="20"/>
          <w:szCs w:val="20"/>
          <w:color w:val="auto"/>
        </w:rPr>
      </w:pPr>
      <w:r>
        <w:rPr>
          <w:rFonts w:ascii="Times New Roman" w:cs="Times New Roman" w:eastAsia="Times New Roman" w:hAnsi="Times New Roman"/>
          <w:sz w:val="22"/>
          <w:szCs w:val="22"/>
          <w:color w:val="auto"/>
        </w:rPr>
        <w:t>Toronto, ON M5H 3M7</w:t>
      </w:r>
    </w:p>
    <w:p>
      <w:pPr>
        <w:sectPr>
          <w:pgSz w:w="11900" w:h="16838" w:orient="portrait"/>
          <w:cols w:equalWidth="0" w:num="1">
            <w:col w:w="11280"/>
          </w:cols>
          <w:pgMar w:left="320" w:top="112" w:right="299" w:bottom="1440" w:gutter="0" w:footer="0" w:header="0"/>
        </w:sectPr>
      </w:pP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Elan Shevel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66" w:lineRule="exact"/>
        <w:rPr>
          <w:sz w:val="20"/>
          <w:szCs w:val="20"/>
          <w:color w:val="auto"/>
        </w:rPr>
      </w:pPr>
    </w:p>
    <w:p>
      <w:pPr>
        <w:sectPr>
          <w:pgSz w:w="11900" w:h="16838" w:orient="portrait"/>
          <w:cols w:equalWidth="0" w:num="2">
            <w:col w:w="1540" w:space="440"/>
            <w:col w:w="9300"/>
          </w:cols>
          <w:pgMar w:left="320" w:top="112" w:right="2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and</w:t>
      </w:r>
    </w:p>
    <w:p>
      <w:pPr>
        <w:sectPr>
          <w:pgSz w:w="11900" w:h="16838" w:orient="portrait"/>
          <w:cols w:equalWidth="0" w:num="1">
            <w:col w:w="11280"/>
          </w:cols>
          <w:pgMar w:left="320" w:top="112" w:right="299" w:bottom="1440" w:gutter="0" w:footer="0" w:header="0"/>
          <w:type w:val="continuous"/>
        </w:sectPr>
      </w:pP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Cantor Fitzgerald &amp; Co.</w:t>
      </w:r>
    </w:p>
    <w:p>
      <w:pPr>
        <w:ind w:left="660"/>
        <w:spacing w:after="0" w:line="190" w:lineRule="auto"/>
        <w:rPr>
          <w:sz w:val="20"/>
          <w:szCs w:val="20"/>
          <w:color w:val="auto"/>
        </w:rPr>
      </w:pPr>
      <w:r>
        <w:rPr>
          <w:rFonts w:ascii="Times New Roman" w:cs="Times New Roman" w:eastAsia="Times New Roman" w:hAnsi="Times New Roman"/>
          <w:sz w:val="21"/>
          <w:szCs w:val="21"/>
          <w:color w:val="auto"/>
        </w:rPr>
        <w:t>110 East 59th Street, 6</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Floor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NY 10022</w:t>
      </w:r>
    </w:p>
    <w:p>
      <w:pPr>
        <w:sectPr>
          <w:pgSz w:w="11900" w:h="16838" w:orient="portrait"/>
          <w:cols w:equalWidth="0" w:num="1">
            <w:col w:w="11280"/>
          </w:cols>
          <w:pgMar w:left="320" w:top="112" w:right="299" w:bottom="1440" w:gutter="0" w:footer="0" w:header="0"/>
          <w:type w:val="continuous"/>
        </w:sectPr>
      </w:pP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66" w:lineRule="exact"/>
        <w:rPr>
          <w:sz w:val="20"/>
          <w:szCs w:val="20"/>
          <w:color w:val="auto"/>
        </w:rPr>
      </w:pPr>
    </w:p>
    <w:p>
      <w:pPr>
        <w:sectPr>
          <w:pgSz w:w="11900" w:h="16838" w:orient="portrait"/>
          <w:cols w:equalWidth="0" w:num="2">
            <w:col w:w="1540" w:space="440"/>
            <w:col w:w="9300"/>
          </w:cols>
          <w:pgMar w:left="320" w:top="112" w:right="2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Bennett Jones LLP</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3400 One First Canadian Place</w:t>
      </w:r>
    </w:p>
    <w:p>
      <w:pPr>
        <w:ind w:left="660"/>
        <w:spacing w:after="0" w:line="231" w:lineRule="auto"/>
        <w:rPr>
          <w:sz w:val="20"/>
          <w:szCs w:val="20"/>
          <w:color w:val="auto"/>
        </w:rPr>
      </w:pPr>
      <w:r>
        <w:rPr>
          <w:rFonts w:ascii="Times New Roman" w:cs="Times New Roman" w:eastAsia="Times New Roman" w:hAnsi="Times New Roman"/>
          <w:sz w:val="22"/>
          <w:szCs w:val="22"/>
          <w:color w:val="auto"/>
        </w:rPr>
        <w:t>P.O. Box 130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Toronto, ON M5X 1A4</w:t>
      </w:r>
    </w:p>
    <w:p>
      <w:pPr>
        <w:sectPr>
          <w:pgSz w:w="11900" w:h="16838" w:orient="portrait"/>
          <w:cols w:equalWidth="0" w:num="1">
            <w:col w:w="11280"/>
          </w:cols>
          <w:pgMar w:left="320" w:top="112" w:right="299" w:bottom="1440" w:gutter="0" w:footer="0" w:header="0"/>
          <w:type w:val="continuous"/>
        </w:sectPr>
      </w:pP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Aaron Sonshine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66" w:lineRule="exact"/>
        <w:rPr>
          <w:sz w:val="20"/>
          <w:szCs w:val="20"/>
          <w:color w:val="auto"/>
        </w:rPr>
      </w:pPr>
    </w:p>
    <w:p>
      <w:pPr>
        <w:sectPr>
          <w:pgSz w:w="11900" w:h="16838" w:orient="portrait"/>
          <w:cols w:equalWidth="0" w:num="2">
            <w:col w:w="1540" w:space="440"/>
            <w:col w:w="9300"/>
          </w:cols>
          <w:pgMar w:left="320" w:top="112" w:right="2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or if sent to the Company, shall be delivered to:</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Cybin Inc.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100 King Street West, Suite 5600</w:t>
      </w:r>
    </w:p>
    <w:p>
      <w:pPr>
        <w:ind w:left="660"/>
        <w:spacing w:after="0"/>
        <w:rPr>
          <w:sz w:val="20"/>
          <w:szCs w:val="20"/>
          <w:color w:val="auto"/>
        </w:rPr>
      </w:pPr>
      <w:r>
        <w:rPr>
          <w:rFonts w:ascii="Times New Roman" w:cs="Times New Roman" w:eastAsia="Times New Roman" w:hAnsi="Times New Roman"/>
          <w:sz w:val="22"/>
          <w:szCs w:val="22"/>
          <w:color w:val="auto"/>
        </w:rPr>
        <w:t>Toronto, ON M5X 1C9</w:t>
      </w:r>
    </w:p>
    <w:p>
      <w:pPr>
        <w:sectPr>
          <w:pgSz w:w="11900" w:h="16838" w:orient="portrait"/>
          <w:cols w:equalWidth="0" w:num="1">
            <w:col w:w="11280"/>
          </w:cols>
          <w:pgMar w:left="320" w:top="112" w:right="299" w:bottom="1440" w:gutter="0" w:footer="0" w:header="0"/>
          <w:type w:val="continuous"/>
        </w:sectPr>
      </w:pP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Gabriel Fahel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[Redacted - Personal Information]</w:t>
      </w:r>
    </w:p>
    <w:p>
      <w:pPr>
        <w:spacing w:after="0" w:line="166" w:lineRule="exact"/>
        <w:rPr>
          <w:sz w:val="20"/>
          <w:szCs w:val="20"/>
          <w:color w:val="auto"/>
        </w:rPr>
      </w:pPr>
    </w:p>
    <w:p>
      <w:pPr>
        <w:sectPr>
          <w:pgSz w:w="11900" w:h="16838" w:orient="portrait"/>
          <w:cols w:equalWidth="0" w:num="2">
            <w:col w:w="1540" w:space="440"/>
            <w:col w:w="9300"/>
          </w:cols>
          <w:pgMar w:left="320" w:top="112" w:right="2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Aird &amp; Berlis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181 Bay Street, Suite 1800</w:t>
      </w:r>
    </w:p>
    <w:p>
      <w:pPr>
        <w:ind w:left="660"/>
        <w:spacing w:after="0"/>
        <w:rPr>
          <w:sz w:val="20"/>
          <w:szCs w:val="20"/>
          <w:color w:val="auto"/>
        </w:rPr>
      </w:pPr>
      <w:r>
        <w:rPr>
          <w:rFonts w:ascii="Times New Roman" w:cs="Times New Roman" w:eastAsia="Times New Roman" w:hAnsi="Times New Roman"/>
          <w:sz w:val="22"/>
          <w:szCs w:val="22"/>
          <w:color w:val="auto"/>
        </w:rPr>
        <w:t>Toronto, ON M5J 2T9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Attention:</w:t>
            </w:r>
          </w:p>
        </w:tc>
        <w:tc>
          <w:tcPr>
            <w:tcW w:w="9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Sherri Altshuler</w:t>
            </w:r>
          </w:p>
        </w:tc>
      </w:tr>
      <w:tr>
        <w:trPr>
          <w:trHeight w:val="286"/>
        </w:trPr>
        <w:tc>
          <w:tcPr>
            <w:tcW w:w="17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Email:</w:t>
            </w:r>
          </w:p>
        </w:tc>
        <w:tc>
          <w:tcPr>
            <w:tcW w:w="9520" w:type="dxa"/>
            <w:vAlign w:val="bottom"/>
          </w:tcPr>
          <w:p>
            <w:pPr>
              <w:ind w:left="220"/>
              <w:spacing w:after="0"/>
              <w:rPr>
                <w:sz w:val="20"/>
                <w:szCs w:val="20"/>
                <w:color w:val="auto"/>
              </w:rPr>
            </w:pPr>
            <w:r>
              <w:rPr>
                <w:rFonts w:ascii="Times New Roman" w:cs="Times New Roman" w:eastAsia="Times New Roman" w:hAnsi="Times New Roman"/>
                <w:sz w:val="22"/>
                <w:szCs w:val="22"/>
                <w:i w:val="1"/>
                <w:iCs w:val="1"/>
                <w:color w:val="auto"/>
              </w:rPr>
              <w:t>[Redacted - Personal Information]</w:t>
            </w:r>
          </w:p>
        </w:tc>
      </w:tr>
      <w:tr>
        <w:trPr>
          <w:trHeight w:val="174"/>
        </w:trPr>
        <w:tc>
          <w:tcPr>
            <w:tcW w:w="1760" w:type="dxa"/>
            <w:vAlign w:val="bottom"/>
          </w:tcPr>
          <w:p>
            <w:pPr>
              <w:spacing w:after="0"/>
              <w:rPr>
                <w:sz w:val="15"/>
                <w:szCs w:val="15"/>
                <w:color w:val="auto"/>
              </w:rPr>
            </w:pPr>
          </w:p>
        </w:tc>
        <w:tc>
          <w:tcPr>
            <w:tcW w:w="9520" w:type="dxa"/>
            <w:vAlign w:val="bottom"/>
          </w:tcPr>
          <w:p>
            <w:pPr>
              <w:spacing w:after="0"/>
              <w:rPr>
                <w:sz w:val="15"/>
                <w:szCs w:val="15"/>
                <w:color w:val="auto"/>
              </w:rPr>
            </w:pPr>
          </w:p>
        </w:tc>
      </w:tr>
      <w:tr>
        <w:trPr>
          <w:trHeight w:val="74"/>
        </w:trPr>
        <w:tc>
          <w:tcPr>
            <w:tcW w:w="1760" w:type="dxa"/>
            <w:vAlign w:val="bottom"/>
            <w:shd w:val="clear" w:color="auto" w:fill="000000"/>
          </w:tcPr>
          <w:p>
            <w:pPr>
              <w:spacing w:after="0"/>
              <w:rPr>
                <w:sz w:val="6"/>
                <w:szCs w:val="6"/>
                <w:color w:val="auto"/>
              </w:rPr>
            </w:pPr>
          </w:p>
        </w:tc>
        <w:tc>
          <w:tcPr>
            <w:tcW w:w="952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12" w:right="29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color w:val="auto"/>
        </w:rPr>
        <w:t>- 52 -</w:t>
      </w:r>
    </w:p>
    <w:p>
      <w:pPr>
        <w:spacing w:after="0" w:line="1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Each party to this Agreement may change such address for notices by sending to the other parties to this Agreement written notice of a new address for such purpose. Each such notice or other communication shall be deemed given (i) when delivered personally or by e-mail (with an original to follow) on or before 4:30 p.m. (New York City time), on a Business Day or, if such day is not a Business Day, on the next succeeding Business Day, (ii) on the next Business Day after timely delivery to a nationally-recognized overnight courier, (iii) on the Business Day actually received if deposited in the mail (certified or registered mail, return receipt requested, postage prepaid), and (iv) if sent by email, on the Business Day on which receipt is confirmed by the individual to whom the notice is sent, other than via auto-reply.</w:t>
      </w:r>
    </w:p>
    <w:p>
      <w:pPr>
        <w:spacing w:after="0" w:line="152" w:lineRule="exact"/>
        <w:rPr>
          <w:sz w:val="20"/>
          <w:szCs w:val="20"/>
          <w:color w:val="auto"/>
        </w:rPr>
      </w:pPr>
    </w:p>
    <w:p>
      <w:pPr>
        <w:ind w:left="680" w:hanging="672"/>
        <w:spacing w:after="0"/>
        <w:tabs>
          <w:tab w:leader="none" w:pos="68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Consent to Jurisdiction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38" w:lineRule="exact"/>
        <w:rPr>
          <w:sz w:val="20"/>
          <w:szCs w:val="20"/>
          <w:color w:val="auto"/>
        </w:rPr>
      </w:pPr>
    </w:p>
    <w:p>
      <w:pPr>
        <w:ind w:left="680" w:hanging="672"/>
        <w:spacing w:after="0"/>
        <w:tabs>
          <w:tab w:leader="none" w:pos="68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and Assigns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shall inure to the benefit of and be binding upon the Company and its affiliates, directors, officers, shareholders, agents and employees and the controlling persons referred to in Section 12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No party may assign its rights or obligations under this Agreement without the prior written consent of the other parties.</w:t>
      </w:r>
    </w:p>
    <w:p>
      <w:pPr>
        <w:spacing w:after="0" w:line="139" w:lineRule="exact"/>
        <w:rPr>
          <w:sz w:val="20"/>
          <w:szCs w:val="20"/>
          <w:color w:val="auto"/>
        </w:rPr>
      </w:pPr>
    </w:p>
    <w:p>
      <w:pPr>
        <w:ind w:left="680" w:hanging="672"/>
        <w:spacing w:after="0"/>
        <w:tabs>
          <w:tab w:leader="none" w:pos="6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 for Stock Splits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parties acknowledge and agree that all share related numbers contained in this Agreement shall be adjusted to take into account any stock split, stock dividend or similar event effected with respect to the Shares.</w:t>
      </w:r>
    </w:p>
    <w:p>
      <w:pPr>
        <w:spacing w:after="0" w:line="127" w:lineRule="exact"/>
        <w:rPr>
          <w:sz w:val="20"/>
          <w:szCs w:val="20"/>
          <w:color w:val="auto"/>
        </w:rPr>
      </w:pPr>
    </w:p>
    <w:p>
      <w:pPr>
        <w:ind w:left="680" w:hanging="672"/>
        <w:spacing w:after="0"/>
        <w:tabs>
          <w:tab w:leader="none" w:pos="68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Amendment; Severability</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(including all schedules and exhibits attached hereto and Placement Notices issued pursuant hereto) constitutes the entire agreement and supersedes all other prior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color w:val="auto"/>
        </w:rPr>
        <w:t>- 53 -</w:t>
      </w:r>
    </w:p>
    <w:p>
      <w:pPr>
        <w:spacing w:after="0" w:line="162" w:lineRule="exact"/>
        <w:rPr>
          <w:sz w:val="20"/>
          <w:szCs w:val="20"/>
          <w:color w:val="auto"/>
        </w:rPr>
      </w:pPr>
    </w:p>
    <w:p>
      <w:pPr>
        <w:ind w:left="680" w:hanging="672"/>
        <w:spacing w:after="0"/>
        <w:tabs>
          <w:tab w:leader="none" w:pos="68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Law; Waiver of Jury Trial</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 WITHOUT REGARD TO THE PRINCIPLES OF CONFLICTS OF LAWS. EACH PARTY HEREBY IRREVOCABLY WAIVES, TO THE FULLEST EXTENT PERMITTED BY APPLICABLE LAW, ANY AND ALL RIGHT TO TRIAL BY JURY IN ANY LEGAL PROCEEDING ARISING OUT OF OR RELATING TO THIS AGREEMENT OR THE TRANSACTIONS CONTEMPLATED HEREBY.</w:t>
      </w:r>
    </w:p>
    <w:p>
      <w:pPr>
        <w:spacing w:after="0" w:line="132" w:lineRule="exact"/>
        <w:rPr>
          <w:sz w:val="20"/>
          <w:szCs w:val="20"/>
          <w:color w:val="auto"/>
        </w:rPr>
      </w:pPr>
    </w:p>
    <w:p>
      <w:pPr>
        <w:ind w:left="680" w:hanging="672"/>
        <w:spacing w:after="0"/>
        <w:tabs>
          <w:tab w:leader="none" w:pos="68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Absence of Fiduciary Duties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parties acknowledge that they are sophisticated in business and financial matters and that each of them is solely responsible for making its own independent investigation and analysis of the transactions contemplated by this Agreement. They further acknowledge that the Agents have not been engaged by the Company to provide, and have not provided, financial advisory services in connection with the terms of the Offering nor have the Agents assumed at any time a fiduciary relationship to the Company in connection with such Offering. The Company hereby waives, to the fullest extent permitted by law, any claims it may have against the Agents for breach of fiduciary duty or alleged breach of fiduciary duty and agrees the Agents shall have no liability (whether direct or indirect) to the Company in respect of such a fiduciary duty claim or to any person asserting a fiduciary duty claim on behalf of or in right of the Company, including shareholders, employees or creditors of Company.</w:t>
      </w:r>
    </w:p>
    <w:p>
      <w:pPr>
        <w:spacing w:after="0" w:line="141" w:lineRule="exact"/>
        <w:rPr>
          <w:sz w:val="20"/>
          <w:szCs w:val="20"/>
          <w:color w:val="auto"/>
        </w:rPr>
      </w:pPr>
    </w:p>
    <w:p>
      <w:pPr>
        <w:ind w:left="680" w:hanging="672"/>
        <w:spacing w:after="0"/>
        <w:tabs>
          <w:tab w:leader="none" w:pos="68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USA Patriot Act</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accordance with the requirements of the USA PATRIOT Act, the Agents are required to obtain, verify and record information that identifies their respective clients, including the Company, which information may include the name and address of their respective clients, as well as other information that will allow the Agents to properly identify their respective clients.</w:t>
      </w:r>
    </w:p>
    <w:p>
      <w:pPr>
        <w:spacing w:after="0" w:line="113" w:lineRule="exact"/>
        <w:rPr>
          <w:sz w:val="20"/>
          <w:szCs w:val="20"/>
          <w:color w:val="auto"/>
        </w:rPr>
      </w:pPr>
    </w:p>
    <w:p>
      <w:pPr>
        <w:ind w:left="680" w:hanging="672"/>
        <w:spacing w:after="0"/>
        <w:tabs>
          <w:tab w:leader="none" w:pos="68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used in this Agreement, the following terms have the respective meanings set forth below:</w:t>
      </w:r>
    </w:p>
    <w:p>
      <w:pPr>
        <w:spacing w:after="0" w:line="162" w:lineRule="exact"/>
        <w:rPr>
          <w:sz w:val="20"/>
          <w:szCs w:val="20"/>
          <w:color w:val="auto"/>
        </w:rPr>
      </w:pPr>
    </w:p>
    <w:p>
      <w:pPr>
        <w:ind w:left="1500" w:hanging="844"/>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means Adelia Therapeutics Inc., a corporation incorporated under the laws of Delaware;</w:t>
      </w:r>
    </w:p>
    <w:p>
      <w:pPr>
        <w:spacing w:after="0" w:line="165" w:lineRule="exact"/>
        <w:rPr>
          <w:rFonts w:ascii="Times New Roman" w:cs="Times New Roman" w:eastAsia="Times New Roman" w:hAnsi="Times New Roman"/>
          <w:sz w:val="22"/>
          <w:szCs w:val="22"/>
          <w:color w:val="auto"/>
        </w:rPr>
      </w:pPr>
    </w:p>
    <w:p>
      <w:pPr>
        <w:ind w:left="1460" w:hanging="804"/>
        <w:spacing w:after="0" w:line="262" w:lineRule="auto"/>
        <w:tabs>
          <w:tab w:leader="none" w:pos="149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equity distribution agreement dated December 30, 2025 between the Company and the Agent, as the same may be supplemented, amended and/or restated from time to time;</w:t>
      </w:r>
    </w:p>
    <w:p>
      <w:pPr>
        <w:spacing w:after="0" w:line="122"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Amendment Date</w:t>
      </w:r>
      <w:r>
        <w:rPr>
          <w:rFonts w:ascii="Times New Roman" w:cs="Times New Roman" w:eastAsia="Times New Roman" w:hAnsi="Times New Roman"/>
          <w:sz w:val="22"/>
          <w:szCs w:val="22"/>
          <w:color w:val="auto"/>
        </w:rPr>
        <w:t>" has the meaning given thereto in Section 8(a)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ind w:left="4744"/>
        <w:spacing w:after="0"/>
        <w:rPr>
          <w:sz w:val="20"/>
          <w:szCs w:val="20"/>
          <w:color w:val="auto"/>
        </w:rPr>
      </w:pPr>
      <w:r>
        <w:rPr>
          <w:rFonts w:ascii="Times New Roman" w:cs="Times New Roman" w:eastAsia="Times New Roman" w:hAnsi="Times New Roman"/>
          <w:sz w:val="22"/>
          <w:szCs w:val="22"/>
          <w:color w:val="auto"/>
        </w:rPr>
        <w:t>- 54 -</w:t>
      </w:r>
    </w:p>
    <w:p>
      <w:pPr>
        <w:spacing w:after="0" w:line="162" w:lineRule="exact"/>
        <w:rPr>
          <w:sz w:val="20"/>
          <w:szCs w:val="20"/>
          <w:color w:val="auto"/>
        </w:rPr>
      </w:pPr>
    </w:p>
    <w:p>
      <w:pPr>
        <w:ind w:left="804" w:hanging="804"/>
        <w:spacing w:after="0" w:line="262" w:lineRule="auto"/>
        <w:tabs>
          <w:tab w:leader="none" w:pos="85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Time</w:t>
      </w:r>
      <w:r>
        <w:rPr>
          <w:rFonts w:ascii="Times New Roman" w:cs="Times New Roman" w:eastAsia="Times New Roman" w:hAnsi="Times New Roman"/>
          <w:sz w:val="22"/>
          <w:szCs w:val="22"/>
          <w:color w:val="auto"/>
        </w:rPr>
        <w:t>" means (i) each Representation Date, (ii) the date on which a Placement Notice is given pursuant to this Agreement and (iii) each Settlement Date;</w:t>
      </w:r>
    </w:p>
    <w:p>
      <w:pPr>
        <w:spacing w:after="0" w:line="122" w:lineRule="exact"/>
        <w:rPr>
          <w:rFonts w:ascii="Times New Roman" w:cs="Times New Roman" w:eastAsia="Times New Roman" w:hAnsi="Times New Roman"/>
          <w:sz w:val="22"/>
          <w:szCs w:val="22"/>
          <w:color w:val="auto"/>
        </w:rPr>
      </w:pPr>
    </w:p>
    <w:p>
      <w:pPr>
        <w:jc w:val="both"/>
        <w:ind w:left="804" w:hanging="804"/>
        <w:spacing w:after="0" w:line="235" w:lineRule="auto"/>
        <w:tabs>
          <w:tab w:leader="none" w:pos="8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in relation to any person, the Business or the Offering, all applicable laws, statutes, Authorizations, ordinances, decrees, rules, regulations, by-laws, legally enforceable policies, codes or guidelines, judicial, arbitral, administrative, ministerial, departmental or regulatory judgements, orders, decisions, directives, rulings, subpoenas, or awards, and conditions of any grant or maintenance of any approval, permission, certification, consent, registration, authority or licence, any applicable federal or provincial pricing policies, and any other requirements of any Governmental Authority, by which such person is bound or having application to the Business or the Offering and any amendments or supplements to, or replacements and substitutions of, any of the foregoing;</w:t>
      </w:r>
    </w:p>
    <w:p>
      <w:pPr>
        <w:spacing w:after="0" w:line="137"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Securities Laws</w:t>
      </w:r>
      <w:r>
        <w:rPr>
          <w:rFonts w:ascii="Times New Roman" w:cs="Times New Roman" w:eastAsia="Times New Roman" w:hAnsi="Times New Roman"/>
          <w:sz w:val="22"/>
          <w:szCs w:val="22"/>
          <w:color w:val="auto"/>
        </w:rPr>
        <w:t>" means (i) all applicable securities laws in each of the Qualifying Jurisdictions and the respective rules, regulations, instruments (including national and multilateral instruments), blanket orders and blanket rulings under such laws together with applicable published policies, policy statements and notices of the Securities Commissions in the Qualifying Jurisdictions and (ii) all applicable securities laws in the United States, including without limitation, the U.S. Securities Act, the U.S. Exchange Act and the rules and regulations promulgated thereunder, and any applicable state securities laws;</w:t>
      </w:r>
    </w:p>
    <w:p>
      <w:pPr>
        <w:spacing w:after="0" w:line="134"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associate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insider</w:t>
      </w:r>
      <w:r>
        <w:rPr>
          <w:rFonts w:ascii="Times New Roman" w:cs="Times New Roman" w:eastAsia="Times New Roman" w:hAnsi="Times New Roman"/>
          <w:sz w:val="22"/>
          <w:szCs w:val="22"/>
          <w:color w:val="auto"/>
        </w:rPr>
        <w:t>" have the respective meanings given to them in the Securities Act;</w:t>
      </w:r>
    </w:p>
    <w:p>
      <w:pPr>
        <w:spacing w:after="0" w:line="179" w:lineRule="exact"/>
        <w:rPr>
          <w:rFonts w:ascii="Times New Roman" w:cs="Times New Roman" w:eastAsia="Times New Roman" w:hAnsi="Times New Roman"/>
          <w:sz w:val="22"/>
          <w:szCs w:val="22"/>
          <w:color w:val="auto"/>
        </w:rPr>
      </w:pPr>
    </w:p>
    <w:p>
      <w:pPr>
        <w:jc w:val="both"/>
        <w:ind w:left="804" w:hanging="804"/>
        <w:spacing w:after="0" w:line="252" w:lineRule="auto"/>
        <w:tabs>
          <w:tab w:leader="none" w:pos="84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Authorizations</w:t>
      </w:r>
      <w:r>
        <w:rPr>
          <w:rFonts w:ascii="Times New Roman" w:cs="Times New Roman" w:eastAsia="Times New Roman" w:hAnsi="Times New Roman"/>
          <w:sz w:val="21"/>
          <w:szCs w:val="21"/>
          <w:color w:val="auto"/>
        </w:rPr>
        <w:t>" means any approval, consent, exemption, ruling, authorization, notice, permit, including an import permit or export permit, or acknowledgement that may be required from any Governmental Authority pursuant to Applicable Law, or which is otherwise required under Applicable Law for the parties to perform their obligations under this Agreement or in relation to a study, including any dealer's licence under the FDR-J, ethical review board approval or other authorization for a study, or other authorizations related to the Business;</w:t>
      </w:r>
    </w:p>
    <w:p>
      <w:pPr>
        <w:spacing w:after="0" w:line="122" w:lineRule="exact"/>
        <w:rPr>
          <w:rFonts w:ascii="Times New Roman" w:cs="Times New Roman" w:eastAsia="Times New Roman" w:hAnsi="Times New Roman"/>
          <w:sz w:val="21"/>
          <w:szCs w:val="21"/>
          <w:color w:val="auto"/>
        </w:rPr>
      </w:pPr>
    </w:p>
    <w:p>
      <w:pPr>
        <w:ind w:left="844" w:hanging="844"/>
        <w:spacing w:after="0"/>
        <w:tabs>
          <w:tab w:leader="none" w:pos="8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Representative</w:t>
      </w:r>
      <w:r>
        <w:rPr>
          <w:rFonts w:ascii="Times New Roman" w:cs="Times New Roman" w:eastAsia="Times New Roman" w:hAnsi="Times New Roman"/>
          <w:sz w:val="22"/>
          <w:szCs w:val="22"/>
          <w:color w:val="auto"/>
        </w:rPr>
        <w:t>" has the meaning given thereto in Section 2(a) hereof;</w:t>
      </w:r>
    </w:p>
    <w:p>
      <w:pPr>
        <w:spacing w:after="0" w:line="165"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Prospectuses</w:t>
      </w:r>
      <w:r>
        <w:rPr>
          <w:rFonts w:ascii="Times New Roman" w:cs="Times New Roman" w:eastAsia="Times New Roman" w:hAnsi="Times New Roman"/>
          <w:sz w:val="22"/>
          <w:szCs w:val="22"/>
          <w:color w:val="auto"/>
        </w:rPr>
        <w:t>" has the meaning given thereto in Section 6 hereof;</w:t>
      </w:r>
    </w:p>
    <w:p>
      <w:pPr>
        <w:spacing w:after="0" w:line="179" w:lineRule="exact"/>
        <w:rPr>
          <w:rFonts w:ascii="Times New Roman" w:cs="Times New Roman" w:eastAsia="Times New Roman" w:hAnsi="Times New Roman"/>
          <w:sz w:val="22"/>
          <w:szCs w:val="22"/>
          <w:color w:val="auto"/>
        </w:rPr>
      </w:pPr>
    </w:p>
    <w:p>
      <w:pPr>
        <w:jc w:val="both"/>
        <w:ind w:left="804" w:hanging="804"/>
        <w:spacing w:after="0" w:line="236" w:lineRule="auto"/>
        <w:tabs>
          <w:tab w:leader="none" w:pos="84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means the business of delivery of psilocin, psilocybin, DMT, DMT analogs, psilocybin analogues, and a range of 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development of a psychotherapy model, or other contexts within the pharmaceutical, biotechnology, and medical device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103505</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7" w:name="page58"/>
    <w:bookmarkEnd w:id="57"/>
    <w:p>
      <w:pPr>
        <w:ind w:left="4744"/>
        <w:spacing w:after="0"/>
        <w:rPr>
          <w:sz w:val="20"/>
          <w:szCs w:val="20"/>
          <w:color w:val="auto"/>
        </w:rPr>
      </w:pPr>
      <w:r>
        <w:rPr>
          <w:rFonts w:ascii="Times New Roman" w:cs="Times New Roman" w:eastAsia="Times New Roman" w:hAnsi="Times New Roman"/>
          <w:sz w:val="22"/>
          <w:szCs w:val="22"/>
          <w:color w:val="auto"/>
        </w:rPr>
        <w:t>- 55 -</w:t>
      </w:r>
    </w:p>
    <w:p>
      <w:pPr>
        <w:spacing w:after="0" w:line="162" w:lineRule="exact"/>
        <w:rPr>
          <w:sz w:val="20"/>
          <w:szCs w:val="20"/>
          <w:color w:val="auto"/>
        </w:rPr>
      </w:pPr>
    </w:p>
    <w:p>
      <w:pPr>
        <w:ind w:left="804" w:hanging="804"/>
        <w:spacing w:after="0" w:line="262" w:lineRule="auto"/>
        <w:tabs>
          <w:tab w:leader="none" w:pos="8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a Saturday, a Sunday or a day on which chartered banks are not open for business in Toronto, Ontario;</w:t>
      </w:r>
    </w:p>
    <w:p>
      <w:pPr>
        <w:spacing w:after="0" w:line="122"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Base Prospectus</w:t>
      </w:r>
      <w:r>
        <w:rPr>
          <w:rFonts w:ascii="Times New Roman" w:cs="Times New Roman" w:eastAsia="Times New Roman" w:hAnsi="Times New Roman"/>
          <w:sz w:val="22"/>
          <w:szCs w:val="22"/>
          <w:color w:val="auto"/>
        </w:rPr>
        <w:t>" has the meaning given thereto in Section 6 hereof;</w:t>
      </w:r>
    </w:p>
    <w:p>
      <w:pPr>
        <w:spacing w:after="0" w:line="165" w:lineRule="exact"/>
        <w:rPr>
          <w:rFonts w:ascii="Times New Roman" w:cs="Times New Roman" w:eastAsia="Times New Roman" w:hAnsi="Times New Roman"/>
          <w:sz w:val="22"/>
          <w:szCs w:val="22"/>
          <w:color w:val="auto"/>
        </w:rPr>
      </w:pPr>
    </w:p>
    <w:p>
      <w:pPr>
        <w:ind w:left="804" w:right="20" w:hanging="804"/>
        <w:spacing w:after="0" w:line="262" w:lineRule="auto"/>
        <w:tabs>
          <w:tab w:leader="none" w:pos="84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Final Base Prospectus</w:t>
      </w:r>
      <w:r>
        <w:rPr>
          <w:rFonts w:ascii="Times New Roman" w:cs="Times New Roman" w:eastAsia="Times New Roman" w:hAnsi="Times New Roman"/>
          <w:sz w:val="22"/>
          <w:szCs w:val="22"/>
          <w:color w:val="auto"/>
        </w:rPr>
        <w:t>" means the final short form base shelf prospectus of the Company dated September 17, 2025, as amended on December 19, 2025;</w:t>
      </w:r>
    </w:p>
    <w:p>
      <w:pPr>
        <w:spacing w:after="0" w:line="10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Marketplace</w:t>
      </w:r>
      <w:r>
        <w:rPr>
          <w:rFonts w:ascii="Times New Roman" w:cs="Times New Roman" w:eastAsia="Times New Roman" w:hAnsi="Times New Roman"/>
          <w:sz w:val="22"/>
          <w:szCs w:val="22"/>
          <w:color w:val="auto"/>
        </w:rPr>
        <w:t>" has the meaning given thereto in Section 3 hereof;</w:t>
      </w:r>
    </w:p>
    <w:p>
      <w:pPr>
        <w:spacing w:after="0" w:line="179" w:lineRule="exact"/>
        <w:rPr>
          <w:rFonts w:ascii="Times New Roman" w:cs="Times New Roman" w:eastAsia="Times New Roman" w:hAnsi="Times New Roman"/>
          <w:sz w:val="22"/>
          <w:szCs w:val="22"/>
          <w:color w:val="auto"/>
        </w:rPr>
      </w:pPr>
    </w:p>
    <w:p>
      <w:pPr>
        <w:ind w:left="804" w:hanging="804"/>
        <w:spacing w:after="0" w:line="262" w:lineRule="auto"/>
        <w:tabs>
          <w:tab w:leader="none" w:pos="84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Preliminary Base Prospectus</w:t>
      </w:r>
      <w:r>
        <w:rPr>
          <w:rFonts w:ascii="Times New Roman" w:cs="Times New Roman" w:eastAsia="Times New Roman" w:hAnsi="Times New Roman"/>
          <w:sz w:val="22"/>
          <w:szCs w:val="22"/>
          <w:color w:val="auto"/>
        </w:rPr>
        <w:t>" means the preliminary short form base shelf prospectus of the Company dated July 31, 2025;</w:t>
      </w:r>
    </w:p>
    <w:p>
      <w:pPr>
        <w:spacing w:after="0" w:line="10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Prospectus</w:t>
      </w:r>
      <w:r>
        <w:rPr>
          <w:rFonts w:ascii="Times New Roman" w:cs="Times New Roman" w:eastAsia="Times New Roman" w:hAnsi="Times New Roman"/>
          <w:sz w:val="22"/>
          <w:szCs w:val="22"/>
          <w:color w:val="auto"/>
        </w:rPr>
        <w:t>" has the meaning given thereto in Section 6 hereof;</w:t>
      </w:r>
    </w:p>
    <w:p>
      <w:pPr>
        <w:spacing w:after="0" w:line="165"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Prospectus Supplement</w:t>
      </w:r>
      <w:r>
        <w:rPr>
          <w:rFonts w:ascii="Times New Roman" w:cs="Times New Roman" w:eastAsia="Times New Roman" w:hAnsi="Times New Roman"/>
          <w:sz w:val="22"/>
          <w:szCs w:val="22"/>
          <w:color w:val="auto"/>
        </w:rPr>
        <w:t>" has the meaning given thereto in Section 6 hereof;</w:t>
      </w:r>
    </w:p>
    <w:p>
      <w:pPr>
        <w:spacing w:after="0" w:line="179"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Securities Laws</w:t>
      </w:r>
      <w:r>
        <w:rPr>
          <w:rFonts w:ascii="Times New Roman" w:cs="Times New Roman" w:eastAsia="Times New Roman" w:hAnsi="Times New Roman"/>
          <w:sz w:val="22"/>
          <w:szCs w:val="22"/>
          <w:color w:val="auto"/>
        </w:rPr>
        <w:t>" means all Applicable Securities Laws of each of the Qualifying Jurisdictions and the respective rules and regulations under such laws together with applicable published national, multilateral and local policy statements, instruments, notices, blanket orders and rulings of the securities regulatory authorities in the Qualifying Jurisdictions;</w:t>
      </w:r>
    </w:p>
    <w:p>
      <w:pPr>
        <w:spacing w:after="0" w:line="131" w:lineRule="exact"/>
        <w:rPr>
          <w:rFonts w:ascii="Times New Roman" w:cs="Times New Roman" w:eastAsia="Times New Roman" w:hAnsi="Times New Roman"/>
          <w:sz w:val="22"/>
          <w:szCs w:val="22"/>
          <w:color w:val="auto"/>
        </w:rPr>
      </w:pPr>
    </w:p>
    <w:p>
      <w:pPr>
        <w:ind w:left="804" w:hanging="804"/>
        <w:spacing w:after="0" w:line="262" w:lineRule="auto"/>
        <w:tabs>
          <w:tab w:leader="none" w:pos="8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Stock Exchange</w:t>
      </w:r>
      <w:r>
        <w:rPr>
          <w:rFonts w:ascii="Times New Roman" w:cs="Times New Roman" w:eastAsia="Times New Roman" w:hAnsi="Times New Roman"/>
          <w:sz w:val="22"/>
          <w:szCs w:val="22"/>
          <w:color w:val="auto"/>
        </w:rPr>
        <w:t>" means Cboe Canada Inc. or any other recognized Canadian stock exchange or Canadian Marketplace on which the Shares may be listed or posted for trading;</w:t>
      </w:r>
    </w:p>
    <w:p>
      <w:pPr>
        <w:spacing w:after="0" w:line="10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CDS</w:t>
      </w:r>
      <w:r>
        <w:rPr>
          <w:rFonts w:ascii="Times New Roman" w:cs="Times New Roman" w:eastAsia="Times New Roman" w:hAnsi="Times New Roman"/>
          <w:sz w:val="22"/>
          <w:szCs w:val="22"/>
          <w:color w:val="auto"/>
        </w:rPr>
        <w:t>" means CDS Clearing and Depository Services Inc.;</w:t>
      </w:r>
    </w:p>
    <w:p>
      <w:pPr>
        <w:spacing w:after="0" w:line="17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CDSA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Controlled Drugs and Substances Act</w:t>
      </w:r>
      <w:r>
        <w:rPr>
          <w:rFonts w:ascii="Times New Roman" w:cs="Times New Roman" w:eastAsia="Times New Roman" w:hAnsi="Times New Roman"/>
          <w:sz w:val="22"/>
          <w:szCs w:val="22"/>
          <w:color w:val="auto"/>
        </w:rPr>
        <w:t xml:space="preserve"> (Canada);</w:t>
      </w:r>
    </w:p>
    <w:p>
      <w:pPr>
        <w:spacing w:after="0" w:line="16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Trials</w:t>
      </w:r>
      <w:r>
        <w:rPr>
          <w:rFonts w:ascii="Times New Roman" w:cs="Times New Roman" w:eastAsia="Times New Roman" w:hAnsi="Times New Roman"/>
          <w:sz w:val="22"/>
          <w:szCs w:val="22"/>
          <w:color w:val="auto"/>
        </w:rPr>
        <w:t>" has the meaning ascribed to such term in Section 7(yy) of this Agreement;</w:t>
      </w:r>
    </w:p>
    <w:p>
      <w:pPr>
        <w:spacing w:after="0" w:line="165"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Comfort Letter</w:t>
      </w:r>
      <w:r>
        <w:rPr>
          <w:rFonts w:ascii="Times New Roman" w:cs="Times New Roman" w:eastAsia="Times New Roman" w:hAnsi="Times New Roman"/>
          <w:sz w:val="22"/>
          <w:szCs w:val="22"/>
          <w:color w:val="auto"/>
        </w:rPr>
        <w:t>" has the meaning given thereto in Section 8(r) hereof;</w:t>
      </w:r>
    </w:p>
    <w:p>
      <w:pPr>
        <w:spacing w:after="0" w:line="179" w:lineRule="exact"/>
        <w:rPr>
          <w:rFonts w:ascii="Times New Roman" w:cs="Times New Roman" w:eastAsia="Times New Roman" w:hAnsi="Times New Roman"/>
          <w:sz w:val="22"/>
          <w:szCs w:val="22"/>
          <w:color w:val="auto"/>
        </w:rPr>
      </w:pPr>
    </w:p>
    <w:p>
      <w:pPr>
        <w:ind w:left="804" w:hanging="804"/>
        <w:spacing w:after="0" w:line="262" w:lineRule="auto"/>
        <w:tabs>
          <w:tab w:leader="none" w:pos="84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means Cybin Inc., a company incorporated under the laws of Ontario, and includes any successor company to or of the Company;</w:t>
      </w:r>
    </w:p>
    <w:p>
      <w:pPr>
        <w:spacing w:after="0" w:line="109"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Company's Auditors</w:t>
      </w:r>
      <w:r>
        <w:rPr>
          <w:rFonts w:ascii="Times New Roman" w:cs="Times New Roman" w:eastAsia="Times New Roman" w:hAnsi="Times New Roman"/>
          <w:sz w:val="22"/>
          <w:szCs w:val="22"/>
          <w:color w:val="auto"/>
        </w:rPr>
        <w:t>" means Zeifmans LLP;</w:t>
      </w:r>
    </w:p>
    <w:p>
      <w:pPr>
        <w:spacing w:after="0" w:line="166" w:lineRule="exact"/>
        <w:rPr>
          <w:sz w:val="20"/>
          <w:szCs w:val="20"/>
          <w:color w:val="auto"/>
        </w:rPr>
      </w:pPr>
    </w:p>
    <w:p>
      <w:pPr>
        <w:jc w:val="both"/>
        <w:ind w:left="804" w:right="20" w:hanging="804"/>
        <w:spacing w:after="0" w:line="246" w:lineRule="auto"/>
        <w:tabs>
          <w:tab w:leader="none" w:pos="85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Continuous Disclosure Materials</w:t>
      </w:r>
      <w:r>
        <w:rPr>
          <w:rFonts w:ascii="Times New Roman" w:cs="Times New Roman" w:eastAsia="Times New Roman" w:hAnsi="Times New Roman"/>
          <w:sz w:val="22"/>
          <w:szCs w:val="22"/>
          <w:color w:val="auto"/>
        </w:rPr>
        <w:t>" means all reports and other documents published or filed by the Company with the Securities Commissions or the SEC as at the date of this Agreement, as supplemented from time to time;</w:t>
      </w:r>
    </w:p>
    <w:p>
      <w:pPr>
        <w:spacing w:after="0" w:line="140"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controlled substance</w:t>
      </w:r>
      <w:r>
        <w:rPr>
          <w:rFonts w:ascii="Times New Roman" w:cs="Times New Roman" w:eastAsia="Times New Roman" w:hAnsi="Times New Roman"/>
          <w:sz w:val="22"/>
          <w:szCs w:val="22"/>
          <w:color w:val="auto"/>
        </w:rPr>
        <w:t>" has the meaning ascribed thereto in section 2(1) of the CDSA;</w:t>
      </w:r>
    </w:p>
    <w:p>
      <w:pPr>
        <w:spacing w:after="0" w:line="16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Criminal Code</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123190</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8" w:name="page59"/>
    <w:bookmarkEnd w:id="58"/>
    <w:p>
      <w:pPr>
        <w:ind w:left="4744"/>
        <w:spacing w:after="0"/>
        <w:rPr>
          <w:sz w:val="20"/>
          <w:szCs w:val="20"/>
          <w:color w:val="auto"/>
        </w:rPr>
      </w:pPr>
      <w:r>
        <w:rPr>
          <w:rFonts w:ascii="Times New Roman" w:cs="Times New Roman" w:eastAsia="Times New Roman" w:hAnsi="Times New Roman"/>
          <w:sz w:val="22"/>
          <w:szCs w:val="22"/>
          <w:color w:val="auto"/>
        </w:rPr>
        <w:t>- 56 -</w:t>
      </w:r>
    </w:p>
    <w:p>
      <w:pPr>
        <w:spacing w:after="0" w:line="162" w:lineRule="exact"/>
        <w:rPr>
          <w:sz w:val="20"/>
          <w:szCs w:val="20"/>
          <w:color w:val="auto"/>
        </w:rPr>
      </w:pPr>
    </w:p>
    <w:p>
      <w:pPr>
        <w:ind w:left="884" w:hanging="884"/>
        <w:spacing w:after="0"/>
        <w:tabs>
          <w:tab w:leader="none" w:pos="88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Cybin Entity</w:t>
      </w:r>
      <w:r>
        <w:rPr>
          <w:rFonts w:ascii="Times New Roman" w:cs="Times New Roman" w:eastAsia="Times New Roman" w:hAnsi="Times New Roman"/>
          <w:sz w:val="22"/>
          <w:szCs w:val="22"/>
          <w:color w:val="auto"/>
        </w:rPr>
        <w:t>" means the Company and each Subsidiary;</w:t>
      </w:r>
    </w:p>
    <w:p>
      <w:pPr>
        <w:spacing w:after="0" w:line="179"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News Release</w:t>
      </w:r>
      <w:r>
        <w:rPr>
          <w:rFonts w:ascii="Times New Roman" w:cs="Times New Roman" w:eastAsia="Times New Roman" w:hAnsi="Times New Roman"/>
          <w:sz w:val="22"/>
          <w:szCs w:val="22"/>
          <w:color w:val="auto"/>
        </w:rPr>
        <w:t>" has the meaning given thereto in Section 6 hereof;</w:t>
      </w:r>
    </w:p>
    <w:p>
      <w:pPr>
        <w:spacing w:after="0" w:line="165" w:lineRule="exact"/>
        <w:rPr>
          <w:rFonts w:ascii="Times New Roman" w:cs="Times New Roman" w:eastAsia="Times New Roman" w:hAnsi="Times New Roman"/>
          <w:sz w:val="22"/>
          <w:szCs w:val="22"/>
          <w:color w:val="auto"/>
        </w:rPr>
      </w:pPr>
    </w:p>
    <w:p>
      <w:pPr>
        <w:ind w:left="804" w:right="20" w:hanging="804"/>
        <w:spacing w:after="0" w:line="262" w:lineRule="auto"/>
        <w:tabs>
          <w:tab w:leader="none" w:pos="85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means distribution or distribution to the public, as the case may be, for the purposes of the Applicable Securities Laws;</w:t>
      </w:r>
    </w:p>
    <w:p>
      <w:pPr>
        <w:spacing w:after="0" w:line="109"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means N,N-Dimethyltryptamine;</w:t>
      </w:r>
    </w:p>
    <w:p>
      <w:pPr>
        <w:spacing w:after="0" w:line="179"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6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Documents Incorporated by Reference</w:t>
      </w:r>
      <w:r>
        <w:rPr>
          <w:rFonts w:ascii="Times New Roman" w:cs="Times New Roman" w:eastAsia="Times New Roman" w:hAnsi="Times New Roman"/>
          <w:sz w:val="22"/>
          <w:szCs w:val="22"/>
          <w:color w:val="auto"/>
        </w:rPr>
        <w:t>" means all interim and annual financial statements, management's discussion and analysis, business acquisition reports, management information circulars, annual information forms, material change reports, marketing document and other documents that are or are required by Canadian Securities Laws to be incorporated by reference into the Prospectus, as applicable;</w:t>
      </w:r>
    </w:p>
    <w:p>
      <w:pPr>
        <w:spacing w:after="0" w:line="131"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5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Drug Product</w:t>
      </w:r>
      <w:r>
        <w:rPr>
          <w:rFonts w:ascii="Times New Roman" w:cs="Times New Roman" w:eastAsia="Times New Roman" w:hAnsi="Times New Roman"/>
          <w:sz w:val="22"/>
          <w:szCs w:val="22"/>
          <w:color w:val="auto"/>
        </w:rPr>
        <w:t>" means any drug product regulated for sale or use under supervision of a health care practitioners and that includes an active pharmaceutical ingredient that is psilocin, psilocybin, DMT, psilocybin analogues, and a range of tryptamines and phenylethylamines, and other restricted drugs or controlled substances in the jurisdictions in which the Company operates;</w:t>
      </w:r>
    </w:p>
    <w:p>
      <w:pPr>
        <w:spacing w:after="0" w:line="131" w:lineRule="exact"/>
        <w:rPr>
          <w:rFonts w:ascii="Times New Roman" w:cs="Times New Roman" w:eastAsia="Times New Roman" w:hAnsi="Times New Roman"/>
          <w:sz w:val="22"/>
          <w:szCs w:val="22"/>
          <w:color w:val="auto"/>
        </w:rPr>
      </w:pPr>
    </w:p>
    <w:p>
      <w:pPr>
        <w:ind w:left="844" w:hanging="844"/>
        <w:spacing w:after="0"/>
        <w:tabs>
          <w:tab w:leader="none" w:pos="8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 Plans</w:t>
      </w:r>
      <w:r>
        <w:rPr>
          <w:rFonts w:ascii="Times New Roman" w:cs="Times New Roman" w:eastAsia="Times New Roman" w:hAnsi="Times New Roman"/>
          <w:sz w:val="22"/>
          <w:szCs w:val="22"/>
          <w:color w:val="auto"/>
        </w:rPr>
        <w:t>" has the meaning given thereto in section 7(jjj) hereof;</w:t>
      </w:r>
    </w:p>
    <w:p>
      <w:pPr>
        <w:spacing w:after="0" w:line="179"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has the meaning given thereto in Section 7(ddd) hereof;</w:t>
      </w:r>
    </w:p>
    <w:p>
      <w:pPr>
        <w:spacing w:after="0" w:line="16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United States Securities Exchange Act of 1934, as amended;</w:t>
      </w:r>
    </w:p>
    <w:p>
      <w:pPr>
        <w:spacing w:after="0" w:line="165" w:lineRule="exact"/>
        <w:rPr>
          <w:rFonts w:ascii="Times New Roman" w:cs="Times New Roman" w:eastAsia="Times New Roman" w:hAnsi="Times New Roman"/>
          <w:sz w:val="22"/>
          <w:szCs w:val="22"/>
          <w:color w:val="auto"/>
        </w:rPr>
      </w:pPr>
    </w:p>
    <w:p>
      <w:pPr>
        <w:ind w:left="804" w:hanging="804"/>
        <w:spacing w:after="0" w:line="262" w:lineRule="auto"/>
        <w:tabs>
          <w:tab w:leader="none" w:pos="8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Exchanges</w:t>
      </w:r>
      <w:r>
        <w:rPr>
          <w:rFonts w:ascii="Times New Roman" w:cs="Times New Roman" w:eastAsia="Times New Roman" w:hAnsi="Times New Roman"/>
          <w:sz w:val="22"/>
          <w:szCs w:val="22"/>
          <w:color w:val="auto"/>
        </w:rPr>
        <w:t>" means, collectively, the Canadian Stock Exchange and the United States Stock Exchange on which the Shares may be listed or posted for trading;</w:t>
      </w:r>
    </w:p>
    <w:p>
      <w:pPr>
        <w:spacing w:after="0" w:line="122"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 (Canada)</w:t>
      </w:r>
      <w:r>
        <w:rPr>
          <w:rFonts w:ascii="Times New Roman" w:cs="Times New Roman" w:eastAsia="Times New Roman" w:hAnsi="Times New Roman"/>
          <w:sz w:val="22"/>
          <w:szCs w:val="22"/>
          <w:color w:val="auto"/>
        </w:rPr>
        <w:t xml:space="preserve">" mean the </w:t>
      </w:r>
      <w:r>
        <w:rPr>
          <w:rFonts w:ascii="Times New Roman" w:cs="Times New Roman" w:eastAsia="Times New Roman" w:hAnsi="Times New Roman"/>
          <w:sz w:val="22"/>
          <w:szCs w:val="22"/>
          <w:i w:val="1"/>
          <w:iCs w:val="1"/>
          <w:color w:val="auto"/>
        </w:rPr>
        <w:t>Food and Drugs Act</w:t>
      </w:r>
      <w:r>
        <w:rPr>
          <w:rFonts w:ascii="Times New Roman" w:cs="Times New Roman" w:eastAsia="Times New Roman" w:hAnsi="Times New Roman"/>
          <w:sz w:val="22"/>
          <w:szCs w:val="22"/>
          <w:color w:val="auto"/>
        </w:rPr>
        <w:t xml:space="preserve"> (Canada);</w:t>
      </w:r>
    </w:p>
    <w:p>
      <w:pPr>
        <w:spacing w:after="0" w:line="16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 (U.S.)</w:t>
      </w:r>
      <w:r>
        <w:rPr>
          <w:rFonts w:ascii="Times New Roman" w:cs="Times New Roman" w:eastAsia="Times New Roman" w:hAnsi="Times New Roman"/>
          <w:sz w:val="22"/>
          <w:szCs w:val="22"/>
          <w:color w:val="auto"/>
        </w:rPr>
        <w:t>" has the meaning given thereto in Section 7(ww) hereof;</w:t>
      </w:r>
    </w:p>
    <w:p>
      <w:pPr>
        <w:spacing w:after="0" w:line="16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FDR-C</w:t>
      </w:r>
      <w:r>
        <w:rPr>
          <w:rFonts w:ascii="Times New Roman" w:cs="Times New Roman" w:eastAsia="Times New Roman" w:hAnsi="Times New Roman"/>
          <w:sz w:val="22"/>
          <w:szCs w:val="22"/>
          <w:color w:val="auto"/>
        </w:rPr>
        <w:t xml:space="preserve">" means part C of the </w:t>
      </w:r>
      <w:r>
        <w:rPr>
          <w:rFonts w:ascii="Times New Roman" w:cs="Times New Roman" w:eastAsia="Times New Roman" w:hAnsi="Times New Roman"/>
          <w:sz w:val="22"/>
          <w:szCs w:val="22"/>
          <w:i w:val="1"/>
          <w:iCs w:val="1"/>
          <w:color w:val="auto"/>
        </w:rPr>
        <w:t>Food and Drugs Regulations</w:t>
      </w:r>
      <w:r>
        <w:rPr>
          <w:rFonts w:ascii="Times New Roman" w:cs="Times New Roman" w:eastAsia="Times New Roman" w:hAnsi="Times New Roman"/>
          <w:sz w:val="22"/>
          <w:szCs w:val="22"/>
          <w:color w:val="auto"/>
        </w:rPr>
        <w:t xml:space="preserve"> (Canada) of the FDA (Canada);</w:t>
      </w:r>
    </w:p>
    <w:p>
      <w:pPr>
        <w:spacing w:after="0" w:line="179"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FDR-J</w:t>
      </w:r>
      <w:r>
        <w:rPr>
          <w:rFonts w:ascii="Times New Roman" w:cs="Times New Roman" w:eastAsia="Times New Roman" w:hAnsi="Times New Roman"/>
          <w:sz w:val="22"/>
          <w:szCs w:val="22"/>
          <w:color w:val="auto"/>
        </w:rPr>
        <w:t xml:space="preserve">" means part J of the </w:t>
      </w:r>
      <w:r>
        <w:rPr>
          <w:rFonts w:ascii="Times New Roman" w:cs="Times New Roman" w:eastAsia="Times New Roman" w:hAnsi="Times New Roman"/>
          <w:sz w:val="22"/>
          <w:szCs w:val="22"/>
          <w:i w:val="1"/>
          <w:iCs w:val="1"/>
          <w:color w:val="auto"/>
        </w:rPr>
        <w:t>Food and Drugs Regulations</w:t>
      </w:r>
      <w:r>
        <w:rPr>
          <w:rFonts w:ascii="Times New Roman" w:cs="Times New Roman" w:eastAsia="Times New Roman" w:hAnsi="Times New Roman"/>
          <w:sz w:val="22"/>
          <w:szCs w:val="22"/>
          <w:color w:val="auto"/>
        </w:rPr>
        <w:t xml:space="preserve"> (Canada) of the CDSA;</w:t>
      </w:r>
    </w:p>
    <w:p>
      <w:pPr>
        <w:spacing w:after="0" w:line="16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Receipt</w:t>
      </w:r>
      <w:r>
        <w:rPr>
          <w:rFonts w:ascii="Times New Roman" w:cs="Times New Roman" w:eastAsia="Times New Roman" w:hAnsi="Times New Roman"/>
          <w:sz w:val="22"/>
          <w:szCs w:val="22"/>
          <w:color w:val="auto"/>
        </w:rPr>
        <w:t>" has the meaning given thereto in Section 6 hereof;</w:t>
      </w:r>
    </w:p>
    <w:p>
      <w:pPr>
        <w:spacing w:after="0" w:line="16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has the meaning given thereto in Section 7(ll) hereof;</w:t>
      </w:r>
    </w:p>
    <w:p>
      <w:pPr>
        <w:spacing w:after="0" w:line="179"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means Financial Industry Regulatory Authority, Inc.;</w:t>
      </w:r>
    </w:p>
    <w:p>
      <w:pPr>
        <w:spacing w:after="0" w:line="165"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7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means (a) any official, officer, employee, or representative of, or any person acting in an official capacity for or on behalf of, any Governmental Authority, (b) any salaried political party official, elected member of political office or candidate for political office, or (c) any company, business, enterprise or other entity owned or controlled by any person described in the foregoing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101600</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9" w:name="page60"/>
    <w:bookmarkEnd w:id="59"/>
    <w:p>
      <w:pPr>
        <w:ind w:left="4744"/>
        <w:spacing w:after="0"/>
        <w:rPr>
          <w:sz w:val="20"/>
          <w:szCs w:val="20"/>
          <w:color w:val="auto"/>
        </w:rPr>
      </w:pPr>
      <w:r>
        <w:rPr>
          <w:rFonts w:ascii="Times New Roman" w:cs="Times New Roman" w:eastAsia="Times New Roman" w:hAnsi="Times New Roman"/>
          <w:sz w:val="22"/>
          <w:szCs w:val="22"/>
          <w:color w:val="auto"/>
        </w:rPr>
        <w:t>- 57 -</w:t>
      </w:r>
    </w:p>
    <w:p>
      <w:pPr>
        <w:spacing w:after="0" w:line="162" w:lineRule="exact"/>
        <w:rPr>
          <w:sz w:val="20"/>
          <w:szCs w:val="20"/>
          <w:color w:val="auto"/>
        </w:rPr>
      </w:pPr>
    </w:p>
    <w:p>
      <w:pPr>
        <w:jc w:val="both"/>
        <w:ind w:left="804" w:hanging="804"/>
        <w:spacing w:after="0" w:line="241" w:lineRule="auto"/>
        <w:tabs>
          <w:tab w:leader="none" w:pos="86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and includes, without limitation, any national, federal, provincial, state or municipal government or other political subdivision of any of the foregoing,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44"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Substances</w:t>
      </w:r>
      <w:r>
        <w:rPr>
          <w:rFonts w:ascii="Times New Roman" w:cs="Times New Roman" w:eastAsia="Times New Roman" w:hAnsi="Times New Roman"/>
          <w:sz w:val="22"/>
          <w:szCs w:val="22"/>
          <w:color w:val="auto"/>
        </w:rPr>
        <w:t>" has the meaning ascribed to such term in Section 7(ccc) of this Agreement;</w:t>
      </w:r>
    </w:p>
    <w:p>
      <w:pPr>
        <w:spacing w:after="0" w:line="16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has the meaning given thereto in Section 7(ll) hereof;</w:t>
      </w:r>
    </w:p>
    <w:p>
      <w:pPr>
        <w:spacing w:after="0" w:line="165"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including</w:t>
      </w:r>
      <w:r>
        <w:rPr>
          <w:rFonts w:ascii="Times New Roman" w:cs="Times New Roman" w:eastAsia="Times New Roman" w:hAnsi="Times New Roman"/>
          <w:sz w:val="22"/>
          <w:szCs w:val="22"/>
          <w:color w:val="auto"/>
        </w:rPr>
        <w:t>" means including but not limited to;</w:t>
      </w:r>
    </w:p>
    <w:p>
      <w:pPr>
        <w:spacing w:after="0" w:line="179"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Indemnified Parties</w:t>
      </w:r>
      <w:r>
        <w:rPr>
          <w:rFonts w:ascii="Times New Roman" w:cs="Times New Roman" w:eastAsia="Times New Roman" w:hAnsi="Times New Roman"/>
          <w:sz w:val="22"/>
          <w:szCs w:val="22"/>
          <w:color w:val="auto"/>
        </w:rPr>
        <w:t>" each has the meaning given thereto in Section 12(a) hereof;</w:t>
      </w:r>
    </w:p>
    <w:p>
      <w:pPr>
        <w:spacing w:after="0" w:line="166" w:lineRule="exact"/>
        <w:rPr>
          <w:sz w:val="20"/>
          <w:szCs w:val="20"/>
          <w:color w:val="auto"/>
        </w:rPr>
      </w:pPr>
    </w:p>
    <w:p>
      <w:pPr>
        <w:ind w:left="884" w:hanging="884"/>
        <w:spacing w:after="0"/>
        <w:tabs>
          <w:tab w:leader="none" w:pos="88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Comfort Letter</w:t>
      </w:r>
      <w:r>
        <w:rPr>
          <w:rFonts w:ascii="Times New Roman" w:cs="Times New Roman" w:eastAsia="Times New Roman" w:hAnsi="Times New Roman"/>
          <w:sz w:val="22"/>
          <w:szCs w:val="22"/>
          <w:color w:val="auto"/>
        </w:rPr>
        <w:t>" has the meaning given thereto in Section 8(q) hereof;</w:t>
      </w:r>
    </w:p>
    <w:p>
      <w:pPr>
        <w:spacing w:after="0" w:line="165" w:lineRule="exact"/>
        <w:rPr>
          <w:rFonts w:ascii="Times New Roman" w:cs="Times New Roman" w:eastAsia="Times New Roman" w:hAnsi="Times New Roman"/>
          <w:sz w:val="22"/>
          <w:szCs w:val="22"/>
          <w:color w:val="auto"/>
        </w:rPr>
      </w:pPr>
    </w:p>
    <w:p>
      <w:pPr>
        <w:jc w:val="both"/>
        <w:ind w:left="804" w:hanging="804"/>
        <w:spacing w:after="0" w:line="244" w:lineRule="auto"/>
        <w:tabs>
          <w:tab w:leader="none" w:pos="87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means all industrial and other intellectual property rights comprising or relating to (a) 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 authorized private registrar 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 discoveries, trade secrets, business and technical information, know-how, databases, data collections, patent disclosures and other confidential or proprietary information; and</w:t>
      </w:r>
    </w:p>
    <w:p>
      <w:pPr>
        <w:spacing w:after="0" w:line="5" w:lineRule="exact"/>
        <w:rPr>
          <w:rFonts w:ascii="Times New Roman" w:cs="Times New Roman" w:eastAsia="Times New Roman" w:hAnsi="Times New Roman"/>
          <w:sz w:val="21"/>
          <w:szCs w:val="21"/>
          <w:color w:val="auto"/>
        </w:rPr>
      </w:pPr>
    </w:p>
    <w:p>
      <w:pPr>
        <w:jc w:val="both"/>
        <w:ind w:left="804" w:firstLine="6"/>
        <w:spacing w:after="0" w:line="232" w:lineRule="auto"/>
        <w:tabs>
          <w:tab w:leader="none" w:pos="110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industrial and other intellectual property rights, and all rights, interests and protections that are associated with, equivalent or similar to, or required for the exercise of, any of the foregoing, however arising, in each case whether registered or unregistered, such registered rights including patent, registered plant breeders' rights, trademark, industrial design, copyright, and including all registrations and applications for, and renewals or extensions of, such rights or forms of protection under the Applicable Law of any jurisdiction in any part of the world;</w:t>
      </w:r>
    </w:p>
    <w:p>
      <w:pPr>
        <w:spacing w:after="0" w:line="151"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Issuer Free Writing Prospectus</w:t>
      </w:r>
      <w:r>
        <w:rPr>
          <w:rFonts w:ascii="Times New Roman" w:cs="Times New Roman" w:eastAsia="Times New Roman" w:hAnsi="Times New Roman"/>
          <w:sz w:val="22"/>
          <w:szCs w:val="22"/>
          <w:color w:val="auto"/>
        </w:rPr>
        <w:t>" has the meaning given thereto in Section 6 hereof;</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 Systems</w:t>
      </w:r>
      <w:r>
        <w:rPr>
          <w:rFonts w:ascii="Times New Roman" w:cs="Times New Roman" w:eastAsia="Times New Roman" w:hAnsi="Times New Roman"/>
          <w:sz w:val="22"/>
          <w:szCs w:val="22"/>
          <w:color w:val="auto"/>
        </w:rPr>
        <w:t>" has the meaning ascribed to such term in Section 7(aaa)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123190</wp:posOffset>
            </wp:positionV>
            <wp:extent cx="71532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0" w:name="page61"/>
    <w:bookmarkEnd w:id="60"/>
    <w:p>
      <w:pPr>
        <w:ind w:left="4744"/>
        <w:spacing w:after="0"/>
        <w:rPr>
          <w:sz w:val="20"/>
          <w:szCs w:val="20"/>
          <w:color w:val="auto"/>
        </w:rPr>
      </w:pPr>
      <w:r>
        <w:rPr>
          <w:rFonts w:ascii="Times New Roman" w:cs="Times New Roman" w:eastAsia="Times New Roman" w:hAnsi="Times New Roman"/>
          <w:sz w:val="22"/>
          <w:szCs w:val="22"/>
          <w:color w:val="auto"/>
        </w:rPr>
        <w:t>- 58 -</w:t>
      </w:r>
    </w:p>
    <w:p>
      <w:pPr>
        <w:spacing w:after="0" w:line="162" w:lineRule="exact"/>
        <w:rPr>
          <w:sz w:val="20"/>
          <w:szCs w:val="20"/>
          <w:color w:val="auto"/>
        </w:rPr>
      </w:pPr>
    </w:p>
    <w:p>
      <w:pPr>
        <w:ind w:left="804" w:hanging="804"/>
        <w:spacing w:after="0" w:line="262" w:lineRule="auto"/>
        <w:tabs>
          <w:tab w:leader="none" w:pos="87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Leased Premises</w:t>
      </w:r>
      <w:r>
        <w:rPr>
          <w:rFonts w:ascii="Times New Roman" w:cs="Times New Roman" w:eastAsia="Times New Roman" w:hAnsi="Times New Roman"/>
          <w:sz w:val="22"/>
          <w:szCs w:val="22"/>
          <w:color w:val="auto"/>
        </w:rPr>
        <w:t>" means the premises which the Company and any Cybin Entity occupy as a tenant, as the case may be, which are material to the Company and any Cybin Entity, as the case may be;</w:t>
      </w:r>
    </w:p>
    <w:p>
      <w:pPr>
        <w:spacing w:after="0" w:line="122"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Licences</w:t>
      </w:r>
      <w:r>
        <w:rPr>
          <w:rFonts w:ascii="Times New Roman" w:cs="Times New Roman" w:eastAsia="Times New Roman" w:hAnsi="Times New Roman"/>
          <w:sz w:val="22"/>
          <w:szCs w:val="22"/>
          <w:color w:val="auto"/>
        </w:rPr>
        <w:t>" has the meaning ascribed to such term in Section 7(i) of this Agreement;</w:t>
      </w:r>
    </w:p>
    <w:p>
      <w:pPr>
        <w:spacing w:after="0" w:line="165"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7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means any encumbrance or title defect of whatever kind or nature, regardless of form, whether or not registered or registrable and whether or not consensual or arising by law (statutory or otherwise), including any mortgage, lien, charge, pledge or security interest, whether fixed or floating, or any assignment, lease, option, right of pre-emption, privilege, easement, servitude, right of way, restrictive covenant, right of use or any other right or claim of any kind or nature whatever which affects ownership or possession of, or title to, any interest in, or right to use or occupy such property or assets;</w:t>
      </w:r>
    </w:p>
    <w:p>
      <w:pPr>
        <w:spacing w:after="0" w:line="134" w:lineRule="exact"/>
        <w:rPr>
          <w:rFonts w:ascii="Times New Roman" w:cs="Times New Roman" w:eastAsia="Times New Roman" w:hAnsi="Times New Roman"/>
          <w:sz w:val="22"/>
          <w:szCs w:val="22"/>
          <w:color w:val="auto"/>
        </w:rPr>
      </w:pPr>
    </w:p>
    <w:p>
      <w:pPr>
        <w:jc w:val="both"/>
        <w:ind w:left="804" w:hanging="804"/>
        <w:spacing w:after="0" w:line="237" w:lineRule="auto"/>
        <w:tabs>
          <w:tab w:leader="none" w:pos="87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means the effect (i) resulting from any event, fact, or change that is materially adverse to the business, assets (including intangible assets), affairs, operations, earnings, liabilities (contingent or otherwise), capital, properties, condition (financial or otherwise) or results of operations of the Company and any of the Subsidiaries, taken as a whole, whether or not arising in the Ordinary Course of business or (ii) that would result from any of the Offering Documents containing a misrepresentation within the meaning of Applicable Securities Laws;</w:t>
      </w:r>
    </w:p>
    <w:p>
      <w:pPr>
        <w:spacing w:after="0" w:line="148" w:lineRule="exact"/>
        <w:rPr>
          <w:rFonts w:ascii="Times New Roman" w:cs="Times New Roman" w:eastAsia="Times New Roman" w:hAnsi="Times New Roman"/>
          <w:sz w:val="22"/>
          <w:szCs w:val="22"/>
          <w:color w:val="auto"/>
        </w:rPr>
      </w:pPr>
    </w:p>
    <w:p>
      <w:pPr>
        <w:ind w:left="804" w:hanging="804"/>
        <w:spacing w:after="0" w:line="262" w:lineRule="auto"/>
        <w:tabs>
          <w:tab w:leader="none" w:pos="85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change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material fact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misrepresentation</w:t>
      </w:r>
      <w:r>
        <w:rPr>
          <w:rFonts w:ascii="Times New Roman" w:cs="Times New Roman" w:eastAsia="Times New Roman" w:hAnsi="Times New Roman"/>
          <w:sz w:val="22"/>
          <w:szCs w:val="22"/>
          <w:color w:val="auto"/>
        </w:rPr>
        <w:t>" have the respective meanings ascribed thereto in the Securities Act;</w:t>
      </w:r>
    </w:p>
    <w:p>
      <w:pPr>
        <w:spacing w:after="0" w:line="109"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Subsidiaries</w:t>
      </w:r>
      <w:r>
        <w:rPr>
          <w:rFonts w:ascii="Times New Roman" w:cs="Times New Roman" w:eastAsia="Times New Roman" w:hAnsi="Times New Roman"/>
          <w:sz w:val="22"/>
          <w:szCs w:val="22"/>
          <w:color w:val="auto"/>
        </w:rPr>
        <w:t xml:space="preserve">" means those Subsidiaries set out in </w:t>
      </w:r>
      <w:r>
        <w:rPr>
          <w:rFonts w:ascii="Times New Roman" w:cs="Times New Roman" w:eastAsia="Times New Roman" w:hAnsi="Times New Roman"/>
          <w:sz w:val="22"/>
          <w:szCs w:val="22"/>
          <w:b w:val="1"/>
          <w:bCs w:val="1"/>
          <w:color w:val="auto"/>
        </w:rPr>
        <w:t>Schedule 4</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804" w:right="20" w:hanging="804"/>
        <w:spacing w:after="0" w:line="262" w:lineRule="auto"/>
        <w:tabs>
          <w:tab w:leader="none" w:pos="88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misrepresentation</w:t>
      </w:r>
      <w:r>
        <w:rPr>
          <w:rFonts w:ascii="Times New Roman" w:cs="Times New Roman" w:eastAsia="Times New Roman" w:hAnsi="Times New Roman"/>
          <w:sz w:val="22"/>
          <w:szCs w:val="22"/>
          <w:color w:val="auto"/>
        </w:rPr>
        <w:t>" has the meaning ascribed thereto in the Applicable Securities Laws of the Qualifying Jurisdictions;</w:t>
      </w:r>
    </w:p>
    <w:p>
      <w:pPr>
        <w:spacing w:after="0" w:line="122" w:lineRule="exact"/>
        <w:rPr>
          <w:rFonts w:ascii="Times New Roman" w:cs="Times New Roman" w:eastAsia="Times New Roman" w:hAnsi="Times New Roman"/>
          <w:sz w:val="22"/>
          <w:szCs w:val="22"/>
          <w:color w:val="auto"/>
        </w:rPr>
      </w:pPr>
    </w:p>
    <w:p>
      <w:pPr>
        <w:ind w:left="864" w:hanging="864"/>
        <w:spacing w:after="0"/>
        <w:tabs>
          <w:tab w:leader="none" w:pos="86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Money Laundering Laws</w:t>
      </w:r>
      <w:r>
        <w:rPr>
          <w:rFonts w:ascii="Times New Roman" w:cs="Times New Roman" w:eastAsia="Times New Roman" w:hAnsi="Times New Roman"/>
          <w:sz w:val="22"/>
          <w:szCs w:val="22"/>
          <w:color w:val="auto"/>
        </w:rPr>
        <w:t>" has the meaning ascribed to such term in Section 7(ooo) of this Agreement;</w:t>
      </w:r>
    </w:p>
    <w:p>
      <w:pPr>
        <w:spacing w:after="0" w:line="165" w:lineRule="exact"/>
        <w:rPr>
          <w:rFonts w:ascii="Times New Roman" w:cs="Times New Roman" w:eastAsia="Times New Roman" w:hAnsi="Times New Roman"/>
          <w:sz w:val="22"/>
          <w:szCs w:val="22"/>
          <w:color w:val="auto"/>
        </w:rPr>
      </w:pPr>
    </w:p>
    <w:p>
      <w:pPr>
        <w:ind w:left="924" w:hanging="924"/>
        <w:spacing w:after="0"/>
        <w:tabs>
          <w:tab w:leader="none" w:pos="92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Proceeds</w:t>
      </w:r>
      <w:r>
        <w:rPr>
          <w:rFonts w:ascii="Times New Roman" w:cs="Times New Roman" w:eastAsia="Times New Roman" w:hAnsi="Times New Roman"/>
          <w:sz w:val="22"/>
          <w:szCs w:val="22"/>
          <w:color w:val="auto"/>
        </w:rPr>
        <w:t>" has the meaning given thereto in Section 5(a) hereof;</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NHPR</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Natural Health Product Regulations</w:t>
      </w:r>
      <w:r>
        <w:rPr>
          <w:rFonts w:ascii="Times New Roman" w:cs="Times New Roman" w:eastAsia="Times New Roman" w:hAnsi="Times New Roman"/>
          <w:sz w:val="22"/>
          <w:szCs w:val="22"/>
          <w:color w:val="auto"/>
        </w:rPr>
        <w:t xml:space="preserve"> (Canada) of the FDA (Canada);</w:t>
      </w:r>
    </w:p>
    <w:p>
      <w:pPr>
        <w:spacing w:after="0" w:line="179"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21-101</w:t>
      </w:r>
      <w:r>
        <w:rPr>
          <w:rFonts w:ascii="Times New Roman" w:cs="Times New Roman" w:eastAsia="Times New Roman" w:hAnsi="Times New Roman"/>
          <w:sz w:val="22"/>
          <w:szCs w:val="22"/>
          <w:color w:val="auto"/>
        </w:rPr>
        <w:t xml:space="preserve">" means National Instrument 21-101 - </w:t>
      </w:r>
      <w:r>
        <w:rPr>
          <w:rFonts w:ascii="Times New Roman" w:cs="Times New Roman" w:eastAsia="Times New Roman" w:hAnsi="Times New Roman"/>
          <w:sz w:val="22"/>
          <w:szCs w:val="22"/>
          <w:i w:val="1"/>
          <w:iCs w:val="1"/>
          <w:color w:val="auto"/>
        </w:rPr>
        <w:t>Market Operations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44-101</w:t>
      </w:r>
      <w:r>
        <w:rPr>
          <w:rFonts w:ascii="Times New Roman" w:cs="Times New Roman" w:eastAsia="Times New Roman" w:hAnsi="Times New Roman"/>
          <w:sz w:val="22"/>
          <w:szCs w:val="22"/>
          <w:color w:val="auto"/>
        </w:rPr>
        <w:t xml:space="preserve">" means National Instrument 44-101 -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xml:space="preserve">" means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has the meaning given thereto in Section 1 hereof;</w:t>
      </w:r>
    </w:p>
    <w:p>
      <w:pPr>
        <w:spacing w:after="0" w:line="165" w:lineRule="exact"/>
        <w:rPr>
          <w:rFonts w:ascii="Times New Roman" w:cs="Times New Roman" w:eastAsia="Times New Roman" w:hAnsi="Times New Roman"/>
          <w:sz w:val="22"/>
          <w:szCs w:val="22"/>
          <w:color w:val="auto"/>
        </w:rPr>
      </w:pPr>
    </w:p>
    <w:p>
      <w:pPr>
        <w:ind w:left="804" w:hanging="804"/>
        <w:spacing w:after="0" w:line="262" w:lineRule="auto"/>
        <w:tabs>
          <w:tab w:leader="none" w:pos="87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 Documents</w:t>
      </w:r>
      <w:r>
        <w:rPr>
          <w:rFonts w:ascii="Times New Roman" w:cs="Times New Roman" w:eastAsia="Times New Roman" w:hAnsi="Times New Roman"/>
          <w:sz w:val="22"/>
          <w:szCs w:val="22"/>
          <w:color w:val="auto"/>
        </w:rPr>
        <w:t>" means each of the Preliminary Base Prospectus, Base Prospectuses, Prospectus Supplements and any Supplementary Material, including the 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86995</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1" w:name="page62"/>
    <w:bookmarkEnd w:id="61"/>
    <w:p>
      <w:pPr>
        <w:ind w:left="4744"/>
        <w:spacing w:after="0"/>
        <w:rPr>
          <w:sz w:val="20"/>
          <w:szCs w:val="20"/>
          <w:color w:val="auto"/>
        </w:rPr>
      </w:pPr>
      <w:r>
        <w:rPr>
          <w:rFonts w:ascii="Times New Roman" w:cs="Times New Roman" w:eastAsia="Times New Roman" w:hAnsi="Times New Roman"/>
          <w:sz w:val="22"/>
          <w:szCs w:val="22"/>
          <w:color w:val="auto"/>
        </w:rPr>
        <w:t>- 59 -</w:t>
      </w:r>
    </w:p>
    <w:p>
      <w:pPr>
        <w:spacing w:after="0" w:line="162" w:lineRule="exact"/>
        <w:rPr>
          <w:sz w:val="20"/>
          <w:szCs w:val="20"/>
          <w:color w:val="auto"/>
        </w:rPr>
      </w:pPr>
    </w:p>
    <w:p>
      <w:pPr>
        <w:jc w:val="both"/>
        <w:ind w:left="804" w:hanging="804"/>
        <w:spacing w:after="0" w:line="246" w:lineRule="auto"/>
        <w:tabs>
          <w:tab w:leader="none" w:pos="85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Ordinary Course</w:t>
      </w:r>
      <w:r>
        <w:rPr>
          <w:rFonts w:ascii="Times New Roman" w:cs="Times New Roman" w:eastAsia="Times New Roman" w:hAnsi="Times New Roman"/>
          <w:sz w:val="22"/>
          <w:szCs w:val="22"/>
          <w:color w:val="auto"/>
        </w:rPr>
        <w:t>" means, with respect to an action taken by a person, that such action is consistent in all material respects with past practices of the person and is taken in the ordinary course of the normal day-to-day operations of the person, in each case, as is determined as of the relevant date;</w:t>
      </w:r>
    </w:p>
    <w:p>
      <w:pPr>
        <w:spacing w:after="0" w:line="140" w:lineRule="exact"/>
        <w:rPr>
          <w:rFonts w:ascii="Times New Roman" w:cs="Times New Roman" w:eastAsia="Times New Roman" w:hAnsi="Times New Roman"/>
          <w:sz w:val="22"/>
          <w:szCs w:val="22"/>
          <w:color w:val="auto"/>
        </w:rPr>
      </w:pPr>
    </w:p>
    <w:p>
      <w:pPr>
        <w:jc w:val="both"/>
        <w:ind w:left="804" w:hanging="804"/>
        <w:spacing w:after="0" w:line="263" w:lineRule="auto"/>
        <w:tabs>
          <w:tab w:leader="none" w:pos="87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shall be broadly interpreted and shall include an individual, firm, corporation, syndicate, partnership, trust, association, unincorporated organization, joint venture, investment club, government or agency or political subdivision thereof and every other form of legal or business entity of whatsoever nature or kind;</w:t>
      </w:r>
    </w:p>
    <w:p>
      <w:pPr>
        <w:spacing w:after="0" w:line="110" w:lineRule="exact"/>
        <w:rPr>
          <w:rFonts w:ascii="Times New Roman" w:cs="Times New Roman" w:eastAsia="Times New Roman" w:hAnsi="Times New Roman"/>
          <w:sz w:val="21"/>
          <w:szCs w:val="21"/>
          <w:color w:val="auto"/>
        </w:rPr>
      </w:pPr>
    </w:p>
    <w:p>
      <w:pPr>
        <w:ind w:left="884" w:hanging="884"/>
        <w:spacing w:after="0"/>
        <w:tabs>
          <w:tab w:leader="none" w:pos="88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has the meaning ascribed to such term in Section 7(aaa) of this Agreement;</w:t>
      </w:r>
    </w:p>
    <w:p>
      <w:pPr>
        <w:spacing w:after="0" w:line="165"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w:t>
      </w:r>
      <w:r>
        <w:rPr>
          <w:rFonts w:ascii="Times New Roman" w:cs="Times New Roman" w:eastAsia="Times New Roman" w:hAnsi="Times New Roman"/>
          <w:sz w:val="22"/>
          <w:szCs w:val="22"/>
          <w:color w:val="auto"/>
        </w:rPr>
        <w:t>" has the meaning given thereto in Section 2(a) hereof;</w:t>
      </w:r>
    </w:p>
    <w:p>
      <w:pPr>
        <w:spacing w:after="0" w:line="179"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 Fee</w:t>
      </w:r>
      <w:r>
        <w:rPr>
          <w:rFonts w:ascii="Times New Roman" w:cs="Times New Roman" w:eastAsia="Times New Roman" w:hAnsi="Times New Roman"/>
          <w:sz w:val="22"/>
          <w:szCs w:val="22"/>
          <w:color w:val="auto"/>
        </w:rPr>
        <w:t>" has the meaning given thereto in Section 2(a) hereof;</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 Notice</w:t>
      </w:r>
      <w:r>
        <w:rPr>
          <w:rFonts w:ascii="Times New Roman" w:cs="Times New Roman" w:eastAsia="Times New Roman" w:hAnsi="Times New Roman"/>
          <w:sz w:val="22"/>
          <w:szCs w:val="22"/>
          <w:color w:val="auto"/>
        </w:rPr>
        <w:t>" has the meaning given thereto in Section 2(a) hereof;</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Placement Shares</w:t>
      </w:r>
      <w:r>
        <w:rPr>
          <w:rFonts w:ascii="Times New Roman" w:cs="Times New Roman" w:eastAsia="Times New Roman" w:hAnsi="Times New Roman"/>
          <w:sz w:val="22"/>
          <w:szCs w:val="22"/>
          <w:color w:val="auto"/>
        </w:rPr>
        <w:t>" has the meaning given thereto in Section 2(a) hereof;</w:t>
      </w:r>
    </w:p>
    <w:p>
      <w:pPr>
        <w:spacing w:after="0" w:line="179" w:lineRule="exact"/>
        <w:rPr>
          <w:sz w:val="20"/>
          <w:szCs w:val="20"/>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Properties</w:t>
      </w:r>
      <w:r>
        <w:rPr>
          <w:rFonts w:ascii="Times New Roman" w:cs="Times New Roman" w:eastAsia="Times New Roman" w:hAnsi="Times New Roman"/>
          <w:sz w:val="22"/>
          <w:szCs w:val="22"/>
          <w:color w:val="auto"/>
        </w:rPr>
        <w:t>" means all real property owned or held for use by the Company or any of its Subsidiaries;</w:t>
      </w:r>
    </w:p>
    <w:p>
      <w:pPr>
        <w:spacing w:after="0" w:line="165"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Prospectuses</w:t>
      </w:r>
      <w:r>
        <w:rPr>
          <w:rFonts w:ascii="Times New Roman" w:cs="Times New Roman" w:eastAsia="Times New Roman" w:hAnsi="Times New Roman"/>
          <w:sz w:val="22"/>
          <w:szCs w:val="22"/>
          <w:color w:val="auto"/>
        </w:rPr>
        <w:t>" has the meaning given thereto in Section 6 hereof;</w:t>
      </w:r>
    </w:p>
    <w:p>
      <w:pPr>
        <w:spacing w:after="0" w:line="165"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 Supplements</w:t>
      </w:r>
      <w:r>
        <w:rPr>
          <w:rFonts w:ascii="Times New Roman" w:cs="Times New Roman" w:eastAsia="Times New Roman" w:hAnsi="Times New Roman"/>
          <w:sz w:val="22"/>
          <w:szCs w:val="22"/>
          <w:color w:val="auto"/>
        </w:rPr>
        <w:t>" has the meaning given thereto in Section 6 hereof;</w:t>
      </w:r>
    </w:p>
    <w:p>
      <w:pPr>
        <w:spacing w:after="0" w:line="179"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psilocin</w:t>
      </w:r>
      <w:r>
        <w:rPr>
          <w:rFonts w:ascii="Times New Roman" w:cs="Times New Roman" w:eastAsia="Times New Roman" w:hAnsi="Times New Roman"/>
          <w:sz w:val="22"/>
          <w:szCs w:val="22"/>
          <w:color w:val="auto"/>
        </w:rPr>
        <w:t>" means 3-[2-(dimethylamino)ethyl]-4-hydroxyindole and any salt thereof;</w:t>
      </w:r>
    </w:p>
    <w:p>
      <w:pPr>
        <w:spacing w:after="0" w:line="165"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psilocybin</w:t>
      </w:r>
      <w:r>
        <w:rPr>
          <w:rFonts w:ascii="Times New Roman" w:cs="Times New Roman" w:eastAsia="Times New Roman" w:hAnsi="Times New Roman"/>
          <w:sz w:val="22"/>
          <w:szCs w:val="22"/>
          <w:color w:val="auto"/>
        </w:rPr>
        <w:t>" means 3-[2-(dimethylamino)ethyl]-4-phosphoryloxyindole and any salt thereof;</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Jurisdiction</w:t>
      </w:r>
      <w:r>
        <w:rPr>
          <w:rFonts w:ascii="Times New Roman" w:cs="Times New Roman" w:eastAsia="Times New Roman" w:hAnsi="Times New Roman"/>
          <w:sz w:val="22"/>
          <w:szCs w:val="22"/>
          <w:color w:val="auto"/>
        </w:rPr>
        <w:t>s" means each of the provinces and territories of Canada;</w:t>
      </w:r>
    </w:p>
    <w:p>
      <w:pPr>
        <w:spacing w:after="0" w:line="179"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has the meaning given thereto in Section 6 hereof;</w:t>
      </w:r>
    </w:p>
    <w:p>
      <w:pPr>
        <w:spacing w:after="0" w:line="165"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Representation Date</w:t>
      </w:r>
      <w:r>
        <w:rPr>
          <w:rFonts w:ascii="Times New Roman" w:cs="Times New Roman" w:eastAsia="Times New Roman" w:hAnsi="Times New Roman"/>
          <w:sz w:val="22"/>
          <w:szCs w:val="22"/>
          <w:color w:val="auto"/>
        </w:rPr>
        <w:t>" has the meaning given thereto in Section 8(o) hereof;</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drug</w:t>
      </w:r>
      <w:r>
        <w:rPr>
          <w:rFonts w:ascii="Times New Roman" w:cs="Times New Roman" w:eastAsia="Times New Roman" w:hAnsi="Times New Roman"/>
          <w:sz w:val="22"/>
          <w:szCs w:val="22"/>
          <w:color w:val="auto"/>
        </w:rPr>
        <w:t>" has the meaning ascribed thereto in section J.01.001 of the FDR-J;</w:t>
      </w:r>
    </w:p>
    <w:p>
      <w:pPr>
        <w:spacing w:after="0" w:line="179"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Reviewing Authority</w:t>
      </w:r>
      <w:r>
        <w:rPr>
          <w:rFonts w:ascii="Times New Roman" w:cs="Times New Roman" w:eastAsia="Times New Roman" w:hAnsi="Times New Roman"/>
          <w:sz w:val="22"/>
          <w:szCs w:val="22"/>
          <w:color w:val="auto"/>
        </w:rPr>
        <w:t>" has the meaning given thereto in Section 6 hereof;</w:t>
      </w:r>
    </w:p>
    <w:p>
      <w:pPr>
        <w:spacing w:after="0" w:line="165"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w:t>
      </w:r>
    </w:p>
    <w:p>
      <w:pPr>
        <w:spacing w:after="0" w:line="165" w:lineRule="exact"/>
        <w:rPr>
          <w:rFonts w:ascii="Times New Roman" w:cs="Times New Roman" w:eastAsia="Times New Roman" w:hAnsi="Times New Roman"/>
          <w:sz w:val="22"/>
          <w:szCs w:val="22"/>
          <w:color w:val="auto"/>
        </w:rPr>
      </w:pPr>
    </w:p>
    <w:p>
      <w:pPr>
        <w:ind w:left="804" w:hanging="804"/>
        <w:spacing w:after="0" w:line="262" w:lineRule="auto"/>
        <w:tabs>
          <w:tab w:leader="none" w:pos="86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Commission</w:t>
      </w:r>
      <w:r>
        <w:rPr>
          <w:rFonts w:ascii="Times New Roman" w:cs="Times New Roman" w:eastAsia="Times New Roman" w:hAnsi="Times New Roman"/>
          <w:sz w:val="22"/>
          <w:szCs w:val="22"/>
          <w:color w:val="auto"/>
        </w:rPr>
        <w:t>" means the applicable securities commission or regulatory authority in each of the Qualifying Jurisdictions and "</w:t>
      </w:r>
      <w:r>
        <w:rPr>
          <w:rFonts w:ascii="Times New Roman" w:cs="Times New Roman" w:eastAsia="Times New Roman" w:hAnsi="Times New Roman"/>
          <w:sz w:val="22"/>
          <w:szCs w:val="22"/>
          <w:b w:val="1"/>
          <w:bCs w:val="1"/>
          <w:color w:val="auto"/>
        </w:rPr>
        <w:t>Securities Commissions</w:t>
      </w:r>
      <w:r>
        <w:rPr>
          <w:rFonts w:ascii="Times New Roman" w:cs="Times New Roman" w:eastAsia="Times New Roman" w:hAnsi="Times New Roman"/>
          <w:sz w:val="22"/>
          <w:szCs w:val="22"/>
          <w:color w:val="auto"/>
        </w:rPr>
        <w:t>" means all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95885</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2" w:name="page63"/>
    <w:bookmarkEnd w:id="62"/>
    <w:p>
      <w:pPr>
        <w:ind w:left="4744"/>
        <w:spacing w:after="0"/>
        <w:rPr>
          <w:sz w:val="20"/>
          <w:szCs w:val="20"/>
          <w:color w:val="auto"/>
        </w:rPr>
      </w:pPr>
      <w:r>
        <w:rPr>
          <w:rFonts w:ascii="Times New Roman" w:cs="Times New Roman" w:eastAsia="Times New Roman" w:hAnsi="Times New Roman"/>
          <w:sz w:val="22"/>
          <w:szCs w:val="22"/>
          <w:color w:val="auto"/>
        </w:rPr>
        <w:t>- 60 -</w:t>
      </w:r>
    </w:p>
    <w:p>
      <w:pPr>
        <w:spacing w:after="0" w:line="162" w:lineRule="exact"/>
        <w:rPr>
          <w:sz w:val="20"/>
          <w:szCs w:val="20"/>
          <w:color w:val="auto"/>
        </w:rPr>
      </w:pPr>
    </w:p>
    <w:p>
      <w:pPr>
        <w:jc w:val="both"/>
        <w:ind w:left="804" w:hanging="804"/>
        <w:spacing w:after="0" w:line="246" w:lineRule="auto"/>
        <w:tabs>
          <w:tab w:leader="none" w:pos="93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Laws</w:t>
      </w:r>
      <w:r>
        <w:rPr>
          <w:rFonts w:ascii="Times New Roman" w:cs="Times New Roman" w:eastAsia="Times New Roman" w:hAnsi="Times New Roman"/>
          <w:sz w:val="22"/>
          <w:szCs w:val="22"/>
          <w:color w:val="auto"/>
        </w:rPr>
        <w:t>" means collectively, Canadian Securities Laws, U.S. Securities Laws and all Applicable Securities Laws, rules, regulations, policies and other instruments promulgated by the Securities Regulators in any of the other Qualifying Jurisdictions;</w:t>
      </w:r>
    </w:p>
    <w:p>
      <w:pPr>
        <w:spacing w:after="0" w:line="140" w:lineRule="exact"/>
        <w:rPr>
          <w:rFonts w:ascii="Times New Roman" w:cs="Times New Roman" w:eastAsia="Times New Roman" w:hAnsi="Times New Roman"/>
          <w:sz w:val="22"/>
          <w:szCs w:val="22"/>
          <w:color w:val="auto"/>
        </w:rPr>
      </w:pPr>
    </w:p>
    <w:p>
      <w:pPr>
        <w:ind w:left="804" w:hanging="804"/>
        <w:spacing w:after="0" w:line="262" w:lineRule="auto"/>
        <w:tabs>
          <w:tab w:leader="none" w:pos="89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Regulators</w:t>
      </w:r>
      <w:r>
        <w:rPr>
          <w:rFonts w:ascii="Times New Roman" w:cs="Times New Roman" w:eastAsia="Times New Roman" w:hAnsi="Times New Roman"/>
          <w:sz w:val="22"/>
          <w:szCs w:val="22"/>
          <w:color w:val="auto"/>
        </w:rPr>
        <w:t>" means collectively, the securities regulators or other securities regulatory authorities in the Qualifying Jurisdictions;</w:t>
      </w:r>
    </w:p>
    <w:p>
      <w:pPr>
        <w:spacing w:after="0" w:line="109"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SEDAR</w:t>
      </w:r>
      <w:r>
        <w:rPr>
          <w:rFonts w:ascii="Times New Roman" w:cs="Times New Roman" w:eastAsia="Times New Roman" w:hAnsi="Times New Roman"/>
          <w:sz w:val="22"/>
          <w:szCs w:val="22"/>
          <w:color w:val="auto"/>
        </w:rPr>
        <w:t>+" means the System for Electronic Document Analysis + and Retrieval;</w:t>
      </w:r>
    </w:p>
    <w:p>
      <w:pPr>
        <w:spacing w:after="0" w:line="165"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has the meaning given thereto in Section 5(a) hereof;</w:t>
      </w:r>
    </w:p>
    <w:p>
      <w:pPr>
        <w:spacing w:after="0" w:line="179"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has the meaning given thereto in Section 1 hereof;</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Procedures</w:t>
      </w:r>
      <w:r>
        <w:rPr>
          <w:rFonts w:ascii="Times New Roman" w:cs="Times New Roman" w:eastAsia="Times New Roman" w:hAnsi="Times New Roman"/>
          <w:sz w:val="22"/>
          <w:szCs w:val="22"/>
          <w:color w:val="auto"/>
        </w:rPr>
        <w:t>" means NI 44-101 and NI 44-102;</w:t>
      </w:r>
    </w:p>
    <w:p>
      <w:pPr>
        <w:spacing w:after="0" w:line="165" w:lineRule="exact"/>
        <w:rPr>
          <w:rFonts w:ascii="Times New Roman" w:cs="Times New Roman" w:eastAsia="Times New Roman" w:hAnsi="Times New Roman"/>
          <w:sz w:val="22"/>
          <w:szCs w:val="22"/>
          <w:color w:val="auto"/>
        </w:rPr>
      </w:pPr>
    </w:p>
    <w:p>
      <w:pPr>
        <w:ind w:left="884" w:hanging="884"/>
        <w:spacing w:after="0"/>
        <w:tabs>
          <w:tab w:leader="none" w:pos="88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Securities</w:t>
      </w:r>
      <w:r>
        <w:rPr>
          <w:rFonts w:ascii="Times New Roman" w:cs="Times New Roman" w:eastAsia="Times New Roman" w:hAnsi="Times New Roman"/>
          <w:sz w:val="22"/>
          <w:szCs w:val="22"/>
          <w:color w:val="auto"/>
        </w:rPr>
        <w:t>" has the meaning given thereto in Section 6 hereof;</w:t>
      </w:r>
    </w:p>
    <w:p>
      <w:pPr>
        <w:spacing w:after="0" w:line="179"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6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those entities that would be considered a subsidiary of the Company pursuant to Applicable Securities Laws of the Province of Ontario, including those subsidiaries listed in Schedule 3, and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means all of them;</w:t>
      </w:r>
    </w:p>
    <w:p>
      <w:pPr>
        <w:spacing w:after="0" w:line="126" w:lineRule="exact"/>
        <w:rPr>
          <w:rFonts w:ascii="Times New Roman" w:cs="Times New Roman" w:eastAsia="Times New Roman" w:hAnsi="Times New Roman"/>
          <w:sz w:val="22"/>
          <w:szCs w:val="22"/>
          <w:color w:val="auto"/>
        </w:rPr>
      </w:pPr>
    </w:p>
    <w:p>
      <w:pPr>
        <w:jc w:val="both"/>
        <w:ind w:left="804" w:hanging="804"/>
        <w:spacing w:after="0" w:line="238" w:lineRule="auto"/>
        <w:tabs>
          <w:tab w:leader="none" w:pos="89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Supplementary Material</w:t>
      </w:r>
      <w:r>
        <w:rPr>
          <w:rFonts w:ascii="Times New Roman" w:cs="Times New Roman" w:eastAsia="Times New Roman" w:hAnsi="Times New Roman"/>
          <w:sz w:val="22"/>
          <w:szCs w:val="22"/>
          <w:color w:val="auto"/>
        </w:rPr>
        <w:t>" means, collectively, any amendment to or amendment and restatement of any of the Preliminary Base Prospectus, the Base Prospectuses, and/or the Prospectus Supplements and any further amendment, amendment and restatement or supplemental prospectus thereto or ancillary materials that may be filed by or on behalf of the Company under the Applicable Securities Laws of the Qualifying Jurisdictions relating to the distribution of the Placement Shares thereunder;</w:t>
      </w:r>
    </w:p>
    <w:p>
      <w:pPr>
        <w:spacing w:after="0" w:line="136" w:lineRule="exact"/>
        <w:rPr>
          <w:rFonts w:ascii="Times New Roman" w:cs="Times New Roman" w:eastAsia="Times New Roman" w:hAnsi="Times New Roman"/>
          <w:sz w:val="22"/>
          <w:szCs w:val="22"/>
          <w:color w:val="auto"/>
        </w:rPr>
      </w:pPr>
    </w:p>
    <w:p>
      <w:pPr>
        <w:jc w:val="both"/>
        <w:ind w:left="804" w:hanging="804"/>
        <w:spacing w:after="0" w:line="246" w:lineRule="auto"/>
        <w:tabs>
          <w:tab w:leader="none" w:pos="89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and the regulations thereunder, both as amended from time to time and any proposed amendments thereto announced publicly by or on behalf of the Minister of Finance (Canada) on or prior to the date of this Agreement;</w:t>
      </w:r>
    </w:p>
    <w:p>
      <w:pPr>
        <w:spacing w:after="0" w:line="140" w:lineRule="exact"/>
        <w:rPr>
          <w:rFonts w:ascii="Times New Roman" w:cs="Times New Roman" w:eastAsia="Times New Roman" w:hAnsi="Times New Roman"/>
          <w:sz w:val="22"/>
          <w:szCs w:val="22"/>
          <w:color w:val="auto"/>
        </w:rPr>
      </w:pPr>
    </w:p>
    <w:p>
      <w:pPr>
        <w:ind w:left="944" w:hanging="944"/>
        <w:spacing w:after="0"/>
        <w:tabs>
          <w:tab w:leader="none" w:pos="94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any day on which a Canadian Stock Exchange is open for trading;</w:t>
      </w:r>
    </w:p>
    <w:p>
      <w:pPr>
        <w:spacing w:after="0" w:line="165" w:lineRule="exact"/>
        <w:rPr>
          <w:rFonts w:ascii="Times New Roman" w:cs="Times New Roman" w:eastAsia="Times New Roman" w:hAnsi="Times New Roman"/>
          <w:sz w:val="22"/>
          <w:szCs w:val="22"/>
          <w:color w:val="auto"/>
        </w:rPr>
      </w:pPr>
    </w:p>
    <w:p>
      <w:pPr>
        <w:ind w:left="804" w:hanging="804"/>
        <w:spacing w:after="0" w:line="262" w:lineRule="auto"/>
        <w:tabs>
          <w:tab w:leader="none" w:pos="89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means the United States of America, its territories and possessions, any state of the United States and the District of Columbia;</w:t>
      </w:r>
    </w:p>
    <w:p>
      <w:pPr>
        <w:spacing w:after="0" w:line="109"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 Marketplace</w:t>
      </w:r>
      <w:r>
        <w:rPr>
          <w:rFonts w:ascii="Times New Roman" w:cs="Times New Roman" w:eastAsia="Times New Roman" w:hAnsi="Times New Roman"/>
          <w:sz w:val="22"/>
          <w:szCs w:val="22"/>
          <w:color w:val="auto"/>
        </w:rPr>
        <w:t>" has the meaning given thereto in Section 3 hereof;</w:t>
      </w:r>
    </w:p>
    <w:p>
      <w:pPr>
        <w:spacing w:after="0" w:line="179" w:lineRule="exact"/>
        <w:rPr>
          <w:rFonts w:ascii="Times New Roman" w:cs="Times New Roman" w:eastAsia="Times New Roman" w:hAnsi="Times New Roman"/>
          <w:sz w:val="22"/>
          <w:szCs w:val="22"/>
          <w:color w:val="auto"/>
        </w:rPr>
      </w:pPr>
    </w:p>
    <w:p>
      <w:pPr>
        <w:jc w:val="both"/>
        <w:ind w:left="804" w:hanging="804"/>
        <w:spacing w:after="0" w:line="241" w:lineRule="auto"/>
        <w:tabs>
          <w:tab w:leader="none" w:pos="89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 Stock Exchange</w:t>
      </w:r>
      <w:r>
        <w:rPr>
          <w:rFonts w:ascii="Times New Roman" w:cs="Times New Roman" w:eastAsia="Times New Roman" w:hAnsi="Times New Roman"/>
          <w:sz w:val="22"/>
          <w:szCs w:val="22"/>
          <w:color w:val="auto"/>
        </w:rPr>
        <w:t>" means the New York Stock Exchange, NYSE American, the Nasdaq Global Select Market, the Nasdaq Global Market or the Nasdaq Capital Market (or any successors to any of the foregoing) or any other recognized U.S. stock exchange or United States Marketplace on which the Shares may be listed or posted for trading;</w:t>
      </w:r>
    </w:p>
    <w:p>
      <w:pPr>
        <w:spacing w:after="0" w:line="131" w:lineRule="exact"/>
        <w:rPr>
          <w:sz w:val="20"/>
          <w:szCs w:val="20"/>
          <w:color w:val="auto"/>
        </w:rPr>
      </w:pPr>
    </w:p>
    <w:p>
      <w:pPr>
        <w:ind w:left="924" w:hanging="924"/>
        <w:spacing w:after="0"/>
        <w:tabs>
          <w:tab w:leader="none" w:pos="92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Base Prospectus</w:t>
      </w:r>
      <w:r>
        <w:rPr>
          <w:rFonts w:ascii="Times New Roman" w:cs="Times New Roman" w:eastAsia="Times New Roman" w:hAnsi="Times New Roman"/>
          <w:sz w:val="22"/>
          <w:szCs w:val="22"/>
          <w:color w:val="auto"/>
        </w:rPr>
        <w:t>" has the meaning given thereto in Section 6 hereof;</w:t>
      </w:r>
    </w:p>
    <w:p>
      <w:pPr>
        <w:spacing w:after="0" w:line="165" w:lineRule="exact"/>
        <w:rPr>
          <w:rFonts w:ascii="Times New Roman" w:cs="Times New Roman" w:eastAsia="Times New Roman" w:hAnsi="Times New Roman"/>
          <w:sz w:val="22"/>
          <w:szCs w:val="22"/>
          <w:color w:val="auto"/>
        </w:rPr>
      </w:pPr>
    </w:p>
    <w:p>
      <w:pPr>
        <w:ind w:left="924" w:hanging="924"/>
        <w:spacing w:after="0"/>
        <w:tabs>
          <w:tab w:leader="none" w:pos="92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Prospectus</w:t>
      </w:r>
      <w:r>
        <w:rPr>
          <w:rFonts w:ascii="Times New Roman" w:cs="Times New Roman" w:eastAsia="Times New Roman" w:hAnsi="Times New Roman"/>
          <w:sz w:val="22"/>
          <w:szCs w:val="22"/>
          <w:color w:val="auto"/>
        </w:rPr>
        <w:t>" has the meaning given thereto in Section 6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131445</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2"/>
          <w:szCs w:val="22"/>
          <w:color w:val="auto"/>
        </w:rPr>
        <w:t>- 61 -</w:t>
      </w:r>
    </w:p>
    <w:p>
      <w:pPr>
        <w:spacing w:after="0" w:line="162" w:lineRule="exact"/>
        <w:rPr>
          <w:sz w:val="20"/>
          <w:szCs w:val="20"/>
          <w:color w:val="auto"/>
        </w:rPr>
      </w:pPr>
    </w:p>
    <w:p>
      <w:pPr>
        <w:ind w:left="1560" w:hanging="904"/>
        <w:spacing w:after="0"/>
        <w:tabs>
          <w:tab w:leader="none" w:pos="156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Prospectus Supplement</w:t>
      </w:r>
      <w:r>
        <w:rPr>
          <w:rFonts w:ascii="Times New Roman" w:cs="Times New Roman" w:eastAsia="Times New Roman" w:hAnsi="Times New Roman"/>
          <w:sz w:val="22"/>
          <w:szCs w:val="22"/>
          <w:color w:val="auto"/>
        </w:rPr>
        <w:t>" has the meaning given thereto in Section 6 hereof; and</w:t>
      </w:r>
    </w:p>
    <w:p>
      <w:pPr>
        <w:spacing w:after="0" w:line="179"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means the United States Securities Act of 1933, as amended.</w:t>
      </w:r>
    </w:p>
    <w:p>
      <w:pPr>
        <w:spacing w:after="0" w:line="165"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shall be deemed an original, but all of which together shall constitute one and the same instrument. Delivery of an executed Agreement by one party to the other may be made by email transmission.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line="259" w:lineRule="auto"/>
        <w:rPr>
          <w:sz w:val="20"/>
          <w:szCs w:val="20"/>
          <w:color w:val="auto"/>
        </w:rPr>
      </w:pPr>
      <w:r>
        <w:rPr>
          <w:rFonts w:ascii="Times New Roman" w:cs="Times New Roman" w:eastAsia="Times New Roman" w:hAnsi="Times New Roman"/>
          <w:sz w:val="22"/>
          <w:szCs w:val="22"/>
          <w:color w:val="auto"/>
        </w:rPr>
        <w:t>If the foregoing accurately reflects your understanding and agreement with respect to the matters described herein please indicate your agreement by countersigning this Agreement in the space provided below.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Eric So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327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b w:val="1"/>
          <w:bCs w:val="1"/>
          <w:color w:val="auto"/>
        </w:rPr>
        <w:t xml:space="preserve">ACCEPTED </w:t>
      </w:r>
      <w:r>
        <w:rPr>
          <w:rFonts w:ascii="Times New Roman" w:cs="Times New Roman" w:eastAsia="Times New Roman" w:hAnsi="Times New Roman"/>
          <w:sz w:val="22"/>
          <w:szCs w:val="22"/>
          <w:color w:val="auto"/>
        </w:rPr>
        <w:t>as of the date first-above written.</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CANTOR FITZGERALD CANADA CORPORATION</w:t>
      </w:r>
    </w:p>
    <w:p>
      <w:pPr>
        <w:spacing w:after="0" w:line="2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Elan Shevel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Elan Shevel</w:t>
      </w:r>
    </w:p>
    <w:p>
      <w:pPr>
        <w:spacing w:after="0" w:line="23" w:lineRule="exact"/>
        <w:rPr>
          <w:sz w:val="20"/>
          <w:szCs w:val="20"/>
          <w:color w:val="auto"/>
        </w:rPr>
      </w:pPr>
    </w:p>
    <w:p>
      <w:pPr>
        <w:ind w:left="6200"/>
        <w:spacing w:after="0"/>
        <w:tabs>
          <w:tab w:leader="none" w:pos="6780" w:val="left"/>
        </w:tabs>
        <w:rPr>
          <w:sz w:val="20"/>
          <w:szCs w:val="20"/>
          <w:color w:val="auto"/>
        </w:rPr>
      </w:pPr>
      <w:r>
        <w:rPr>
          <w:rFonts w:ascii="Times New Roman" w:cs="Times New Roman" w:eastAsia="Times New Roman" w:hAnsi="Times New Roman"/>
          <w:sz w:val="18"/>
          <w:szCs w:val="18"/>
          <w:color w:val="auto"/>
        </w:rPr>
        <w:t>Title:</w:t>
        <w:tab/>
        <w:t>Chief Compliance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CANTOR FITZGERALD &amp; CO.</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Sameer Vasudev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Sameer Vasudev</w:t>
      </w:r>
    </w:p>
    <w:p>
      <w:pPr>
        <w:spacing w:after="0" w:line="23" w:lineRule="exact"/>
        <w:rPr>
          <w:sz w:val="20"/>
          <w:szCs w:val="20"/>
          <w:color w:val="auto"/>
        </w:rPr>
      </w:pPr>
    </w:p>
    <w:p>
      <w:pPr>
        <w:ind w:left="6200"/>
        <w:spacing w:after="0"/>
        <w:tabs>
          <w:tab w:leader="none" w:pos="67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6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EXHIBIT A-1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 CERTIFICATE</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b w:val="1"/>
          <w:bCs w:val="1"/>
          <w:color w:val="auto"/>
        </w:rPr>
        <w:t>[name of executive officer]</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[title of executive officer]</w:t>
      </w:r>
      <w:r>
        <w:rPr>
          <w:rFonts w:ascii="Times New Roman" w:cs="Times New Roman" w:eastAsia="Times New Roman" w:hAnsi="Times New Roman"/>
          <w:sz w:val="22"/>
          <w:szCs w:val="22"/>
          <w:color w:val="auto"/>
        </w:rPr>
        <w:t xml:space="preserve"> of Cybin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 company continued under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do hereby certify in such capacity and not in my personal capacity, on behalf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pursuant to Section 8(o) of the Equity Distribution Agreement dated December 30, 2025 (the "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between the Company and Cantor Fitzgerald Canada Corporation and Cantor Fitzgerald &amp; Co. and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liability, that, to the best of my knowledge:</w:t>
      </w:r>
    </w:p>
    <w:p>
      <w:pPr>
        <w:spacing w:after="0" w:line="154" w:lineRule="exact"/>
        <w:rPr>
          <w:sz w:val="20"/>
          <w:szCs w:val="20"/>
          <w:color w:val="auto"/>
        </w:rPr>
      </w:pPr>
    </w:p>
    <w:p>
      <w:pPr>
        <w:jc w:val="both"/>
        <w:ind w:left="1300" w:hanging="644"/>
        <w:spacing w:after="0" w:line="239" w:lineRule="auto"/>
        <w:tabs>
          <w:tab w:leader="none" w:pos="133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Prospectus, the representations and warranties of the Company in Section 7 of the Distribution Agreement are true and correct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39" w:lineRule="exact"/>
        <w:rPr>
          <w:rFonts w:ascii="Times New Roman" w:cs="Times New Roman" w:eastAsia="Times New Roman" w:hAnsi="Times New Roman"/>
          <w:sz w:val="22"/>
          <w:szCs w:val="22"/>
          <w:color w:val="auto"/>
        </w:rPr>
      </w:pPr>
    </w:p>
    <w:p>
      <w:pPr>
        <w:ind w:left="1300" w:hanging="644"/>
        <w:spacing w:after="0" w:line="258" w:lineRule="auto"/>
        <w:tabs>
          <w:tab w:leader="none" w:pos="134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in all material respects with all agreements and satisfied all conditions on its part to be performed or satisfied pursuant to the Distribution Agreement at or prior to the date hereof.</w:t>
      </w:r>
    </w:p>
    <w:p>
      <w:pPr>
        <w:spacing w:after="0" w:line="1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PLACEMENT NOTICE</w:t>
      </w:r>
    </w:p>
    <w:p>
      <w:pPr>
        <w:sectPr>
          <w:pgSz w:w="11900" w:h="16838" w:orient="portrait"/>
          <w:cols w:equalWidth="0" w:num="1">
            <w:col w:w="11240"/>
          </w:cols>
          <w:pgMar w:left="320" w:top="108" w:right="339" w:bottom="144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Cybin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440" w:space="520"/>
            <w:col w:w="10280"/>
          </w:cols>
          <w:pgMar w:left="320" w:top="1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Placement Notice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sectPr>
          <w:pgSz w:w="11900" w:h="16838" w:orient="portrait"/>
          <w:cols w:equalWidth="0" w:num="2">
            <w:col w:w="600" w:space="360"/>
            <w:col w:w="1028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Pursuant to the terms and subject to the conditions contained in the Equity Distribution Agreement between Cybin Inc., a company continued 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Cantor Fitzgerald Canada Corporation and Cantor Fitzgerald &amp; Co. (together,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xml:space="preserve"> "), dated December 30, 2025, the Company hereby requests that the Agents sell up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Company's common shares, at a minimum market price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per share, during the time period beginning </w:t>
      </w:r>
      <w:r>
        <w:rPr>
          <w:rFonts w:ascii="Times New Roman" w:cs="Times New Roman" w:eastAsia="Times New Roman" w:hAnsi="Times New Roman"/>
          <w:sz w:val="22"/>
          <w:szCs w:val="22"/>
          <w:b w:val="1"/>
          <w:bCs w:val="1"/>
          <w:color w:val="auto"/>
        </w:rPr>
        <w:t xml:space="preserve">[month, day, time] </w:t>
      </w:r>
      <w:r>
        <w:rPr>
          <w:rFonts w:ascii="Times New Roman" w:cs="Times New Roman" w:eastAsia="Times New Roman" w:hAnsi="Times New Roman"/>
          <w:sz w:val="22"/>
          <w:szCs w:val="22"/>
          <w:color w:val="auto"/>
        </w:rPr>
        <w:t>and ending</w:t>
      </w:r>
      <w:r>
        <w:rPr>
          <w:rFonts w:ascii="Times New Roman" w:cs="Times New Roman" w:eastAsia="Times New Roman" w:hAnsi="Times New Roman"/>
          <w:sz w:val="22"/>
          <w:szCs w:val="22"/>
          <w:b w:val="1"/>
          <w:bCs w:val="1"/>
          <w:color w:val="auto"/>
        </w:rPr>
        <w:t xml:space="preserve"> [month, day, time]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8" w:name="page69"/>
    <w:bookmarkEnd w:id="68"/>
    <w:p>
      <w:pPr>
        <w:ind w:left="4940"/>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Authorized Representatives of the Company are as follows: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76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Name and Office / Title</w:t>
            </w:r>
          </w:p>
        </w:tc>
        <w:tc>
          <w:tcPr>
            <w:tcW w:w="374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374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Telephone Numbers</w:t>
            </w:r>
          </w:p>
        </w:tc>
      </w:tr>
      <w:tr>
        <w:trPr>
          <w:trHeight w:val="94"/>
        </w:trPr>
        <w:tc>
          <w:tcPr>
            <w:tcW w:w="37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740" w:type="dxa"/>
            <w:vAlign w:val="bottom"/>
            <w:tcBorders>
              <w:bottom w:val="single" w:sz="8" w:color="auto"/>
              <w:right w:val="single" w:sz="8" w:color="auto"/>
            </w:tcBorders>
            <w:shd w:val="clear" w:color="auto" w:fill="D9D9D9"/>
          </w:tcPr>
          <w:p>
            <w:pPr>
              <w:spacing w:after="0"/>
              <w:rPr>
                <w:sz w:val="8"/>
                <w:szCs w:val="8"/>
                <w:color w:val="auto"/>
              </w:rPr>
            </w:pPr>
          </w:p>
        </w:tc>
        <w:tc>
          <w:tcPr>
            <w:tcW w:w="3740" w:type="dxa"/>
            <w:vAlign w:val="bottom"/>
            <w:tcBorders>
              <w:bottom w:val="single" w:sz="8" w:color="auto"/>
              <w:right w:val="single" w:sz="8" w:color="auto"/>
            </w:tcBorders>
            <w:shd w:val="clear" w:color="auto" w:fill="D9D9D9"/>
          </w:tcPr>
          <w:p>
            <w:pPr>
              <w:spacing w:after="0"/>
              <w:rPr>
                <w:sz w:val="8"/>
                <w:szCs w:val="8"/>
                <w:color w:val="auto"/>
              </w:rPr>
            </w:pPr>
          </w:p>
        </w:tc>
      </w:tr>
      <w:tr>
        <w:trPr>
          <w:trHeight w:val="286"/>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Eric So, Interim Chief Executive Officer and</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r>
      <w:tr>
        <w:trPr>
          <w:trHeight w:val="234"/>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7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94"/>
        </w:trPr>
        <w:tc>
          <w:tcPr>
            <w:tcW w:w="3760" w:type="dxa"/>
            <w:vAlign w:val="bottom"/>
            <w:tcBorders>
              <w:left w:val="single" w:sz="8" w:color="auto"/>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04"/>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Greg Cavers, Chief Financial Officer</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r>
      <w:tr>
        <w:trPr>
          <w:trHeight w:val="94"/>
        </w:trPr>
        <w:tc>
          <w:tcPr>
            <w:tcW w:w="3760" w:type="dxa"/>
            <w:vAlign w:val="bottom"/>
            <w:tcBorders>
              <w:left w:val="single" w:sz="8" w:color="auto"/>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Authorized Representatives of the Agents are as follows: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76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Name and Office / Title</w:t>
            </w:r>
          </w:p>
        </w:tc>
        <w:tc>
          <w:tcPr>
            <w:tcW w:w="374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374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Telephone Numbers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7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740" w:type="dxa"/>
            <w:vAlign w:val="bottom"/>
            <w:tcBorders>
              <w:bottom w:val="single" w:sz="8" w:color="auto"/>
              <w:right w:val="single" w:sz="8" w:color="auto"/>
            </w:tcBorders>
            <w:shd w:val="clear" w:color="auto" w:fill="D9D9D9"/>
          </w:tcPr>
          <w:p>
            <w:pPr>
              <w:spacing w:after="0"/>
              <w:rPr>
                <w:sz w:val="8"/>
                <w:szCs w:val="8"/>
                <w:color w:val="auto"/>
              </w:rPr>
            </w:pPr>
          </w:p>
        </w:tc>
        <w:tc>
          <w:tcPr>
            <w:tcW w:w="3740" w:type="dxa"/>
            <w:vAlign w:val="bottom"/>
            <w:tcBorders>
              <w:bottom w:val="single" w:sz="8" w:color="auto"/>
              <w:right w:val="single" w:sz="8" w:color="auto"/>
            </w:tcBorders>
            <w:shd w:val="clear" w:color="auto" w:fill="D9D9D9"/>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Palmieri, Institutional Trader</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Office: </w:t>
            </w:r>
            <w:r>
              <w:rPr>
                <w:rFonts w:ascii="Times New Roman" w:cs="Times New Roman" w:eastAsia="Times New Roman" w:hAnsi="Times New Roman"/>
                <w:sz w:val="18"/>
                <w:szCs w:val="18"/>
                <w:i w:val="1"/>
                <w:iCs w:val="1"/>
                <w:color w:val="auto"/>
              </w:rPr>
              <w:t>[Redacted - Personal Information]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7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With copies to: Cantor ATMs</w:t>
            </w:r>
          </w:p>
        </w:tc>
        <w:tc>
          <w:tcPr>
            <w:tcW w:w="37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i w:val="1"/>
                <w:iCs w:val="1"/>
                <w:color w:val="auto"/>
              </w:rPr>
              <w:t>[Redacted - Personal Information]</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Cell:   </w:t>
            </w:r>
            <w:r>
              <w:rPr>
                <w:rFonts w:ascii="Times New Roman" w:cs="Times New Roman" w:eastAsia="Times New Roman" w:hAnsi="Times New Roman"/>
                <w:sz w:val="18"/>
                <w:szCs w:val="18"/>
                <w:i w:val="1"/>
                <w:iCs w:val="1"/>
                <w:color w:val="auto"/>
              </w:rPr>
              <w:t>[Redacted - Personal Information]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vMerge w:val="continue"/>
          </w:tcPr>
          <w:p>
            <w:pPr>
              <w:spacing w:after="0"/>
              <w:rPr>
                <w:sz w:val="18"/>
                <w:szCs w:val="18"/>
                <w:color w:val="auto"/>
              </w:rPr>
            </w:pPr>
          </w:p>
        </w:tc>
        <w:tc>
          <w:tcPr>
            <w:tcW w:w="3740" w:type="dxa"/>
            <w:vAlign w:val="bottom"/>
            <w:tcBorders>
              <w:right w:val="single" w:sz="8" w:color="auto"/>
            </w:tcBorders>
            <w:vMerge w:val="continue"/>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760" w:type="dxa"/>
            <w:vAlign w:val="bottom"/>
            <w:tcBorders>
              <w:left w:val="single" w:sz="8" w:color="auto"/>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1"/>
        </w:trPr>
        <w:tc>
          <w:tcPr>
            <w:tcW w:w="37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760" w:type="dxa"/>
            <w:vAlign w:val="bottom"/>
            <w:tcBorders>
              <w:left w:val="single" w:sz="8" w:color="auto"/>
              <w:right w:val="single" w:sz="8" w:color="auto"/>
            </w:tcBorders>
            <w:shd w:val="clear" w:color="auto" w:fill="000000"/>
          </w:tcPr>
          <w:p>
            <w:pPr>
              <w:spacing w:after="0"/>
              <w:rPr>
                <w:sz w:val="6"/>
                <w:szCs w:val="6"/>
                <w:color w:val="auto"/>
              </w:rPr>
            </w:pPr>
          </w:p>
        </w:tc>
        <w:tc>
          <w:tcPr>
            <w:tcW w:w="3740" w:type="dxa"/>
            <w:vAlign w:val="bottom"/>
            <w:tcBorders>
              <w:right w:val="single" w:sz="8" w:color="auto"/>
            </w:tcBorders>
            <w:shd w:val="clear" w:color="auto" w:fill="000000"/>
          </w:tcPr>
          <w:p>
            <w:pPr>
              <w:spacing w:after="0"/>
              <w:rPr>
                <w:sz w:val="6"/>
                <w:szCs w:val="6"/>
                <w:color w:val="auto"/>
              </w:rPr>
            </w:pPr>
          </w:p>
        </w:tc>
        <w:tc>
          <w:tcPr>
            <w:tcW w:w="374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Adelia Therapeutics Inc.</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Adelia is authorized to issue 15,000,000 shares, consisting of 10,000,000 common shares and 5,000,000 preferred shares. As of the date hereof, 5,880,148 common shares are issued and outstanding as fully paid and non-assessable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Corp.</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Cybin Corp. is authorized to issue (a) an unlimited number of common shares; and (b) an unlimited number of preference shares, issuable in series. As of the date hereof, 138,521,414 common shares are issued and outstanding as fully paid and non-assessable shares and no preference shares are issued and outstanding.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US Holdings Inc.</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Cybin US Holdings Inc. is authorized to issue 6,000,000 shares, all of which shares are designated as common stock, of which (i) 3,000,000 shares shall be shares of Class A common shares and (ii) 3,000,000 shares shall be shares of Class B common shares. As of the date hereof, 1,629,352.82 Class A common shares are issued and outstanding as fully paid and non-assessable shares.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IRL Limited</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share capital of Cybin IRL Limited consists of Ordinary Shares of US$1.00 each. As of the date hereof, 271,680 Ordinary Shares of US$1.00 each are issued and outstanding as fully paid and non-assessable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UK Ltd</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share capital of Cybin UK Ltd consists of an unlimited number of ordinary shares. As of the date hereof, 255,079,477 ordinary shares are issued and outstanding as fully paid and non-assessable ordinary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International</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share capital of Cybin International consists of an unlimited number of shares. As of the date hereof, 100 shares are issued and outstanding as fully paid and non-assessable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4</w:t>
      </w:r>
    </w:p>
    <w:p>
      <w:pPr>
        <w:spacing w:after="0" w:line="1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MATERIAL SUBSIDIARIES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Adelia Therapeutics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Corp.</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US Holdings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IRL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Schedule 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MATTERS TO BE ADDRESSED IN THE CANADIAN COUNSEL OPINIONS</w:t>
      </w:r>
    </w:p>
    <w:p>
      <w:pPr>
        <w:spacing w:after="0" w:line="183" w:lineRule="exact"/>
        <w:rPr>
          <w:sz w:val="20"/>
          <w:szCs w:val="20"/>
          <w:color w:val="auto"/>
        </w:rPr>
      </w:pPr>
    </w:p>
    <w:p>
      <w:pPr>
        <w:ind w:left="700" w:hanging="692"/>
        <w:spacing w:after="0"/>
        <w:tabs>
          <w:tab w:leader="none" w:pos="7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company existing under the OBCA and has not been dissolved under the OBCA;</w:t>
      </w:r>
    </w:p>
    <w:p>
      <w:pPr>
        <w:spacing w:after="0" w:line="165"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7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the corporate power and corporate capacity under the OBCA and the constating documents of the Company to (i) carry on its Business and activities and to own, lease and operate its properties and assets, as described in the Offering Documents, (ii) execute and deliver the Equity Distribution Agreement and Offering Documents, as applicable, and perform its obligations thereunder, and (iii) create, offer, issue and sell the Placement Shares;</w:t>
      </w:r>
    </w:p>
    <w:p>
      <w:pPr>
        <w:spacing w:after="0" w:line="139" w:lineRule="exact"/>
        <w:rPr>
          <w:rFonts w:ascii="Times New Roman" w:cs="Times New Roman" w:eastAsia="Times New Roman" w:hAnsi="Times New Roman"/>
          <w:sz w:val="22"/>
          <w:szCs w:val="22"/>
          <w:color w:val="auto"/>
        </w:rPr>
      </w:pPr>
    </w:p>
    <w:p>
      <w:pPr>
        <w:ind w:left="660" w:hanging="652"/>
        <w:spacing w:after="0" w:line="258" w:lineRule="auto"/>
        <w:tabs>
          <w:tab w:leader="none" w:pos="71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authorized share capital of the Company and that the Offering Documents describe, in all material respects, the attributes of the Shares;</w:t>
      </w:r>
    </w:p>
    <w:p>
      <w:pPr>
        <w:spacing w:after="0" w:line="131" w:lineRule="exact"/>
        <w:rPr>
          <w:rFonts w:ascii="Times New Roman" w:cs="Times New Roman" w:eastAsia="Times New Roman" w:hAnsi="Times New Roman"/>
          <w:sz w:val="22"/>
          <w:szCs w:val="22"/>
          <w:color w:val="auto"/>
        </w:rPr>
      </w:pPr>
    </w:p>
    <w:p>
      <w:pPr>
        <w:ind w:left="660" w:hanging="652"/>
        <w:spacing w:after="0" w:line="258" w:lineRule="auto"/>
        <w:tabs>
          <w:tab w:leader="none" w:pos="71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 Distribution Agreement has been duly authorized, executed and, to the extent delivery is a matter governed by the laws of the Province of Ontario or the federal laws of Canada applicable therein, delivered by the Company;</w:t>
      </w:r>
    </w:p>
    <w:p>
      <w:pPr>
        <w:spacing w:after="0" w:line="117" w:lineRule="exact"/>
        <w:rPr>
          <w:rFonts w:ascii="Times New Roman" w:cs="Times New Roman" w:eastAsia="Times New Roman" w:hAnsi="Times New Roman"/>
          <w:sz w:val="22"/>
          <w:szCs w:val="22"/>
          <w:color w:val="auto"/>
        </w:rPr>
      </w:pPr>
    </w:p>
    <w:p>
      <w:pPr>
        <w:ind w:left="660" w:hanging="652"/>
        <w:spacing w:after="0" w:line="258" w:lineRule="auto"/>
        <w:tabs>
          <w:tab w:leader="none" w:pos="70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corporate action has been taken by the Company to authorize the issuance and delivery of the Placement Shares under the terms of the Equity Distribution Agreement and the Offering Documents;</w:t>
      </w:r>
    </w:p>
    <w:p>
      <w:pPr>
        <w:spacing w:after="0" w:line="117"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1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Company receiving payment of the issuer price thereof, the Placement Shares to be delivered under the Agreement will, when issued, be validly issued as fully paid and non-assessable common shares in the capital of the Company;</w:t>
      </w:r>
    </w:p>
    <w:p>
      <w:pPr>
        <w:spacing w:after="0" w:line="146" w:lineRule="exact"/>
        <w:rPr>
          <w:rFonts w:ascii="Times New Roman" w:cs="Times New Roman" w:eastAsia="Times New Roman" w:hAnsi="Times New Roman"/>
          <w:sz w:val="22"/>
          <w:szCs w:val="22"/>
          <w:color w:val="auto"/>
        </w:rPr>
      </w:pPr>
    </w:p>
    <w:p>
      <w:pPr>
        <w:jc w:val="both"/>
        <w:ind w:left="660" w:hanging="652"/>
        <w:spacing w:after="0" w:line="238" w:lineRule="auto"/>
        <w:tabs>
          <w:tab w:leader="none" w:pos="7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the Equity Distribution Agreement and the Offering Documents and the performance by the Company of its obligations thereunder, including the issuance, sale and delivery of any Placement Shares do not and will not result in a breach of, or constitute a default under, and do not and will not create a state of facts which, after notice or lapse of time or both, will result in a breach of or constitute a default under (i) constating documents of the Company, (ii) resolutions of the directors or shareholders of the Company, or (iii) the OBCA;</w:t>
      </w:r>
    </w:p>
    <w:p>
      <w:pPr>
        <w:spacing w:after="0" w:line="136" w:lineRule="exact"/>
        <w:rPr>
          <w:rFonts w:ascii="Times New Roman" w:cs="Times New Roman" w:eastAsia="Times New Roman" w:hAnsi="Times New Roman"/>
          <w:sz w:val="22"/>
          <w:szCs w:val="22"/>
          <w:color w:val="auto"/>
        </w:rPr>
      </w:pPr>
    </w:p>
    <w:p>
      <w:pPr>
        <w:jc w:val="both"/>
        <w:ind w:left="660" w:hanging="652"/>
        <w:spacing w:after="0" w:line="238" w:lineRule="auto"/>
        <w:tabs>
          <w:tab w:leader="none" w:pos="73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documents have been filed, all requisite proceedings have been taken and all necessary authorizations, approvals, permits and consents have been obtained by the Company under Applicable Securities Laws in order to qualify the distribution of the Placement Shares in the Qualifying Jurisdictions by or through dealers who are duly and properly registered in the appropriate category under the Securities Laws and who have complied with all relevant provisions of such Securities Laws and the terms of their registration;</w:t>
      </w:r>
    </w:p>
    <w:p>
      <w:pPr>
        <w:spacing w:after="0" w:line="13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1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"reporting issuer" under Canadian Securities Laws in each of the Qualifying Jurisdictions and it is not listed as in default of applicable Canadian Securities Laws in any of the Qualifying Jurisdictions which maintain such a list;</w:t>
      </w:r>
    </w:p>
    <w:p>
      <w:pPr>
        <w:spacing w:after="0" w:line="14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0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Placement Shares have been approved for listing on the Canadian Stock Exchange, subject to the Company fulfilling all of the requirements of the Canadian Stock Exchange, including those set forth in any conditional approval letter of the Canadian Stock Exchange; and</w:t>
      </w:r>
    </w:p>
    <w:p>
      <w:pPr>
        <w:spacing w:after="0" w:line="132"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1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qualifications and assumptions set out therein, the statements set forth in the Prospectus under the heading "Eligibility for Investment", insofar as it purports to describe the provisions of the laws referred to therein, is a fair summary of the matters discussed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2660015</wp:posOffset>
            </wp:positionH>
            <wp:positionV relativeFrom="page">
              <wp:posOffset>226060</wp:posOffset>
            </wp:positionV>
            <wp:extent cx="2237105" cy="6083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2237105" cy="608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December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230" w:lineRule="auto"/>
        <w:rPr>
          <w:sz w:val="20"/>
          <w:szCs w:val="20"/>
          <w:color w:val="auto"/>
        </w:rPr>
      </w:pPr>
      <w:r>
        <w:rPr>
          <w:rFonts w:ascii="Times New Roman" w:cs="Times New Roman" w:eastAsia="Times New Roman" w:hAnsi="Times New Roman"/>
          <w:sz w:val="22"/>
          <w:szCs w:val="22"/>
          <w:color w:val="auto"/>
        </w:rPr>
        <w:t>Toronto, Ontario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M5X 1C9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Sirs/Mesdames:</w:t>
      </w:r>
    </w:p>
    <w:p>
      <w:pPr>
        <w:spacing w:after="0" w:line="17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Cybin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Prospectus Supplement dated December 30, 2025 to the Short Form Base Shelf Prospectus dated September 17, 2025 and amended on December 19, 2025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hereby consent to the reference to our firm name under the heading "Documents Filed as Part of the Registration Statement" in the Prospectus Supplement, which forms part of the registration statement on Form F-10 (File No. 333-292294) filed by the Company with the United States Securities and Exchange Commission, and to the reference to our advice under the headings "Experts" and "Enforcement of Civil Liabilities for U.S. Investors".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2891155</wp:posOffset>
            </wp:positionH>
            <wp:positionV relativeFrom="page">
              <wp:posOffset>226060</wp:posOffset>
            </wp:positionV>
            <wp:extent cx="1774190" cy="1036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774190" cy="1036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Initiates At-The-Market Equity Program of up to US$100 Million</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TORONTO, CANADA </w:t>
      </w:r>
      <w:r>
        <w:rPr>
          <w:rFonts w:ascii="Times New Roman" w:cs="Times New Roman" w:eastAsia="Times New Roman" w:hAnsi="Times New Roman"/>
          <w:sz w:val="22"/>
          <w:szCs w:val="22"/>
          <w:color w:val="auto"/>
        </w:rPr>
        <w:t>- December 30, 2025 - Cybin Inc. (NYSE American:CYBN) (Cboe Canada CA:CYBN)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clinical-stage breakthrough neuropsychiatry company committed to advancing mental healthcare by developing new and innovative next-generation treatment options, today announced that it has launched an at-the-market equity program (the "</w:t>
      </w:r>
      <w:r>
        <w:rPr>
          <w:rFonts w:ascii="Times New Roman" w:cs="Times New Roman" w:eastAsia="Times New Roman" w:hAnsi="Times New Roman"/>
          <w:sz w:val="22"/>
          <w:szCs w:val="22"/>
          <w:b w:val="1"/>
          <w:bCs w:val="1"/>
          <w:color w:val="auto"/>
        </w:rPr>
        <w:t>ATM Program</w:t>
      </w:r>
      <w:r>
        <w:rPr>
          <w:rFonts w:ascii="Times New Roman" w:cs="Times New Roman" w:eastAsia="Times New Roman" w:hAnsi="Times New Roman"/>
          <w:sz w:val="22"/>
          <w:szCs w:val="22"/>
          <w:color w:val="auto"/>
        </w:rPr>
        <w:t>") to allow Cybin to issue and sell up to US$100,000,000 of common shares in the capital of the Company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from treasury to the public, from time to time, through Cantor Fitzgerald and Co. and Cantor Fitzgerald Canada Corporation (together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All the Shares sold under the ATM Program will be sold in transactions that are deemed to be "at-the-market offerings" under Rule 415 of the U.S. Securities Act of 1933, as amended, and "at-the-market" distributions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directly through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xml:space="preserve">"), a United States stock exchange or any other "marketplace" (as defined in National Instrument 21- 101 - </w:t>
      </w:r>
      <w:r>
        <w:rPr>
          <w:rFonts w:ascii="Times New Roman" w:cs="Times New Roman" w:eastAsia="Times New Roman" w:hAnsi="Times New Roman"/>
          <w:sz w:val="22"/>
          <w:szCs w:val="22"/>
          <w:i w:val="1"/>
          <w:iCs w:val="1"/>
          <w:color w:val="auto"/>
        </w:rPr>
        <w:t>Marketplace Operation</w:t>
      </w:r>
      <w:r>
        <w:rPr>
          <w:rFonts w:ascii="Times New Roman" w:cs="Times New Roman" w:eastAsia="Times New Roman" w:hAnsi="Times New Roman"/>
          <w:sz w:val="22"/>
          <w:szCs w:val="22"/>
          <w:color w:val="auto"/>
        </w:rPr>
        <w:t>) upon which the Shares are listed, quoted or otherwise traded, at the prevailing market price at the time of sale. Cybin intends to use the net proceeds from sales of the Shares under the ATM Program, if any, for growth opportunities and working capital initiatives.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Distributions of the Shares under the ATM Program, if any, will be made pursuant to the terms and conditions of an "at-the-market" equity distribution agreement (the "</w:t>
      </w:r>
      <w:r>
        <w:rPr>
          <w:rFonts w:ascii="Times New Roman" w:cs="Times New Roman" w:eastAsia="Times New Roman" w:hAnsi="Times New Roman"/>
          <w:sz w:val="22"/>
          <w:szCs w:val="22"/>
          <w:b w:val="1"/>
          <w:bCs w:val="1"/>
          <w:color w:val="auto"/>
        </w:rPr>
        <w:t>Distribution Agreement</w:t>
      </w:r>
      <w:r>
        <w:rPr>
          <w:rFonts w:ascii="Times New Roman" w:cs="Times New Roman" w:eastAsia="Times New Roman" w:hAnsi="Times New Roman"/>
          <w:sz w:val="22"/>
          <w:szCs w:val="22"/>
          <w:color w:val="auto"/>
        </w:rPr>
        <w:t>") dated December 30, 2025, entered into by and among the Company and the Agents. A copy of the Distribution Agreement can be found under the Company's profile on SEDAR+ at www.sedarplus.ca and on EDGAR at www.sec.gov/edgar.</w:t>
      </w:r>
    </w:p>
    <w:p>
      <w:pPr>
        <w:spacing w:after="0" w:line="1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Unless earlier terminated in accordance with the terms of the Distribution Agreement, the ATM Program will be effective until the earlier of the issuance and sale of all of the Shares issuable pursuant to the ATM Program and October 17, 2027. The Company is not obligated to make any sales of Shares under the ATM Program and there can be no assurance as to when such sales will be completed, if ever. The volume and timing of distributions under the ATM Program, if any, will be determined in Cybin's sole discretion and in accordance with the Distribution Agreement. As any Shares distributed under the ATM Program will be issued and sold at the prevailing market price at the time of sale, prices may vary among purchasers through the duration of the ATM Program. The completion of sales of the Shares under the ATM Program will be subject to customary closing conditions, including the listing of such Shares on Cboe Canada and any United States stock exchange on which the Shares may be listed, and any required approvals of any such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jc w:val="both"/>
        <w:spacing w:after="0" w:line="246" w:lineRule="auto"/>
        <w:rPr>
          <w:sz w:val="20"/>
          <w:szCs w:val="20"/>
          <w:color w:val="auto"/>
        </w:rPr>
      </w:pPr>
      <w:r>
        <w:rPr>
          <w:rFonts w:ascii="Times New Roman" w:cs="Times New Roman" w:eastAsia="Times New Roman" w:hAnsi="Times New Roman"/>
          <w:sz w:val="21"/>
          <w:szCs w:val="21"/>
          <w:color w:val="auto"/>
        </w:rPr>
        <w:t>The ATM Program is being established, and the sale of the Shares through the ATM Program will be made pursuant to, and qualified by way of a prospectus supplement dated December 30, 2025 (the "</w:t>
      </w:r>
      <w:r>
        <w:rPr>
          <w:rFonts w:ascii="Times New Roman" w:cs="Times New Roman" w:eastAsia="Times New Roman" w:hAnsi="Times New Roman"/>
          <w:sz w:val="21"/>
          <w:szCs w:val="21"/>
          <w:b w:val="1"/>
          <w:bCs w:val="1"/>
          <w:color w:val="auto"/>
        </w:rPr>
        <w:t>Prospectus Supplement</w:t>
      </w:r>
      <w:r>
        <w:rPr>
          <w:rFonts w:ascii="Times New Roman" w:cs="Times New Roman" w:eastAsia="Times New Roman" w:hAnsi="Times New Roman"/>
          <w:sz w:val="21"/>
          <w:szCs w:val="21"/>
          <w:color w:val="auto"/>
        </w:rPr>
        <w:t>") to the Company's short form base shelf prospectus dated September 17, 2025, as amended on December 19, 2025 (the "</w:t>
      </w:r>
      <w:r>
        <w:rPr>
          <w:rFonts w:ascii="Times New Roman" w:cs="Times New Roman" w:eastAsia="Times New Roman" w:hAnsi="Times New Roman"/>
          <w:sz w:val="21"/>
          <w:szCs w:val="21"/>
          <w:b w:val="1"/>
          <w:bCs w:val="1"/>
          <w:color w:val="auto"/>
        </w:rPr>
        <w:t>Base Shelf Prospectus</w:t>
      </w:r>
      <w:r>
        <w:rPr>
          <w:rFonts w:ascii="Times New Roman" w:cs="Times New Roman" w:eastAsia="Times New Roman" w:hAnsi="Times New Roman"/>
          <w:sz w:val="21"/>
          <w:szCs w:val="21"/>
          <w:color w:val="auto"/>
        </w:rPr>
        <w:t>") filed with the securities commissions in each of the provinces and territories of Canada. The Base Shelf Prospectus allows Cybin to qualify offerings of Shares, warrants, subscription receipts, units or debt securities, or a combination thereof, up to an aggregate total of C$1,700,000,000 during the 25-month period, ending on October 17, 2027, that the Base Shelf Prospectus remains effective. The Prospectus Supplement will be filed with the United States Securities and Exchange Commission as a supplement to the Company's registration statement on Form F-10 (File No. 333-292294), which became effective on December 19, 2025, in accordance with the Multijurisdictional Disclosure System established between Canada and the United States.</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Prospectus Supplement and accompanying Base Shelf Prospectus contain important detailed information about the ATM Program. The Prospectus Supplement and accompanying Base Shelf Prospectus can be found under the Company's profile on SEDAR+ at www.sedarplus.ca and on EDGAR at www.sec.gov/edgar. Copies of the Prospectus Supplement and accompanying Base Shelf Prospectus may also be obtained from Cantor Fitzgerald Canada Corporation, Attn: Equity Capital Markets, 181 University Avenue, Suite 1500, Toronto, ON, M5H 3M7, Email: ecmcanada@cantor.com, Cantor Fitzgerald &amp; Co., Attn: Capital Markets, 110 East 59th Street, 6th floor, New York, New York 10022, Email: prospectus@cantor.com. Prospective investors should read the Prospectus Supplement and accompanying Base Shelf Prospectus and the other documents the Company has filed before making an investment decision.</w:t>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news release does not constitute an offer to sell or the solicitation of an offer to buy the Shares, nor will there be any sale of the Shares, in any jurisdiction in which such offer, solicitation or sale would be unlawful prior to registration or qualification under the securities laws of any such jurisdiction.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Cybin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spacing w:after="0" w:line="1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jc w:val="both"/>
        <w:spacing w:after="0" w:line="259" w:lineRule="auto"/>
        <w:rPr>
          <w:sz w:val="20"/>
          <w:szCs w:val="20"/>
          <w:color w:val="auto"/>
        </w:rPr>
      </w:pPr>
      <w:r>
        <w:rPr>
          <w:rFonts w:ascii="Times New Roman" w:cs="Times New Roman" w:eastAsia="Times New Roman" w:hAnsi="Times New Roman"/>
          <w:sz w:val="22"/>
          <w:szCs w:val="22"/>
          <w:color w:val="auto"/>
        </w:rPr>
        <w:t>Founded in 2019, Cybin is operational in Canada, the United States, the United Kingdom, and Ireland. For Company updates and to learn more about Cybin, visit www.cybin.com or follow the team on X, LinkedIn, YouTube and Instagram.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sale of the Shares from time to time under the ATM Program; the Company's intended use of the net proceeds from sales of the Shares, if any, under the ATM Program; the receipt of applicable regulatory approvals, including the acceptance of Cboe Canada, the listing and posting of the Shares on the Nasdaq Global Market, and the Company's plans to engineer proprietary drug discovery platforms, innovative drug delivery systems, novel formulation approaches and treatment regimens for mental health conditions.</w:t>
      </w:r>
    </w:p>
    <w:p>
      <w:pPr>
        <w:spacing w:after="0" w:line="14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six months ended September 30, 2025, and the Company's annual information form for the year ended March 31, 2025, which are available under the Company's profile on SEDAR+ at www.sedarplus.ca and on the Company's profile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jc w:val="both"/>
        <w:spacing w:after="0" w:line="235" w:lineRule="auto"/>
        <w:rPr>
          <w:sz w:val="20"/>
          <w:szCs w:val="20"/>
          <w:color w:val="auto"/>
        </w:rPr>
      </w:pPr>
      <w:r>
        <w:rPr>
          <w:rFonts w:ascii="Times New Roman" w:cs="Times New Roman" w:eastAsia="Times New Roman" w:hAnsi="Times New Roman"/>
          <w:sz w:val="22"/>
          <w:szCs w:val="22"/>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13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Neither Cboe Canada, nor NYSE American have approved or disapproved the contents of this news release and are not responsible for the adequacy and accuracy of the contents 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 Barer</w:t>
      </w:r>
    </w:p>
    <w:p>
      <w:pPr>
        <w:spacing w:after="0" w:line="230" w:lineRule="auto"/>
        <w:rPr>
          <w:sz w:val="20"/>
          <w:szCs w:val="20"/>
          <w:color w:val="auto"/>
        </w:rPr>
      </w:pPr>
      <w:r>
        <w:rPr>
          <w:rFonts w:ascii="Times New Roman" w:cs="Times New Roman" w:eastAsia="Times New Roman" w:hAnsi="Times New Roman"/>
          <w:sz w:val="22"/>
          <w:szCs w:val="22"/>
          <w:color w:val="auto"/>
        </w:rPr>
        <w:t>astr partners</w:t>
      </w:r>
    </w:p>
    <w:p>
      <w:pPr>
        <w:spacing w:after="0" w:line="231" w:lineRule="auto"/>
        <w:rPr>
          <w:sz w:val="20"/>
          <w:szCs w:val="20"/>
          <w:color w:val="auto"/>
        </w:rPr>
      </w:pPr>
      <w:r>
        <w:rPr>
          <w:rFonts w:ascii="Times New Roman" w:cs="Times New Roman" w:eastAsia="Times New Roman" w:hAnsi="Times New Roman"/>
          <w:sz w:val="22"/>
          <w:szCs w:val="22"/>
          <w:color w:val="auto"/>
        </w:rPr>
        <w:t>Managing Director</w:t>
      </w:r>
    </w:p>
    <w:p>
      <w:pPr>
        <w:ind w:right="8740" w:firstLine="8"/>
        <w:spacing w:after="0" w:line="258" w:lineRule="auto"/>
        <w:tabs>
          <w:tab w:leader="none" w:pos="522"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578-6478 josh.barer@astrpartners.com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Tziras</w:t>
      </w:r>
    </w:p>
    <w:p>
      <w:pPr>
        <w:spacing w:after="0" w:line="230" w:lineRule="auto"/>
        <w:rPr>
          <w:sz w:val="20"/>
          <w:szCs w:val="20"/>
          <w:color w:val="auto"/>
        </w:rPr>
      </w:pPr>
      <w:r>
        <w:rPr>
          <w:rFonts w:ascii="Times New Roman" w:cs="Times New Roman" w:eastAsia="Times New Roman" w:hAnsi="Times New Roman"/>
          <w:sz w:val="22"/>
          <w:szCs w:val="22"/>
          <w:color w:val="auto"/>
        </w:rPr>
        <w:t>Chief Business Officer</w:t>
      </w:r>
    </w:p>
    <w:p>
      <w:pPr>
        <w:spacing w:after="0" w:line="231" w:lineRule="auto"/>
        <w:rPr>
          <w:sz w:val="20"/>
          <w:szCs w:val="20"/>
          <w:color w:val="auto"/>
        </w:rPr>
      </w:pPr>
      <w:r>
        <w:rPr>
          <w:rFonts w:ascii="Times New Roman" w:cs="Times New Roman" w:eastAsia="Times New Roman" w:hAnsi="Times New Roman"/>
          <w:sz w:val="22"/>
          <w:szCs w:val="22"/>
          <w:color w:val="auto"/>
        </w:rPr>
        <w:t>Cybin Inc.</w:t>
      </w:r>
    </w:p>
    <w:p>
      <w:pPr>
        <w:spacing w:after="0" w:line="230" w:lineRule="auto"/>
        <w:rPr>
          <w:sz w:val="20"/>
          <w:szCs w:val="20"/>
          <w:color w:val="auto"/>
        </w:rPr>
      </w:pPr>
      <w:r>
        <w:rPr>
          <w:rFonts w:ascii="Times New Roman" w:cs="Times New Roman" w:eastAsia="Times New Roman" w:hAnsi="Times New Roman"/>
          <w:sz w:val="22"/>
          <w:szCs w:val="22"/>
          <w:color w:val="auto"/>
        </w:rPr>
        <w:t>1-866-292-4601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irteam@cybin.com - or - 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1."/>
      <w:numFmt w:val="decimal"/>
      <w:start w:val="2"/>
    </w:lvl>
    <w:lvl w:ilvl="1">
      <w:lvlJc w:val="left"/>
      <w:lvlText w:val="(%2)"/>
      <w:numFmt w:val="lowerLetter"/>
      <w:start w:val="1"/>
    </w:lvl>
  </w:abstractNum>
  <w:abstractNum w:abstractNumId="2">
    <w:nsid w:val="579478FE"/>
    <w:multiLevelType w:val="hybridMultilevel"/>
    <w:lvl w:ilvl="0">
      <w:lvlJc w:val="left"/>
      <w:lvlText w:val="(%1)"/>
      <w:numFmt w:val="lowerLetter"/>
      <w:start w:val="2"/>
    </w:lvl>
  </w:abstractNum>
  <w:abstractNum w:abstractNumId="3">
    <w:nsid w:val="749ABB43"/>
    <w:multiLevelType w:val="hybridMultilevel"/>
    <w:lvl w:ilvl="0">
      <w:lvlJc w:val="left"/>
      <w:lvlText w:val="%1."/>
      <w:numFmt w:val="decimal"/>
      <w:start w:val="3"/>
    </w:lvl>
  </w:abstractNum>
  <w:abstractNum w:abstractNumId="4">
    <w:nsid w:val="3DC240FB"/>
    <w:multiLevelType w:val="hybridMultilevel"/>
    <w:lvl w:ilvl="0">
      <w:lvlJc w:val="left"/>
      <w:lvlText w:val="(%1)"/>
      <w:numFmt w:val="lowerRoman"/>
      <w:start w:val="1"/>
    </w:lvl>
  </w:abstractNum>
  <w:abstractNum w:abstractNumId="5">
    <w:nsid w:val="1BA026FA"/>
    <w:multiLevelType w:val="hybridMultilevel"/>
    <w:lvl w:ilvl="0">
      <w:lvlJc w:val="left"/>
      <w:lvlText w:val="%1."/>
      <w:numFmt w:val="decimal"/>
      <w:start w:val="4"/>
    </w:lvl>
    <w:lvl w:ilvl="1">
      <w:lvlJc w:val="left"/>
      <w:lvlText w:val="(%2)"/>
      <w:numFmt w:val="lowerLetter"/>
      <w:start w:val="1"/>
    </w:lvl>
  </w:abstractNum>
  <w:abstractNum w:abstractNumId="6">
    <w:nsid w:val="79A1DEAA"/>
    <w:multiLevelType w:val="hybridMultilevel"/>
    <w:lvl w:ilvl="0">
      <w:lvlJc w:val="left"/>
      <w:lvlText w:val="%1."/>
      <w:numFmt w:val="decimal"/>
      <w:start w:val="5"/>
    </w:lvl>
    <w:lvl w:ilvl="1">
      <w:lvlJc w:val="left"/>
      <w:lvlText w:val="(%2)"/>
      <w:numFmt w:val="lowerLetter"/>
      <w:start w:val="1"/>
    </w:lvl>
  </w:abstractNum>
  <w:abstractNum w:abstractNumId="7">
    <w:nsid w:val="75C6C33A"/>
    <w:multiLevelType w:val="hybridMultilevel"/>
    <w:lvl w:ilvl="0">
      <w:lvlJc w:val="left"/>
      <w:lvlText w:val="%1)"/>
      <w:numFmt w:val="decimal"/>
      <w:start w:val="10"/>
    </w:lvl>
  </w:abstractNum>
  <w:abstractNum w:abstractNumId="8">
    <w:nsid w:val="12E685FB"/>
    <w:multiLevelType w:val="hybridMultilevel"/>
    <w:lvl w:ilvl="0">
      <w:lvlJc w:val="left"/>
      <w:lvlText w:val="%1."/>
      <w:numFmt w:val="decimal"/>
      <w:start w:val="7"/>
    </w:lvl>
  </w:abstractNum>
  <w:abstractNum w:abstractNumId="9">
    <w:nsid w:val="70C6A529"/>
    <w:multiLevelType w:val="hybridMultilevel"/>
    <w:lvl w:ilvl="0">
      <w:lvlJc w:val="left"/>
      <w:lvlText w:val="(%1)"/>
      <w:numFmt w:val="lowerLetter"/>
      <w:start w:val="1"/>
    </w:lvl>
  </w:abstractNum>
  <w:abstractNum w:abstractNumId="10">
    <w:nsid w:val="520EEDD1"/>
    <w:multiLevelType w:val="hybridMultilevel"/>
    <w:lvl w:ilvl="0">
      <w:lvlJc w:val="left"/>
      <w:lvlText w:val="(%1)"/>
      <w:numFmt w:val="lowerLetter"/>
      <w:start w:val="2"/>
    </w:lvl>
  </w:abstractNum>
  <w:abstractNum w:abstractNumId="11">
    <w:nsid w:val="374A3FE6"/>
    <w:multiLevelType w:val="hybridMultilevel"/>
    <w:lvl w:ilvl="0">
      <w:lvlJc w:val="left"/>
      <w:lvlText w:val="(%1)"/>
      <w:numFmt w:val="lowerLetter"/>
      <w:start w:val="5"/>
    </w:lvl>
  </w:abstractNum>
  <w:abstractNum w:abstractNumId="12">
    <w:nsid w:val="4F4EF005"/>
    <w:multiLevelType w:val="hybridMultilevel"/>
    <w:lvl w:ilvl="0">
      <w:lvlJc w:val="left"/>
      <w:lvlText w:val="(%1)"/>
      <w:numFmt w:val="lowerLetter"/>
      <w:start w:val="8"/>
    </w:lvl>
  </w:abstractNum>
  <w:abstractNum w:abstractNumId="13">
    <w:nsid w:val="23F9C13C"/>
    <w:multiLevelType w:val="hybridMultilevel"/>
    <w:lvl w:ilvl="0">
      <w:lvlJc w:val="left"/>
      <w:lvlText w:val="(%1)"/>
      <w:numFmt w:val="lowerLetter"/>
      <w:start w:val="14"/>
    </w:lvl>
  </w:abstractNum>
  <w:abstractNum w:abstractNumId="14">
    <w:nsid w:val="649BB77C"/>
    <w:multiLevelType w:val="hybridMultilevel"/>
    <w:lvl w:ilvl="0">
      <w:lvlJc w:val="left"/>
      <w:lvlText w:val="(%1)"/>
      <w:numFmt w:val="lowerLetter"/>
      <w:start w:val="17"/>
    </w:lvl>
  </w:abstractNum>
  <w:abstractNum w:abstractNumId="15">
    <w:nsid w:val="275AC794"/>
    <w:multiLevelType w:val="hybridMultilevel"/>
    <w:lvl w:ilvl="0">
      <w:lvlJc w:val="left"/>
      <w:lvlText w:val="(%1)"/>
      <w:numFmt w:val="lowerLetter"/>
      <w:start w:val="21"/>
    </w:lvl>
  </w:abstractNum>
  <w:abstractNum w:abstractNumId="16">
    <w:nsid w:val="39386575"/>
    <w:multiLevelType w:val="hybridMultilevel"/>
    <w:lvl w:ilvl="0">
      <w:lvlJc w:val="left"/>
      <w:lvlText w:val="(%1)"/>
      <w:numFmt w:val="lowerLetter"/>
      <w:start w:val="26"/>
    </w:lvl>
  </w:abstractNum>
  <w:abstractNum w:abstractNumId="17">
    <w:nsid w:val="1CF10FD8"/>
    <w:multiLevelType w:val="hybridMultilevel"/>
    <w:lvl w:ilvl="0">
      <w:lvlJc w:val="left"/>
      <w:lvlText w:val="(%1)"/>
      <w:numFmt w:val="lowerLetter"/>
      <w:start w:val="27"/>
    </w:lvl>
  </w:abstractNum>
  <w:abstractNum w:abstractNumId="18">
    <w:nsid w:val="180115BE"/>
    <w:multiLevelType w:val="hybridMultilevel"/>
    <w:lvl w:ilvl="0">
      <w:lvlJc w:val="left"/>
      <w:lvlText w:val="(%1)"/>
      <w:numFmt w:val="lowerLetter"/>
      <w:start w:val="29"/>
    </w:lvl>
  </w:abstractNum>
  <w:abstractNum w:abstractNumId="19">
    <w:nsid w:val="235BA861"/>
    <w:multiLevelType w:val="hybridMultilevel"/>
    <w:lvl w:ilvl="0">
      <w:lvlJc w:val="left"/>
      <w:lvlText w:val="(%1)"/>
      <w:numFmt w:val="lowerLetter"/>
      <w:start w:val="34"/>
    </w:lvl>
  </w:abstractNum>
  <w:abstractNum w:abstractNumId="20">
    <w:nsid w:val="47398C89"/>
    <w:multiLevelType w:val="hybridMultilevel"/>
    <w:lvl w:ilvl="0">
      <w:lvlJc w:val="left"/>
      <w:lvlText w:val="(%1)"/>
      <w:numFmt w:val="lowerLetter"/>
      <w:start w:val="39"/>
    </w:lvl>
  </w:abstractNum>
  <w:abstractNum w:abstractNumId="21">
    <w:nsid w:val="354FE9F9"/>
    <w:multiLevelType w:val="hybridMultilevel"/>
    <w:lvl w:ilvl="0">
      <w:lvlJc w:val="left"/>
      <w:lvlText w:val="(%1)"/>
      <w:numFmt w:val="lowerLetter"/>
      <w:start w:val="41"/>
    </w:lvl>
    <w:lvl w:ilvl="1">
      <w:lvlJc w:val="left"/>
      <w:lvlText w:val="(%2)"/>
      <w:numFmt w:val="lowerRoman"/>
      <w:start w:val="1"/>
    </w:lvl>
  </w:abstractNum>
  <w:abstractNum w:abstractNumId="22">
    <w:nsid w:val="15B5AF5C"/>
    <w:multiLevelType w:val="hybridMultilevel"/>
    <w:lvl w:ilvl="0">
      <w:lvlJc w:val="left"/>
      <w:lvlText w:val="%1"/>
      <w:numFmt w:val="lowerLetter"/>
      <w:start w:val="1"/>
    </w:lvl>
    <w:lvl w:ilvl="1">
      <w:lvlJc w:val="left"/>
      <w:lvlText w:val="(%2)"/>
      <w:numFmt w:val="lowerRoman"/>
      <w:start w:val="2"/>
    </w:lvl>
  </w:abstractNum>
  <w:abstractNum w:abstractNumId="23">
    <w:nsid w:val="741226BB"/>
    <w:multiLevelType w:val="hybridMultilevel"/>
    <w:lvl w:ilvl="0">
      <w:lvlJc w:val="left"/>
      <w:lvlText w:val="(%1)"/>
      <w:numFmt w:val="lowerLetter"/>
      <w:start w:val="44"/>
    </w:lvl>
  </w:abstractNum>
  <w:abstractNum w:abstractNumId="24">
    <w:nsid w:val="D34B6A8"/>
    <w:multiLevelType w:val="hybridMultilevel"/>
    <w:lvl w:ilvl="0">
      <w:lvlJc w:val="left"/>
      <w:lvlText w:val="(%1)"/>
      <w:numFmt w:val="lowerLetter"/>
      <w:start w:val="48"/>
    </w:lvl>
    <w:lvl w:ilvl="1">
      <w:lvlJc w:val="left"/>
      <w:lvlText w:val="(%2)"/>
      <w:numFmt w:val="lowerRoman"/>
      <w:start w:val="1"/>
    </w:lvl>
  </w:abstractNum>
  <w:abstractNum w:abstractNumId="25">
    <w:nsid w:val="10233C99"/>
    <w:multiLevelType w:val="hybridMultilevel"/>
    <w:lvl w:ilvl="0">
      <w:lvlJc w:val="left"/>
      <w:lvlText w:val="%1"/>
      <w:numFmt w:val="lowerLetter"/>
      <w:start w:val="1"/>
    </w:lvl>
    <w:lvl w:ilvl="1">
      <w:lvlJc w:val="left"/>
      <w:lvlText w:val="(%2)"/>
      <w:numFmt w:val="lowerRoman"/>
      <w:start w:val="7"/>
    </w:lvl>
  </w:abstractNum>
  <w:abstractNum w:abstractNumId="26">
    <w:nsid w:val="3F6AB60F"/>
    <w:multiLevelType w:val="hybridMultilevel"/>
    <w:lvl w:ilvl="0">
      <w:lvlJc w:val="left"/>
      <w:lvlText w:val="(%1)"/>
      <w:numFmt w:val="lowerLetter"/>
      <w:start w:val="49"/>
    </w:lvl>
    <w:lvl w:ilvl="1">
      <w:lvlJc w:val="left"/>
      <w:lvlText w:val="%2"/>
      <w:numFmt w:val="lowerRoman"/>
      <w:start w:val="1"/>
    </w:lvl>
  </w:abstractNum>
  <w:abstractNum w:abstractNumId="27">
    <w:nsid w:val="61574095"/>
    <w:multiLevelType w:val="hybridMultilevel"/>
    <w:lvl w:ilvl="0">
      <w:lvlJc w:val="left"/>
      <w:lvlText w:val="(%1)"/>
      <w:numFmt w:val="lowerLetter"/>
      <w:start w:val="51"/>
    </w:lvl>
  </w:abstractNum>
  <w:abstractNum w:abstractNumId="28">
    <w:nsid w:val="7E0C57B1"/>
    <w:multiLevelType w:val="hybridMultilevel"/>
    <w:lvl w:ilvl="0">
      <w:lvlJc w:val="left"/>
      <w:lvlText w:val="(%1)"/>
      <w:numFmt w:val="lowerLetter"/>
      <w:start w:val="53"/>
    </w:lvl>
  </w:abstractNum>
  <w:abstractNum w:abstractNumId="29">
    <w:nsid w:val="77AE35EB"/>
    <w:multiLevelType w:val="hybridMultilevel"/>
    <w:lvl w:ilvl="0">
      <w:lvlJc w:val="left"/>
      <w:lvlText w:val="(%1)"/>
      <w:numFmt w:val="lowerLetter"/>
      <w:start w:val="56"/>
    </w:lvl>
  </w:abstractNum>
  <w:abstractNum w:abstractNumId="30">
    <w:nsid w:val="579BE4F1"/>
    <w:multiLevelType w:val="hybridMultilevel"/>
    <w:lvl w:ilvl="0">
      <w:lvlJc w:val="left"/>
      <w:lvlText w:val="(%1)"/>
      <w:numFmt w:val="lowerLetter"/>
      <w:start w:val="58"/>
    </w:lvl>
  </w:abstractNum>
  <w:abstractNum w:abstractNumId="31">
    <w:nsid w:val="310C50B3"/>
    <w:multiLevelType w:val="hybridMultilevel"/>
    <w:lvl w:ilvl="0">
      <w:lvlJc w:val="left"/>
      <w:lvlText w:val="(%1)"/>
      <w:numFmt w:val="lowerLetter"/>
      <w:start w:val="62"/>
    </w:lvl>
  </w:abstractNum>
  <w:abstractNum w:abstractNumId="32">
    <w:nsid w:val="5FF87E05"/>
    <w:multiLevelType w:val="hybridMultilevel"/>
    <w:lvl w:ilvl="0">
      <w:lvlJc w:val="left"/>
      <w:lvlText w:val="(%1)"/>
      <w:numFmt w:val="lowerLetter"/>
      <w:start w:val="68"/>
    </w:lvl>
    <w:lvl w:ilvl="1">
      <w:lvlJc w:val="left"/>
      <w:lvlText w:val="(%2)"/>
      <w:numFmt w:val="lowerRoman"/>
      <w:start w:val="1"/>
    </w:lvl>
    <w:lvl w:ilvl="2">
      <w:lvlJc w:val="left"/>
      <w:lvlText w:val="(%3)"/>
      <w:numFmt w:val="upperLetter"/>
      <w:start w:val="1"/>
    </w:lvl>
  </w:abstractNum>
  <w:abstractNum w:abstractNumId="33">
    <w:nsid w:val="2F305D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4">
    <w:nsid w:val="25A70BF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5">
    <w:nsid w:val="1DBABF00"/>
    <w:multiLevelType w:val="hybridMultilevel"/>
    <w:lvl w:ilvl="0">
      <w:lvlJc w:val="left"/>
      <w:lvlText w:val="(%1)"/>
      <w:numFmt w:val="lowerLetter"/>
      <w:start w:val="70"/>
    </w:lvl>
    <w:lvl w:ilvl="1">
      <w:lvlJc w:val="left"/>
      <w:lvlText w:val="%2"/>
      <w:numFmt w:val="lowerRoman"/>
      <w:start w:val="1"/>
    </w:lvl>
    <w:lvl w:ilvl="2">
      <w:lvlJc w:val="left"/>
      <w:lvlText w:val="%3"/>
      <w:numFmt w:val="upperLetter"/>
      <w:start w:val="1"/>
    </w:lvl>
  </w:abstractNum>
  <w:abstractNum w:abstractNumId="36">
    <w:nsid w:val="4AD084E9"/>
    <w:multiLevelType w:val="hybridMultilevel"/>
    <w:lvl w:ilvl="0">
      <w:lvlJc w:val="left"/>
      <w:lvlText w:val="(%1)"/>
      <w:numFmt w:val="lowerLetter"/>
      <w:start w:val="73"/>
    </w:lvl>
  </w:abstractNum>
  <w:abstractNum w:abstractNumId="37">
    <w:nsid w:val="1F48EAA1"/>
    <w:multiLevelType w:val="hybridMultilevel"/>
    <w:lvl w:ilvl="0">
      <w:lvlJc w:val="left"/>
      <w:lvlText w:val="(%1)"/>
      <w:numFmt w:val="lowerLetter"/>
      <w:start w:val="79"/>
    </w:lvl>
  </w:abstractNum>
  <w:abstractNum w:abstractNumId="38">
    <w:nsid w:val="1381823A"/>
    <w:multiLevelType w:val="hybridMultilevel"/>
    <w:lvl w:ilvl="0">
      <w:lvlJc w:val="left"/>
      <w:lvlText w:val="(%1)"/>
      <w:numFmt w:val="lowerLetter"/>
      <w:start w:val="83"/>
    </w:lvl>
  </w:abstractNum>
  <w:abstractNum w:abstractNumId="39">
    <w:nsid w:val="5DB70AE5"/>
    <w:multiLevelType w:val="hybridMultilevel"/>
    <w:lvl w:ilvl="0">
      <w:lvlJc w:val="left"/>
      <w:lvlText w:val="(%1)"/>
      <w:numFmt w:val="lowerLetter"/>
      <w:start w:val="88"/>
    </w:lvl>
    <w:lvl w:ilvl="1">
      <w:lvlJc w:val="left"/>
      <w:lvlText w:val="(%2)"/>
      <w:numFmt w:val="lowerRoman"/>
      <w:start w:val="1"/>
    </w:lvl>
    <w:lvl w:ilvl="2">
      <w:lvlJc w:val="left"/>
      <w:lvlText w:val="(%3)"/>
      <w:numFmt w:val="upperLetter"/>
      <w:start w:val="1"/>
    </w:lvl>
  </w:abstractNum>
  <w:abstractNum w:abstractNumId="40">
    <w:nsid w:val="100F8FCA"/>
    <w:multiLevelType w:val="hybridMultilevel"/>
    <w:lvl w:ilvl="0">
      <w:lvlJc w:val="left"/>
      <w:lvlText w:val="(%1)"/>
      <w:numFmt w:val="upperLetter"/>
      <w:start w:val="2"/>
    </w:lvl>
  </w:abstractNum>
  <w:abstractNum w:abstractNumId="41">
    <w:nsid w:val="6590700B"/>
    <w:multiLevelType w:val="hybridMultilevel"/>
    <w:lvl w:ilvl="0">
      <w:lvlJc w:val="left"/>
      <w:lvlText w:val="%1"/>
      <w:numFmt w:val="decimal"/>
      <w:start w:val="1"/>
    </w:lvl>
    <w:lvl w:ilvl="1">
      <w:lvlJc w:val="left"/>
      <w:lvlText w:val="(%2)"/>
      <w:numFmt w:val="lowerRoman"/>
      <w:start w:val="2"/>
    </w:lvl>
  </w:abstractNum>
  <w:abstractNum w:abstractNumId="42">
    <w:nsid w:val="15014ACB"/>
    <w:multiLevelType w:val="hybridMultilevel"/>
    <w:lvl w:ilvl="0">
      <w:lvlJc w:val="left"/>
      <w:lvlText w:val="%1."/>
      <w:numFmt w:val="decimal"/>
      <w:start w:val="8"/>
    </w:lvl>
    <w:lvl w:ilvl="1">
      <w:lvlJc w:val="left"/>
      <w:lvlText w:val="%2"/>
      <w:numFmt w:val="lowerRoman"/>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3"/>
    </w:lvl>
  </w:abstractNum>
  <w:abstractNum w:abstractNumId="45">
    <w:nsid w:val="799D0247"/>
    <w:multiLevelType w:val="hybridMultilevel"/>
    <w:lvl w:ilvl="0">
      <w:lvlJc w:val="left"/>
      <w:lvlText w:val="(%1)"/>
      <w:numFmt w:val="lowerLetter"/>
      <w:start w:val="4"/>
    </w:lvl>
  </w:abstractNum>
  <w:abstractNum w:abstractNumId="46">
    <w:nsid w:val="6B94764"/>
    <w:multiLevelType w:val="hybridMultilevel"/>
    <w:lvl w:ilvl="0">
      <w:lvlJc w:val="left"/>
      <w:lvlText w:val="(%1)"/>
      <w:numFmt w:val="lowerLetter"/>
      <w:start w:val="9"/>
    </w:lvl>
  </w:abstractNum>
  <w:abstractNum w:abstractNumId="47">
    <w:nsid w:val="42C296BD"/>
    <w:multiLevelType w:val="hybridMultilevel"/>
    <w:lvl w:ilvl="0">
      <w:lvlJc w:val="left"/>
      <w:lvlText w:val="(%1)"/>
      <w:numFmt w:val="lowerLetter"/>
      <w:start w:val="11"/>
    </w:lvl>
  </w:abstractNum>
  <w:abstractNum w:abstractNumId="48">
    <w:nsid w:val="168E121F"/>
    <w:multiLevelType w:val="hybridMultilevel"/>
    <w:lvl w:ilvl="0">
      <w:lvlJc w:val="left"/>
      <w:lvlText w:val="(%1)"/>
      <w:numFmt w:val="lowerLetter"/>
      <w:start w:val="13"/>
    </w:lvl>
  </w:abstractNum>
  <w:abstractNum w:abstractNumId="49">
    <w:nsid w:val="1EBA5D23"/>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50">
    <w:nsid w:val="661E3F1E"/>
    <w:multiLevelType w:val="hybridMultilevel"/>
    <w:lvl w:ilvl="0">
      <w:lvlJc w:val="left"/>
      <w:lvlText w:val="%1"/>
      <w:numFmt w:val="lowerLetter"/>
      <w:start w:val="1"/>
    </w:lvl>
    <w:lvl w:ilvl="1">
      <w:lvlJc w:val="left"/>
      <w:lvlText w:val="(%2)"/>
      <w:numFmt w:val="lowerLetter"/>
      <w:start w:val="61"/>
    </w:lvl>
  </w:abstractNum>
  <w:abstractNum w:abstractNumId="51">
    <w:nsid w:val="5DC79EA8"/>
    <w:multiLevelType w:val="hybridMultilevel"/>
    <w:lvl w:ilvl="0">
      <w:lvlJc w:val="left"/>
      <w:lvlText w:val="(%1)"/>
      <w:numFmt w:val="lowerLetter"/>
      <w:start w:val="17"/>
    </w:lvl>
    <w:lvl w:ilvl="1">
      <w:lvlJc w:val="left"/>
      <w:lvlText w:val="%2"/>
      <w:numFmt w:val="lowerLetter"/>
      <w:start w:val="1"/>
    </w:lvl>
  </w:abstractNum>
  <w:abstractNum w:abstractNumId="52">
    <w:nsid w:val="540A471C"/>
    <w:multiLevelType w:val="hybridMultilevel"/>
    <w:lvl w:ilvl="0">
      <w:lvlJc w:val="left"/>
      <w:lvlText w:val="(%1)"/>
      <w:numFmt w:val="lowerLetter"/>
      <w:start w:val="18"/>
    </w:lvl>
  </w:abstractNum>
  <w:abstractNum w:abstractNumId="53">
    <w:nsid w:val="7BD3EE7B"/>
    <w:multiLevelType w:val="hybridMultilevel"/>
    <w:lvl w:ilvl="0">
      <w:lvlJc w:val="left"/>
      <w:lvlText w:val="(%1)"/>
      <w:numFmt w:val="lowerLetter"/>
      <w:start w:val="20"/>
    </w:lvl>
  </w:abstractNum>
  <w:abstractNum w:abstractNumId="54">
    <w:nsid w:val="51D9C564"/>
    <w:multiLevelType w:val="hybridMultilevel"/>
    <w:lvl w:ilvl="0">
      <w:lvlJc w:val="left"/>
      <w:lvlText w:val="%1."/>
      <w:numFmt w:val="decimal"/>
      <w:start w:val="9"/>
    </w:lvl>
  </w:abstractNum>
  <w:abstractNum w:abstractNumId="55">
    <w:nsid w:val="613EFDC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6">
    <w:nsid w:val="BF72B14"/>
    <w:multiLevelType w:val="hybridMultilevel"/>
    <w:lvl w:ilvl="0">
      <w:lvlJc w:val="left"/>
      <w:lvlText w:val="%1"/>
      <w:numFmt w:val="decimal"/>
      <w:start w:val="1"/>
    </w:lvl>
    <w:lvl w:ilvl="1">
      <w:lvlJc w:val="left"/>
      <w:lvlText w:val="(%2)"/>
      <w:numFmt w:val="lowerLetter"/>
      <w:start w:val="3"/>
    </w:lvl>
  </w:abstractNum>
  <w:abstractNum w:abstractNumId="57">
    <w:nsid w:val="11447B73"/>
    <w:multiLevelType w:val="hybridMultilevel"/>
    <w:lvl w:ilvl="0">
      <w:lvlJc w:val="left"/>
      <w:lvlText w:val="%1."/>
      <w:numFmt w:val="decimal"/>
      <w:start w:val="11"/>
    </w:lvl>
    <w:lvl w:ilvl="1">
      <w:lvlJc w:val="left"/>
      <w:lvlText w:val="%2"/>
      <w:numFmt w:val="lowerLetter"/>
      <w:start w:val="1"/>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4"/>
    </w:lvl>
  </w:abstractNum>
  <w:abstractNum w:abstractNumId="60">
    <w:nsid w:val="8F2B15E"/>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61">
    <w:nsid w:val="1A32234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2">
    <w:nsid w:val="3B0FD379"/>
    <w:multiLevelType w:val="hybridMultilevel"/>
    <w:lvl w:ilvl="0">
      <w:lvlJc w:val="left"/>
      <w:lvlText w:val="%1"/>
      <w:numFmt w:val="lowerLetter"/>
      <w:start w:val="1"/>
    </w:lvl>
    <w:lvl w:ilvl="1">
      <w:lvlJc w:val="left"/>
      <w:lvlText w:val="(%2)"/>
      <w:numFmt w:val="lowerRoman"/>
      <w:start w:val="4"/>
    </w:lvl>
  </w:abstractNum>
  <w:abstractNum w:abstractNumId="63">
    <w:nsid w:val="68EB2F63"/>
    <w:multiLevelType w:val="hybridMultilevel"/>
    <w:lvl w:ilvl="0">
      <w:lvlJc w:val="left"/>
      <w:lvlText w:val="(%1)"/>
      <w:numFmt w:val="lowerLetter"/>
      <w:start w:val="2"/>
    </w:lvl>
    <w:lvl w:ilvl="1">
      <w:lvlJc w:val="left"/>
      <w:lvlText w:val="%2"/>
      <w:numFmt w:val="lowerRoman"/>
      <w:start w:val="1"/>
    </w:lvl>
  </w:abstractNum>
  <w:abstractNum w:abstractNumId="64">
    <w:nsid w:val="4962813B"/>
    <w:multiLevelType w:val="hybridMultilevel"/>
    <w:lvl w:ilvl="0">
      <w:lvlJc w:val="left"/>
      <w:lvlText w:val="(%1)"/>
      <w:numFmt w:val="lowerLetter"/>
      <w:start w:val="5"/>
    </w:lvl>
    <w:lvl w:ilvl="1">
      <w:lvlJc w:val="left"/>
      <w:lvlText w:val="(%2)"/>
      <w:numFmt w:val="lowerRoman"/>
      <w:start w:val="1"/>
    </w:lvl>
  </w:abstractNum>
  <w:abstractNum w:abstractNumId="65">
    <w:nsid w:val="60B6DF70"/>
    <w:multiLevelType w:val="hybridMultilevel"/>
    <w:lvl w:ilvl="0">
      <w:lvlJc w:val="left"/>
      <w:lvlText w:val="(%1)"/>
      <w:numFmt w:val="lowerLetter"/>
      <w:start w:val="6"/>
    </w:lvl>
    <w:lvl w:ilvl="1">
      <w:lvlJc w:val="left"/>
      <w:lvlText w:val="(%2)"/>
      <w:numFmt w:val="lowerLetter"/>
      <w:start w:val="61"/>
    </w:lvl>
  </w:abstractNum>
  <w:abstractNum w:abstractNumId="66">
    <w:nsid w:val="6A5EE64"/>
    <w:multiLevelType w:val="hybridMultilevel"/>
    <w:lvl w:ilvl="0">
      <w:lvlJc w:val="left"/>
      <w:lvlText w:val="%1"/>
      <w:numFmt w:val="decimal"/>
      <w:start w:val="1"/>
    </w:lvl>
    <w:lvl w:ilvl="1">
      <w:lvlJc w:val="left"/>
      <w:lvlText w:val="(%2)"/>
      <w:numFmt w:val="lowerLetter"/>
      <w:start w:val="7"/>
    </w:lvl>
  </w:abstractNum>
  <w:abstractNum w:abstractNumId="67">
    <w:nsid w:val="14330624"/>
    <w:multiLevelType w:val="hybridMultilevel"/>
    <w:lvl w:ilvl="0">
      <w:lvlJc w:val="left"/>
      <w:lvlText w:val="%1."/>
      <w:numFmt w:val="decimal"/>
      <w:start w:val="13"/>
    </w:lvl>
    <w:lvl w:ilvl="1">
      <w:lvlJc w:val="left"/>
      <w:lvlText w:val="%2"/>
      <w:numFmt w:val="lowerLetter"/>
      <w:start w:val="1"/>
    </w:lvl>
  </w:abstractNum>
  <w:abstractNum w:abstractNumId="68">
    <w:nsid w:val="7FFFCA11"/>
    <w:multiLevelType w:val="hybridMultilevel"/>
    <w:lvl w:ilvl="0">
      <w:lvlJc w:val="left"/>
      <w:lvlText w:val="%1."/>
      <w:numFmt w:val="decimal"/>
      <w:start w:val="14"/>
    </w:lvl>
    <w:lvl w:ilvl="1">
      <w:lvlJc w:val="left"/>
      <w:lvlText w:val="(%2)"/>
      <w:numFmt w:val="lowerLetter"/>
      <w:start w:val="1"/>
    </w:lvl>
  </w:abstractNum>
  <w:abstractNum w:abstractNumId="69">
    <w:nsid w:val="1A27709E"/>
    <w:multiLevelType w:val="hybridMultilevel"/>
    <w:lvl w:ilvl="0">
      <w:lvlJc w:val="left"/>
      <w:lvlText w:val="(%1)"/>
      <w:numFmt w:val="lowerLetter"/>
      <w:start w:val="2"/>
    </w:lvl>
  </w:abstractNum>
  <w:abstractNum w:abstractNumId="70">
    <w:nsid w:val="71EA1109"/>
    <w:multiLevelType w:val="hybridMultilevel"/>
    <w:lvl w:ilvl="0">
      <w:lvlJc w:val="left"/>
      <w:lvlText w:val="%1."/>
      <w:numFmt w:val="decimal"/>
      <w:start w:val="15"/>
    </w:lvl>
  </w:abstractNum>
  <w:abstractNum w:abstractNumId="71">
    <w:nsid w:val="100F59DC"/>
    <w:multiLevelType w:val="hybridMultilevel"/>
    <w:lvl w:ilvl="0">
      <w:lvlJc w:val="left"/>
      <w:lvlText w:val="%1."/>
      <w:numFmt w:val="decimal"/>
      <w:start w:val="16"/>
    </w:lvl>
  </w:abstractNum>
  <w:abstractNum w:abstractNumId="72">
    <w:nsid w:val="7FB7E0AA"/>
    <w:multiLevelType w:val="hybridMultilevel"/>
    <w:lvl w:ilvl="0">
      <w:lvlJc w:val="left"/>
      <w:lvlText w:val="%1."/>
      <w:numFmt w:val="decimal"/>
      <w:start w:val="17"/>
    </w:lvl>
  </w:abstractNum>
  <w:abstractNum w:abstractNumId="73">
    <w:nsid w:val="6EB5BD4"/>
    <w:multiLevelType w:val="hybridMultilevel"/>
    <w:lvl w:ilvl="0">
      <w:lvlJc w:val="left"/>
      <w:lvlText w:val="%1."/>
      <w:numFmt w:val="decimal"/>
      <w:start w:val="18"/>
    </w:lvl>
  </w:abstractNum>
  <w:abstractNum w:abstractNumId="74">
    <w:nsid w:val="6F6DD9AC"/>
    <w:multiLevelType w:val="hybridMultilevel"/>
    <w:lvl w:ilvl="0">
      <w:lvlJc w:val="left"/>
      <w:lvlText w:val="%1."/>
      <w:numFmt w:val="decimal"/>
      <w:start w:val="19"/>
    </w:lvl>
  </w:abstractNum>
  <w:abstractNum w:abstractNumId="75">
    <w:nsid w:val="94211F2"/>
    <w:multiLevelType w:val="hybridMultilevel"/>
    <w:lvl w:ilvl="0">
      <w:lvlJc w:val="left"/>
      <w:lvlText w:val="%1."/>
      <w:numFmt w:val="decimal"/>
      <w:start w:val="20"/>
    </w:lvl>
  </w:abstractNum>
  <w:abstractNum w:abstractNumId="76">
    <w:nsid w:val="885E1B"/>
    <w:multiLevelType w:val="hybridMultilevel"/>
    <w:lvl w:ilvl="0">
      <w:lvlJc w:val="left"/>
      <w:lvlText w:val="%1."/>
      <w:numFmt w:val="decimal"/>
      <w:start w:val="21"/>
    </w:lvl>
  </w:abstractNum>
  <w:abstractNum w:abstractNumId="77">
    <w:nsid w:val="76272110"/>
    <w:multiLevelType w:val="hybridMultilevel"/>
    <w:lvl w:ilvl="0">
      <w:lvlJc w:val="left"/>
      <w:lvlText w:val="%1."/>
      <w:numFmt w:val="decimal"/>
      <w:start w:val="22"/>
    </w:lvl>
  </w:abstractNum>
  <w:abstractNum w:abstractNumId="78">
    <w:nsid w:val="4C04A8AF"/>
    <w:multiLevelType w:val="hybridMultilevel"/>
    <w:lvl w:ilvl="0">
      <w:lvlJc w:val="left"/>
      <w:lvlText w:val="%1."/>
      <w:numFmt w:val="decimal"/>
      <w:start w:val="23"/>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Letter"/>
      <w:start w:val="4"/>
    </w:lvl>
  </w:abstractNum>
  <w:abstractNum w:abstractNumId="81">
    <w:nsid w:val="3222E7CD"/>
    <w:multiLevelType w:val="hybridMultilevel"/>
    <w:lvl w:ilvl="0">
      <w:lvlJc w:val="left"/>
      <w:lvlText w:val="(%1)"/>
      <w:numFmt w:val="lowerLetter"/>
      <w:start w:val="12"/>
    </w:lvl>
  </w:abstractNum>
  <w:abstractNum w:abstractNumId="82">
    <w:nsid w:val="74DE0EE3"/>
    <w:multiLevelType w:val="hybridMultilevel"/>
    <w:lvl w:ilvl="0">
      <w:lvlJc w:val="left"/>
      <w:lvlText w:val="(%1)"/>
      <w:numFmt w:val="lowerLetter"/>
      <w:start w:val="27"/>
    </w:lvl>
  </w:abstractNum>
  <w:abstractNum w:abstractNumId="83">
    <w:nsid w:val="68EBC550"/>
    <w:multiLevelType w:val="hybridMultilevel"/>
    <w:lvl w:ilvl="0">
      <w:lvlJc w:val="left"/>
      <w:lvlText w:val="(%1)"/>
      <w:numFmt w:val="lowerLetter"/>
      <w:start w:val="30"/>
    </w:lvl>
  </w:abstractNum>
  <w:abstractNum w:abstractNumId="84">
    <w:nsid w:val="2DF6D648"/>
    <w:multiLevelType w:val="hybridMultilevel"/>
    <w:lvl w:ilvl="0">
      <w:lvlJc w:val="left"/>
      <w:lvlText w:val="(%1)"/>
      <w:numFmt w:val="lowerLetter"/>
      <w:start w:val="48"/>
    </w:lvl>
  </w:abstractNum>
  <w:abstractNum w:abstractNumId="85">
    <w:nsid w:val="46B7D447"/>
    <w:multiLevelType w:val="hybridMultilevel"/>
    <w:lvl w:ilvl="0">
      <w:lvlJc w:val="left"/>
      <w:lvlText w:val="(%1)"/>
      <w:numFmt w:val="lowerLetter"/>
      <w:start w:val="53"/>
    </w:lvl>
    <w:lvl w:ilvl="1">
      <w:lvlJc w:val="left"/>
      <w:lvlText w:val="(%2)"/>
      <w:numFmt w:val="lowerLetter"/>
      <w:start w:val="5"/>
    </w:lvl>
  </w:abstractNum>
  <w:abstractNum w:abstractNumId="86">
    <w:nsid w:val="4A2AC315"/>
    <w:multiLevelType w:val="hybridMultilevel"/>
    <w:lvl w:ilvl="0">
      <w:lvlJc w:val="left"/>
      <w:lvlText w:val="(%1)"/>
      <w:numFmt w:val="lowerLetter"/>
      <w:start w:val="57"/>
    </w:lvl>
  </w:abstractNum>
  <w:abstractNum w:abstractNumId="87">
    <w:nsid w:val="39EE015C"/>
    <w:multiLevelType w:val="hybridMultilevel"/>
    <w:lvl w:ilvl="0">
      <w:lvlJc w:val="left"/>
      <w:lvlText w:val="(%1)"/>
      <w:numFmt w:val="lowerLetter"/>
      <w:start w:val="72"/>
    </w:lvl>
  </w:abstractNum>
  <w:abstractNum w:abstractNumId="88">
    <w:nsid w:val="57FC4FBB"/>
    <w:multiLevelType w:val="hybridMultilevel"/>
    <w:lvl w:ilvl="0">
      <w:lvlJc w:val="left"/>
      <w:lvlText w:val="(%1)"/>
      <w:numFmt w:val="lowerLetter"/>
      <w:start w:val="79"/>
    </w:lvl>
  </w:abstractNum>
  <w:abstractNum w:abstractNumId="89">
    <w:nsid w:val="CC1016F"/>
    <w:multiLevelType w:val="hybridMultilevel"/>
    <w:lvl w:ilvl="0">
      <w:lvlJc w:val="left"/>
      <w:lvlText w:val="(%1)"/>
      <w:numFmt w:val="lowerLetter"/>
      <w:start w:val="91"/>
    </w:lvl>
  </w:abstractNum>
  <w:abstractNum w:abstractNumId="90">
    <w:nsid w:val="43F18422"/>
    <w:multiLevelType w:val="hybridMultilevel"/>
    <w:lvl w:ilvl="0">
      <w:lvlJc w:val="left"/>
      <w:lvlText w:val="(%1)"/>
      <w:numFmt w:val="lowerLetter"/>
      <w:start w:val="105"/>
    </w:lvl>
  </w:abstractNum>
  <w:abstractNum w:abstractNumId="91">
    <w:nsid w:val="60EF0119"/>
    <w:multiLevelType w:val="hybridMultilevel"/>
    <w:lvl w:ilvl="0">
      <w:lvlJc w:val="left"/>
      <w:lvlText w:val="%1"/>
      <w:numFmt w:val="decimal"/>
      <w:start w:val="1"/>
    </w:lvl>
    <w:lvl w:ilvl="1">
      <w:lvlJc w:val="left"/>
      <w:lvlText w:val="(%2)"/>
      <w:numFmt w:val="lowerLetter"/>
      <w:start w:val="107"/>
    </w:lvl>
  </w:abstractNum>
  <w:abstractNum w:abstractNumId="92">
    <w:nsid w:val="26F324BA"/>
    <w:multiLevelType w:val="hybridMultilevel"/>
    <w:lvl w:ilvl="0">
      <w:lvlJc w:val="left"/>
      <w:lvlText w:val="%1."/>
      <w:numFmt w:val="decimal"/>
      <w:start w:val="24"/>
    </w:lvl>
    <w:lvl w:ilvl="1">
      <w:lvlJc w:val="left"/>
      <w:lvlText w:val="%2"/>
      <w:numFmt w:val="lowerLetter"/>
      <w:start w:val="1"/>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lowerRoman"/>
      <w:start w:val="1"/>
    </w:lvl>
  </w:abstractNum>
  <w:abstractNum w:abstractNumId="95">
    <w:nsid w:val="7055A5F5"/>
    <w:multiLevelType w:val="hybridMultilevel"/>
    <w:lvl w:ilvl="0">
      <w:lvlJc w:val="left"/>
      <w:lvlText w:val="(%1)"/>
      <w:numFmt w:val="decimal"/>
      <w:start w:val="9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2025-12-30T16:15:50Z</dcterms:created>
  <dcterms:modified xsi:type="dcterms:W3CDTF">2025-12-30T16:15:50Z</dcterms:modified>
</cp:coreProperties>
</file>