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month of February, 2025.</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001-40673</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Cybin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16"/>
          <w:szCs w:val="16"/>
          <w:color w:val="auto"/>
        </w:rPr>
        <w:t xml:space="preserve">Form 20-F </w:t>
      </w: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84" w:lineRule="exact"/>
        <w:rPr>
          <w:sz w:val="24"/>
          <w:szCs w:val="24"/>
          <w:color w:val="auto"/>
        </w:rPr>
      </w:pPr>
    </w:p>
    <w:p>
      <w:pPr>
        <w:ind w:firstLine="58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 99.1 - 99.2 and 99.5 of this Form 6-K of Cybin Inc. (the "Company") are hereby incorporated by reference into the Registration Statement on Form F-10 (</w:t>
      </w:r>
      <w:hyperlink r:id="rId8">
        <w:r>
          <w:rPr>
            <w:rFonts w:ascii="Times New Roman" w:cs="Times New Roman" w:eastAsia="Times New Roman" w:hAnsi="Times New Roman"/>
            <w:sz w:val="16"/>
            <w:szCs w:val="16"/>
            <w:u w:val="single" w:color="auto"/>
            <w:color w:val="0000FF"/>
          </w:rPr>
          <w:t>File No. 333-284173</w:t>
        </w:r>
      </w:hyperlink>
      <w:r>
        <w:rPr>
          <w:rFonts w:ascii="Times New Roman" w:cs="Times New Roman" w:eastAsia="Times New Roman" w:hAnsi="Times New Roman"/>
          <w:sz w:val="16"/>
          <w:szCs w:val="16"/>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84" w:lineRule="exact"/>
        <w:rPr>
          <w:sz w:val="20"/>
          <w:szCs w:val="20"/>
          <w:color w:val="auto"/>
        </w:rPr>
      </w:pPr>
    </w:p>
    <w:p>
      <w:pPr>
        <w:ind w:firstLine="580"/>
        <w:spacing w:after="0" w:line="26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CYBIN INC.</w:t>
            </w:r>
          </w:p>
        </w:tc>
      </w:tr>
      <w:tr>
        <w:trPr>
          <w:trHeight w:val="230"/>
        </w:trPr>
        <w:tc>
          <w:tcPr>
            <w:tcW w:w="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(Registrant)</w:t>
            </w:r>
          </w:p>
        </w:tc>
      </w:tr>
      <w:tr>
        <w:trPr>
          <w:trHeight w:val="4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February 10, 2025</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Doug Drysdale</w:t>
            </w:r>
          </w:p>
        </w:tc>
      </w:tr>
      <w:tr>
        <w:trPr>
          <w:trHeight w:val="230"/>
        </w:trPr>
        <w:tc>
          <w:tcPr>
            <w:tcW w:w="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0640"/>
          </w:cols>
          <w:pgMar w:left="320" w:top="1282" w:right="9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20"/>
        </w:trPr>
        <w:tc>
          <w:tcPr>
            <w:tcW w:w="1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2"/>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99.1</w:t>
            </w:r>
          </w:p>
        </w:tc>
        <w:tc>
          <w:tcPr>
            <w:tcW w:w="6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Interim Consolidated Financial Statements for the three and nine months ended December 31,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99.2</w:t>
            </w:r>
          </w:p>
        </w:tc>
        <w:tc>
          <w:tcPr>
            <w:tcW w:w="6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Management’s Discussion and Analysis for the three and nine months ended December 31,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99.3</w:t>
            </w:r>
          </w:p>
        </w:tc>
        <w:tc>
          <w:tcPr>
            <w:tcW w:w="42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Interim Filings by CEO dated February 10, 2025</w:t>
            </w:r>
          </w:p>
        </w:tc>
        <w:tc>
          <w:tcPr>
            <w:tcW w:w="204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99.4</w:t>
            </w:r>
          </w:p>
        </w:tc>
        <w:tc>
          <w:tcPr>
            <w:tcW w:w="4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Interim Filings by CFO dated February 10, 2025</w:t>
            </w:r>
          </w:p>
        </w:tc>
        <w:tc>
          <w:tcPr>
            <w:tcW w:w="2240" w:type="dxa"/>
            <w:vAlign w:val="bottom"/>
            <w:gridSpan w:val="4"/>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99.5</w:t>
            </w:r>
          </w:p>
        </w:tc>
        <w:tc>
          <w:tcPr>
            <w:tcW w:w="2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News Release dated February 10, 2025</w:t>
            </w:r>
          </w:p>
        </w:tc>
        <w:tc>
          <w:tcPr>
            <w:tcW w:w="3880" w:type="dxa"/>
            <w:vAlign w:val="bottom"/>
            <w:gridSpan w:val="6"/>
          </w:tcPr>
          <w:p>
            <w:pPr>
              <w:spacing w:after="0"/>
              <w:rPr>
                <w:sz w:val="18"/>
                <w:szCs w:val="18"/>
                <w:color w:val="auto"/>
              </w:rPr>
            </w:pPr>
          </w:p>
        </w:tc>
      </w:tr>
    </w:tbl>
    <w:p>
      <w:pPr>
        <w:sectPr>
          <w:pgSz w:w="11900" w:h="16838" w:orient="portrait"/>
          <w:cols w:equalWidth="0" w:num="1">
            <w:col w:w="10119"/>
          </w:cols>
          <w:pgMar w:left="340" w:top="127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3087370</wp:posOffset>
            </wp:positionH>
            <wp:positionV relativeFrom="page">
              <wp:posOffset>2583815</wp:posOffset>
            </wp:positionV>
            <wp:extent cx="13817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817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39"/>
          <w:szCs w:val="39"/>
          <w:b w:val="1"/>
          <w:bCs w:val="1"/>
          <w:color w:val="auto"/>
        </w:rPr>
        <w:t>CYBIN INC.</w:t>
      </w: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CONDENSED INTERIM CONSOLIDATED FINANCIAL STATEMENTS</w:t>
      </w:r>
    </w:p>
    <w:p>
      <w:pPr>
        <w:spacing w:after="0" w:line="191"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DECEMBER 31, 2024</w:t>
      </w: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 OUR SHAREHOLDERS</w:t>
      </w:r>
    </w:p>
    <w:p>
      <w:pPr>
        <w:spacing w:after="0" w:line="196" w:lineRule="exact"/>
        <w:rPr>
          <w:sz w:val="20"/>
          <w:szCs w:val="20"/>
          <w:color w:val="auto"/>
        </w:rPr>
      </w:pPr>
    </w:p>
    <w:p>
      <w:pPr>
        <w:jc w:val="both"/>
        <w:spacing w:after="0" w:line="277" w:lineRule="auto"/>
        <w:rPr>
          <w:sz w:val="20"/>
          <w:szCs w:val="20"/>
          <w:color w:val="auto"/>
        </w:rPr>
      </w:pPr>
      <w:r>
        <w:rPr>
          <w:rFonts w:ascii="Calibri" w:cs="Calibri" w:eastAsia="Calibri" w:hAnsi="Calibri"/>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2024, which are available on SEDAR+ at </w:t>
      </w:r>
      <w:r>
        <w:rPr>
          <w:rFonts w:ascii="Calibri" w:cs="Calibri" w:eastAsia="Calibri" w:hAnsi="Calibri"/>
          <w:sz w:val="19"/>
          <w:szCs w:val="19"/>
          <w:u w:val="single" w:color="auto"/>
          <w:color w:val="0000E1"/>
        </w:rPr>
        <w:t>www.sedarplus.com</w:t>
      </w:r>
      <w:r>
        <w:rPr>
          <w:rFonts w:ascii="Calibri" w:cs="Calibri" w:eastAsia="Calibri" w:hAnsi="Calibri"/>
          <w:sz w:val="19"/>
          <w:szCs w:val="19"/>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Calibri" w:cs="Calibri" w:eastAsia="Calibri" w:hAnsi="Calibri"/>
          <w:sz w:val="19"/>
          <w:szCs w:val="19"/>
          <w:b w:val="1"/>
          <w:bCs w:val="1"/>
          <w:color w:val="auto"/>
        </w:rPr>
        <w:t>CYBIN INC.</w:t>
      </w:r>
    </w:p>
    <w:p>
      <w:pPr>
        <w:ind w:left="60" w:right="5080"/>
        <w:spacing w:after="0"/>
        <w:rPr>
          <w:sz w:val="20"/>
          <w:szCs w:val="20"/>
          <w:color w:val="auto"/>
        </w:rPr>
      </w:pPr>
      <w:r>
        <w:rPr>
          <w:rFonts w:ascii="Calibri" w:cs="Calibri" w:eastAsia="Calibri" w:hAnsi="Calibri"/>
          <w:sz w:val="19"/>
          <w:szCs w:val="19"/>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As at</w:t>
      </w:r>
    </w:p>
    <w:p>
      <w:pPr>
        <w:spacing w:after="0" w:line="261" w:lineRule="exact"/>
        <w:rPr>
          <w:sz w:val="20"/>
          <w:szCs w:val="20"/>
          <w:color w:val="auto"/>
        </w:rPr>
      </w:pPr>
    </w:p>
    <w:p>
      <w:pPr>
        <w:ind w:left="60"/>
        <w:spacing w:after="0"/>
        <w:rPr>
          <w:sz w:val="20"/>
          <w:szCs w:val="20"/>
          <w:color w:val="auto"/>
        </w:rPr>
      </w:pPr>
      <w:r>
        <w:rPr>
          <w:rFonts w:ascii="Calibri" w:cs="Calibri" w:eastAsia="Calibri" w:hAnsi="Calibri"/>
          <w:sz w:val="15"/>
          <w:szCs w:val="15"/>
          <w:b w:val="1"/>
          <w:bCs w:val="1"/>
          <w:color w:val="auto"/>
        </w:rPr>
        <w:t>ASSETS</w:t>
      </w:r>
    </w:p>
    <w:p>
      <w:pPr>
        <w:spacing w:after="0" w:line="83" w:lineRule="exact"/>
        <w:rPr>
          <w:sz w:val="20"/>
          <w:szCs w:val="20"/>
          <w:color w:val="auto"/>
        </w:rPr>
      </w:pPr>
    </w:p>
    <w:p>
      <w:pPr>
        <w:ind w:left="200"/>
        <w:spacing w:after="0"/>
        <w:rPr>
          <w:sz w:val="20"/>
          <w:szCs w:val="20"/>
          <w:color w:val="auto"/>
        </w:rPr>
      </w:pPr>
      <w:r>
        <w:rPr>
          <w:rFonts w:ascii="Calibri" w:cs="Calibri" w:eastAsia="Calibri" w:hAnsi="Calibri"/>
          <w:sz w:val="15"/>
          <w:szCs w:val="15"/>
          <w:b w:val="1"/>
          <w:bCs w:val="1"/>
          <w:color w:val="auto"/>
        </w:rPr>
        <w:t>Current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Cash</w:t>
      </w:r>
    </w:p>
    <w:p>
      <w:pPr>
        <w:spacing w:after="0" w:line="142" w:lineRule="exact"/>
        <w:rPr>
          <w:sz w:val="20"/>
          <w:szCs w:val="20"/>
          <w:color w:val="auto"/>
        </w:rPr>
      </w:pPr>
    </w:p>
    <w:p>
      <w:pPr>
        <w:ind w:left="500"/>
        <w:spacing w:after="0"/>
        <w:rPr>
          <w:sz w:val="20"/>
          <w:szCs w:val="20"/>
          <w:color w:val="auto"/>
        </w:rPr>
      </w:pPr>
      <w:r>
        <w:rPr>
          <w:rFonts w:ascii="Calibri" w:cs="Calibri" w:eastAsia="Calibri" w:hAnsi="Calibri"/>
          <w:sz w:val="13"/>
          <w:szCs w:val="13"/>
          <w:color w:val="auto"/>
        </w:rPr>
        <w:t>Accounts receivable</w:t>
      </w:r>
    </w:p>
    <w:p>
      <w:pPr>
        <w:spacing w:after="0" w:line="14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Prepaid expenses</w:t>
      </w:r>
    </w:p>
    <w:p>
      <w:pPr>
        <w:spacing w:after="0" w:line="131" w:lineRule="exact"/>
        <w:rPr>
          <w:sz w:val="20"/>
          <w:szCs w:val="20"/>
          <w:color w:val="auto"/>
        </w:rPr>
      </w:pPr>
    </w:p>
    <w:p>
      <w:pPr>
        <w:jc w:val="right"/>
        <w:ind w:right="4180"/>
        <w:spacing w:after="0"/>
        <w:rPr>
          <w:sz w:val="20"/>
          <w:szCs w:val="20"/>
          <w:color w:val="auto"/>
        </w:rPr>
      </w:pPr>
      <w:r>
        <w:rPr>
          <w:rFonts w:ascii="Calibri" w:cs="Calibri" w:eastAsia="Calibri" w:hAnsi="Calibri"/>
          <w:sz w:val="15"/>
          <w:szCs w:val="15"/>
          <w:color w:val="auto"/>
        </w:rPr>
        <w:t>Other current assets</w:t>
      </w:r>
    </w:p>
    <w:p>
      <w:pPr>
        <w:spacing w:after="0" w:line="252" w:lineRule="exact"/>
        <w:rPr>
          <w:sz w:val="20"/>
          <w:szCs w:val="20"/>
          <w:color w:val="auto"/>
        </w:rPr>
      </w:pPr>
    </w:p>
    <w:p>
      <w:pPr>
        <w:ind w:left="60"/>
        <w:spacing w:after="0"/>
        <w:rPr>
          <w:sz w:val="20"/>
          <w:szCs w:val="20"/>
          <w:color w:val="auto"/>
        </w:rPr>
      </w:pPr>
      <w:r>
        <w:rPr>
          <w:rFonts w:ascii="Calibri" w:cs="Calibri" w:eastAsia="Calibri" w:hAnsi="Calibri"/>
          <w:sz w:val="15"/>
          <w:szCs w:val="15"/>
          <w:b w:val="1"/>
          <w:bCs w:val="1"/>
          <w:color w:val="auto"/>
        </w:rPr>
        <w:t>Total Current Assets</w:t>
      </w:r>
    </w:p>
    <w:p>
      <w:pPr>
        <w:spacing w:after="0" w:line="252" w:lineRule="exact"/>
        <w:rPr>
          <w:sz w:val="20"/>
          <w:szCs w:val="20"/>
          <w:color w:val="auto"/>
        </w:rPr>
      </w:pPr>
    </w:p>
    <w:p>
      <w:pPr>
        <w:ind w:left="200"/>
        <w:spacing w:after="0"/>
        <w:rPr>
          <w:sz w:val="20"/>
          <w:szCs w:val="20"/>
          <w:color w:val="auto"/>
        </w:rPr>
      </w:pPr>
      <w:r>
        <w:rPr>
          <w:rFonts w:ascii="Calibri" w:cs="Calibri" w:eastAsia="Calibri" w:hAnsi="Calibri"/>
          <w:sz w:val="15"/>
          <w:szCs w:val="15"/>
          <w:b w:val="1"/>
          <w:bCs w:val="1"/>
          <w:color w:val="auto"/>
        </w:rPr>
        <w:t>Non-current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Equipment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Intangible assets</w:t>
      </w:r>
    </w:p>
    <w:p>
      <w:pPr>
        <w:spacing w:after="0" w:line="59" w:lineRule="exact"/>
        <w:rPr>
          <w:sz w:val="20"/>
          <w:szCs w:val="20"/>
          <w:color w:val="auto"/>
        </w:rPr>
      </w:pPr>
    </w:p>
    <w:p>
      <w:pPr>
        <w:ind w:left="480"/>
        <w:spacing w:after="0"/>
        <w:rPr>
          <w:sz w:val="20"/>
          <w:szCs w:val="20"/>
          <w:color w:val="auto"/>
        </w:rPr>
      </w:pPr>
      <w:r>
        <w:rPr>
          <w:rFonts w:ascii="Calibri" w:cs="Calibri" w:eastAsia="Calibri" w:hAnsi="Calibri"/>
          <w:sz w:val="15"/>
          <w:szCs w:val="15"/>
          <w:color w:val="auto"/>
        </w:rPr>
        <w:t>Right-of-use asset</w:t>
      </w:r>
    </w:p>
    <w:p>
      <w:pPr>
        <w:spacing w:after="0" w:line="83"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40" w:val="left"/>
          <w:tab w:leader="none" w:pos="3640" w:val="left"/>
        </w:tabs>
        <w:rPr>
          <w:sz w:val="20"/>
          <w:szCs w:val="20"/>
          <w:color w:val="auto"/>
        </w:rPr>
      </w:pPr>
      <w:r>
        <w:rPr>
          <w:rFonts w:ascii="Calibri" w:cs="Calibri" w:eastAsia="Calibri" w:hAnsi="Calibri"/>
          <w:sz w:val="15"/>
          <w:szCs w:val="15"/>
          <w:i w:val="1"/>
          <w:iCs w:val="1"/>
          <w:color w:val="auto"/>
        </w:rPr>
        <w:t>Notes</w:t>
      </w:r>
      <w:r>
        <w:rPr>
          <w:sz w:val="20"/>
          <w:szCs w:val="20"/>
          <w:color w:val="auto"/>
        </w:rPr>
        <w:tab/>
      </w:r>
      <w:r>
        <w:rPr>
          <w:rFonts w:ascii="Calibri" w:cs="Calibri" w:eastAsia="Calibri" w:hAnsi="Calibri"/>
          <w:sz w:val="15"/>
          <w:szCs w:val="15"/>
          <w:b w:val="1"/>
          <w:bCs w:val="1"/>
          <w:color w:val="auto"/>
        </w:rPr>
        <w:t>December 31, 2024</w:t>
      </w:r>
      <w:r>
        <w:rPr>
          <w:sz w:val="20"/>
          <w:szCs w:val="20"/>
          <w:color w:val="auto"/>
        </w:rPr>
        <w:tab/>
      </w:r>
      <w:r>
        <w:rPr>
          <w:rFonts w:ascii="Calibri" w:cs="Calibri" w:eastAsia="Calibri" w:hAnsi="Calibri"/>
          <w:sz w:val="21"/>
          <w:szCs w:val="21"/>
          <w:b w:val="1"/>
          <w:bCs w:val="1"/>
          <w:color w:val="auto"/>
          <w:vertAlign w:val="superscript"/>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-13970</wp:posOffset>
            </wp:positionV>
            <wp:extent cx="7146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1020" w:type="dxa"/>
            <w:vAlign w:val="bottom"/>
          </w:tcPr>
          <w:p>
            <w:pPr>
              <w:spacing w:after="0"/>
              <w:rPr>
                <w:sz w:val="15"/>
                <w:szCs w:val="15"/>
                <w:color w:val="auto"/>
              </w:rPr>
            </w:pPr>
          </w:p>
        </w:tc>
        <w:tc>
          <w:tcPr>
            <w:tcW w:w="2200" w:type="dxa"/>
            <w:vAlign w:val="bottom"/>
          </w:tcPr>
          <w:p>
            <w:pPr>
              <w:jc w:val="right"/>
              <w:ind w:right="707"/>
              <w:spacing w:after="0"/>
              <w:rPr>
                <w:sz w:val="20"/>
                <w:szCs w:val="20"/>
                <w:color w:val="auto"/>
              </w:rPr>
            </w:pPr>
            <w:r>
              <w:rPr>
                <w:rFonts w:ascii="Calibri" w:cs="Calibri" w:eastAsia="Calibri" w:hAnsi="Calibri"/>
                <w:sz w:val="15"/>
                <w:szCs w:val="15"/>
                <w:color w:val="auto"/>
              </w:rPr>
              <w:t>136,290</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208,992</w:t>
            </w: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4"/>
                <w:szCs w:val="24"/>
                <w:color w:val="auto"/>
              </w:rPr>
            </w:pPr>
          </w:p>
        </w:tc>
        <w:tc>
          <w:tcPr>
            <w:tcW w:w="2200" w:type="dxa"/>
            <w:vAlign w:val="bottom"/>
          </w:tcPr>
          <w:p>
            <w:pPr>
              <w:jc w:val="right"/>
              <w:ind w:right="707"/>
              <w:spacing w:after="0"/>
              <w:rPr>
                <w:sz w:val="20"/>
                <w:szCs w:val="20"/>
                <w:color w:val="auto"/>
              </w:rPr>
            </w:pPr>
            <w:r>
              <w:rPr>
                <w:rFonts w:ascii="Calibri" w:cs="Calibri" w:eastAsia="Calibri" w:hAnsi="Calibri"/>
                <w:sz w:val="15"/>
                <w:szCs w:val="15"/>
                <w:color w:val="auto"/>
              </w:rPr>
              <w:t>5,583</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4,476</w:t>
            </w: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4"/>
                <w:szCs w:val="24"/>
                <w:color w:val="auto"/>
              </w:rPr>
            </w:pPr>
          </w:p>
        </w:tc>
        <w:tc>
          <w:tcPr>
            <w:tcW w:w="2200" w:type="dxa"/>
            <w:vAlign w:val="bottom"/>
          </w:tcPr>
          <w:p>
            <w:pPr>
              <w:jc w:val="right"/>
              <w:ind w:right="707"/>
              <w:spacing w:after="0"/>
              <w:rPr>
                <w:sz w:val="20"/>
                <w:szCs w:val="20"/>
                <w:color w:val="auto"/>
              </w:rPr>
            </w:pPr>
            <w:r>
              <w:rPr>
                <w:rFonts w:ascii="Calibri" w:cs="Calibri" w:eastAsia="Calibri" w:hAnsi="Calibri"/>
                <w:sz w:val="15"/>
                <w:szCs w:val="15"/>
                <w:color w:val="auto"/>
              </w:rPr>
              <w:t>22,891</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2,891</w:t>
            </w: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4"/>
                <w:szCs w:val="24"/>
                <w:color w:val="auto"/>
              </w:rPr>
            </w:pPr>
          </w:p>
        </w:tc>
        <w:tc>
          <w:tcPr>
            <w:tcW w:w="2200" w:type="dxa"/>
            <w:vAlign w:val="bottom"/>
          </w:tcPr>
          <w:p>
            <w:pPr>
              <w:jc w:val="right"/>
              <w:ind w:right="707"/>
              <w:spacing w:after="0"/>
              <w:rPr>
                <w:sz w:val="20"/>
                <w:szCs w:val="20"/>
                <w:color w:val="auto"/>
              </w:rPr>
            </w:pPr>
            <w:r>
              <w:rPr>
                <w:rFonts w:ascii="Calibri" w:cs="Calibri" w:eastAsia="Calibri" w:hAnsi="Calibri"/>
                <w:sz w:val="15"/>
                <w:szCs w:val="15"/>
                <w:color w:val="auto"/>
              </w:rPr>
              <w:t>2,927</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2,177</w:t>
            </w:r>
          </w:p>
        </w:tc>
        <w:tc>
          <w:tcPr>
            <w:tcW w:w="0" w:type="dxa"/>
            <w:vAlign w:val="bottom"/>
          </w:tcPr>
          <w:p>
            <w:pPr>
              <w:spacing w:after="0"/>
              <w:rPr>
                <w:sz w:val="1"/>
                <w:szCs w:val="1"/>
                <w:color w:val="auto"/>
              </w:rPr>
            </w:pPr>
          </w:p>
        </w:tc>
      </w:tr>
      <w:tr>
        <w:trPr>
          <w:trHeight w:val="387"/>
        </w:trPr>
        <w:tc>
          <w:tcPr>
            <w:tcW w:w="1020" w:type="dxa"/>
            <w:vAlign w:val="bottom"/>
          </w:tcPr>
          <w:p>
            <w:pPr>
              <w:spacing w:after="0"/>
              <w:rPr>
                <w:sz w:val="24"/>
                <w:szCs w:val="24"/>
                <w:color w:val="auto"/>
              </w:rPr>
            </w:pPr>
          </w:p>
        </w:tc>
        <w:tc>
          <w:tcPr>
            <w:tcW w:w="2200" w:type="dxa"/>
            <w:vAlign w:val="bottom"/>
          </w:tcPr>
          <w:p>
            <w:pPr>
              <w:jc w:val="right"/>
              <w:ind w:right="707"/>
              <w:spacing w:after="0"/>
              <w:rPr>
                <w:sz w:val="20"/>
                <w:szCs w:val="20"/>
                <w:color w:val="auto"/>
              </w:rPr>
            </w:pPr>
            <w:r>
              <w:rPr>
                <w:rFonts w:ascii="Calibri" w:cs="Calibri" w:eastAsia="Calibri" w:hAnsi="Calibri"/>
                <w:sz w:val="15"/>
                <w:szCs w:val="15"/>
                <w:b w:val="1"/>
                <w:bCs w:val="1"/>
                <w:color w:val="auto"/>
              </w:rPr>
              <w:t>167,691</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218,536</w:t>
            </w:r>
          </w:p>
        </w:tc>
        <w:tc>
          <w:tcPr>
            <w:tcW w:w="0" w:type="dxa"/>
            <w:vAlign w:val="bottom"/>
          </w:tcPr>
          <w:p>
            <w:pPr>
              <w:spacing w:after="0"/>
              <w:rPr>
                <w:sz w:val="1"/>
                <w:szCs w:val="1"/>
                <w:color w:val="auto"/>
              </w:rPr>
            </w:pPr>
          </w:p>
        </w:tc>
      </w:tr>
      <w:tr>
        <w:trPr>
          <w:trHeight w:val="677"/>
        </w:trPr>
        <w:tc>
          <w:tcPr>
            <w:tcW w:w="1020" w:type="dxa"/>
            <w:vAlign w:val="bottom"/>
          </w:tcPr>
          <w:p>
            <w:pPr>
              <w:jc w:val="right"/>
              <w:ind w:right="867"/>
              <w:spacing w:after="0"/>
              <w:rPr>
                <w:sz w:val="20"/>
                <w:szCs w:val="20"/>
                <w:color w:val="auto"/>
              </w:rPr>
            </w:pPr>
            <w:r>
              <w:rPr>
                <w:rFonts w:ascii="Calibri" w:cs="Calibri" w:eastAsia="Calibri" w:hAnsi="Calibri"/>
                <w:sz w:val="15"/>
                <w:szCs w:val="15"/>
                <w:i w:val="1"/>
                <w:iCs w:val="1"/>
                <w:color w:val="auto"/>
                <w:w w:val="78"/>
              </w:rPr>
              <w:t>3</w:t>
            </w:r>
          </w:p>
        </w:tc>
        <w:tc>
          <w:tcPr>
            <w:tcW w:w="2200" w:type="dxa"/>
            <w:vAlign w:val="bottom"/>
            <w:vMerge w:val="restart"/>
          </w:tcPr>
          <w:p>
            <w:pPr>
              <w:jc w:val="right"/>
              <w:ind w:right="707"/>
              <w:spacing w:after="0"/>
              <w:rPr>
                <w:sz w:val="20"/>
                <w:szCs w:val="20"/>
                <w:color w:val="auto"/>
              </w:rPr>
            </w:pPr>
            <w:r>
              <w:rPr>
                <w:rFonts w:ascii="Calibri" w:cs="Calibri" w:eastAsia="Calibri" w:hAnsi="Calibri"/>
                <w:sz w:val="15"/>
                <w:szCs w:val="15"/>
                <w:color w:val="auto"/>
              </w:rPr>
              <w:t>185</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266</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20" w:type="dxa"/>
            <w:vAlign w:val="bottom"/>
          </w:tcPr>
          <w:p>
            <w:pPr>
              <w:jc w:val="right"/>
              <w:ind w:right="867"/>
              <w:spacing w:after="0"/>
              <w:rPr>
                <w:sz w:val="20"/>
                <w:szCs w:val="20"/>
                <w:color w:val="auto"/>
              </w:rPr>
            </w:pPr>
            <w:r>
              <w:rPr>
                <w:rFonts w:ascii="Calibri" w:cs="Calibri" w:eastAsia="Calibri" w:hAnsi="Calibri"/>
                <w:sz w:val="15"/>
                <w:szCs w:val="15"/>
                <w:i w:val="1"/>
                <w:iCs w:val="1"/>
                <w:color w:val="auto"/>
                <w:w w:val="78"/>
              </w:rPr>
              <w:t>4</w:t>
            </w:r>
          </w:p>
        </w:tc>
        <w:tc>
          <w:tcPr>
            <w:tcW w:w="2200" w:type="dxa"/>
            <w:vAlign w:val="bottom"/>
            <w:vMerge w:val="restart"/>
          </w:tcPr>
          <w:p>
            <w:pPr>
              <w:jc w:val="right"/>
              <w:ind w:right="707"/>
              <w:spacing w:after="0"/>
              <w:rPr>
                <w:sz w:val="20"/>
                <w:szCs w:val="20"/>
                <w:color w:val="auto"/>
              </w:rPr>
            </w:pPr>
            <w:r>
              <w:rPr>
                <w:rFonts w:ascii="Calibri" w:cs="Calibri" w:eastAsia="Calibri" w:hAnsi="Calibri"/>
                <w:sz w:val="15"/>
                <w:szCs w:val="15"/>
                <w:color w:val="auto"/>
              </w:rPr>
              <w:t>36,658</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35,465</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20" w:type="dxa"/>
            <w:vAlign w:val="bottom"/>
          </w:tcPr>
          <w:p>
            <w:pPr>
              <w:jc w:val="right"/>
              <w:ind w:right="867"/>
              <w:spacing w:after="0"/>
              <w:rPr>
                <w:sz w:val="20"/>
                <w:szCs w:val="20"/>
                <w:color w:val="auto"/>
              </w:rPr>
            </w:pPr>
            <w:r>
              <w:rPr>
                <w:rFonts w:ascii="Calibri" w:cs="Calibri" w:eastAsia="Calibri" w:hAnsi="Calibri"/>
                <w:sz w:val="15"/>
                <w:szCs w:val="15"/>
                <w:i w:val="1"/>
                <w:iCs w:val="1"/>
                <w:color w:val="auto"/>
                <w:w w:val="78"/>
              </w:rPr>
              <w:t>5</w:t>
            </w:r>
          </w:p>
        </w:tc>
        <w:tc>
          <w:tcPr>
            <w:tcW w:w="2200" w:type="dxa"/>
            <w:vAlign w:val="bottom"/>
          </w:tcPr>
          <w:p>
            <w:pPr>
              <w:jc w:val="right"/>
              <w:ind w:right="707"/>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281</w:t>
            </w:r>
          </w:p>
        </w:tc>
        <w:tc>
          <w:tcPr>
            <w:tcW w:w="0" w:type="dxa"/>
            <w:vAlign w:val="bottom"/>
          </w:tcPr>
          <w:p>
            <w:pPr>
              <w:spacing w:after="0"/>
              <w:rPr>
                <w:sz w:val="1"/>
                <w:szCs w:val="1"/>
                <w:color w:val="auto"/>
              </w:rPr>
            </w:pPr>
          </w:p>
        </w:tc>
      </w:tr>
      <w:tr>
        <w:trPr>
          <w:trHeight w:val="193"/>
        </w:trPr>
        <w:tc>
          <w:tcPr>
            <w:tcW w:w="1020" w:type="dxa"/>
            <w:vAlign w:val="bottom"/>
          </w:tcPr>
          <w:p>
            <w:pPr>
              <w:jc w:val="right"/>
              <w:ind w:right="867"/>
              <w:spacing w:after="0"/>
              <w:rPr>
                <w:sz w:val="20"/>
                <w:szCs w:val="20"/>
                <w:color w:val="auto"/>
              </w:rPr>
            </w:pPr>
            <w:r>
              <w:rPr>
                <w:rFonts w:ascii="Calibri" w:cs="Calibri" w:eastAsia="Calibri" w:hAnsi="Calibri"/>
                <w:sz w:val="15"/>
                <w:szCs w:val="15"/>
                <w:i w:val="1"/>
                <w:iCs w:val="1"/>
                <w:color w:val="auto"/>
                <w:w w:val="78"/>
              </w:rPr>
              <w:t>6</w:t>
            </w:r>
          </w:p>
        </w:tc>
        <w:tc>
          <w:tcPr>
            <w:tcW w:w="2200" w:type="dxa"/>
            <w:vAlign w:val="bottom"/>
            <w:vMerge w:val="restart"/>
          </w:tcPr>
          <w:p>
            <w:pPr>
              <w:jc w:val="right"/>
              <w:ind w:right="707"/>
              <w:spacing w:after="0"/>
              <w:rPr>
                <w:sz w:val="20"/>
                <w:szCs w:val="20"/>
                <w:color w:val="auto"/>
              </w:rPr>
            </w:pPr>
            <w:r>
              <w:rPr>
                <w:rFonts w:ascii="Calibri" w:cs="Calibri" w:eastAsia="Calibri" w:hAnsi="Calibri"/>
                <w:sz w:val="15"/>
                <w:szCs w:val="15"/>
                <w:color w:val="auto"/>
              </w:rPr>
              <w:t>49,012</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47,475</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130810</wp:posOffset>
            </wp:positionV>
            <wp:extent cx="7146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-1012190</wp:posOffset>
            </wp:positionV>
            <wp:extent cx="7146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-1143000</wp:posOffset>
            </wp:positionV>
            <wp:extent cx="7146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60"/>
          </w:cols>
          <w:pgMar w:left="320" w:top="209" w:right="31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ind w:left="60"/>
              <w:spacing w:after="0"/>
              <w:rPr>
                <w:sz w:val="20"/>
                <w:szCs w:val="20"/>
                <w:color w:val="auto"/>
              </w:rPr>
            </w:pPr>
            <w:r>
              <w:rPr>
                <w:rFonts w:ascii="Calibri" w:cs="Calibri" w:eastAsia="Calibri" w:hAnsi="Calibri"/>
                <w:sz w:val="15"/>
                <w:szCs w:val="15"/>
                <w:b w:val="1"/>
                <w:bCs w:val="1"/>
                <w:color w:val="auto"/>
              </w:rPr>
              <w:t>Total Non-Current Assets</w:t>
            </w:r>
          </w:p>
        </w:tc>
        <w:tc>
          <w:tcPr>
            <w:tcW w:w="2900" w:type="dxa"/>
            <w:vAlign w:val="bottom"/>
          </w:tcPr>
          <w:p>
            <w:pPr>
              <w:spacing w:after="0"/>
              <w:rPr>
                <w:sz w:val="15"/>
                <w:szCs w:val="15"/>
                <w:color w:val="auto"/>
              </w:rPr>
            </w:pPr>
          </w:p>
        </w:tc>
        <w:tc>
          <w:tcPr>
            <w:tcW w:w="2200" w:type="dxa"/>
            <w:vAlign w:val="bottom"/>
          </w:tcPr>
          <w:p>
            <w:pPr>
              <w:jc w:val="right"/>
              <w:ind w:right="687"/>
              <w:spacing w:after="0"/>
              <w:rPr>
                <w:sz w:val="20"/>
                <w:szCs w:val="20"/>
                <w:color w:val="auto"/>
              </w:rPr>
            </w:pPr>
            <w:r>
              <w:rPr>
                <w:rFonts w:ascii="Calibri" w:cs="Calibri" w:eastAsia="Calibri" w:hAnsi="Calibri"/>
                <w:sz w:val="15"/>
                <w:szCs w:val="15"/>
                <w:b w:val="1"/>
                <w:bCs w:val="1"/>
                <w:color w:val="auto"/>
              </w:rPr>
              <w:t>85,855</w:t>
            </w:r>
          </w:p>
        </w:tc>
        <w:tc>
          <w:tcPr>
            <w:tcW w:w="1320" w:type="dxa"/>
            <w:vAlign w:val="bottom"/>
          </w:tcPr>
          <w:p>
            <w:pPr>
              <w:jc w:val="right"/>
              <w:spacing w:after="0"/>
              <w:rPr>
                <w:sz w:val="20"/>
                <w:szCs w:val="20"/>
                <w:color w:val="auto"/>
              </w:rPr>
            </w:pPr>
            <w:r>
              <w:rPr>
                <w:rFonts w:ascii="Calibri" w:cs="Calibri" w:eastAsia="Calibri" w:hAnsi="Calibri"/>
                <w:sz w:val="15"/>
                <w:szCs w:val="15"/>
                <w:color w:val="auto"/>
              </w:rPr>
              <w:t>83,487</w:t>
            </w:r>
          </w:p>
        </w:tc>
        <w:tc>
          <w:tcPr>
            <w:tcW w:w="0" w:type="dxa"/>
            <w:vAlign w:val="bottom"/>
          </w:tcPr>
          <w:p>
            <w:pPr>
              <w:spacing w:after="0"/>
              <w:rPr>
                <w:sz w:val="1"/>
                <w:szCs w:val="1"/>
                <w:color w:val="auto"/>
              </w:rPr>
            </w:pPr>
          </w:p>
        </w:tc>
      </w:tr>
      <w:tr>
        <w:trPr>
          <w:trHeight w:val="24"/>
        </w:trPr>
        <w:tc>
          <w:tcPr>
            <w:tcW w:w="48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2900" w:type="dxa"/>
            <w:vAlign w:val="bottom"/>
            <w:tcBorders>
              <w:bottom w:val="single" w:sz="8" w:color="D9D9D9"/>
            </w:tcBorders>
            <w:shd w:val="clear" w:color="auto" w:fill="D9D9D9"/>
          </w:tcPr>
          <w:p>
            <w:pPr>
              <w:spacing w:after="0"/>
              <w:rPr>
                <w:sz w:val="16"/>
                <w:szCs w:val="16"/>
                <w:color w:val="auto"/>
              </w:rPr>
            </w:pPr>
          </w:p>
        </w:tc>
        <w:tc>
          <w:tcPr>
            <w:tcW w:w="2200" w:type="dxa"/>
            <w:vAlign w:val="bottom"/>
            <w:tcBorders>
              <w:bottom w:val="single" w:sz="8" w:color="D9D9D9"/>
            </w:tcBorders>
            <w:shd w:val="clear" w:color="auto" w:fill="D9D9D9"/>
          </w:tcPr>
          <w:p>
            <w:pPr>
              <w:jc w:val="right"/>
              <w:ind w:right="687"/>
              <w:spacing w:after="0" w:line="173" w:lineRule="exact"/>
              <w:rPr>
                <w:sz w:val="20"/>
                <w:szCs w:val="20"/>
                <w:color w:val="auto"/>
              </w:rPr>
            </w:pPr>
            <w:r>
              <w:rPr>
                <w:rFonts w:ascii="Calibri" w:cs="Calibri" w:eastAsia="Calibri" w:hAnsi="Calibri"/>
                <w:sz w:val="15"/>
                <w:szCs w:val="15"/>
                <w:b w:val="1"/>
                <w:bCs w:val="1"/>
                <w:color w:val="auto"/>
              </w:rPr>
              <w:t>253,546</w:t>
            </w:r>
          </w:p>
        </w:tc>
        <w:tc>
          <w:tcPr>
            <w:tcW w:w="132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302,023</w:t>
            </w:r>
          </w:p>
        </w:tc>
        <w:tc>
          <w:tcPr>
            <w:tcW w:w="0" w:type="dxa"/>
            <w:vAlign w:val="bottom"/>
          </w:tcPr>
          <w:p>
            <w:pPr>
              <w:spacing w:after="0"/>
              <w:rPr>
                <w:sz w:val="1"/>
                <w:szCs w:val="1"/>
                <w:color w:val="auto"/>
              </w:rPr>
            </w:pPr>
          </w:p>
        </w:tc>
      </w:tr>
      <w:tr>
        <w:trPr>
          <w:trHeight w:val="197"/>
        </w:trPr>
        <w:tc>
          <w:tcPr>
            <w:tcW w:w="484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9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84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9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484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900" w:type="dxa"/>
            <w:vAlign w:val="bottom"/>
          </w:tcPr>
          <w:p>
            <w:pPr>
              <w:spacing w:after="0"/>
              <w:rPr>
                <w:sz w:val="24"/>
                <w:szCs w:val="24"/>
                <w:color w:val="auto"/>
              </w:rPr>
            </w:pPr>
          </w:p>
        </w:tc>
        <w:tc>
          <w:tcPr>
            <w:tcW w:w="2200" w:type="dxa"/>
            <w:vAlign w:val="bottom"/>
          </w:tcPr>
          <w:p>
            <w:pPr>
              <w:jc w:val="right"/>
              <w:ind w:right="687"/>
              <w:spacing w:after="0"/>
              <w:rPr>
                <w:sz w:val="20"/>
                <w:szCs w:val="20"/>
                <w:color w:val="auto"/>
              </w:rPr>
            </w:pPr>
            <w:r>
              <w:rPr>
                <w:rFonts w:ascii="Calibri" w:cs="Calibri" w:eastAsia="Calibri" w:hAnsi="Calibri"/>
                <w:sz w:val="15"/>
                <w:szCs w:val="15"/>
                <w:color w:val="auto"/>
              </w:rPr>
              <w:t>13,306</w:t>
            </w:r>
          </w:p>
        </w:tc>
        <w:tc>
          <w:tcPr>
            <w:tcW w:w="1320" w:type="dxa"/>
            <w:vAlign w:val="bottom"/>
          </w:tcPr>
          <w:p>
            <w:pPr>
              <w:jc w:val="right"/>
              <w:spacing w:after="0"/>
              <w:rPr>
                <w:sz w:val="20"/>
                <w:szCs w:val="20"/>
                <w:color w:val="auto"/>
              </w:rPr>
            </w:pPr>
            <w:r>
              <w:rPr>
                <w:rFonts w:ascii="Calibri" w:cs="Calibri" w:eastAsia="Calibri" w:hAnsi="Calibri"/>
                <w:sz w:val="15"/>
                <w:szCs w:val="15"/>
                <w:color w:val="auto"/>
              </w:rPr>
              <w:t>9,805</w:t>
            </w:r>
          </w:p>
        </w:tc>
        <w:tc>
          <w:tcPr>
            <w:tcW w:w="0" w:type="dxa"/>
            <w:vAlign w:val="bottom"/>
          </w:tcPr>
          <w:p>
            <w:pPr>
              <w:spacing w:after="0"/>
              <w:rPr>
                <w:sz w:val="1"/>
                <w:szCs w:val="1"/>
                <w:color w:val="auto"/>
              </w:rPr>
            </w:pPr>
          </w:p>
        </w:tc>
      </w:tr>
      <w:tr>
        <w:trPr>
          <w:trHeight w:val="193"/>
        </w:trPr>
        <w:tc>
          <w:tcPr>
            <w:tcW w:w="4840" w:type="dxa"/>
            <w:vAlign w:val="bottom"/>
          </w:tcPr>
          <w:p>
            <w:pPr>
              <w:ind w:left="500"/>
              <w:spacing w:after="0"/>
              <w:rPr>
                <w:sz w:val="20"/>
                <w:szCs w:val="20"/>
                <w:color w:val="auto"/>
              </w:rPr>
            </w:pPr>
            <w:r>
              <w:rPr>
                <w:rFonts w:ascii="Calibri" w:cs="Calibri" w:eastAsia="Calibri" w:hAnsi="Calibri"/>
                <w:sz w:val="15"/>
                <w:szCs w:val="15"/>
                <w:color w:val="auto"/>
              </w:rPr>
              <w:t>Lease liabilites</w:t>
            </w:r>
          </w:p>
        </w:tc>
        <w:tc>
          <w:tcPr>
            <w:tcW w:w="2900" w:type="dxa"/>
            <w:vAlign w:val="bottom"/>
          </w:tcPr>
          <w:p>
            <w:pPr>
              <w:jc w:val="right"/>
              <w:ind w:right="847"/>
              <w:spacing w:after="0"/>
              <w:rPr>
                <w:sz w:val="20"/>
                <w:szCs w:val="20"/>
                <w:color w:val="auto"/>
              </w:rPr>
            </w:pPr>
            <w:r>
              <w:rPr>
                <w:rFonts w:ascii="Calibri" w:cs="Calibri" w:eastAsia="Calibri" w:hAnsi="Calibri"/>
                <w:sz w:val="15"/>
                <w:szCs w:val="15"/>
                <w:i w:val="1"/>
                <w:iCs w:val="1"/>
                <w:color w:val="auto"/>
              </w:rPr>
              <w:t>5</w:t>
            </w:r>
          </w:p>
        </w:tc>
        <w:tc>
          <w:tcPr>
            <w:tcW w:w="2200" w:type="dxa"/>
            <w:vAlign w:val="bottom"/>
          </w:tcPr>
          <w:p>
            <w:pPr>
              <w:jc w:val="right"/>
              <w:ind w:right="687"/>
              <w:spacing w:after="0"/>
              <w:rPr>
                <w:sz w:val="20"/>
                <w:szCs w:val="20"/>
                <w:color w:val="auto"/>
              </w:rPr>
            </w:pPr>
            <w:r>
              <w:rPr>
                <w:rFonts w:ascii="Calibri" w:cs="Calibri" w:eastAsia="Calibri" w:hAnsi="Calibri"/>
                <w:sz w:val="15"/>
                <w:szCs w:val="15"/>
                <w:color w:val="auto"/>
              </w:rPr>
              <w:t>—</w:t>
            </w:r>
          </w:p>
        </w:tc>
        <w:tc>
          <w:tcPr>
            <w:tcW w:w="1320" w:type="dxa"/>
            <w:vAlign w:val="bottom"/>
          </w:tcPr>
          <w:p>
            <w:pPr>
              <w:jc w:val="right"/>
              <w:spacing w:after="0"/>
              <w:rPr>
                <w:sz w:val="20"/>
                <w:szCs w:val="20"/>
                <w:color w:val="auto"/>
              </w:rPr>
            </w:pPr>
            <w:r>
              <w:rPr>
                <w:rFonts w:ascii="Calibri" w:cs="Calibri" w:eastAsia="Calibri" w:hAnsi="Calibri"/>
                <w:sz w:val="15"/>
                <w:szCs w:val="15"/>
                <w:color w:val="auto"/>
              </w:rPr>
              <w:t>291</w:t>
            </w:r>
          </w:p>
        </w:tc>
        <w:tc>
          <w:tcPr>
            <w:tcW w:w="0" w:type="dxa"/>
            <w:vAlign w:val="bottom"/>
          </w:tcPr>
          <w:p>
            <w:pPr>
              <w:spacing w:after="0"/>
              <w:rPr>
                <w:sz w:val="1"/>
                <w:szCs w:val="1"/>
                <w:color w:val="auto"/>
              </w:rPr>
            </w:pPr>
          </w:p>
        </w:tc>
      </w:tr>
      <w:tr>
        <w:trPr>
          <w:trHeight w:val="157"/>
        </w:trPr>
        <w:tc>
          <w:tcPr>
            <w:tcW w:w="48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40" w:type="dxa"/>
            <w:vAlign w:val="bottom"/>
            <w:tcBorders>
              <w:bottom w:val="single" w:sz="8" w:color="DBDBDB"/>
            </w:tcBorders>
            <w:shd w:val="clear" w:color="auto" w:fill="DBDBDB"/>
          </w:tcPr>
          <w:p>
            <w:pPr>
              <w:ind w:left="60"/>
              <w:spacing w:after="0" w:line="165" w:lineRule="exact"/>
              <w:rPr>
                <w:sz w:val="20"/>
                <w:szCs w:val="20"/>
                <w:color w:val="auto"/>
              </w:rPr>
            </w:pPr>
            <w:r>
              <w:rPr>
                <w:rFonts w:ascii="Calibri" w:cs="Calibri" w:eastAsia="Calibri" w:hAnsi="Calibri"/>
                <w:sz w:val="15"/>
                <w:szCs w:val="15"/>
                <w:b w:val="1"/>
                <w:bCs w:val="1"/>
                <w:color w:val="auto"/>
              </w:rPr>
              <w:t>Total Liabilites</w:t>
            </w:r>
          </w:p>
        </w:tc>
        <w:tc>
          <w:tcPr>
            <w:tcW w:w="2900" w:type="dxa"/>
            <w:vAlign w:val="bottom"/>
            <w:tcBorders>
              <w:bottom w:val="single" w:sz="8" w:color="DBDBDB"/>
            </w:tcBorders>
            <w:shd w:val="clear" w:color="auto" w:fill="DBDBDB"/>
          </w:tcPr>
          <w:p>
            <w:pPr>
              <w:spacing w:after="0"/>
              <w:rPr>
                <w:sz w:val="16"/>
                <w:szCs w:val="16"/>
                <w:color w:val="auto"/>
              </w:rPr>
            </w:pPr>
          </w:p>
        </w:tc>
        <w:tc>
          <w:tcPr>
            <w:tcW w:w="2200" w:type="dxa"/>
            <w:vAlign w:val="bottom"/>
            <w:tcBorders>
              <w:bottom w:val="single" w:sz="8" w:color="DBDBDB"/>
            </w:tcBorders>
            <w:shd w:val="clear" w:color="auto" w:fill="DBDBDB"/>
          </w:tcPr>
          <w:p>
            <w:pPr>
              <w:jc w:val="right"/>
              <w:ind w:right="687"/>
              <w:spacing w:after="0" w:line="165" w:lineRule="exact"/>
              <w:rPr>
                <w:sz w:val="20"/>
                <w:szCs w:val="20"/>
                <w:color w:val="auto"/>
              </w:rPr>
            </w:pPr>
            <w:r>
              <w:rPr>
                <w:rFonts w:ascii="Calibri" w:cs="Calibri" w:eastAsia="Calibri" w:hAnsi="Calibri"/>
                <w:sz w:val="15"/>
                <w:szCs w:val="15"/>
                <w:b w:val="1"/>
                <w:bCs w:val="1"/>
                <w:color w:val="auto"/>
              </w:rPr>
              <w:t>13,306</w:t>
            </w:r>
          </w:p>
        </w:tc>
        <w:tc>
          <w:tcPr>
            <w:tcW w:w="132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10,096</w:t>
            </w:r>
          </w:p>
        </w:tc>
        <w:tc>
          <w:tcPr>
            <w:tcW w:w="0" w:type="dxa"/>
            <w:vAlign w:val="bottom"/>
          </w:tcPr>
          <w:p>
            <w:pPr>
              <w:spacing w:after="0"/>
              <w:rPr>
                <w:sz w:val="1"/>
                <w:szCs w:val="1"/>
                <w:color w:val="auto"/>
              </w:rPr>
            </w:pPr>
          </w:p>
        </w:tc>
      </w:tr>
      <w:tr>
        <w:trPr>
          <w:trHeight w:val="197"/>
        </w:trPr>
        <w:tc>
          <w:tcPr>
            <w:tcW w:w="484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9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40" w:type="dxa"/>
            <w:vAlign w:val="bottom"/>
            <w:vMerge w:val="restart"/>
          </w:tcPr>
          <w:p>
            <w:pPr>
              <w:ind w:left="500"/>
              <w:spacing w:after="0"/>
              <w:rPr>
                <w:sz w:val="20"/>
                <w:szCs w:val="20"/>
                <w:color w:val="auto"/>
              </w:rPr>
            </w:pPr>
            <w:r>
              <w:rPr>
                <w:rFonts w:ascii="Calibri" w:cs="Calibri" w:eastAsia="Calibri" w:hAnsi="Calibri"/>
                <w:sz w:val="15"/>
                <w:szCs w:val="15"/>
                <w:color w:val="auto"/>
              </w:rPr>
              <w:t>Share capital</w:t>
            </w:r>
          </w:p>
        </w:tc>
        <w:tc>
          <w:tcPr>
            <w:tcW w:w="2900" w:type="dxa"/>
            <w:vAlign w:val="bottom"/>
          </w:tcPr>
          <w:p>
            <w:pPr>
              <w:jc w:val="right"/>
              <w:ind w:right="847"/>
              <w:spacing w:after="0"/>
              <w:rPr>
                <w:sz w:val="20"/>
                <w:szCs w:val="20"/>
                <w:color w:val="auto"/>
              </w:rPr>
            </w:pPr>
            <w:r>
              <w:rPr>
                <w:rFonts w:ascii="Calibri" w:cs="Calibri" w:eastAsia="Calibri" w:hAnsi="Calibri"/>
                <w:sz w:val="15"/>
                <w:szCs w:val="15"/>
                <w:i w:val="1"/>
                <w:iCs w:val="1"/>
                <w:color w:val="auto"/>
              </w:rPr>
              <w:t>7</w:t>
            </w:r>
          </w:p>
        </w:tc>
        <w:tc>
          <w:tcPr>
            <w:tcW w:w="2200" w:type="dxa"/>
            <w:vAlign w:val="bottom"/>
            <w:vMerge w:val="restart"/>
          </w:tcPr>
          <w:p>
            <w:pPr>
              <w:jc w:val="right"/>
              <w:ind w:right="687"/>
              <w:spacing w:after="0"/>
              <w:rPr>
                <w:sz w:val="20"/>
                <w:szCs w:val="20"/>
                <w:color w:val="auto"/>
              </w:rPr>
            </w:pPr>
            <w:r>
              <w:rPr>
                <w:rFonts w:ascii="Calibri" w:cs="Calibri" w:eastAsia="Calibri" w:hAnsi="Calibri"/>
                <w:sz w:val="15"/>
                <w:szCs w:val="15"/>
                <w:color w:val="auto"/>
              </w:rPr>
              <w:t>443,383</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443,877</w:t>
            </w:r>
          </w:p>
        </w:tc>
        <w:tc>
          <w:tcPr>
            <w:tcW w:w="0" w:type="dxa"/>
            <w:vAlign w:val="bottom"/>
          </w:tcPr>
          <w:p>
            <w:pPr>
              <w:spacing w:after="0"/>
              <w:rPr>
                <w:sz w:val="1"/>
                <w:szCs w:val="1"/>
                <w:color w:val="auto"/>
              </w:rPr>
            </w:pPr>
          </w:p>
        </w:tc>
      </w:tr>
      <w:tr>
        <w:trPr>
          <w:trHeight w:val="73"/>
        </w:trPr>
        <w:tc>
          <w:tcPr>
            <w:tcW w:w="4840" w:type="dxa"/>
            <w:vAlign w:val="bottom"/>
            <w:vMerge w:val="continue"/>
          </w:tcPr>
          <w:p>
            <w:pPr>
              <w:spacing w:after="0"/>
              <w:rPr>
                <w:sz w:val="6"/>
                <w:szCs w:val="6"/>
                <w:color w:val="auto"/>
              </w:rPr>
            </w:pPr>
          </w:p>
        </w:tc>
        <w:tc>
          <w:tcPr>
            <w:tcW w:w="29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900" w:type="dxa"/>
            <w:vAlign w:val="bottom"/>
          </w:tcPr>
          <w:p>
            <w:pPr>
              <w:spacing w:after="0"/>
              <w:rPr>
                <w:sz w:val="21"/>
                <w:szCs w:val="21"/>
                <w:color w:val="auto"/>
              </w:rPr>
            </w:pPr>
          </w:p>
        </w:tc>
        <w:tc>
          <w:tcPr>
            <w:tcW w:w="2200" w:type="dxa"/>
            <w:vAlign w:val="bottom"/>
            <w:vMerge w:val="restart"/>
          </w:tcPr>
          <w:p>
            <w:pPr>
              <w:jc w:val="right"/>
              <w:ind w:right="687"/>
              <w:spacing w:after="0"/>
              <w:rPr>
                <w:sz w:val="20"/>
                <w:szCs w:val="20"/>
                <w:color w:val="auto"/>
              </w:rPr>
            </w:pPr>
            <w:r>
              <w:rPr>
                <w:rFonts w:ascii="Calibri" w:cs="Calibri" w:eastAsia="Calibri" w:hAnsi="Calibri"/>
                <w:sz w:val="15"/>
                <w:szCs w:val="15"/>
                <w:color w:val="auto"/>
              </w:rPr>
              <w:t>43,850</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11,750</w:t>
            </w: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840" w:type="dxa"/>
            <w:vAlign w:val="bottom"/>
            <w:vMerge w:val="restart"/>
          </w:tcPr>
          <w:p>
            <w:pPr>
              <w:ind w:left="500"/>
              <w:spacing w:after="0"/>
              <w:rPr>
                <w:sz w:val="20"/>
                <w:szCs w:val="20"/>
                <w:color w:val="auto"/>
              </w:rPr>
            </w:pPr>
            <w:r>
              <w:rPr>
                <w:rFonts w:ascii="Calibri" w:cs="Calibri" w:eastAsia="Calibri" w:hAnsi="Calibri"/>
                <w:sz w:val="15"/>
                <w:szCs w:val="15"/>
                <w:color w:val="auto"/>
              </w:rPr>
              <w:t>Optons reserve</w:t>
            </w:r>
          </w:p>
        </w:tc>
        <w:tc>
          <w:tcPr>
            <w:tcW w:w="2900" w:type="dxa"/>
            <w:vAlign w:val="bottom"/>
          </w:tcPr>
          <w:p>
            <w:pPr>
              <w:jc w:val="right"/>
              <w:ind w:right="847"/>
              <w:spacing w:after="0" w:line="178" w:lineRule="exact"/>
              <w:rPr>
                <w:sz w:val="20"/>
                <w:szCs w:val="20"/>
                <w:color w:val="auto"/>
              </w:rPr>
            </w:pPr>
            <w:r>
              <w:rPr>
                <w:rFonts w:ascii="Calibri" w:cs="Calibri" w:eastAsia="Calibri" w:hAnsi="Calibri"/>
                <w:sz w:val="15"/>
                <w:szCs w:val="15"/>
                <w:i w:val="1"/>
                <w:iCs w:val="1"/>
                <w:color w:val="auto"/>
              </w:rPr>
              <w:t>7</w:t>
            </w:r>
          </w:p>
        </w:tc>
        <w:tc>
          <w:tcPr>
            <w:tcW w:w="2200" w:type="dxa"/>
            <w:vAlign w:val="bottom"/>
            <w:vMerge w:val="restart"/>
          </w:tcPr>
          <w:p>
            <w:pPr>
              <w:jc w:val="right"/>
              <w:ind w:right="687"/>
              <w:spacing w:after="0"/>
              <w:rPr>
                <w:sz w:val="20"/>
                <w:szCs w:val="20"/>
                <w:color w:val="auto"/>
              </w:rPr>
            </w:pPr>
            <w:r>
              <w:rPr>
                <w:rFonts w:ascii="Calibri" w:cs="Calibri" w:eastAsia="Calibri" w:hAnsi="Calibri"/>
                <w:sz w:val="15"/>
                <w:szCs w:val="15"/>
                <w:color w:val="auto"/>
              </w:rPr>
              <w:t>45,898</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39,177</w:t>
            </w:r>
          </w:p>
        </w:tc>
        <w:tc>
          <w:tcPr>
            <w:tcW w:w="0" w:type="dxa"/>
            <w:vAlign w:val="bottom"/>
          </w:tcPr>
          <w:p>
            <w:pPr>
              <w:spacing w:after="0"/>
              <w:rPr>
                <w:sz w:val="1"/>
                <w:szCs w:val="1"/>
                <w:color w:val="auto"/>
              </w:rPr>
            </w:pPr>
          </w:p>
        </w:tc>
      </w:tr>
      <w:tr>
        <w:trPr>
          <w:trHeight w:val="73"/>
        </w:trPr>
        <w:tc>
          <w:tcPr>
            <w:tcW w:w="4840" w:type="dxa"/>
            <w:vAlign w:val="bottom"/>
            <w:vMerge w:val="continue"/>
          </w:tcPr>
          <w:p>
            <w:pPr>
              <w:spacing w:after="0"/>
              <w:rPr>
                <w:sz w:val="6"/>
                <w:szCs w:val="6"/>
                <w:color w:val="auto"/>
              </w:rPr>
            </w:pPr>
          </w:p>
        </w:tc>
        <w:tc>
          <w:tcPr>
            <w:tcW w:w="29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840" w:type="dxa"/>
            <w:vAlign w:val="bottom"/>
            <w:vMerge w:val="restart"/>
          </w:tcPr>
          <w:p>
            <w:pPr>
              <w:ind w:left="500"/>
              <w:spacing w:after="0"/>
              <w:rPr>
                <w:sz w:val="20"/>
                <w:szCs w:val="20"/>
                <w:color w:val="auto"/>
              </w:rPr>
            </w:pPr>
            <w:r>
              <w:rPr>
                <w:rFonts w:ascii="Calibri" w:cs="Calibri" w:eastAsia="Calibri" w:hAnsi="Calibri"/>
                <w:sz w:val="15"/>
                <w:szCs w:val="15"/>
                <w:color w:val="auto"/>
              </w:rPr>
              <w:t>Warrants reserve</w:t>
            </w:r>
          </w:p>
        </w:tc>
        <w:tc>
          <w:tcPr>
            <w:tcW w:w="2900" w:type="dxa"/>
            <w:vAlign w:val="bottom"/>
          </w:tcPr>
          <w:p>
            <w:pPr>
              <w:jc w:val="right"/>
              <w:ind w:right="847"/>
              <w:spacing w:after="0" w:line="178" w:lineRule="exact"/>
              <w:rPr>
                <w:sz w:val="20"/>
                <w:szCs w:val="20"/>
                <w:color w:val="auto"/>
              </w:rPr>
            </w:pPr>
            <w:r>
              <w:rPr>
                <w:rFonts w:ascii="Calibri" w:cs="Calibri" w:eastAsia="Calibri" w:hAnsi="Calibri"/>
                <w:sz w:val="15"/>
                <w:szCs w:val="15"/>
                <w:i w:val="1"/>
                <w:iCs w:val="1"/>
                <w:color w:val="auto"/>
              </w:rPr>
              <w:t>7</w:t>
            </w:r>
          </w:p>
        </w:tc>
        <w:tc>
          <w:tcPr>
            <w:tcW w:w="2200" w:type="dxa"/>
            <w:vAlign w:val="bottom"/>
            <w:vMerge w:val="restart"/>
          </w:tcPr>
          <w:p>
            <w:pPr>
              <w:jc w:val="right"/>
              <w:ind w:right="687"/>
              <w:spacing w:after="0"/>
              <w:rPr>
                <w:sz w:val="20"/>
                <w:szCs w:val="20"/>
                <w:color w:val="auto"/>
              </w:rPr>
            </w:pPr>
            <w:r>
              <w:rPr>
                <w:rFonts w:ascii="Calibri" w:cs="Calibri" w:eastAsia="Calibri" w:hAnsi="Calibri"/>
                <w:sz w:val="15"/>
                <w:szCs w:val="15"/>
                <w:color w:val="auto"/>
              </w:rPr>
              <w:t>27,594</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25,639</w:t>
            </w:r>
          </w:p>
        </w:tc>
        <w:tc>
          <w:tcPr>
            <w:tcW w:w="0" w:type="dxa"/>
            <w:vAlign w:val="bottom"/>
          </w:tcPr>
          <w:p>
            <w:pPr>
              <w:spacing w:after="0"/>
              <w:rPr>
                <w:sz w:val="1"/>
                <w:szCs w:val="1"/>
                <w:color w:val="auto"/>
              </w:rPr>
            </w:pPr>
          </w:p>
        </w:tc>
      </w:tr>
      <w:tr>
        <w:trPr>
          <w:trHeight w:val="73"/>
        </w:trPr>
        <w:tc>
          <w:tcPr>
            <w:tcW w:w="4840" w:type="dxa"/>
            <w:vAlign w:val="bottom"/>
            <w:vMerge w:val="continue"/>
          </w:tcPr>
          <w:p>
            <w:pPr>
              <w:spacing w:after="0"/>
              <w:rPr>
                <w:sz w:val="6"/>
                <w:szCs w:val="6"/>
                <w:color w:val="auto"/>
              </w:rPr>
            </w:pPr>
          </w:p>
        </w:tc>
        <w:tc>
          <w:tcPr>
            <w:tcW w:w="29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w:t>
            </w:r>
          </w:p>
        </w:tc>
        <w:tc>
          <w:tcPr>
            <w:tcW w:w="2900" w:type="dxa"/>
            <w:vAlign w:val="bottom"/>
          </w:tcPr>
          <w:p>
            <w:pPr>
              <w:spacing w:after="0"/>
              <w:rPr>
                <w:sz w:val="21"/>
                <w:szCs w:val="21"/>
                <w:color w:val="auto"/>
              </w:rPr>
            </w:pPr>
          </w:p>
        </w:tc>
        <w:tc>
          <w:tcPr>
            <w:tcW w:w="2200" w:type="dxa"/>
            <w:vAlign w:val="bottom"/>
            <w:vMerge w:val="restart"/>
          </w:tcPr>
          <w:p>
            <w:pPr>
              <w:jc w:val="right"/>
              <w:ind w:right="647"/>
              <w:spacing w:after="0"/>
              <w:rPr>
                <w:sz w:val="20"/>
                <w:szCs w:val="20"/>
                <w:color w:val="auto"/>
              </w:rPr>
            </w:pPr>
            <w:r>
              <w:rPr>
                <w:rFonts w:ascii="Calibri" w:cs="Calibri" w:eastAsia="Calibri" w:hAnsi="Calibri"/>
                <w:sz w:val="15"/>
                <w:szCs w:val="15"/>
                <w:color w:val="auto"/>
              </w:rPr>
              <w:t>(11,696)</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(2,285)</w:t>
            </w: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900" w:type="dxa"/>
            <w:vAlign w:val="bottom"/>
          </w:tcPr>
          <w:p>
            <w:pPr>
              <w:spacing w:after="0"/>
              <w:rPr>
                <w:sz w:val="21"/>
                <w:szCs w:val="21"/>
                <w:color w:val="auto"/>
              </w:rPr>
            </w:pPr>
          </w:p>
        </w:tc>
        <w:tc>
          <w:tcPr>
            <w:tcW w:w="2200" w:type="dxa"/>
            <w:vAlign w:val="bottom"/>
            <w:vMerge w:val="restart"/>
          </w:tcPr>
          <w:p>
            <w:pPr>
              <w:jc w:val="right"/>
              <w:ind w:right="647"/>
              <w:spacing w:after="0"/>
              <w:rPr>
                <w:sz w:val="20"/>
                <w:szCs w:val="20"/>
                <w:color w:val="auto"/>
              </w:rPr>
            </w:pPr>
            <w:r>
              <w:rPr>
                <w:rFonts w:ascii="Calibri" w:cs="Calibri" w:eastAsia="Calibri" w:hAnsi="Calibri"/>
                <w:sz w:val="15"/>
                <w:szCs w:val="15"/>
                <w:color w:val="auto"/>
              </w:rPr>
              <w:t>(308,789)</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(226,231)</w:t>
            </w: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4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2900" w:type="dxa"/>
            <w:vAlign w:val="bottom"/>
            <w:tcBorders>
              <w:bottom w:val="single" w:sz="8" w:color="D9D9D9"/>
            </w:tcBorders>
            <w:shd w:val="clear" w:color="auto" w:fill="D9D9D9"/>
          </w:tcPr>
          <w:p>
            <w:pPr>
              <w:spacing w:after="0"/>
              <w:rPr>
                <w:sz w:val="16"/>
                <w:szCs w:val="16"/>
                <w:color w:val="auto"/>
              </w:rPr>
            </w:pPr>
          </w:p>
        </w:tc>
        <w:tc>
          <w:tcPr>
            <w:tcW w:w="2200" w:type="dxa"/>
            <w:vAlign w:val="bottom"/>
            <w:tcBorders>
              <w:bottom w:val="single" w:sz="8" w:color="D9D9D9"/>
            </w:tcBorders>
            <w:shd w:val="clear" w:color="auto" w:fill="D9D9D9"/>
          </w:tcPr>
          <w:p>
            <w:pPr>
              <w:jc w:val="right"/>
              <w:ind w:right="687"/>
              <w:spacing w:after="0" w:line="165" w:lineRule="exact"/>
              <w:rPr>
                <w:sz w:val="20"/>
                <w:szCs w:val="20"/>
                <w:color w:val="auto"/>
              </w:rPr>
            </w:pPr>
            <w:r>
              <w:rPr>
                <w:rFonts w:ascii="Calibri" w:cs="Calibri" w:eastAsia="Calibri" w:hAnsi="Calibri"/>
                <w:sz w:val="15"/>
                <w:szCs w:val="15"/>
                <w:b w:val="1"/>
                <w:bCs w:val="1"/>
                <w:color w:val="auto"/>
              </w:rPr>
              <w:t>240,240</w:t>
            </w:r>
          </w:p>
        </w:tc>
        <w:tc>
          <w:tcPr>
            <w:tcW w:w="132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291,927</w:t>
            </w:r>
          </w:p>
        </w:tc>
        <w:tc>
          <w:tcPr>
            <w:tcW w:w="0" w:type="dxa"/>
            <w:vAlign w:val="bottom"/>
          </w:tcPr>
          <w:p>
            <w:pPr>
              <w:spacing w:after="0"/>
              <w:rPr>
                <w:sz w:val="1"/>
                <w:szCs w:val="1"/>
                <w:color w:val="auto"/>
              </w:rPr>
            </w:pPr>
          </w:p>
        </w:tc>
      </w:tr>
      <w:tr>
        <w:trPr>
          <w:trHeight w:val="28"/>
        </w:trPr>
        <w:tc>
          <w:tcPr>
            <w:tcW w:w="4840" w:type="dxa"/>
            <w:vAlign w:val="bottom"/>
            <w:tcBorders>
              <w:top w:val="single" w:sz="8" w:color="auto"/>
            </w:tcBorders>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84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900" w:type="dxa"/>
            <w:vAlign w:val="bottom"/>
            <w:tcBorders>
              <w:bottom w:val="single" w:sz="8" w:color="D9D9D9"/>
            </w:tcBorders>
            <w:shd w:val="clear" w:color="auto" w:fill="D9D9D9"/>
          </w:tcPr>
          <w:p>
            <w:pPr>
              <w:spacing w:after="0"/>
              <w:rPr>
                <w:sz w:val="15"/>
                <w:szCs w:val="15"/>
                <w:color w:val="auto"/>
              </w:rPr>
            </w:pPr>
          </w:p>
        </w:tc>
        <w:tc>
          <w:tcPr>
            <w:tcW w:w="2200" w:type="dxa"/>
            <w:vAlign w:val="bottom"/>
            <w:tcBorders>
              <w:bottom w:val="single" w:sz="8" w:color="D9D9D9"/>
            </w:tcBorders>
            <w:shd w:val="clear" w:color="auto" w:fill="D9D9D9"/>
          </w:tcPr>
          <w:p>
            <w:pPr>
              <w:jc w:val="right"/>
              <w:ind w:right="687"/>
              <w:spacing w:after="0" w:line="173" w:lineRule="exact"/>
              <w:rPr>
                <w:sz w:val="20"/>
                <w:szCs w:val="20"/>
                <w:color w:val="auto"/>
              </w:rPr>
            </w:pPr>
            <w:r>
              <w:rPr>
                <w:rFonts w:ascii="Calibri" w:cs="Calibri" w:eastAsia="Calibri" w:hAnsi="Calibri"/>
                <w:sz w:val="15"/>
                <w:szCs w:val="15"/>
                <w:b w:val="1"/>
                <w:bCs w:val="1"/>
                <w:color w:val="auto"/>
              </w:rPr>
              <w:t>253,546</w:t>
            </w:r>
          </w:p>
        </w:tc>
        <w:tc>
          <w:tcPr>
            <w:tcW w:w="132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302,023</w:t>
            </w:r>
          </w:p>
        </w:tc>
        <w:tc>
          <w:tcPr>
            <w:tcW w:w="0" w:type="dxa"/>
            <w:vAlign w:val="bottom"/>
          </w:tcPr>
          <w:p>
            <w:pPr>
              <w:spacing w:after="0"/>
              <w:rPr>
                <w:sz w:val="1"/>
                <w:szCs w:val="1"/>
                <w:color w:val="auto"/>
              </w:rPr>
            </w:pPr>
          </w:p>
        </w:tc>
      </w:tr>
      <w:tr>
        <w:trPr>
          <w:trHeight w:val="20"/>
        </w:trPr>
        <w:tc>
          <w:tcPr>
            <w:tcW w:w="48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 Contracts, commitments and contngencies (note 11); Subsequent events (note 15)</w:t>
      </w:r>
    </w:p>
    <w:p>
      <w:pPr>
        <w:spacing w:after="0" w:line="14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pacing w:after="0" w:line="143" w:lineRule="exact"/>
        <w:rPr>
          <w:sz w:val="20"/>
          <w:szCs w:val="20"/>
          <w:color w:val="auto"/>
        </w:rPr>
      </w:pPr>
    </w:p>
    <w:p>
      <w:pPr>
        <w:spacing w:after="0"/>
        <w:rPr>
          <w:sz w:val="20"/>
          <w:szCs w:val="20"/>
          <w:color w:val="auto"/>
        </w:rPr>
      </w:pPr>
      <w:r>
        <w:rPr>
          <w:rFonts w:ascii="Calibri" w:cs="Calibri" w:eastAsia="Calibri" w:hAnsi="Calibri"/>
          <w:sz w:val="16"/>
          <w:szCs w:val="16"/>
          <w:color w:val="auto"/>
        </w:rPr>
        <w:t>These condensed interim consolidated fnancial statements were approved for issue on February 10, 2025 by the board of directors and signed on its behalf by:</w:t>
      </w:r>
    </w:p>
    <w:p>
      <w:pPr>
        <w:spacing w:after="0" w:line="143" w:lineRule="exact"/>
        <w:rPr>
          <w:sz w:val="20"/>
          <w:szCs w:val="20"/>
          <w:color w:val="auto"/>
        </w:rPr>
      </w:pPr>
    </w:p>
    <w:p>
      <w:pPr>
        <w:spacing w:after="0"/>
        <w:tabs>
          <w:tab w:leader="none" w:pos="270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260"/>
          </w:cols>
          <w:pgMar w:left="320" w:top="209" w:right="319" w:bottom="1440" w:gutter="0" w:footer="0" w:header="0"/>
          <w:type w:val="continuous"/>
        </w:sectPr>
      </w:pPr>
    </w:p>
    <w:bookmarkStart w:id="6" w:name="page7"/>
    <w:bookmarkEnd w:id="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25" w:lineRule="auto"/>
        <w:rPr>
          <w:sz w:val="20"/>
          <w:szCs w:val="20"/>
          <w:color w:val="auto"/>
        </w:rPr>
      </w:pPr>
      <w:r>
        <w:rPr>
          <w:rFonts w:ascii="Calibri" w:cs="Calibri" w:eastAsia="Calibri" w:hAnsi="Calibri"/>
          <w:sz w:val="19"/>
          <w:szCs w:val="19"/>
          <w:b w:val="1"/>
          <w:bCs w:val="1"/>
          <w:color w:val="auto"/>
        </w:rPr>
        <w:t>CONDENSED INTERIM CONSOLIDATED STATEMENTS OF LOSS AND COMPREHENSIVE LOSS</w:t>
      </w:r>
    </w:p>
    <w:p>
      <w:pPr>
        <w:ind w:left="60"/>
        <w:spacing w:after="0" w:line="225" w:lineRule="auto"/>
        <w:rPr>
          <w:sz w:val="20"/>
          <w:szCs w:val="20"/>
          <w:color w:val="auto"/>
        </w:rPr>
      </w:pPr>
      <w:r>
        <w:rPr>
          <w:rFonts w:ascii="Calibri" w:cs="Calibri" w:eastAsia="Calibri" w:hAnsi="Calibri"/>
          <w:sz w:val="19"/>
          <w:szCs w:val="19"/>
          <w:b w:val="1"/>
          <w:bCs w:val="1"/>
          <w:color w:val="auto"/>
        </w:rPr>
        <w:t>(All amounts expressed in thousands of Canadian dollars, except share and per share amounts)</w:t>
      </w:r>
    </w:p>
    <w:p>
      <w:pPr>
        <w:ind w:left="60"/>
        <w:spacing w:after="0" w:line="237" w:lineRule="auto"/>
        <w:rPr>
          <w:sz w:val="20"/>
          <w:szCs w:val="20"/>
          <w:color w:val="auto"/>
        </w:rPr>
      </w:pPr>
      <w:r>
        <w:rPr>
          <w:rFonts w:ascii="Calibri" w:cs="Calibri" w:eastAsia="Calibri" w:hAnsi="Calibri"/>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40" w:type="dxa"/>
            <w:vAlign w:val="bottom"/>
            <w:gridSpan w:val="2"/>
          </w:tcPr>
          <w:p>
            <w:pPr>
              <w:jc w:val="right"/>
              <w:ind w:right="567"/>
              <w:spacing w:after="0"/>
              <w:rPr>
                <w:sz w:val="20"/>
                <w:szCs w:val="20"/>
                <w:color w:val="auto"/>
              </w:rPr>
            </w:pPr>
            <w:r>
              <w:rPr>
                <w:rFonts w:ascii="Calibri" w:cs="Calibri" w:eastAsia="Calibri" w:hAnsi="Calibri"/>
                <w:sz w:val="15"/>
                <w:szCs w:val="15"/>
                <w:b w:val="1"/>
                <w:bCs w:val="1"/>
                <w:color w:val="auto"/>
              </w:rPr>
              <w:t>Three months ended December 31,</w:t>
            </w:r>
          </w:p>
        </w:tc>
        <w:tc>
          <w:tcPr>
            <w:tcW w:w="2760" w:type="dxa"/>
            <w:vAlign w:val="bottom"/>
            <w:gridSpan w:val="2"/>
          </w:tcPr>
          <w:p>
            <w:pPr>
              <w:jc w:val="right"/>
              <w:ind w:right="367"/>
              <w:spacing w:after="0"/>
              <w:rPr>
                <w:sz w:val="20"/>
                <w:szCs w:val="20"/>
                <w:color w:val="auto"/>
              </w:rPr>
            </w:pPr>
            <w:r>
              <w:rPr>
                <w:rFonts w:ascii="Calibri" w:cs="Calibri" w:eastAsia="Calibri" w:hAnsi="Calibri"/>
                <w:sz w:val="15"/>
                <w:szCs w:val="15"/>
                <w:b w:val="1"/>
                <w:bCs w:val="1"/>
                <w:color w:val="auto"/>
              </w:rPr>
              <w:t>Nine months ended December 31,</w:t>
            </w:r>
          </w:p>
        </w:tc>
        <w:tc>
          <w:tcPr>
            <w:tcW w:w="0" w:type="dxa"/>
            <w:vAlign w:val="bottom"/>
          </w:tcPr>
          <w:p>
            <w:pPr>
              <w:spacing w:after="0"/>
              <w:rPr>
                <w:sz w:val="1"/>
                <w:szCs w:val="1"/>
                <w:color w:val="auto"/>
              </w:rPr>
            </w:pPr>
          </w:p>
        </w:tc>
      </w:tr>
      <w:tr>
        <w:trPr>
          <w:trHeight w:val="24"/>
        </w:trPr>
        <w:tc>
          <w:tcPr>
            <w:tcW w:w="4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680" w:type="dxa"/>
            <w:vAlign w:val="bottom"/>
          </w:tcPr>
          <w:p>
            <w:pPr>
              <w:spacing w:after="0"/>
              <w:rPr>
                <w:sz w:val="17"/>
                <w:szCs w:val="17"/>
                <w:color w:val="auto"/>
              </w:rPr>
            </w:pPr>
          </w:p>
        </w:tc>
        <w:tc>
          <w:tcPr>
            <w:tcW w:w="680" w:type="dxa"/>
            <w:vAlign w:val="bottom"/>
          </w:tcPr>
          <w:p>
            <w:pPr>
              <w:ind w:left="280"/>
              <w:spacing w:after="0"/>
              <w:rPr>
                <w:sz w:val="20"/>
                <w:szCs w:val="20"/>
                <w:color w:val="auto"/>
              </w:rPr>
            </w:pPr>
            <w:r>
              <w:rPr>
                <w:rFonts w:ascii="Calibri" w:cs="Calibri" w:eastAsia="Calibri" w:hAnsi="Calibri"/>
                <w:sz w:val="15"/>
                <w:szCs w:val="15"/>
                <w:i w:val="1"/>
                <w:iCs w:val="1"/>
                <w:color w:val="auto"/>
              </w:rPr>
              <w:t>Notes</w:t>
            </w:r>
          </w:p>
        </w:tc>
        <w:tc>
          <w:tcPr>
            <w:tcW w:w="1840" w:type="dxa"/>
            <w:vAlign w:val="bottom"/>
          </w:tcPr>
          <w:p>
            <w:pPr>
              <w:jc w:val="right"/>
              <w:ind w:right="388"/>
              <w:spacing w:after="0"/>
              <w:rPr>
                <w:sz w:val="20"/>
                <w:szCs w:val="20"/>
                <w:color w:val="auto"/>
              </w:rPr>
            </w:pPr>
            <w:r>
              <w:rPr>
                <w:rFonts w:ascii="Calibri" w:cs="Calibri" w:eastAsia="Calibri" w:hAnsi="Calibri"/>
                <w:sz w:val="15"/>
                <w:szCs w:val="15"/>
                <w:b w:val="1"/>
                <w:bCs w:val="1"/>
                <w:color w:val="auto"/>
              </w:rPr>
              <w:t>2024</w:t>
            </w:r>
          </w:p>
        </w:tc>
        <w:tc>
          <w:tcPr>
            <w:tcW w:w="1300" w:type="dxa"/>
            <w:vAlign w:val="bottom"/>
          </w:tcPr>
          <w:p>
            <w:pPr>
              <w:jc w:val="right"/>
              <w:ind w:right="227"/>
              <w:spacing w:after="0"/>
              <w:rPr>
                <w:sz w:val="20"/>
                <w:szCs w:val="20"/>
                <w:color w:val="auto"/>
              </w:rPr>
            </w:pPr>
            <w:r>
              <w:rPr>
                <w:rFonts w:ascii="Calibri" w:cs="Calibri" w:eastAsia="Calibri" w:hAnsi="Calibri"/>
                <w:sz w:val="15"/>
                <w:szCs w:val="15"/>
                <w:b w:val="1"/>
                <w:bCs w:val="1"/>
                <w:color w:val="auto"/>
              </w:rPr>
              <w:t>2023</w:t>
            </w:r>
          </w:p>
        </w:tc>
        <w:tc>
          <w:tcPr>
            <w:tcW w:w="170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2024</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b w:val="1"/>
                <w:bCs w:val="1"/>
                <w:color w:val="auto"/>
              </w:rPr>
              <w:t>2023</w:t>
            </w: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4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468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680" w:type="dxa"/>
            <w:vAlign w:val="bottom"/>
            <w:vMerge w:val="restart"/>
          </w:tcPr>
          <w:p>
            <w:pPr>
              <w:ind w:left="200"/>
              <w:spacing w:after="0"/>
              <w:rPr>
                <w:sz w:val="20"/>
                <w:szCs w:val="20"/>
                <w:color w:val="auto"/>
              </w:rPr>
            </w:pPr>
            <w:r>
              <w:rPr>
                <w:rFonts w:ascii="Calibri" w:cs="Calibri" w:eastAsia="Calibri" w:hAnsi="Calibri"/>
                <w:sz w:val="15"/>
                <w:szCs w:val="15"/>
                <w:color w:val="auto"/>
              </w:rPr>
              <w:t>Research</w:t>
            </w:r>
          </w:p>
        </w:tc>
        <w:tc>
          <w:tcPr>
            <w:tcW w:w="680" w:type="dxa"/>
            <w:vAlign w:val="bottom"/>
          </w:tcPr>
          <w:p>
            <w:pPr>
              <w:jc w:val="center"/>
              <w:spacing w:after="0"/>
              <w:rPr>
                <w:sz w:val="20"/>
                <w:szCs w:val="20"/>
                <w:color w:val="auto"/>
              </w:rPr>
            </w:pPr>
            <w:r>
              <w:rPr>
                <w:rFonts w:ascii="Calibri" w:cs="Calibri" w:eastAsia="Calibri" w:hAnsi="Calibri"/>
                <w:sz w:val="15"/>
                <w:szCs w:val="15"/>
                <w:i w:val="1"/>
                <w:iCs w:val="1"/>
                <w:color w:val="auto"/>
              </w:rPr>
              <w:t>9</w:t>
            </w:r>
          </w:p>
        </w:tc>
        <w:tc>
          <w:tcPr>
            <w:tcW w:w="1840" w:type="dxa"/>
            <w:vAlign w:val="bottom"/>
            <w:vMerge w:val="restart"/>
          </w:tcPr>
          <w:p>
            <w:pPr>
              <w:jc w:val="right"/>
              <w:ind w:right="388"/>
              <w:spacing w:after="0"/>
              <w:rPr>
                <w:sz w:val="20"/>
                <w:szCs w:val="20"/>
                <w:color w:val="auto"/>
              </w:rPr>
            </w:pPr>
            <w:r>
              <w:rPr>
                <w:rFonts w:ascii="Calibri" w:cs="Calibri" w:eastAsia="Calibri" w:hAnsi="Calibri"/>
                <w:sz w:val="15"/>
                <w:szCs w:val="15"/>
                <w:b w:val="1"/>
                <w:bCs w:val="1"/>
                <w:color w:val="auto"/>
              </w:rPr>
              <w:t>18,785</w:t>
            </w:r>
          </w:p>
        </w:tc>
        <w:tc>
          <w:tcPr>
            <w:tcW w:w="1300" w:type="dxa"/>
            <w:vAlign w:val="bottom"/>
            <w:vMerge w:val="restart"/>
          </w:tcPr>
          <w:p>
            <w:pPr>
              <w:jc w:val="right"/>
              <w:ind w:right="227"/>
              <w:spacing w:after="0"/>
              <w:rPr>
                <w:sz w:val="20"/>
                <w:szCs w:val="20"/>
                <w:color w:val="auto"/>
              </w:rPr>
            </w:pPr>
            <w:r>
              <w:rPr>
                <w:rFonts w:ascii="Calibri" w:cs="Calibri" w:eastAsia="Calibri" w:hAnsi="Calibri"/>
                <w:sz w:val="15"/>
                <w:szCs w:val="15"/>
                <w:color w:val="auto"/>
              </w:rPr>
              <w:t>7,439</w:t>
            </w:r>
          </w:p>
        </w:tc>
        <w:tc>
          <w:tcPr>
            <w:tcW w:w="170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35,941</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color w:val="auto"/>
              </w:rPr>
              <w:t>20,519</w:t>
            </w:r>
          </w:p>
        </w:tc>
        <w:tc>
          <w:tcPr>
            <w:tcW w:w="0" w:type="dxa"/>
            <w:vAlign w:val="bottom"/>
          </w:tcPr>
          <w:p>
            <w:pPr>
              <w:spacing w:after="0"/>
              <w:rPr>
                <w:sz w:val="1"/>
                <w:szCs w:val="1"/>
                <w:color w:val="auto"/>
              </w:rPr>
            </w:pPr>
          </w:p>
        </w:tc>
      </w:tr>
      <w:tr>
        <w:trPr>
          <w:trHeight w:val="73"/>
        </w:trPr>
        <w:tc>
          <w:tcPr>
            <w:tcW w:w="4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680" w:type="dxa"/>
            <w:vAlign w:val="bottom"/>
            <w:vMerge w:val="restart"/>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68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10</w:t>
            </w:r>
          </w:p>
        </w:tc>
        <w:tc>
          <w:tcPr>
            <w:tcW w:w="1840" w:type="dxa"/>
            <w:vAlign w:val="bottom"/>
            <w:vMerge w:val="restart"/>
          </w:tcPr>
          <w:p>
            <w:pPr>
              <w:jc w:val="right"/>
              <w:ind w:right="388"/>
              <w:spacing w:after="0"/>
              <w:rPr>
                <w:sz w:val="20"/>
                <w:szCs w:val="20"/>
                <w:color w:val="auto"/>
              </w:rPr>
            </w:pPr>
            <w:r>
              <w:rPr>
                <w:rFonts w:ascii="Calibri" w:cs="Calibri" w:eastAsia="Calibri" w:hAnsi="Calibri"/>
                <w:sz w:val="15"/>
                <w:szCs w:val="15"/>
                <w:b w:val="1"/>
                <w:bCs w:val="1"/>
                <w:color w:val="auto"/>
              </w:rPr>
              <w:t>9,177</w:t>
            </w:r>
          </w:p>
        </w:tc>
        <w:tc>
          <w:tcPr>
            <w:tcW w:w="1300" w:type="dxa"/>
            <w:vAlign w:val="bottom"/>
            <w:vMerge w:val="restart"/>
          </w:tcPr>
          <w:p>
            <w:pPr>
              <w:jc w:val="right"/>
              <w:ind w:right="227"/>
              <w:spacing w:after="0"/>
              <w:rPr>
                <w:sz w:val="20"/>
                <w:szCs w:val="20"/>
                <w:color w:val="auto"/>
              </w:rPr>
            </w:pPr>
            <w:r>
              <w:rPr>
                <w:rFonts w:ascii="Calibri" w:cs="Calibri" w:eastAsia="Calibri" w:hAnsi="Calibri"/>
                <w:sz w:val="15"/>
                <w:szCs w:val="15"/>
                <w:color w:val="auto"/>
              </w:rPr>
              <w:t>9,657</w:t>
            </w:r>
          </w:p>
        </w:tc>
        <w:tc>
          <w:tcPr>
            <w:tcW w:w="170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33,158</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color w:val="auto"/>
              </w:rPr>
              <w:t>20,505</w:t>
            </w:r>
          </w:p>
        </w:tc>
        <w:tc>
          <w:tcPr>
            <w:tcW w:w="0" w:type="dxa"/>
            <w:vAlign w:val="bottom"/>
          </w:tcPr>
          <w:p>
            <w:pPr>
              <w:spacing w:after="0"/>
              <w:rPr>
                <w:sz w:val="1"/>
                <w:szCs w:val="1"/>
                <w:color w:val="auto"/>
              </w:rPr>
            </w:pPr>
          </w:p>
        </w:tc>
      </w:tr>
      <w:tr>
        <w:trPr>
          <w:trHeight w:val="73"/>
        </w:trPr>
        <w:tc>
          <w:tcPr>
            <w:tcW w:w="4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680" w:type="dxa"/>
            <w:vAlign w:val="bottom"/>
            <w:vMerge w:val="restart"/>
          </w:tcPr>
          <w:p>
            <w:pPr>
              <w:ind w:left="200"/>
              <w:spacing w:after="0"/>
              <w:rPr>
                <w:sz w:val="20"/>
                <w:szCs w:val="20"/>
                <w:color w:val="auto"/>
              </w:rPr>
            </w:pPr>
            <w:r>
              <w:rPr>
                <w:rFonts w:ascii="Calibri" w:cs="Calibri" w:eastAsia="Calibri" w:hAnsi="Calibri"/>
                <w:sz w:val="15"/>
                <w:szCs w:val="15"/>
                <w:color w:val="auto"/>
              </w:rPr>
              <w:t>Share-based compensaton</w:t>
            </w:r>
          </w:p>
        </w:tc>
        <w:tc>
          <w:tcPr>
            <w:tcW w:w="680" w:type="dxa"/>
            <w:vAlign w:val="bottom"/>
          </w:tcPr>
          <w:p>
            <w:pPr>
              <w:jc w:val="center"/>
              <w:spacing w:after="0"/>
              <w:rPr>
                <w:sz w:val="20"/>
                <w:szCs w:val="20"/>
                <w:color w:val="auto"/>
              </w:rPr>
            </w:pPr>
            <w:r>
              <w:rPr>
                <w:rFonts w:ascii="Calibri" w:cs="Calibri" w:eastAsia="Calibri" w:hAnsi="Calibri"/>
                <w:sz w:val="15"/>
                <w:szCs w:val="15"/>
                <w:i w:val="1"/>
                <w:iCs w:val="1"/>
                <w:color w:val="auto"/>
              </w:rPr>
              <w:t>7</w:t>
            </w:r>
          </w:p>
        </w:tc>
        <w:tc>
          <w:tcPr>
            <w:tcW w:w="1840" w:type="dxa"/>
            <w:vAlign w:val="bottom"/>
            <w:vMerge w:val="restart"/>
          </w:tcPr>
          <w:p>
            <w:pPr>
              <w:jc w:val="right"/>
              <w:ind w:right="388"/>
              <w:spacing w:after="0"/>
              <w:rPr>
                <w:sz w:val="20"/>
                <w:szCs w:val="20"/>
                <w:color w:val="auto"/>
              </w:rPr>
            </w:pPr>
            <w:r>
              <w:rPr>
                <w:rFonts w:ascii="Calibri" w:cs="Calibri" w:eastAsia="Calibri" w:hAnsi="Calibri"/>
                <w:sz w:val="15"/>
                <w:szCs w:val="15"/>
                <w:b w:val="1"/>
                <w:bCs w:val="1"/>
                <w:color w:val="auto"/>
              </w:rPr>
              <w:t>3,342</w:t>
            </w:r>
          </w:p>
        </w:tc>
        <w:tc>
          <w:tcPr>
            <w:tcW w:w="1300" w:type="dxa"/>
            <w:vAlign w:val="bottom"/>
            <w:vMerge w:val="restart"/>
          </w:tcPr>
          <w:p>
            <w:pPr>
              <w:jc w:val="right"/>
              <w:ind w:right="227"/>
              <w:spacing w:after="0"/>
              <w:rPr>
                <w:sz w:val="20"/>
                <w:szCs w:val="20"/>
                <w:color w:val="auto"/>
              </w:rPr>
            </w:pPr>
            <w:r>
              <w:rPr>
                <w:rFonts w:ascii="Calibri" w:cs="Calibri" w:eastAsia="Calibri" w:hAnsi="Calibri"/>
                <w:sz w:val="15"/>
                <w:szCs w:val="15"/>
                <w:color w:val="auto"/>
              </w:rPr>
              <w:t>9,928</w:t>
            </w:r>
          </w:p>
        </w:tc>
        <w:tc>
          <w:tcPr>
            <w:tcW w:w="170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40,776</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color w:val="auto"/>
              </w:rPr>
              <w:t>12,617</w:t>
            </w:r>
          </w:p>
        </w:tc>
        <w:tc>
          <w:tcPr>
            <w:tcW w:w="0" w:type="dxa"/>
            <w:vAlign w:val="bottom"/>
          </w:tcPr>
          <w:p>
            <w:pPr>
              <w:spacing w:after="0"/>
              <w:rPr>
                <w:sz w:val="1"/>
                <w:szCs w:val="1"/>
                <w:color w:val="auto"/>
              </w:rPr>
            </w:pPr>
          </w:p>
        </w:tc>
      </w:tr>
      <w:tr>
        <w:trPr>
          <w:trHeight w:val="73"/>
        </w:trPr>
        <w:tc>
          <w:tcPr>
            <w:tcW w:w="4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680" w:type="dxa"/>
            <w:vAlign w:val="bottom"/>
          </w:tcPr>
          <w:p>
            <w:pPr>
              <w:spacing w:after="0"/>
              <w:rPr>
                <w:sz w:val="14"/>
                <w:szCs w:val="14"/>
                <w:color w:val="auto"/>
              </w:rPr>
            </w:pPr>
          </w:p>
        </w:tc>
        <w:tc>
          <w:tcPr>
            <w:tcW w:w="1840" w:type="dxa"/>
            <w:vAlign w:val="bottom"/>
          </w:tcPr>
          <w:p>
            <w:pPr>
              <w:jc w:val="right"/>
              <w:ind w:right="388"/>
              <w:spacing w:after="0" w:line="165" w:lineRule="exact"/>
              <w:rPr>
                <w:sz w:val="20"/>
                <w:szCs w:val="20"/>
                <w:color w:val="auto"/>
              </w:rPr>
            </w:pPr>
            <w:r>
              <w:rPr>
                <w:rFonts w:ascii="Calibri" w:cs="Calibri" w:eastAsia="Calibri" w:hAnsi="Calibri"/>
                <w:sz w:val="15"/>
                <w:szCs w:val="15"/>
                <w:b w:val="1"/>
                <w:bCs w:val="1"/>
                <w:color w:val="auto"/>
              </w:rPr>
              <w:t>31,304</w:t>
            </w:r>
          </w:p>
        </w:tc>
        <w:tc>
          <w:tcPr>
            <w:tcW w:w="1300" w:type="dxa"/>
            <w:vAlign w:val="bottom"/>
          </w:tcPr>
          <w:p>
            <w:pPr>
              <w:jc w:val="right"/>
              <w:ind w:right="227"/>
              <w:spacing w:after="0" w:line="165" w:lineRule="exact"/>
              <w:rPr>
                <w:sz w:val="20"/>
                <w:szCs w:val="20"/>
                <w:color w:val="auto"/>
              </w:rPr>
            </w:pPr>
            <w:r>
              <w:rPr>
                <w:rFonts w:ascii="Calibri" w:cs="Calibri" w:eastAsia="Calibri" w:hAnsi="Calibri"/>
                <w:sz w:val="15"/>
                <w:szCs w:val="15"/>
                <w:color w:val="auto"/>
              </w:rPr>
              <w:t>27,024</w:t>
            </w:r>
          </w:p>
        </w:tc>
        <w:tc>
          <w:tcPr>
            <w:tcW w:w="1700" w:type="dxa"/>
            <w:vAlign w:val="bottom"/>
          </w:tcPr>
          <w:p>
            <w:pPr>
              <w:jc w:val="right"/>
              <w:ind w:right="387"/>
              <w:spacing w:after="0" w:line="165" w:lineRule="exact"/>
              <w:rPr>
                <w:sz w:val="20"/>
                <w:szCs w:val="20"/>
                <w:color w:val="auto"/>
              </w:rPr>
            </w:pPr>
            <w:r>
              <w:rPr>
                <w:rFonts w:ascii="Calibri" w:cs="Calibri" w:eastAsia="Calibri" w:hAnsi="Calibri"/>
                <w:sz w:val="15"/>
                <w:szCs w:val="15"/>
                <w:b w:val="1"/>
                <w:bCs w:val="1"/>
                <w:color w:val="auto"/>
              </w:rPr>
              <w:t>109,875</w:t>
            </w:r>
          </w:p>
        </w:tc>
        <w:tc>
          <w:tcPr>
            <w:tcW w:w="1060" w:type="dxa"/>
            <w:vAlign w:val="bottom"/>
          </w:tcPr>
          <w:p>
            <w:pPr>
              <w:jc w:val="right"/>
              <w:spacing w:after="0" w:line="165" w:lineRule="exact"/>
              <w:rPr>
                <w:sz w:val="20"/>
                <w:szCs w:val="20"/>
                <w:color w:val="auto"/>
              </w:rPr>
            </w:pPr>
            <w:r>
              <w:rPr>
                <w:rFonts w:ascii="Calibri" w:cs="Calibri" w:eastAsia="Calibri" w:hAnsi="Calibri"/>
                <w:sz w:val="15"/>
                <w:szCs w:val="15"/>
                <w:color w:val="auto"/>
              </w:rPr>
              <w:t>53,641</w:t>
            </w:r>
          </w:p>
        </w:tc>
        <w:tc>
          <w:tcPr>
            <w:tcW w:w="0" w:type="dxa"/>
            <w:vAlign w:val="bottom"/>
          </w:tcPr>
          <w:p>
            <w:pPr>
              <w:spacing w:after="0"/>
              <w:rPr>
                <w:sz w:val="1"/>
                <w:szCs w:val="1"/>
                <w:color w:val="auto"/>
              </w:rPr>
            </w:pP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468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68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680" w:type="dxa"/>
            <w:vAlign w:val="bottom"/>
          </w:tcPr>
          <w:p>
            <w:pPr>
              <w:spacing w:after="0"/>
              <w:rPr>
                <w:sz w:val="23"/>
                <w:szCs w:val="23"/>
                <w:color w:val="auto"/>
              </w:rPr>
            </w:pPr>
          </w:p>
        </w:tc>
        <w:tc>
          <w:tcPr>
            <w:tcW w:w="1840" w:type="dxa"/>
            <w:vAlign w:val="bottom"/>
            <w:vMerge w:val="restart"/>
          </w:tcPr>
          <w:p>
            <w:pPr>
              <w:jc w:val="right"/>
              <w:ind w:right="388"/>
              <w:spacing w:after="0"/>
              <w:rPr>
                <w:sz w:val="20"/>
                <w:szCs w:val="20"/>
                <w:color w:val="auto"/>
              </w:rPr>
            </w:pPr>
            <w:r>
              <w:rPr>
                <w:rFonts w:ascii="Calibri" w:cs="Calibri" w:eastAsia="Calibri" w:hAnsi="Calibri"/>
                <w:sz w:val="15"/>
                <w:szCs w:val="15"/>
                <w:b w:val="1"/>
                <w:bCs w:val="1"/>
                <w:color w:val="auto"/>
              </w:rPr>
              <w:t>19,161</w:t>
            </w:r>
          </w:p>
        </w:tc>
        <w:tc>
          <w:tcPr>
            <w:tcW w:w="1300" w:type="dxa"/>
            <w:vAlign w:val="bottom"/>
            <w:vMerge w:val="restart"/>
          </w:tcPr>
          <w:p>
            <w:pPr>
              <w:jc w:val="right"/>
              <w:ind w:right="207"/>
              <w:spacing w:after="0"/>
              <w:rPr>
                <w:sz w:val="20"/>
                <w:szCs w:val="20"/>
                <w:color w:val="auto"/>
              </w:rPr>
            </w:pPr>
            <w:r>
              <w:rPr>
                <w:rFonts w:ascii="Calibri" w:cs="Calibri" w:eastAsia="Calibri" w:hAnsi="Calibri"/>
                <w:sz w:val="15"/>
                <w:szCs w:val="15"/>
                <w:color w:val="auto"/>
              </w:rPr>
              <w:t>(3,447)</w:t>
            </w:r>
          </w:p>
        </w:tc>
        <w:tc>
          <w:tcPr>
            <w:tcW w:w="170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20,497</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color w:val="auto"/>
              </w:rPr>
              <w:t>(3,370)</w:t>
            </w: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68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680" w:type="dxa"/>
            <w:vAlign w:val="bottom"/>
          </w:tcPr>
          <w:p>
            <w:pPr>
              <w:spacing w:after="0"/>
              <w:rPr>
                <w:sz w:val="23"/>
                <w:szCs w:val="23"/>
                <w:color w:val="auto"/>
              </w:rPr>
            </w:pPr>
          </w:p>
        </w:tc>
        <w:tc>
          <w:tcPr>
            <w:tcW w:w="1840" w:type="dxa"/>
            <w:vAlign w:val="bottom"/>
            <w:vMerge w:val="restart"/>
          </w:tcPr>
          <w:p>
            <w:pPr>
              <w:jc w:val="right"/>
              <w:ind w:right="388"/>
              <w:spacing w:after="0"/>
              <w:rPr>
                <w:sz w:val="20"/>
                <w:szCs w:val="20"/>
                <w:color w:val="auto"/>
              </w:rPr>
            </w:pPr>
            <w:r>
              <w:rPr>
                <w:rFonts w:ascii="Calibri" w:cs="Calibri" w:eastAsia="Calibri" w:hAnsi="Calibri"/>
                <w:sz w:val="15"/>
                <w:szCs w:val="15"/>
                <w:b w:val="1"/>
                <w:bCs w:val="1"/>
                <w:color w:val="auto"/>
              </w:rPr>
              <w:t>1,629</w:t>
            </w:r>
          </w:p>
        </w:tc>
        <w:tc>
          <w:tcPr>
            <w:tcW w:w="1300" w:type="dxa"/>
            <w:vAlign w:val="bottom"/>
            <w:vMerge w:val="restart"/>
          </w:tcPr>
          <w:p>
            <w:pPr>
              <w:jc w:val="right"/>
              <w:ind w:right="227"/>
              <w:spacing w:after="0"/>
              <w:rPr>
                <w:sz w:val="20"/>
                <w:szCs w:val="20"/>
                <w:color w:val="auto"/>
              </w:rPr>
            </w:pPr>
            <w:r>
              <w:rPr>
                <w:rFonts w:ascii="Calibri" w:cs="Calibri" w:eastAsia="Calibri" w:hAnsi="Calibri"/>
                <w:sz w:val="15"/>
                <w:szCs w:val="15"/>
                <w:color w:val="auto"/>
              </w:rPr>
              <w:t>141</w:t>
            </w:r>
          </w:p>
        </w:tc>
        <w:tc>
          <w:tcPr>
            <w:tcW w:w="170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6,848</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color w:val="auto"/>
              </w:rPr>
              <w:t>277</w:t>
            </w:r>
          </w:p>
        </w:tc>
        <w:tc>
          <w:tcPr>
            <w:tcW w:w="0" w:type="dxa"/>
            <w:vAlign w:val="bottom"/>
          </w:tcPr>
          <w:p>
            <w:pPr>
              <w:spacing w:after="0"/>
              <w:rPr>
                <w:sz w:val="1"/>
                <w:szCs w:val="1"/>
                <w:color w:val="auto"/>
              </w:rPr>
            </w:pPr>
          </w:p>
        </w:tc>
      </w:tr>
      <w:tr>
        <w:trPr>
          <w:trHeight w:val="48"/>
        </w:trPr>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680" w:type="dxa"/>
            <w:vAlign w:val="bottom"/>
          </w:tcPr>
          <w:p>
            <w:pPr>
              <w:ind w:left="200"/>
              <w:spacing w:after="0"/>
              <w:rPr>
                <w:sz w:val="20"/>
                <w:szCs w:val="20"/>
                <w:color w:val="auto"/>
              </w:rPr>
            </w:pPr>
            <w:r>
              <w:rPr>
                <w:rFonts w:ascii="Calibri" w:cs="Calibri" w:eastAsia="Calibri" w:hAnsi="Calibri"/>
                <w:sz w:val="15"/>
                <w:szCs w:val="15"/>
                <w:color w:val="auto"/>
              </w:rPr>
              <w:t>Other loss</w:t>
            </w:r>
          </w:p>
        </w:tc>
        <w:tc>
          <w:tcPr>
            <w:tcW w:w="680" w:type="dxa"/>
            <w:vAlign w:val="bottom"/>
          </w:tcPr>
          <w:p>
            <w:pPr>
              <w:jc w:val="center"/>
              <w:spacing w:after="0"/>
              <w:rPr>
                <w:sz w:val="20"/>
                <w:szCs w:val="20"/>
                <w:color w:val="auto"/>
              </w:rPr>
            </w:pPr>
            <w:r>
              <w:rPr>
                <w:rFonts w:ascii="Calibri" w:cs="Calibri" w:eastAsia="Calibri" w:hAnsi="Calibri"/>
                <w:sz w:val="15"/>
                <w:szCs w:val="15"/>
                <w:i w:val="1"/>
                <w:iCs w:val="1"/>
                <w:color w:val="auto"/>
              </w:rPr>
              <w:t>5</w:t>
            </w:r>
          </w:p>
        </w:tc>
        <w:tc>
          <w:tcPr>
            <w:tcW w:w="1840" w:type="dxa"/>
            <w:vAlign w:val="bottom"/>
          </w:tcPr>
          <w:p>
            <w:pPr>
              <w:jc w:val="right"/>
              <w:ind w:right="348"/>
              <w:spacing w:after="0"/>
              <w:rPr>
                <w:sz w:val="20"/>
                <w:szCs w:val="20"/>
                <w:color w:val="auto"/>
              </w:rPr>
            </w:pPr>
            <w:r>
              <w:rPr>
                <w:rFonts w:ascii="Calibri" w:cs="Calibri" w:eastAsia="Calibri" w:hAnsi="Calibri"/>
                <w:sz w:val="15"/>
                <w:szCs w:val="15"/>
                <w:b w:val="1"/>
                <w:bCs w:val="1"/>
                <w:color w:val="auto"/>
              </w:rPr>
              <w:t>(28)</w:t>
            </w:r>
          </w:p>
        </w:tc>
        <w:tc>
          <w:tcPr>
            <w:tcW w:w="1300" w:type="dxa"/>
            <w:vAlign w:val="bottom"/>
          </w:tcPr>
          <w:p>
            <w:pPr>
              <w:jc w:val="right"/>
              <w:ind w:right="227"/>
              <w:spacing w:after="0"/>
              <w:rPr>
                <w:sz w:val="20"/>
                <w:szCs w:val="20"/>
                <w:color w:val="auto"/>
              </w:rPr>
            </w:pPr>
            <w:r>
              <w:rPr>
                <w:rFonts w:ascii="Calibri" w:cs="Calibri" w:eastAsia="Calibri" w:hAnsi="Calibri"/>
                <w:sz w:val="15"/>
                <w:szCs w:val="15"/>
                <w:color w:val="auto"/>
              </w:rPr>
              <w:t>—</w:t>
            </w:r>
          </w:p>
        </w:tc>
        <w:tc>
          <w:tcPr>
            <w:tcW w:w="170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(28)</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4"/>
        </w:trPr>
        <w:tc>
          <w:tcPr>
            <w:tcW w:w="4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 (LOSS)</w:t>
            </w:r>
          </w:p>
        </w:tc>
        <w:tc>
          <w:tcPr>
            <w:tcW w:w="680" w:type="dxa"/>
            <w:vAlign w:val="bottom"/>
          </w:tcPr>
          <w:p>
            <w:pPr>
              <w:spacing w:after="0"/>
              <w:rPr>
                <w:sz w:val="14"/>
                <w:szCs w:val="14"/>
                <w:color w:val="auto"/>
              </w:rPr>
            </w:pPr>
          </w:p>
        </w:tc>
        <w:tc>
          <w:tcPr>
            <w:tcW w:w="1840" w:type="dxa"/>
            <w:vAlign w:val="bottom"/>
          </w:tcPr>
          <w:p>
            <w:pPr>
              <w:jc w:val="right"/>
              <w:ind w:right="388"/>
              <w:spacing w:after="0" w:line="165" w:lineRule="exact"/>
              <w:rPr>
                <w:sz w:val="20"/>
                <w:szCs w:val="20"/>
                <w:color w:val="auto"/>
              </w:rPr>
            </w:pPr>
            <w:r>
              <w:rPr>
                <w:rFonts w:ascii="Calibri" w:cs="Calibri" w:eastAsia="Calibri" w:hAnsi="Calibri"/>
                <w:sz w:val="15"/>
                <w:szCs w:val="15"/>
                <w:b w:val="1"/>
                <w:bCs w:val="1"/>
                <w:color w:val="auto"/>
              </w:rPr>
              <w:t>20,762</w:t>
            </w:r>
          </w:p>
        </w:tc>
        <w:tc>
          <w:tcPr>
            <w:tcW w:w="1300" w:type="dxa"/>
            <w:vAlign w:val="bottom"/>
          </w:tcPr>
          <w:p>
            <w:pPr>
              <w:jc w:val="right"/>
              <w:ind w:right="207"/>
              <w:spacing w:after="0" w:line="165" w:lineRule="exact"/>
              <w:rPr>
                <w:sz w:val="20"/>
                <w:szCs w:val="20"/>
                <w:color w:val="auto"/>
              </w:rPr>
            </w:pPr>
            <w:r>
              <w:rPr>
                <w:rFonts w:ascii="Calibri" w:cs="Calibri" w:eastAsia="Calibri" w:hAnsi="Calibri"/>
                <w:sz w:val="15"/>
                <w:szCs w:val="15"/>
                <w:color w:val="auto"/>
              </w:rPr>
              <w:t>(3,306)</w:t>
            </w:r>
          </w:p>
        </w:tc>
        <w:tc>
          <w:tcPr>
            <w:tcW w:w="1700" w:type="dxa"/>
            <w:vAlign w:val="bottom"/>
          </w:tcPr>
          <w:p>
            <w:pPr>
              <w:jc w:val="right"/>
              <w:ind w:right="387"/>
              <w:spacing w:after="0" w:line="165" w:lineRule="exact"/>
              <w:rPr>
                <w:sz w:val="20"/>
                <w:szCs w:val="20"/>
                <w:color w:val="auto"/>
              </w:rPr>
            </w:pPr>
            <w:r>
              <w:rPr>
                <w:rFonts w:ascii="Calibri" w:cs="Calibri" w:eastAsia="Calibri" w:hAnsi="Calibri"/>
                <w:sz w:val="15"/>
                <w:szCs w:val="15"/>
                <w:b w:val="1"/>
                <w:bCs w:val="1"/>
                <w:color w:val="auto"/>
              </w:rPr>
              <w:t>27,317</w:t>
            </w:r>
          </w:p>
        </w:tc>
        <w:tc>
          <w:tcPr>
            <w:tcW w:w="1060" w:type="dxa"/>
            <w:vAlign w:val="bottom"/>
          </w:tcPr>
          <w:p>
            <w:pPr>
              <w:jc w:val="right"/>
              <w:spacing w:after="0" w:line="165" w:lineRule="exact"/>
              <w:rPr>
                <w:sz w:val="20"/>
                <w:szCs w:val="20"/>
                <w:color w:val="auto"/>
              </w:rPr>
            </w:pPr>
            <w:r>
              <w:rPr>
                <w:rFonts w:ascii="Calibri" w:cs="Calibri" w:eastAsia="Calibri" w:hAnsi="Calibri"/>
                <w:sz w:val="15"/>
                <w:szCs w:val="15"/>
                <w:color w:val="auto"/>
              </w:rPr>
              <w:t>(3,093)</w:t>
            </w:r>
          </w:p>
        </w:tc>
        <w:tc>
          <w:tcPr>
            <w:tcW w:w="0" w:type="dxa"/>
            <w:vAlign w:val="bottom"/>
          </w:tcPr>
          <w:p>
            <w:pPr>
              <w:spacing w:after="0"/>
              <w:rPr>
                <w:sz w:val="1"/>
                <w:szCs w:val="1"/>
                <w:color w:val="auto"/>
              </w:rPr>
            </w:pP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NET LOSS FOR THE PERIOD</w:t>
            </w:r>
          </w:p>
        </w:tc>
        <w:tc>
          <w:tcPr>
            <w:tcW w:w="680" w:type="dxa"/>
            <w:vAlign w:val="bottom"/>
            <w:tcBorders>
              <w:bottom w:val="single" w:sz="8" w:color="DBDBDB"/>
            </w:tcBorders>
            <w:shd w:val="clear" w:color="auto" w:fill="DBDBDB"/>
          </w:tcPr>
          <w:p>
            <w:pPr>
              <w:spacing w:after="0"/>
              <w:rPr>
                <w:sz w:val="16"/>
                <w:szCs w:val="16"/>
                <w:color w:val="auto"/>
              </w:rPr>
            </w:pPr>
          </w:p>
        </w:tc>
        <w:tc>
          <w:tcPr>
            <w:tcW w:w="1840" w:type="dxa"/>
            <w:vAlign w:val="bottom"/>
            <w:tcBorders>
              <w:bottom w:val="single" w:sz="8" w:color="DBDBDB"/>
            </w:tcBorders>
            <w:shd w:val="clear" w:color="auto" w:fill="DBDBDB"/>
          </w:tcPr>
          <w:p>
            <w:pPr>
              <w:jc w:val="right"/>
              <w:ind w:right="348"/>
              <w:spacing w:after="0" w:line="165" w:lineRule="exact"/>
              <w:rPr>
                <w:sz w:val="20"/>
                <w:szCs w:val="20"/>
                <w:color w:val="auto"/>
              </w:rPr>
            </w:pPr>
            <w:r>
              <w:rPr>
                <w:rFonts w:ascii="Calibri" w:cs="Calibri" w:eastAsia="Calibri" w:hAnsi="Calibri"/>
                <w:sz w:val="15"/>
                <w:szCs w:val="15"/>
                <w:b w:val="1"/>
                <w:bCs w:val="1"/>
                <w:color w:val="auto"/>
              </w:rPr>
              <w:t>(10,542)</w:t>
            </w:r>
          </w:p>
        </w:tc>
        <w:tc>
          <w:tcPr>
            <w:tcW w:w="1300" w:type="dxa"/>
            <w:vAlign w:val="bottom"/>
            <w:tcBorders>
              <w:bottom w:val="single" w:sz="8" w:color="DBDBDB"/>
            </w:tcBorders>
            <w:shd w:val="clear" w:color="auto" w:fill="DBDBDB"/>
          </w:tcPr>
          <w:p>
            <w:pPr>
              <w:jc w:val="right"/>
              <w:ind w:right="207"/>
              <w:spacing w:after="0" w:line="165" w:lineRule="exact"/>
              <w:rPr>
                <w:sz w:val="20"/>
                <w:szCs w:val="20"/>
                <w:color w:val="auto"/>
              </w:rPr>
            </w:pPr>
            <w:r>
              <w:rPr>
                <w:rFonts w:ascii="Calibri" w:cs="Calibri" w:eastAsia="Calibri" w:hAnsi="Calibri"/>
                <w:sz w:val="15"/>
                <w:szCs w:val="15"/>
                <w:color w:val="auto"/>
              </w:rPr>
              <w:t>(30,330)</w:t>
            </w:r>
          </w:p>
        </w:tc>
        <w:tc>
          <w:tcPr>
            <w:tcW w:w="1700" w:type="dxa"/>
            <w:vAlign w:val="bottom"/>
            <w:tcBorders>
              <w:bottom w:val="single" w:sz="8" w:color="DBDBDB"/>
            </w:tcBorders>
            <w:shd w:val="clear" w:color="auto" w:fill="DBDBDB"/>
          </w:tcPr>
          <w:p>
            <w:pPr>
              <w:jc w:val="right"/>
              <w:ind w:right="347"/>
              <w:spacing w:after="0" w:line="165" w:lineRule="exact"/>
              <w:rPr>
                <w:sz w:val="20"/>
                <w:szCs w:val="20"/>
                <w:color w:val="auto"/>
              </w:rPr>
            </w:pPr>
            <w:r>
              <w:rPr>
                <w:rFonts w:ascii="Calibri" w:cs="Calibri" w:eastAsia="Calibri" w:hAnsi="Calibri"/>
                <w:sz w:val="15"/>
                <w:szCs w:val="15"/>
                <w:b w:val="1"/>
                <w:bCs w:val="1"/>
                <w:color w:val="auto"/>
              </w:rPr>
              <w:t>(82,558)</w:t>
            </w:r>
          </w:p>
        </w:tc>
        <w:tc>
          <w:tcPr>
            <w:tcW w:w="106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(56,734)</w:t>
            </w:r>
          </w:p>
        </w:tc>
        <w:tc>
          <w:tcPr>
            <w:tcW w:w="0" w:type="dxa"/>
            <w:vAlign w:val="bottom"/>
          </w:tcPr>
          <w:p>
            <w:pPr>
              <w:spacing w:after="0"/>
              <w:rPr>
                <w:sz w:val="1"/>
                <w:szCs w:val="1"/>
                <w:color w:val="auto"/>
              </w:rPr>
            </w:pPr>
          </w:p>
        </w:tc>
      </w:tr>
      <w:tr>
        <w:trPr>
          <w:trHeight w:val="379"/>
        </w:trPr>
        <w:tc>
          <w:tcPr>
            <w:tcW w:w="46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GAIN (LOSS)</w:t>
            </w:r>
          </w:p>
        </w:tc>
        <w:tc>
          <w:tcPr>
            <w:tcW w:w="6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68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680" w:type="dxa"/>
            <w:vAlign w:val="bottom"/>
          </w:tcPr>
          <w:p>
            <w:pPr>
              <w:spacing w:after="0"/>
              <w:rPr>
                <w:sz w:val="23"/>
                <w:szCs w:val="23"/>
                <w:color w:val="auto"/>
              </w:rPr>
            </w:pPr>
          </w:p>
        </w:tc>
        <w:tc>
          <w:tcPr>
            <w:tcW w:w="1840" w:type="dxa"/>
            <w:vAlign w:val="bottom"/>
            <w:vMerge w:val="restart"/>
          </w:tcPr>
          <w:p>
            <w:pPr>
              <w:jc w:val="right"/>
              <w:ind w:right="348"/>
              <w:spacing w:after="0"/>
              <w:rPr>
                <w:sz w:val="20"/>
                <w:szCs w:val="20"/>
                <w:color w:val="auto"/>
              </w:rPr>
            </w:pPr>
            <w:r>
              <w:rPr>
                <w:rFonts w:ascii="Arial" w:cs="Arial" w:eastAsia="Arial" w:hAnsi="Arial"/>
                <w:sz w:val="13"/>
                <w:szCs w:val="13"/>
                <w:b w:val="1"/>
                <w:bCs w:val="1"/>
                <w:color w:val="auto"/>
              </w:rPr>
              <w:t>(7,513)</w:t>
            </w:r>
          </w:p>
        </w:tc>
        <w:tc>
          <w:tcPr>
            <w:tcW w:w="1300" w:type="dxa"/>
            <w:vAlign w:val="bottom"/>
            <w:vMerge w:val="restart"/>
          </w:tcPr>
          <w:p>
            <w:pPr>
              <w:jc w:val="right"/>
              <w:ind w:right="227"/>
              <w:spacing w:after="0"/>
              <w:rPr>
                <w:sz w:val="20"/>
                <w:szCs w:val="20"/>
                <w:color w:val="auto"/>
              </w:rPr>
            </w:pPr>
            <w:r>
              <w:rPr>
                <w:rFonts w:ascii="Calibri" w:cs="Calibri" w:eastAsia="Calibri" w:hAnsi="Calibri"/>
                <w:sz w:val="15"/>
                <w:szCs w:val="15"/>
                <w:color w:val="auto"/>
              </w:rPr>
              <w:t>1,636</w:t>
            </w:r>
          </w:p>
        </w:tc>
        <w:tc>
          <w:tcPr>
            <w:tcW w:w="1700" w:type="dxa"/>
            <w:vAlign w:val="bottom"/>
            <w:vMerge w:val="restart"/>
          </w:tcPr>
          <w:p>
            <w:pPr>
              <w:jc w:val="right"/>
              <w:ind w:right="347"/>
              <w:spacing w:after="0"/>
              <w:rPr>
                <w:sz w:val="20"/>
                <w:szCs w:val="20"/>
                <w:color w:val="auto"/>
              </w:rPr>
            </w:pPr>
            <w:r>
              <w:rPr>
                <w:rFonts w:ascii="Calibri" w:cs="Calibri" w:eastAsia="Calibri" w:hAnsi="Calibri"/>
                <w:sz w:val="15"/>
                <w:szCs w:val="15"/>
                <w:color w:val="auto"/>
              </w:rPr>
              <w:t>(9,411)</w:t>
            </w:r>
          </w:p>
        </w:tc>
        <w:tc>
          <w:tcPr>
            <w:tcW w:w="1060" w:type="dxa"/>
            <w:vAlign w:val="bottom"/>
            <w:vMerge w:val="restart"/>
          </w:tcPr>
          <w:p>
            <w:pPr>
              <w:jc w:val="right"/>
              <w:spacing w:after="0"/>
              <w:rPr>
                <w:sz w:val="20"/>
                <w:szCs w:val="20"/>
                <w:color w:val="auto"/>
              </w:rPr>
            </w:pPr>
            <w:r>
              <w:rPr>
                <w:rFonts w:ascii="Calibri" w:cs="Calibri" w:eastAsia="Calibri" w:hAnsi="Calibri"/>
                <w:sz w:val="15"/>
                <w:szCs w:val="15"/>
                <w:color w:val="auto"/>
              </w:rPr>
              <w:t>1,597</w:t>
            </w:r>
          </w:p>
        </w:tc>
        <w:tc>
          <w:tcPr>
            <w:tcW w:w="0" w:type="dxa"/>
            <w:vAlign w:val="bottom"/>
          </w:tcPr>
          <w:p>
            <w:pPr>
              <w:spacing w:after="0"/>
              <w:rPr>
                <w:sz w:val="1"/>
                <w:szCs w:val="1"/>
                <w:color w:val="auto"/>
              </w:rPr>
            </w:pPr>
          </w:p>
        </w:tc>
      </w:tr>
      <w:tr>
        <w:trPr>
          <w:trHeight w:val="73"/>
        </w:trPr>
        <w:tc>
          <w:tcPr>
            <w:tcW w:w="46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70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COMPREHENSIVE LOSS FOR THE PERIOD</w:t>
            </w:r>
          </w:p>
        </w:tc>
        <w:tc>
          <w:tcPr>
            <w:tcW w:w="680" w:type="dxa"/>
            <w:vAlign w:val="bottom"/>
            <w:tcBorders>
              <w:bottom w:val="single" w:sz="8" w:color="D9D9D9"/>
            </w:tcBorders>
            <w:shd w:val="clear" w:color="auto" w:fill="D9D9D9"/>
          </w:tcPr>
          <w:p>
            <w:pPr>
              <w:spacing w:after="0"/>
              <w:rPr>
                <w:sz w:val="16"/>
                <w:szCs w:val="16"/>
                <w:color w:val="auto"/>
              </w:rPr>
            </w:pPr>
          </w:p>
        </w:tc>
        <w:tc>
          <w:tcPr>
            <w:tcW w:w="1840" w:type="dxa"/>
            <w:vAlign w:val="bottom"/>
            <w:tcBorders>
              <w:bottom w:val="single" w:sz="8" w:color="DBDBDB"/>
            </w:tcBorders>
            <w:shd w:val="clear" w:color="auto" w:fill="DBDBDB"/>
          </w:tcPr>
          <w:p>
            <w:pPr>
              <w:jc w:val="right"/>
              <w:ind w:right="348"/>
              <w:spacing w:after="0" w:line="165" w:lineRule="exact"/>
              <w:rPr>
                <w:sz w:val="20"/>
                <w:szCs w:val="20"/>
                <w:color w:val="auto"/>
              </w:rPr>
            </w:pPr>
            <w:r>
              <w:rPr>
                <w:rFonts w:ascii="Calibri" w:cs="Calibri" w:eastAsia="Calibri" w:hAnsi="Calibri"/>
                <w:sz w:val="15"/>
                <w:szCs w:val="15"/>
                <w:b w:val="1"/>
                <w:bCs w:val="1"/>
                <w:color w:val="auto"/>
              </w:rPr>
              <w:t>(18,055)</w:t>
            </w:r>
          </w:p>
        </w:tc>
        <w:tc>
          <w:tcPr>
            <w:tcW w:w="1300" w:type="dxa"/>
            <w:vAlign w:val="bottom"/>
            <w:tcBorders>
              <w:bottom w:val="single" w:sz="8" w:color="DBDBDB"/>
            </w:tcBorders>
            <w:shd w:val="clear" w:color="auto" w:fill="DBDBDB"/>
          </w:tcPr>
          <w:p>
            <w:pPr>
              <w:jc w:val="right"/>
              <w:ind w:right="207"/>
              <w:spacing w:after="0" w:line="165" w:lineRule="exact"/>
              <w:rPr>
                <w:sz w:val="20"/>
                <w:szCs w:val="20"/>
                <w:color w:val="auto"/>
              </w:rPr>
            </w:pPr>
            <w:r>
              <w:rPr>
                <w:rFonts w:ascii="Calibri" w:cs="Calibri" w:eastAsia="Calibri" w:hAnsi="Calibri"/>
                <w:sz w:val="15"/>
                <w:szCs w:val="15"/>
                <w:color w:val="auto"/>
              </w:rPr>
              <w:t>(28,694)</w:t>
            </w:r>
          </w:p>
        </w:tc>
        <w:tc>
          <w:tcPr>
            <w:tcW w:w="1700" w:type="dxa"/>
            <w:vAlign w:val="bottom"/>
            <w:tcBorders>
              <w:bottom w:val="single" w:sz="8" w:color="DBDBDB"/>
            </w:tcBorders>
            <w:shd w:val="clear" w:color="auto" w:fill="DBDBDB"/>
          </w:tcPr>
          <w:p>
            <w:pPr>
              <w:jc w:val="right"/>
              <w:ind w:right="347"/>
              <w:spacing w:after="0" w:line="165" w:lineRule="exact"/>
              <w:rPr>
                <w:sz w:val="20"/>
                <w:szCs w:val="20"/>
                <w:color w:val="auto"/>
              </w:rPr>
            </w:pPr>
            <w:r>
              <w:rPr>
                <w:rFonts w:ascii="Calibri" w:cs="Calibri" w:eastAsia="Calibri" w:hAnsi="Calibri"/>
                <w:sz w:val="15"/>
                <w:szCs w:val="15"/>
                <w:b w:val="1"/>
                <w:bCs w:val="1"/>
                <w:color w:val="auto"/>
              </w:rPr>
              <w:t>(91,969)</w:t>
            </w:r>
          </w:p>
        </w:tc>
        <w:tc>
          <w:tcPr>
            <w:tcW w:w="106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(55,137)</w:t>
            </w:r>
          </w:p>
        </w:tc>
        <w:tc>
          <w:tcPr>
            <w:tcW w:w="0" w:type="dxa"/>
            <w:vAlign w:val="bottom"/>
          </w:tcPr>
          <w:p>
            <w:pPr>
              <w:spacing w:after="0"/>
              <w:rPr>
                <w:sz w:val="1"/>
                <w:szCs w:val="1"/>
                <w:color w:val="auto"/>
              </w:rPr>
            </w:pPr>
          </w:p>
        </w:tc>
      </w:tr>
      <w:tr>
        <w:trPr>
          <w:trHeight w:val="379"/>
        </w:trPr>
        <w:tc>
          <w:tcPr>
            <w:tcW w:w="46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w:t>
            </w:r>
          </w:p>
        </w:tc>
        <w:tc>
          <w:tcPr>
            <w:tcW w:w="6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right"/>
              <w:ind w:right="348"/>
              <w:spacing w:after="0"/>
              <w:rPr>
                <w:sz w:val="20"/>
                <w:szCs w:val="20"/>
                <w:color w:val="auto"/>
              </w:rPr>
            </w:pPr>
            <w:r>
              <w:rPr>
                <w:rFonts w:ascii="Calibri" w:cs="Calibri" w:eastAsia="Calibri" w:hAnsi="Calibri"/>
                <w:sz w:val="15"/>
                <w:szCs w:val="15"/>
                <w:b w:val="1"/>
                <w:bCs w:val="1"/>
                <w:color w:val="auto"/>
              </w:rPr>
              <w:t>(0.53)</w:t>
            </w:r>
          </w:p>
        </w:tc>
        <w:tc>
          <w:tcPr>
            <w:tcW w:w="1300" w:type="dxa"/>
            <w:vAlign w:val="bottom"/>
            <w:tcBorders>
              <w:top w:val="single" w:sz="8" w:color="auto"/>
            </w:tcBorders>
          </w:tcPr>
          <w:p>
            <w:pPr>
              <w:jc w:val="right"/>
              <w:ind w:right="207"/>
              <w:spacing w:after="0"/>
              <w:rPr>
                <w:sz w:val="20"/>
                <w:szCs w:val="20"/>
                <w:color w:val="auto"/>
              </w:rPr>
            </w:pPr>
            <w:r>
              <w:rPr>
                <w:rFonts w:ascii="Calibri" w:cs="Calibri" w:eastAsia="Calibri" w:hAnsi="Calibri"/>
                <w:sz w:val="15"/>
                <w:szCs w:val="15"/>
                <w:color w:val="auto"/>
              </w:rPr>
              <w:t>(3.45)</w:t>
            </w:r>
          </w:p>
        </w:tc>
        <w:tc>
          <w:tcPr>
            <w:tcW w:w="1700" w:type="dxa"/>
            <w:vAlign w:val="bottom"/>
            <w:tcBorders>
              <w:top w:val="single" w:sz="8" w:color="auto"/>
            </w:tcBorders>
          </w:tcPr>
          <w:p>
            <w:pPr>
              <w:jc w:val="right"/>
              <w:ind w:right="347"/>
              <w:spacing w:after="0"/>
              <w:rPr>
                <w:sz w:val="20"/>
                <w:szCs w:val="20"/>
                <w:color w:val="auto"/>
              </w:rPr>
            </w:pPr>
            <w:r>
              <w:rPr>
                <w:rFonts w:ascii="Calibri" w:cs="Calibri" w:eastAsia="Calibri" w:hAnsi="Calibri"/>
                <w:sz w:val="15"/>
                <w:szCs w:val="15"/>
                <w:b w:val="1"/>
                <w:bCs w:val="1"/>
                <w:color w:val="auto"/>
              </w:rPr>
              <w:t>(4.13)</w:t>
            </w:r>
          </w:p>
        </w:tc>
        <w:tc>
          <w:tcPr>
            <w:tcW w:w="106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(8.67)</w:t>
            </w:r>
          </w:p>
        </w:tc>
        <w:tc>
          <w:tcPr>
            <w:tcW w:w="0" w:type="dxa"/>
            <w:vAlign w:val="bottom"/>
          </w:tcPr>
          <w:p>
            <w:pPr>
              <w:spacing w:after="0"/>
              <w:rPr>
                <w:sz w:val="1"/>
                <w:szCs w:val="1"/>
                <w:color w:val="auto"/>
              </w:rPr>
            </w:pPr>
          </w:p>
        </w:tc>
      </w:tr>
      <w:tr>
        <w:trPr>
          <w:trHeight w:val="24"/>
        </w:trPr>
        <w:tc>
          <w:tcPr>
            <w:tcW w:w="4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680" w:type="dxa"/>
            <w:vAlign w:val="bottom"/>
          </w:tcPr>
          <w:p>
            <w:pPr>
              <w:spacing w:after="0"/>
              <w:rPr>
                <w:sz w:val="14"/>
                <w:szCs w:val="14"/>
                <w:color w:val="auto"/>
              </w:rPr>
            </w:pPr>
          </w:p>
        </w:tc>
        <w:tc>
          <w:tcPr>
            <w:tcW w:w="1840" w:type="dxa"/>
            <w:vAlign w:val="bottom"/>
          </w:tcPr>
          <w:p>
            <w:pPr>
              <w:jc w:val="right"/>
              <w:ind w:right="388"/>
              <w:spacing w:after="0" w:line="165" w:lineRule="exact"/>
              <w:rPr>
                <w:sz w:val="20"/>
                <w:szCs w:val="20"/>
                <w:color w:val="auto"/>
              </w:rPr>
            </w:pPr>
            <w:r>
              <w:rPr>
                <w:rFonts w:ascii="Calibri" w:cs="Calibri" w:eastAsia="Calibri" w:hAnsi="Calibri"/>
                <w:sz w:val="15"/>
                <w:szCs w:val="15"/>
                <w:b w:val="1"/>
                <w:bCs w:val="1"/>
                <w:color w:val="auto"/>
              </w:rPr>
              <w:t>20,001,406</w:t>
            </w:r>
          </w:p>
        </w:tc>
        <w:tc>
          <w:tcPr>
            <w:tcW w:w="1300" w:type="dxa"/>
            <w:vAlign w:val="bottom"/>
          </w:tcPr>
          <w:p>
            <w:pPr>
              <w:jc w:val="right"/>
              <w:ind w:right="227"/>
              <w:spacing w:after="0" w:line="165" w:lineRule="exact"/>
              <w:rPr>
                <w:sz w:val="20"/>
                <w:szCs w:val="20"/>
                <w:color w:val="auto"/>
              </w:rPr>
            </w:pPr>
            <w:r>
              <w:rPr>
                <w:rFonts w:ascii="Calibri" w:cs="Calibri" w:eastAsia="Calibri" w:hAnsi="Calibri"/>
                <w:sz w:val="15"/>
                <w:szCs w:val="15"/>
                <w:color w:val="auto"/>
              </w:rPr>
              <w:t>8,781,041</w:t>
            </w:r>
          </w:p>
        </w:tc>
        <w:tc>
          <w:tcPr>
            <w:tcW w:w="1700" w:type="dxa"/>
            <w:vAlign w:val="bottom"/>
          </w:tcPr>
          <w:p>
            <w:pPr>
              <w:jc w:val="right"/>
              <w:ind w:right="387"/>
              <w:spacing w:after="0" w:line="165" w:lineRule="exact"/>
              <w:rPr>
                <w:sz w:val="20"/>
                <w:szCs w:val="20"/>
                <w:color w:val="auto"/>
              </w:rPr>
            </w:pPr>
            <w:r>
              <w:rPr>
                <w:rFonts w:ascii="Calibri" w:cs="Calibri" w:eastAsia="Calibri" w:hAnsi="Calibri"/>
                <w:sz w:val="15"/>
                <w:szCs w:val="15"/>
                <w:b w:val="1"/>
                <w:bCs w:val="1"/>
                <w:color w:val="auto"/>
              </w:rPr>
              <w:t>20,001,406</w:t>
            </w:r>
          </w:p>
        </w:tc>
        <w:tc>
          <w:tcPr>
            <w:tcW w:w="1060" w:type="dxa"/>
            <w:vAlign w:val="bottom"/>
          </w:tcPr>
          <w:p>
            <w:pPr>
              <w:jc w:val="right"/>
              <w:spacing w:after="0" w:line="165" w:lineRule="exact"/>
              <w:rPr>
                <w:sz w:val="20"/>
                <w:szCs w:val="20"/>
                <w:color w:val="auto"/>
              </w:rPr>
            </w:pPr>
            <w:r>
              <w:rPr>
                <w:rFonts w:ascii="Calibri" w:cs="Calibri" w:eastAsia="Calibri" w:hAnsi="Calibri"/>
                <w:sz w:val="15"/>
                <w:szCs w:val="15"/>
                <w:color w:val="auto"/>
              </w:rPr>
              <w:t>6,546,221</w:t>
            </w:r>
          </w:p>
        </w:tc>
        <w:tc>
          <w:tcPr>
            <w:tcW w:w="0" w:type="dxa"/>
            <w:vAlign w:val="bottom"/>
          </w:tcPr>
          <w:p>
            <w:pPr>
              <w:spacing w:after="0"/>
              <w:rPr>
                <w:sz w:val="1"/>
                <w:szCs w:val="1"/>
                <w:color w:val="auto"/>
              </w:rPr>
            </w:pP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95" w:right="319" w:bottom="1440" w:gutter="0" w:footer="0" w:header="0"/>
        </w:sectPr>
      </w:pPr>
    </w:p>
    <w:bookmarkStart w:id="7" w:name="page8"/>
    <w:bookmarkEnd w:id="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CONDENSED INTERIM CONSOLIDATED STATEMENTS OF CHANGES IN SHAREHOLDERS’ EQUITY</w:t>
      </w:r>
    </w:p>
    <w:p>
      <w:pPr>
        <w:ind w:left="60"/>
        <w:spacing w:after="0" w:line="238" w:lineRule="auto"/>
        <w:rPr>
          <w:sz w:val="20"/>
          <w:szCs w:val="20"/>
          <w:color w:val="auto"/>
        </w:rPr>
      </w:pPr>
      <w:r>
        <w:rPr>
          <w:rFonts w:ascii="Calibri" w:cs="Calibri" w:eastAsia="Calibri" w:hAnsi="Calibri"/>
          <w:sz w:val="19"/>
          <w:szCs w:val="19"/>
          <w:b w:val="1"/>
          <w:bCs w:val="1"/>
          <w:color w:val="auto"/>
        </w:rPr>
        <w:t>For the nine-month periods ended December 31, 2024 and 2023</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ind w:right="356"/>
              <w:spacing w:after="0"/>
              <w:rPr>
                <w:sz w:val="20"/>
                <w:szCs w:val="20"/>
                <w:color w:val="auto"/>
              </w:rPr>
            </w:pPr>
            <w:r>
              <w:rPr>
                <w:rFonts w:ascii="Calibri" w:cs="Calibri" w:eastAsia="Calibri" w:hAnsi="Calibri"/>
                <w:sz w:val="13"/>
                <w:szCs w:val="13"/>
                <w:b w:val="1"/>
                <w:bCs w:val="1"/>
                <w:color w:val="auto"/>
              </w:rPr>
              <w:t>Share capital</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center"/>
              <w:ind w:right="36"/>
              <w:spacing w:after="0"/>
              <w:rPr>
                <w:sz w:val="20"/>
                <w:szCs w:val="20"/>
                <w:color w:val="auto"/>
              </w:rPr>
            </w:pPr>
            <w:r>
              <w:rPr>
                <w:rFonts w:ascii="Calibri" w:cs="Calibri" w:eastAsia="Calibri" w:hAnsi="Calibri"/>
                <w:sz w:val="13"/>
                <w:szCs w:val="13"/>
                <w:b w:val="1"/>
                <w:bCs w:val="1"/>
                <w:color w:val="auto"/>
                <w:w w:val="99"/>
              </w:rPr>
              <w:t>Reserves</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8"/>
              </w:rPr>
              <w:t>Accumulated</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Calibri" w:cs="Calibri" w:eastAsia="Calibri" w:hAnsi="Calibri"/>
                <w:sz w:val="13"/>
                <w:szCs w:val="13"/>
                <w:b w:val="1"/>
                <w:bCs w:val="1"/>
                <w:color w:val="auto"/>
              </w:rPr>
              <w:t>other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w w:val="97"/>
              </w:rPr>
              <w:t>Note</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Number of</w:t>
            </w:r>
          </w:p>
        </w:tc>
        <w:tc>
          <w:tcPr>
            <w:tcW w:w="720" w:type="dxa"/>
            <w:vAlign w:val="bottom"/>
            <w:vMerge w:val="restart"/>
          </w:tcPr>
          <w:p>
            <w:pPr>
              <w:jc w:val="right"/>
              <w:ind w:right="96"/>
              <w:spacing w:after="0"/>
              <w:rPr>
                <w:sz w:val="20"/>
                <w:szCs w:val="20"/>
                <w:color w:val="auto"/>
              </w:rPr>
            </w:pPr>
            <w:r>
              <w:rPr>
                <w:rFonts w:ascii="Calibri" w:cs="Calibri" w:eastAsia="Calibri" w:hAnsi="Calibri"/>
                <w:sz w:val="13"/>
                <w:szCs w:val="13"/>
                <w:b w:val="1"/>
                <w:bCs w:val="1"/>
                <w:color w:val="auto"/>
              </w:rPr>
              <w:t>Amount</w:t>
            </w:r>
          </w:p>
        </w:tc>
        <w:tc>
          <w:tcPr>
            <w:tcW w:w="80" w:type="dxa"/>
            <w:vAlign w:val="bottom"/>
          </w:tcPr>
          <w:p>
            <w:pPr>
              <w:spacing w:after="0"/>
              <w:rPr>
                <w:sz w:val="11"/>
                <w:szCs w:val="11"/>
                <w:color w:val="auto"/>
              </w:rPr>
            </w:pPr>
          </w:p>
        </w:tc>
        <w:tc>
          <w:tcPr>
            <w:tcW w:w="900" w:type="dxa"/>
            <w:vAlign w:val="bottom"/>
            <w:vMerge w:val="restart"/>
          </w:tcPr>
          <w:p>
            <w:pPr>
              <w:jc w:val="right"/>
              <w:ind w:right="176"/>
              <w:spacing w:after="0"/>
              <w:rPr>
                <w:sz w:val="20"/>
                <w:szCs w:val="20"/>
                <w:color w:val="auto"/>
              </w:rPr>
            </w:pPr>
            <w:r>
              <w:rPr>
                <w:rFonts w:ascii="Calibri" w:cs="Calibri" w:eastAsia="Calibri" w:hAnsi="Calibri"/>
                <w:sz w:val="13"/>
                <w:szCs w:val="13"/>
                <w:b w:val="1"/>
                <w:bCs w:val="1"/>
                <w:color w:val="auto"/>
              </w:rPr>
              <w:t>Warrants</w:t>
            </w:r>
          </w:p>
        </w:tc>
        <w:tc>
          <w:tcPr>
            <w:tcW w:w="820" w:type="dxa"/>
            <w:vAlign w:val="bottom"/>
            <w:vMerge w:val="restart"/>
          </w:tcPr>
          <w:p>
            <w:pPr>
              <w:jc w:val="center"/>
              <w:ind w:right="16"/>
              <w:spacing w:after="0"/>
              <w:rPr>
                <w:sz w:val="20"/>
                <w:szCs w:val="20"/>
                <w:color w:val="auto"/>
              </w:rPr>
            </w:pPr>
            <w:r>
              <w:rPr>
                <w:rFonts w:ascii="Calibri" w:cs="Calibri" w:eastAsia="Calibri" w:hAnsi="Calibri"/>
                <w:sz w:val="13"/>
                <w:szCs w:val="13"/>
                <w:b w:val="1"/>
                <w:bCs w:val="1"/>
                <w:color w:val="auto"/>
              </w:rPr>
              <w:t>Optons</w:t>
            </w:r>
          </w:p>
        </w:tc>
        <w:tc>
          <w:tcPr>
            <w:tcW w:w="880" w:type="dxa"/>
            <w:vAlign w:val="bottom"/>
          </w:tcPr>
          <w:p>
            <w:pPr>
              <w:jc w:val="center"/>
              <w:ind w:right="36"/>
              <w:spacing w:after="0" w:line="135" w:lineRule="exact"/>
              <w:rPr>
                <w:sz w:val="20"/>
                <w:szCs w:val="20"/>
                <w:color w:val="auto"/>
              </w:rPr>
            </w:pPr>
            <w:r>
              <w:rPr>
                <w:rFonts w:ascii="Calibri" w:cs="Calibri" w:eastAsia="Calibri" w:hAnsi="Calibri"/>
                <w:sz w:val="13"/>
                <w:szCs w:val="13"/>
                <w:b w:val="1"/>
                <w:bCs w:val="1"/>
                <w:color w:val="auto"/>
              </w:rPr>
              <w:t>Contributed</w:t>
            </w:r>
          </w:p>
        </w:tc>
        <w:tc>
          <w:tcPr>
            <w:tcW w:w="920" w:type="dxa"/>
            <w:vAlign w:val="bottom"/>
            <w:vMerge w:val="restart"/>
          </w:tcPr>
          <w:p>
            <w:pPr>
              <w:jc w:val="right"/>
              <w:ind w:right="256"/>
              <w:spacing w:after="0"/>
              <w:rPr>
                <w:sz w:val="20"/>
                <w:szCs w:val="20"/>
                <w:color w:val="auto"/>
              </w:rPr>
            </w:pPr>
            <w:r>
              <w:rPr>
                <w:rFonts w:ascii="Calibri" w:cs="Calibri" w:eastAsia="Calibri" w:hAnsi="Calibri"/>
                <w:sz w:val="13"/>
                <w:szCs w:val="13"/>
                <w:b w:val="1"/>
                <w:bCs w:val="1"/>
                <w:color w:val="auto"/>
              </w:rPr>
              <w:t>Defcit</w:t>
            </w:r>
          </w:p>
        </w:tc>
        <w:tc>
          <w:tcPr>
            <w:tcW w:w="10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comprehensive</w:t>
            </w:r>
          </w:p>
        </w:tc>
        <w:tc>
          <w:tcPr>
            <w:tcW w:w="8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shares</w:t>
            </w: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tcPr>
          <w:p>
            <w:pPr>
              <w:jc w:val="center"/>
              <w:ind w:right="36"/>
              <w:spacing w:after="0" w:line="155" w:lineRule="exact"/>
              <w:rPr>
                <w:sz w:val="20"/>
                <w:szCs w:val="20"/>
                <w:color w:val="auto"/>
              </w:rPr>
            </w:pPr>
            <w:r>
              <w:rPr>
                <w:rFonts w:ascii="Calibri" w:cs="Calibri" w:eastAsia="Calibri" w:hAnsi="Calibri"/>
                <w:sz w:val="13"/>
                <w:szCs w:val="13"/>
                <w:b w:val="1"/>
                <w:bCs w:val="1"/>
                <w:color w:val="auto"/>
                <w:w w:val="96"/>
              </w:rPr>
              <w:t>surplus</w:t>
            </w:r>
          </w:p>
        </w:tc>
        <w:tc>
          <w:tcPr>
            <w:tcW w:w="920" w:type="dxa"/>
            <w:vAlign w:val="bottom"/>
            <w:vMerge w:val="continue"/>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w w:val="97"/>
              </w:rPr>
              <w:t>loss</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3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Calibri" w:cs="Calibri" w:eastAsia="Calibri" w:hAnsi="Calibri"/>
                <w:sz w:val="13"/>
                <w:szCs w:val="13"/>
                <w:b w:val="1"/>
                <w:bCs w:val="1"/>
                <w:color w:val="auto"/>
              </w:rPr>
              <w:t>#</w:t>
            </w:r>
          </w:p>
        </w:tc>
        <w:tc>
          <w:tcPr>
            <w:tcW w:w="720" w:type="dxa"/>
            <w:vAlign w:val="bottom"/>
          </w:tcPr>
          <w:p>
            <w:pPr>
              <w:jc w:val="right"/>
              <w:ind w:right="296"/>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900" w:type="dxa"/>
            <w:vAlign w:val="bottom"/>
          </w:tcPr>
          <w:p>
            <w:pPr>
              <w:jc w:val="right"/>
              <w:ind w:right="376"/>
              <w:spacing w:after="0" w:line="147" w:lineRule="exact"/>
              <w:rPr>
                <w:sz w:val="20"/>
                <w:szCs w:val="20"/>
                <w:color w:val="auto"/>
              </w:rPr>
            </w:pPr>
            <w:r>
              <w:rPr>
                <w:rFonts w:ascii="Calibri" w:cs="Calibri" w:eastAsia="Calibri" w:hAnsi="Calibri"/>
                <w:sz w:val="13"/>
                <w:szCs w:val="13"/>
                <w:b w:val="1"/>
                <w:bCs w:val="1"/>
                <w:color w:val="auto"/>
              </w:rPr>
              <w:t>$</w:t>
            </w:r>
          </w:p>
        </w:tc>
        <w:tc>
          <w:tcPr>
            <w:tcW w:w="820" w:type="dxa"/>
            <w:vAlign w:val="bottom"/>
          </w:tcPr>
          <w:p>
            <w:pPr>
              <w:jc w:val="center"/>
              <w:ind w:right="16"/>
              <w:spacing w:after="0" w:line="147" w:lineRule="exact"/>
              <w:rPr>
                <w:sz w:val="20"/>
                <w:szCs w:val="20"/>
                <w:color w:val="auto"/>
              </w:rPr>
            </w:pPr>
            <w:r>
              <w:rPr>
                <w:rFonts w:ascii="Calibri" w:cs="Calibri" w:eastAsia="Calibri" w:hAnsi="Calibri"/>
                <w:sz w:val="13"/>
                <w:szCs w:val="13"/>
                <w:b w:val="1"/>
                <w:bCs w:val="1"/>
                <w:color w:val="auto"/>
                <w:w w:val="90"/>
              </w:rPr>
              <w:t>$</w:t>
            </w:r>
          </w:p>
        </w:tc>
        <w:tc>
          <w:tcPr>
            <w:tcW w:w="880" w:type="dxa"/>
            <w:vAlign w:val="bottom"/>
          </w:tcPr>
          <w:p>
            <w:pPr>
              <w:jc w:val="center"/>
              <w:ind w:right="36"/>
              <w:spacing w:after="0" w:line="147" w:lineRule="exact"/>
              <w:rPr>
                <w:sz w:val="20"/>
                <w:szCs w:val="20"/>
                <w:color w:val="auto"/>
              </w:rPr>
            </w:pPr>
            <w:r>
              <w:rPr>
                <w:rFonts w:ascii="Calibri" w:cs="Calibri" w:eastAsia="Calibri" w:hAnsi="Calibri"/>
                <w:sz w:val="13"/>
                <w:szCs w:val="13"/>
                <w:b w:val="1"/>
                <w:bCs w:val="1"/>
                <w:color w:val="auto"/>
                <w:w w:val="90"/>
              </w:rPr>
              <w:t>$</w:t>
            </w:r>
          </w:p>
        </w:tc>
        <w:tc>
          <w:tcPr>
            <w:tcW w:w="920" w:type="dxa"/>
            <w:vAlign w:val="bottom"/>
          </w:tcPr>
          <w:p>
            <w:pPr>
              <w:jc w:val="right"/>
              <w:ind w:right="396"/>
              <w:spacing w:after="0" w:line="147" w:lineRule="exact"/>
              <w:rPr>
                <w:sz w:val="20"/>
                <w:szCs w:val="20"/>
                <w:color w:val="auto"/>
              </w:rPr>
            </w:pPr>
            <w:r>
              <w:rPr>
                <w:rFonts w:ascii="Calibri" w:cs="Calibri" w:eastAsia="Calibri" w:hAnsi="Calibri"/>
                <w:sz w:val="13"/>
                <w:szCs w:val="13"/>
                <w:b w:val="1"/>
                <w:bCs w:val="1"/>
                <w:color w:val="auto"/>
              </w:rPr>
              <w:t>$</w:t>
            </w:r>
          </w:p>
        </w:tc>
        <w:tc>
          <w:tcPr>
            <w:tcW w:w="1040" w:type="dxa"/>
            <w:vAlign w:val="bottom"/>
          </w:tcPr>
          <w:p>
            <w:pPr>
              <w:jc w:val="right"/>
              <w:ind w:right="376"/>
              <w:spacing w:after="0" w:line="147" w:lineRule="exact"/>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ind w:right="356"/>
              <w:spacing w:after="0" w:line="147"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8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as at March 31, 2023</w:t>
            </w:r>
          </w:p>
        </w:tc>
        <w:tc>
          <w:tcPr>
            <w:tcW w:w="62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5,279,846</w:t>
            </w:r>
          </w:p>
        </w:tc>
        <w:tc>
          <w:tcPr>
            <w:tcW w:w="72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158,162</w:t>
            </w:r>
          </w:p>
        </w:tc>
        <w:tc>
          <w:tcPr>
            <w:tcW w:w="8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10,873</w:t>
            </w:r>
          </w:p>
        </w:tc>
        <w:tc>
          <w:tcPr>
            <w:tcW w:w="820" w:type="dxa"/>
            <w:vAlign w:val="bottom"/>
            <w:tcBorders>
              <w:bottom w:val="single" w:sz="8" w:color="D9D9D9"/>
            </w:tcBorders>
            <w:shd w:val="clear" w:color="auto" w:fill="D9D9D9"/>
          </w:tcPr>
          <w:p>
            <w:pPr>
              <w:jc w:val="right"/>
              <w:ind w:right="36"/>
              <w:spacing w:after="0" w:line="147" w:lineRule="exact"/>
              <w:rPr>
                <w:sz w:val="20"/>
                <w:szCs w:val="20"/>
                <w:color w:val="auto"/>
              </w:rPr>
            </w:pPr>
            <w:r>
              <w:rPr>
                <w:rFonts w:ascii="Calibri" w:cs="Calibri" w:eastAsia="Calibri" w:hAnsi="Calibri"/>
                <w:sz w:val="13"/>
                <w:szCs w:val="13"/>
                <w:b w:val="1"/>
                <w:bCs w:val="1"/>
                <w:color w:val="auto"/>
              </w:rPr>
              <w:t>27,283</w:t>
            </w:r>
          </w:p>
        </w:tc>
        <w:tc>
          <w:tcPr>
            <w:tcW w:w="880" w:type="dxa"/>
            <w:vAlign w:val="bottom"/>
            <w:tcBorders>
              <w:bottom w:val="single" w:sz="8" w:color="D9D9D9"/>
              <w:right w:val="single" w:sz="8" w:color="DBDBDB"/>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2,102</w:t>
            </w:r>
          </w:p>
        </w:tc>
        <w:tc>
          <w:tcPr>
            <w:tcW w:w="920" w:type="dxa"/>
            <w:vAlign w:val="bottom"/>
            <w:tcBorders>
              <w:bottom w:val="single" w:sz="8" w:color="D9D9D9"/>
              <w:right w:val="single" w:sz="8" w:color="DBDBDB"/>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(148,151)</w:t>
            </w: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(2,035)</w:t>
            </w:r>
          </w:p>
        </w:tc>
        <w:tc>
          <w:tcPr>
            <w:tcW w:w="980" w:type="dxa"/>
            <w:vAlign w:val="bottom"/>
            <w:tcBorders>
              <w:bottom w:val="single" w:sz="8" w:color="D9D9D9"/>
            </w:tcBorders>
            <w:gridSpan w:val="2"/>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48,234</w:t>
            </w:r>
          </w:p>
        </w:tc>
        <w:tc>
          <w:tcPr>
            <w:tcW w:w="0" w:type="dxa"/>
            <w:vAlign w:val="bottom"/>
          </w:tcPr>
          <w:p>
            <w:pPr>
              <w:spacing w:after="0"/>
              <w:rPr>
                <w:sz w:val="1"/>
                <w:szCs w:val="1"/>
                <w:color w:val="auto"/>
              </w:rPr>
            </w:pPr>
          </w:p>
        </w:tc>
      </w:tr>
      <w:tr>
        <w:trPr>
          <w:trHeight w:val="147"/>
        </w:trPr>
        <w:tc>
          <w:tcPr>
            <w:tcW w:w="3380" w:type="dxa"/>
            <w:vAlign w:val="bottom"/>
            <w:tcBorders>
              <w:top w:val="single" w:sz="8" w:color="auto"/>
            </w:tcBorders>
          </w:tcPr>
          <w:p>
            <w:pPr>
              <w:ind w:left="60"/>
              <w:spacing w:after="0" w:line="147" w:lineRule="exact"/>
              <w:rPr>
                <w:sz w:val="20"/>
                <w:szCs w:val="20"/>
                <w:color w:val="auto"/>
              </w:rPr>
            </w:pPr>
            <w:r>
              <w:rPr>
                <w:rFonts w:ascii="Calibri" w:cs="Calibri" w:eastAsia="Calibri" w:hAnsi="Calibri"/>
                <w:sz w:val="13"/>
                <w:szCs w:val="13"/>
                <w:color w:val="auto"/>
              </w:rPr>
              <w:t>At-the-market ofering - net of share issuance costs</w:t>
            </w:r>
          </w:p>
        </w:tc>
        <w:tc>
          <w:tcPr>
            <w:tcW w:w="62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w w:val="90"/>
              </w:rPr>
              <w:t>7</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898,434</w:t>
            </w:r>
          </w:p>
        </w:tc>
        <w:tc>
          <w:tcPr>
            <w:tcW w:w="72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14,849</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auto"/>
            </w:tcBorders>
          </w:tcPr>
          <w:p>
            <w:pPr>
              <w:jc w:val="right"/>
              <w:ind w:right="36"/>
              <w:spacing w:after="0" w:line="147" w:lineRule="exact"/>
              <w:rPr>
                <w:sz w:val="20"/>
                <w:szCs w:val="20"/>
                <w:color w:val="auto"/>
              </w:rPr>
            </w:pPr>
            <w:r>
              <w:rPr>
                <w:rFonts w:ascii="Calibri" w:cs="Calibri" w:eastAsia="Calibri" w:hAnsi="Calibri"/>
                <w:sz w:val="13"/>
                <w:szCs w:val="13"/>
                <w:color w:val="auto"/>
              </w:rPr>
              <w:t>—</w:t>
            </w:r>
          </w:p>
        </w:tc>
        <w:tc>
          <w:tcPr>
            <w:tcW w:w="88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92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980" w:type="dxa"/>
            <w:vAlign w:val="bottom"/>
            <w:tcBorders>
              <w:top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14,849</w:t>
            </w:r>
          </w:p>
        </w:tc>
        <w:tc>
          <w:tcPr>
            <w:tcW w:w="0" w:type="dxa"/>
            <w:vAlign w:val="bottom"/>
          </w:tcPr>
          <w:p>
            <w:pPr>
              <w:spacing w:after="0"/>
              <w:rPr>
                <w:sz w:val="1"/>
                <w:szCs w:val="1"/>
                <w:color w:val="auto"/>
              </w:rPr>
            </w:pPr>
          </w:p>
        </w:tc>
      </w:tr>
      <w:tr>
        <w:trPr>
          <w:trHeight w:val="135"/>
        </w:trPr>
        <w:tc>
          <w:tcPr>
            <w:tcW w:w="3380" w:type="dxa"/>
            <w:vAlign w:val="bottom"/>
          </w:tcPr>
          <w:p>
            <w:pPr>
              <w:ind w:left="60"/>
              <w:spacing w:after="0" w:line="135" w:lineRule="exact"/>
              <w:rPr>
                <w:sz w:val="20"/>
                <w:szCs w:val="20"/>
                <w:color w:val="auto"/>
              </w:rPr>
            </w:pPr>
            <w:r>
              <w:rPr>
                <w:rFonts w:ascii="Calibri" w:cs="Calibri" w:eastAsia="Calibri" w:hAnsi="Calibri"/>
                <w:sz w:val="13"/>
                <w:szCs w:val="13"/>
                <w:color w:val="auto"/>
              </w:rPr>
              <w:t>Shares issued through common share purchase agreement -</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w w:val="90"/>
              </w:rPr>
              <w:t>7</w:t>
            </w:r>
          </w:p>
        </w:tc>
        <w:tc>
          <w:tcPr>
            <w:tcW w:w="92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2,392,931</w:t>
            </w: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26,121</w:t>
            </w:r>
          </w:p>
        </w:tc>
        <w:tc>
          <w:tcPr>
            <w:tcW w:w="98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22,442</w:t>
            </w:r>
          </w:p>
        </w:tc>
        <w:tc>
          <w:tcPr>
            <w:tcW w:w="82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48,563</w:t>
            </w:r>
          </w:p>
        </w:tc>
        <w:tc>
          <w:tcPr>
            <w:tcW w:w="0" w:type="dxa"/>
            <w:vAlign w:val="bottom"/>
          </w:tcPr>
          <w:p>
            <w:pPr>
              <w:spacing w:after="0"/>
              <w:rPr>
                <w:sz w:val="1"/>
                <w:szCs w:val="1"/>
                <w:color w:val="auto"/>
              </w:rPr>
            </w:pPr>
          </w:p>
        </w:tc>
      </w:tr>
      <w:tr>
        <w:trPr>
          <w:trHeight w:val="155"/>
        </w:trPr>
        <w:tc>
          <w:tcPr>
            <w:tcW w:w="3380" w:type="dxa"/>
            <w:vAlign w:val="bottom"/>
          </w:tcPr>
          <w:p>
            <w:pPr>
              <w:ind w:left="60"/>
              <w:spacing w:after="0" w:line="155" w:lineRule="exact"/>
              <w:rPr>
                <w:sz w:val="20"/>
                <w:szCs w:val="20"/>
                <w:color w:val="auto"/>
              </w:rPr>
            </w:pPr>
            <w:r>
              <w:rPr>
                <w:rFonts w:ascii="Calibri" w:cs="Calibri" w:eastAsia="Calibri" w:hAnsi="Calibri"/>
                <w:sz w:val="13"/>
                <w:szCs w:val="13"/>
                <w:color w:val="auto"/>
              </w:rPr>
              <w:t>net of share issuance costs</w:t>
            </w: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80"/>
              <w:spacing w:after="0"/>
              <w:rPr>
                <w:sz w:val="20"/>
                <w:szCs w:val="20"/>
                <w:color w:val="auto"/>
              </w:rPr>
            </w:pPr>
            <w:r>
              <w:rPr>
                <w:rFonts w:ascii="Calibri" w:cs="Calibri" w:eastAsia="Calibri" w:hAnsi="Calibri"/>
                <w:sz w:val="13"/>
                <w:szCs w:val="13"/>
                <w:color w:val="auto"/>
              </w:rPr>
              <w:t>Share issuance on business acquisiton</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920" w:type="dxa"/>
            <w:vAlign w:val="bottom"/>
            <w:gridSpan w:val="2"/>
          </w:tcPr>
          <w:p>
            <w:pPr>
              <w:jc w:val="right"/>
              <w:ind w:right="56"/>
              <w:spacing w:after="0"/>
              <w:rPr>
                <w:sz w:val="20"/>
                <w:szCs w:val="20"/>
                <w:color w:val="auto"/>
              </w:rPr>
            </w:pPr>
            <w:r>
              <w:rPr>
                <w:rFonts w:ascii="Calibri" w:cs="Calibri" w:eastAsia="Calibri" w:hAnsi="Calibri"/>
                <w:sz w:val="13"/>
                <w:szCs w:val="13"/>
                <w:color w:val="auto"/>
              </w:rPr>
              <w:t>2,130,138</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51,805</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51,805</w:t>
            </w:r>
          </w:p>
        </w:tc>
        <w:tc>
          <w:tcPr>
            <w:tcW w:w="0" w:type="dxa"/>
            <w:vAlign w:val="bottom"/>
          </w:tcPr>
          <w:p>
            <w:pPr>
              <w:spacing w:after="0"/>
              <w:rPr>
                <w:sz w:val="1"/>
                <w:szCs w:val="1"/>
                <w:color w:val="auto"/>
              </w:rPr>
            </w:pPr>
          </w:p>
        </w:tc>
      </w:tr>
      <w:tr>
        <w:trPr>
          <w:trHeight w:val="149"/>
        </w:trPr>
        <w:tc>
          <w:tcPr>
            <w:tcW w:w="3380" w:type="dxa"/>
            <w:vAlign w:val="bottom"/>
          </w:tcPr>
          <w:p>
            <w:pPr>
              <w:ind w:left="60"/>
              <w:spacing w:after="0" w:line="149" w:lineRule="exact"/>
              <w:rPr>
                <w:sz w:val="20"/>
                <w:szCs w:val="20"/>
                <w:color w:val="auto"/>
              </w:rPr>
            </w:pPr>
            <w:r>
              <w:rPr>
                <w:rFonts w:ascii="Calibri" w:cs="Calibri" w:eastAsia="Calibri" w:hAnsi="Calibri"/>
                <w:sz w:val="13"/>
                <w:szCs w:val="13"/>
                <w:color w:val="auto"/>
              </w:rPr>
              <w:t>Issuance of common shares as commitment fee for future</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w w:val="90"/>
              </w:rPr>
              <w:t>7</w:t>
            </w:r>
          </w:p>
        </w:tc>
        <w:tc>
          <w:tcPr>
            <w:tcW w:w="92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66,812</w:t>
            </w: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90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55"/>
        </w:trPr>
        <w:tc>
          <w:tcPr>
            <w:tcW w:w="3380" w:type="dxa"/>
            <w:vAlign w:val="bottom"/>
          </w:tcPr>
          <w:p>
            <w:pPr>
              <w:ind w:left="60"/>
              <w:spacing w:after="0" w:line="155" w:lineRule="exact"/>
              <w:rPr>
                <w:sz w:val="20"/>
                <w:szCs w:val="20"/>
                <w:color w:val="auto"/>
              </w:rPr>
            </w:pPr>
            <w:r>
              <w:rPr>
                <w:rFonts w:ascii="Calibri" w:cs="Calibri" w:eastAsia="Calibri" w:hAnsi="Calibri"/>
                <w:sz w:val="13"/>
                <w:szCs w:val="13"/>
                <w:color w:val="auto"/>
              </w:rPr>
              <w:t>fnancing</w:t>
            </w: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ind w:left="60"/>
              <w:spacing w:after="0" w:line="148" w:lineRule="exact"/>
              <w:rPr>
                <w:sz w:val="20"/>
                <w:szCs w:val="20"/>
                <w:color w:val="auto"/>
              </w:rPr>
            </w:pPr>
            <w:r>
              <w:rPr>
                <w:rFonts w:ascii="Calibri" w:cs="Calibri" w:eastAsia="Calibri" w:hAnsi="Calibri"/>
                <w:sz w:val="13"/>
                <w:szCs w:val="13"/>
                <w:color w:val="auto"/>
              </w:rPr>
              <w:t>Shares issued through LPC purchase agreement - net of share</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w w:val="90"/>
              </w:rPr>
              <w:t>7</w:t>
            </w:r>
          </w:p>
        </w:tc>
        <w:tc>
          <w:tcPr>
            <w:tcW w:w="92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50,658</w:t>
            </w: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234</w:t>
            </w:r>
          </w:p>
        </w:tc>
        <w:tc>
          <w:tcPr>
            <w:tcW w:w="80" w:type="dxa"/>
            <w:vAlign w:val="bottom"/>
          </w:tcPr>
          <w:p>
            <w:pPr>
              <w:spacing w:after="0"/>
              <w:rPr>
                <w:sz w:val="12"/>
                <w:szCs w:val="12"/>
                <w:color w:val="auto"/>
              </w:rPr>
            </w:pPr>
          </w:p>
        </w:tc>
        <w:tc>
          <w:tcPr>
            <w:tcW w:w="90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vMerge w:val="restart"/>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234</w:t>
            </w:r>
          </w:p>
        </w:tc>
        <w:tc>
          <w:tcPr>
            <w:tcW w:w="0" w:type="dxa"/>
            <w:vAlign w:val="bottom"/>
          </w:tcPr>
          <w:p>
            <w:pPr>
              <w:spacing w:after="0"/>
              <w:rPr>
                <w:sz w:val="1"/>
                <w:szCs w:val="1"/>
                <w:color w:val="auto"/>
              </w:rPr>
            </w:pPr>
          </w:p>
        </w:tc>
      </w:tr>
      <w:tr>
        <w:trPr>
          <w:trHeight w:val="155"/>
        </w:trPr>
        <w:tc>
          <w:tcPr>
            <w:tcW w:w="3380" w:type="dxa"/>
            <w:vAlign w:val="bottom"/>
          </w:tcPr>
          <w:p>
            <w:pPr>
              <w:ind w:left="60"/>
              <w:spacing w:after="0" w:line="155" w:lineRule="exact"/>
              <w:rPr>
                <w:sz w:val="20"/>
                <w:szCs w:val="20"/>
                <w:color w:val="auto"/>
              </w:rPr>
            </w:pPr>
            <w:r>
              <w:rPr>
                <w:rFonts w:ascii="Calibri" w:cs="Calibri" w:eastAsia="Calibri" w:hAnsi="Calibri"/>
                <w:sz w:val="13"/>
                <w:szCs w:val="13"/>
                <w:color w:val="auto"/>
              </w:rPr>
              <w:t>issuance costs</w:t>
            </w: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Calibri" w:cs="Calibri" w:eastAsia="Calibri" w:hAnsi="Calibri"/>
                <w:sz w:val="13"/>
                <w:szCs w:val="13"/>
                <w:color w:val="auto"/>
              </w:rPr>
              <w:t>Optons 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(978)</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978</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38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920" w:type="dxa"/>
            <w:vAlign w:val="bottom"/>
            <w:gridSpan w:val="2"/>
          </w:tcPr>
          <w:p>
            <w:pPr>
              <w:jc w:val="right"/>
              <w:ind w:right="56"/>
              <w:spacing w:after="0"/>
              <w:rPr>
                <w:sz w:val="20"/>
                <w:szCs w:val="20"/>
                <w:color w:val="auto"/>
              </w:rPr>
            </w:pPr>
            <w:r>
              <w:rPr>
                <w:rFonts w:ascii="Calibri" w:cs="Calibri" w:eastAsia="Calibri" w:hAnsi="Calibri"/>
                <w:sz w:val="13"/>
                <w:szCs w:val="13"/>
                <w:color w:val="auto"/>
              </w:rPr>
              <w:t>2,658</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76</w:t>
            </w:r>
          </w:p>
        </w:tc>
        <w:tc>
          <w:tcPr>
            <w:tcW w:w="980" w:type="dxa"/>
            <w:vAlign w:val="bottom"/>
            <w:gridSpan w:val="2"/>
          </w:tcPr>
          <w:p>
            <w:pPr>
              <w:jc w:val="right"/>
              <w:ind w:right="56"/>
              <w:spacing w:after="0"/>
              <w:rPr>
                <w:sz w:val="20"/>
                <w:szCs w:val="20"/>
                <w:color w:val="auto"/>
              </w:rPr>
            </w:pPr>
            <w:r>
              <w:rPr>
                <w:rFonts w:ascii="Calibri" w:cs="Calibri" w:eastAsia="Calibri" w:hAnsi="Calibri"/>
                <w:sz w:val="13"/>
                <w:szCs w:val="13"/>
                <w:color w:val="auto"/>
              </w:rPr>
              <w:t>(20)</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56</w:t>
            </w:r>
          </w:p>
        </w:tc>
        <w:tc>
          <w:tcPr>
            <w:tcW w:w="0" w:type="dxa"/>
            <w:vAlign w:val="bottom"/>
          </w:tcPr>
          <w:p>
            <w:pPr>
              <w:spacing w:after="0"/>
              <w:rPr>
                <w:sz w:val="1"/>
                <w:szCs w:val="1"/>
                <w:color w:val="auto"/>
              </w:rPr>
            </w:pPr>
          </w:p>
        </w:tc>
      </w:tr>
      <w:tr>
        <w:trPr>
          <w:trHeight w:val="181"/>
        </w:trPr>
        <w:tc>
          <w:tcPr>
            <w:tcW w:w="3380" w:type="dxa"/>
            <w:vAlign w:val="bottom"/>
          </w:tcPr>
          <w:p>
            <w:pPr>
              <w:ind w:left="40"/>
              <w:spacing w:after="0"/>
              <w:rPr>
                <w:sz w:val="20"/>
                <w:szCs w:val="20"/>
                <w:color w:val="auto"/>
              </w:rPr>
            </w:pPr>
            <w:r>
              <w:rPr>
                <w:rFonts w:ascii="Calibri" w:cs="Calibri" w:eastAsia="Calibri" w:hAnsi="Calibri"/>
                <w:sz w:val="13"/>
                <w:szCs w:val="13"/>
                <w:color w:val="auto"/>
              </w:rPr>
              <w:t>Warrants 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ind w:right="56"/>
              <w:spacing w:after="0"/>
              <w:rPr>
                <w:sz w:val="20"/>
                <w:szCs w:val="20"/>
                <w:color w:val="auto"/>
              </w:rPr>
            </w:pPr>
            <w:r>
              <w:rPr>
                <w:rFonts w:ascii="Calibri" w:cs="Calibri" w:eastAsia="Calibri" w:hAnsi="Calibri"/>
                <w:sz w:val="13"/>
                <w:szCs w:val="13"/>
                <w:color w:val="auto"/>
              </w:rPr>
              <w:t>(1,156)</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1,156</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38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12,617</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12,617</w:t>
            </w:r>
          </w:p>
        </w:tc>
        <w:tc>
          <w:tcPr>
            <w:tcW w:w="0" w:type="dxa"/>
            <w:vAlign w:val="bottom"/>
          </w:tcPr>
          <w:p>
            <w:pPr>
              <w:spacing w:after="0"/>
              <w:rPr>
                <w:sz w:val="1"/>
                <w:szCs w:val="1"/>
                <w:color w:val="auto"/>
              </w:rPr>
            </w:pPr>
          </w:p>
        </w:tc>
      </w:tr>
      <w:tr>
        <w:trPr>
          <w:trHeight w:val="181"/>
        </w:trPr>
        <w:tc>
          <w:tcPr>
            <w:tcW w:w="3380" w:type="dxa"/>
            <w:vAlign w:val="bottom"/>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1,597</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1,597</w:t>
            </w:r>
          </w:p>
        </w:tc>
        <w:tc>
          <w:tcPr>
            <w:tcW w:w="0" w:type="dxa"/>
            <w:vAlign w:val="bottom"/>
          </w:tcPr>
          <w:p>
            <w:pPr>
              <w:spacing w:after="0"/>
              <w:rPr>
                <w:sz w:val="1"/>
                <w:szCs w:val="1"/>
                <w:color w:val="auto"/>
              </w:rPr>
            </w:pPr>
          </w:p>
        </w:tc>
      </w:tr>
      <w:tr>
        <w:trPr>
          <w:trHeight w:val="181"/>
        </w:trPr>
        <w:tc>
          <w:tcPr>
            <w:tcW w:w="3380" w:type="dxa"/>
            <w:vAlign w:val="bottom"/>
          </w:tcPr>
          <w:p>
            <w:pPr>
              <w:ind w:left="80"/>
              <w:spacing w:after="0"/>
              <w:rPr>
                <w:sz w:val="20"/>
                <w:szCs w:val="20"/>
                <w:color w:val="auto"/>
              </w:rPr>
            </w:pPr>
            <w:r>
              <w:rPr>
                <w:rFonts w:ascii="Calibri" w:cs="Calibri" w:eastAsia="Calibri" w:hAnsi="Calibri"/>
                <w:sz w:val="13"/>
                <w:szCs w:val="13"/>
                <w:color w:val="auto"/>
              </w:rPr>
              <w:t>Net loss for the period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(56,734)</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(56,734)</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380" w:type="dxa"/>
            <w:vAlign w:val="bottom"/>
            <w:tcBorders>
              <w:bottom w:val="single" w:sz="8" w:color="DBDBDB"/>
            </w:tcBorders>
            <w:shd w:val="clear" w:color="auto" w:fill="DBDBDB"/>
          </w:tcPr>
          <w:p>
            <w:pPr>
              <w:ind w:left="60"/>
              <w:spacing w:after="0" w:line="147" w:lineRule="exact"/>
              <w:rPr>
                <w:sz w:val="20"/>
                <w:szCs w:val="20"/>
                <w:color w:val="auto"/>
              </w:rPr>
            </w:pPr>
            <w:r>
              <w:rPr>
                <w:rFonts w:ascii="Calibri" w:cs="Calibri" w:eastAsia="Calibri" w:hAnsi="Calibri"/>
                <w:sz w:val="13"/>
                <w:szCs w:val="13"/>
                <w:b w:val="1"/>
                <w:bCs w:val="1"/>
                <w:color w:val="auto"/>
              </w:rPr>
              <w:t>Balance as at December 31, 2023</w:t>
            </w:r>
          </w:p>
        </w:tc>
        <w:tc>
          <w:tcPr>
            <w:tcW w:w="6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10,821,477</w:t>
            </w:r>
          </w:p>
        </w:tc>
        <w:tc>
          <w:tcPr>
            <w:tcW w:w="72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251,247</w:t>
            </w:r>
          </w:p>
        </w:tc>
        <w:tc>
          <w:tcPr>
            <w:tcW w:w="980" w:type="dxa"/>
            <w:vAlign w:val="bottom"/>
            <w:tcBorders>
              <w:bottom w:val="single" w:sz="8" w:color="DBDBDB"/>
            </w:tcBorders>
            <w:gridSpan w:val="2"/>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32,139</w:t>
            </w:r>
          </w:p>
        </w:tc>
        <w:tc>
          <w:tcPr>
            <w:tcW w:w="820" w:type="dxa"/>
            <w:vAlign w:val="bottom"/>
            <w:tcBorders>
              <w:bottom w:val="single" w:sz="8" w:color="DBDBDB"/>
            </w:tcBorders>
            <w:shd w:val="clear" w:color="auto" w:fill="DBDBDB"/>
          </w:tcPr>
          <w:p>
            <w:pPr>
              <w:jc w:val="right"/>
              <w:ind w:right="36"/>
              <w:spacing w:after="0" w:line="147" w:lineRule="exact"/>
              <w:rPr>
                <w:sz w:val="20"/>
                <w:szCs w:val="20"/>
                <w:color w:val="auto"/>
              </w:rPr>
            </w:pPr>
            <w:r>
              <w:rPr>
                <w:rFonts w:ascii="Calibri" w:cs="Calibri" w:eastAsia="Calibri" w:hAnsi="Calibri"/>
                <w:sz w:val="13"/>
                <w:szCs w:val="13"/>
                <w:b w:val="1"/>
                <w:bCs w:val="1"/>
                <w:color w:val="auto"/>
              </w:rPr>
              <w:t>38,922</w:t>
            </w:r>
          </w:p>
        </w:tc>
        <w:tc>
          <w:tcPr>
            <w:tcW w:w="880" w:type="dxa"/>
            <w:vAlign w:val="bottom"/>
            <w:tcBorders>
              <w:bottom w:val="single" w:sz="8" w:color="DBDBDB"/>
              <w:right w:val="single" w:sz="8" w:color="DBDBDB"/>
            </w:tcBorders>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4,236</w:t>
            </w:r>
          </w:p>
        </w:tc>
        <w:tc>
          <w:tcPr>
            <w:tcW w:w="920" w:type="dxa"/>
            <w:vAlign w:val="bottom"/>
            <w:tcBorders>
              <w:bottom w:val="single" w:sz="8" w:color="DBDBDB"/>
              <w:right w:val="single" w:sz="8" w:color="DBDBDB"/>
            </w:tcBorders>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(204,885)</w:t>
            </w:r>
          </w:p>
        </w:tc>
        <w:tc>
          <w:tcPr>
            <w:tcW w:w="104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(438)</w:t>
            </w:r>
          </w:p>
        </w:tc>
        <w:tc>
          <w:tcPr>
            <w:tcW w:w="98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121,221</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80" w:type="dxa"/>
            <w:vAlign w:val="bottom"/>
            <w:tcBorders>
              <w:bottom w:val="single" w:sz="8" w:color="DBDBDB"/>
            </w:tcBorders>
            <w:shd w:val="clear" w:color="auto" w:fill="DBDBDB"/>
          </w:tcPr>
          <w:p>
            <w:pPr>
              <w:ind w:left="20"/>
              <w:spacing w:after="0" w:line="147" w:lineRule="exact"/>
              <w:rPr>
                <w:sz w:val="20"/>
                <w:szCs w:val="20"/>
                <w:color w:val="auto"/>
              </w:rPr>
            </w:pPr>
            <w:r>
              <w:rPr>
                <w:rFonts w:ascii="Calibri" w:cs="Calibri" w:eastAsia="Calibri" w:hAnsi="Calibri"/>
                <w:sz w:val="13"/>
                <w:szCs w:val="13"/>
                <w:b w:val="1"/>
                <w:bCs w:val="1"/>
                <w:color w:val="auto"/>
              </w:rPr>
              <w:t>Balance as at March 31, 2024</w:t>
            </w:r>
          </w:p>
        </w:tc>
        <w:tc>
          <w:tcPr>
            <w:tcW w:w="6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right"/>
              <w:ind w:right="36"/>
              <w:spacing w:after="0" w:line="147" w:lineRule="exact"/>
              <w:rPr>
                <w:sz w:val="20"/>
                <w:szCs w:val="20"/>
                <w:color w:val="auto"/>
              </w:rPr>
            </w:pPr>
            <w:r>
              <w:rPr>
                <w:rFonts w:ascii="Calibri" w:cs="Calibri" w:eastAsia="Calibri" w:hAnsi="Calibri"/>
                <w:sz w:val="13"/>
                <w:szCs w:val="13"/>
                <w:b w:val="1"/>
                <w:bCs w:val="1"/>
                <w:color w:val="auto"/>
              </w:rPr>
              <w:t>20,001,403</w:t>
            </w:r>
          </w:p>
        </w:tc>
        <w:tc>
          <w:tcPr>
            <w:tcW w:w="72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443,877</w:t>
            </w:r>
          </w:p>
        </w:tc>
        <w:tc>
          <w:tcPr>
            <w:tcW w:w="980" w:type="dxa"/>
            <w:vAlign w:val="bottom"/>
            <w:tcBorders>
              <w:bottom w:val="single" w:sz="8" w:color="DBDBDB"/>
            </w:tcBorders>
            <w:gridSpan w:val="2"/>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25,639</w:t>
            </w:r>
          </w:p>
        </w:tc>
        <w:tc>
          <w:tcPr>
            <w:tcW w:w="820" w:type="dxa"/>
            <w:vAlign w:val="bottom"/>
            <w:tcBorders>
              <w:bottom w:val="single" w:sz="8" w:color="DBDBDB"/>
            </w:tcBorders>
            <w:shd w:val="clear" w:color="auto" w:fill="DBDBDB"/>
          </w:tcPr>
          <w:p>
            <w:pPr>
              <w:jc w:val="right"/>
              <w:ind w:right="16"/>
              <w:spacing w:after="0" w:line="147" w:lineRule="exact"/>
              <w:rPr>
                <w:sz w:val="20"/>
                <w:szCs w:val="20"/>
                <w:color w:val="auto"/>
              </w:rPr>
            </w:pPr>
            <w:r>
              <w:rPr>
                <w:rFonts w:ascii="Calibri" w:cs="Calibri" w:eastAsia="Calibri" w:hAnsi="Calibri"/>
                <w:sz w:val="13"/>
                <w:szCs w:val="13"/>
                <w:b w:val="1"/>
                <w:bCs w:val="1"/>
                <w:color w:val="auto"/>
              </w:rPr>
              <w:t>39,177</w:t>
            </w:r>
          </w:p>
        </w:tc>
        <w:tc>
          <w:tcPr>
            <w:tcW w:w="880" w:type="dxa"/>
            <w:vAlign w:val="bottom"/>
            <w:tcBorders>
              <w:bottom w:val="single" w:sz="8" w:color="DBDBDB"/>
              <w:right w:val="single" w:sz="8" w:color="DBDBDB"/>
            </w:tcBorders>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11,750</w:t>
            </w:r>
          </w:p>
        </w:tc>
        <w:tc>
          <w:tcPr>
            <w:tcW w:w="920" w:type="dxa"/>
            <w:vAlign w:val="bottom"/>
            <w:tcBorders>
              <w:bottom w:val="single" w:sz="8" w:color="DBDBDB"/>
              <w:right w:val="single" w:sz="8" w:color="DBDBDB"/>
            </w:tcBorders>
            <w:shd w:val="clear" w:color="auto" w:fill="DBDBDB"/>
          </w:tcPr>
          <w:p>
            <w:pPr>
              <w:jc w:val="right"/>
              <w:ind w:right="36"/>
              <w:spacing w:after="0" w:line="147" w:lineRule="exact"/>
              <w:rPr>
                <w:sz w:val="20"/>
                <w:szCs w:val="20"/>
                <w:color w:val="auto"/>
              </w:rPr>
            </w:pPr>
            <w:r>
              <w:rPr>
                <w:rFonts w:ascii="Calibri" w:cs="Calibri" w:eastAsia="Calibri" w:hAnsi="Calibri"/>
                <w:sz w:val="13"/>
                <w:szCs w:val="13"/>
                <w:b w:val="1"/>
                <w:bCs w:val="1"/>
                <w:color w:val="auto"/>
              </w:rPr>
              <w:t>(226,231)</w:t>
            </w:r>
          </w:p>
        </w:tc>
        <w:tc>
          <w:tcPr>
            <w:tcW w:w="104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(2,285)</w:t>
            </w:r>
          </w:p>
        </w:tc>
        <w:tc>
          <w:tcPr>
            <w:tcW w:w="98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291,927</w:t>
            </w:r>
          </w:p>
        </w:tc>
        <w:tc>
          <w:tcPr>
            <w:tcW w:w="0" w:type="dxa"/>
            <w:vAlign w:val="bottom"/>
          </w:tcPr>
          <w:p>
            <w:pPr>
              <w:spacing w:after="0"/>
              <w:rPr>
                <w:sz w:val="1"/>
                <w:szCs w:val="1"/>
                <w:color w:val="auto"/>
              </w:rPr>
            </w:pPr>
          </w:p>
        </w:tc>
      </w:tr>
      <w:tr>
        <w:trPr>
          <w:trHeight w:val="147"/>
        </w:trPr>
        <w:tc>
          <w:tcPr>
            <w:tcW w:w="3380" w:type="dxa"/>
            <w:vAlign w:val="bottom"/>
            <w:tcBorders>
              <w:top w:val="single" w:sz="8" w:color="auto"/>
            </w:tcBorders>
          </w:tcPr>
          <w:p>
            <w:pPr>
              <w:ind w:left="20"/>
              <w:spacing w:after="0" w:line="147" w:lineRule="exact"/>
              <w:rPr>
                <w:sz w:val="20"/>
                <w:szCs w:val="20"/>
                <w:color w:val="auto"/>
              </w:rPr>
            </w:pPr>
            <w:r>
              <w:rPr>
                <w:rFonts w:ascii="Calibri" w:cs="Calibri" w:eastAsia="Calibri" w:hAnsi="Calibri"/>
                <w:sz w:val="13"/>
                <w:szCs w:val="13"/>
                <w:color w:val="auto"/>
              </w:rPr>
              <w:t>Adjustment for fractonal shares upon share consolidaton</w:t>
            </w:r>
          </w:p>
        </w:tc>
        <w:tc>
          <w:tcPr>
            <w:tcW w:w="62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w w:val="90"/>
              </w:rPr>
              <w:t>7</w:t>
            </w:r>
          </w:p>
        </w:tc>
        <w:tc>
          <w:tcPr>
            <w:tcW w:w="920" w:type="dxa"/>
            <w:vAlign w:val="bottom"/>
            <w:tcBorders>
              <w:top w:val="single" w:sz="8" w:color="auto"/>
            </w:tcBorders>
            <w:gridSpan w:val="2"/>
          </w:tcPr>
          <w:p>
            <w:pPr>
              <w:jc w:val="right"/>
              <w:ind w:right="36"/>
              <w:spacing w:after="0" w:line="147" w:lineRule="exact"/>
              <w:rPr>
                <w:sz w:val="20"/>
                <w:szCs w:val="20"/>
                <w:color w:val="auto"/>
              </w:rPr>
            </w:pPr>
            <w:r>
              <w:rPr>
                <w:rFonts w:ascii="Calibri" w:cs="Calibri" w:eastAsia="Calibri" w:hAnsi="Calibri"/>
                <w:sz w:val="13"/>
                <w:szCs w:val="13"/>
                <w:color w:val="auto"/>
              </w:rPr>
              <w:t>3</w:t>
            </w:r>
          </w:p>
        </w:tc>
        <w:tc>
          <w:tcPr>
            <w:tcW w:w="72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auto"/>
            </w:tcBorders>
          </w:tcPr>
          <w:p>
            <w:pPr>
              <w:jc w:val="right"/>
              <w:ind w:right="16"/>
              <w:spacing w:after="0" w:line="147" w:lineRule="exact"/>
              <w:rPr>
                <w:sz w:val="20"/>
                <w:szCs w:val="20"/>
                <w:color w:val="auto"/>
              </w:rPr>
            </w:pPr>
            <w:r>
              <w:rPr>
                <w:rFonts w:ascii="Calibri" w:cs="Calibri" w:eastAsia="Calibri" w:hAnsi="Calibri"/>
                <w:sz w:val="13"/>
                <w:szCs w:val="13"/>
                <w:color w:val="auto"/>
              </w:rPr>
              <w:t>—</w:t>
            </w:r>
          </w:p>
        </w:tc>
        <w:tc>
          <w:tcPr>
            <w:tcW w:w="88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92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Calibri" w:cs="Calibri" w:eastAsia="Calibri" w:hAnsi="Calibri"/>
                <w:sz w:val="13"/>
                <w:szCs w:val="13"/>
                <w:color w:val="auto"/>
              </w:rPr>
              <w:t>Share issuance costs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(494)</w:t>
            </w:r>
          </w:p>
        </w:tc>
        <w:tc>
          <w:tcPr>
            <w:tcW w:w="8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6"/>
              <w:spacing w:after="0"/>
              <w:rPr>
                <w:sz w:val="20"/>
                <w:szCs w:val="20"/>
                <w:color w:val="auto"/>
              </w:rPr>
            </w:pPr>
            <w:r>
              <w:rPr>
                <w:rFonts w:ascii="Calibri" w:cs="Calibri" w:eastAsia="Calibri" w:hAnsi="Calibri"/>
                <w:sz w:val="13"/>
                <w:szCs w:val="13"/>
                <w:b w:val="1"/>
                <w:bCs w:val="1"/>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b w:val="1"/>
                <w:bCs w:val="1"/>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(494)</w:t>
            </w: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Calibri" w:cs="Calibri" w:eastAsia="Calibri" w:hAnsi="Calibri"/>
                <w:sz w:val="13"/>
                <w:szCs w:val="13"/>
                <w:color w:val="auto"/>
              </w:rPr>
              <w:t>Optons forfeited/expired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spacing w:after="0"/>
              <w:rPr>
                <w:sz w:val="20"/>
                <w:szCs w:val="20"/>
                <w:color w:val="auto"/>
              </w:rPr>
            </w:pPr>
            <w:r>
              <w:rPr>
                <w:rFonts w:ascii="Calibri" w:cs="Calibri" w:eastAsia="Calibri" w:hAnsi="Calibri"/>
                <w:sz w:val="13"/>
                <w:szCs w:val="13"/>
                <w:color w:val="auto"/>
              </w:rPr>
              <w:t>(32,100)</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32,100</w:t>
            </w:r>
          </w:p>
        </w:tc>
        <w:tc>
          <w:tcPr>
            <w:tcW w:w="920" w:type="dxa"/>
            <w:vAlign w:val="bottom"/>
          </w:tcPr>
          <w:p>
            <w:pPr>
              <w:jc w:val="right"/>
              <w:ind w:right="56"/>
              <w:spacing w:after="0"/>
              <w:rPr>
                <w:sz w:val="20"/>
                <w:szCs w:val="20"/>
                <w:color w:val="auto"/>
              </w:rPr>
            </w:pPr>
            <w:r>
              <w:rPr>
                <w:rFonts w:ascii="Calibri" w:cs="Calibri" w:eastAsia="Calibri" w:hAnsi="Calibri"/>
                <w:sz w:val="13"/>
                <w:szCs w:val="13"/>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ind w:right="56"/>
              <w:spacing w:after="0"/>
              <w:rPr>
                <w:sz w:val="20"/>
                <w:szCs w:val="20"/>
                <w:color w:val="auto"/>
              </w:rPr>
            </w:pPr>
            <w:r>
              <w:rPr>
                <w:rFonts w:ascii="Calibri" w:cs="Calibri" w:eastAsia="Calibri" w:hAnsi="Calibri"/>
                <w:sz w:val="13"/>
                <w:szCs w:val="13"/>
                <w:color w:val="auto"/>
              </w:rPr>
              <w:t>1,955</w:t>
            </w:r>
          </w:p>
        </w:tc>
        <w:tc>
          <w:tcPr>
            <w:tcW w:w="820" w:type="dxa"/>
            <w:vAlign w:val="bottom"/>
          </w:tcPr>
          <w:p>
            <w:pPr>
              <w:jc w:val="right"/>
              <w:ind w:right="16"/>
              <w:spacing w:after="0"/>
              <w:rPr>
                <w:sz w:val="20"/>
                <w:szCs w:val="20"/>
                <w:color w:val="auto"/>
              </w:rPr>
            </w:pPr>
            <w:r>
              <w:rPr>
                <w:rFonts w:ascii="Calibri" w:cs="Calibri" w:eastAsia="Calibri" w:hAnsi="Calibri"/>
                <w:sz w:val="13"/>
                <w:szCs w:val="13"/>
                <w:color w:val="auto"/>
              </w:rPr>
              <w:t>38,821</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40,776</w:t>
            </w: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3"/>
                <w:szCs w:val="13"/>
                <w:color w:val="auto"/>
              </w:rPr>
              <w:t>(9,411)</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(9,411)</w:t>
            </w: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Calibri" w:cs="Calibri" w:eastAsia="Calibri" w:hAnsi="Calibri"/>
                <w:sz w:val="13"/>
                <w:szCs w:val="13"/>
                <w:color w:val="auto"/>
              </w:rPr>
              <w:t>Net loss for the period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7</w:t>
            </w:r>
          </w:p>
        </w:tc>
        <w:tc>
          <w:tcPr>
            <w:tcW w:w="1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6"/>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36"/>
              <w:spacing w:after="0"/>
              <w:rPr>
                <w:sz w:val="20"/>
                <w:szCs w:val="20"/>
                <w:color w:val="auto"/>
              </w:rPr>
            </w:pPr>
            <w:r>
              <w:rPr>
                <w:rFonts w:ascii="Calibri" w:cs="Calibri" w:eastAsia="Calibri" w:hAnsi="Calibri"/>
                <w:sz w:val="13"/>
                <w:szCs w:val="13"/>
                <w:color w:val="auto"/>
              </w:rPr>
              <w:t>(82,558)</w:t>
            </w: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(82,558)</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D9D9D9"/>
            </w:tcBorders>
            <w:shd w:val="clear" w:color="auto" w:fill="D9D9D9"/>
          </w:tcPr>
          <w:p>
            <w:pPr>
              <w:ind w:left="20"/>
              <w:spacing w:after="0" w:line="147" w:lineRule="exact"/>
              <w:rPr>
                <w:sz w:val="20"/>
                <w:szCs w:val="20"/>
                <w:color w:val="auto"/>
              </w:rPr>
            </w:pPr>
            <w:r>
              <w:rPr>
                <w:rFonts w:ascii="Calibri" w:cs="Calibri" w:eastAsia="Calibri" w:hAnsi="Calibri"/>
                <w:sz w:val="13"/>
                <w:szCs w:val="13"/>
                <w:b w:val="1"/>
                <w:bCs w:val="1"/>
                <w:color w:val="auto"/>
              </w:rPr>
              <w:t>Balance as at December 31, 2024</w:t>
            </w:r>
          </w:p>
        </w:tc>
        <w:tc>
          <w:tcPr>
            <w:tcW w:w="6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820" w:type="dxa"/>
            <w:vAlign w:val="bottom"/>
            <w:tcBorders>
              <w:bottom w:val="single" w:sz="8" w:color="D9D9D9"/>
            </w:tcBorders>
            <w:shd w:val="clear" w:color="auto" w:fill="D9D9D9"/>
          </w:tcPr>
          <w:p>
            <w:pPr>
              <w:jc w:val="right"/>
              <w:ind w:right="36"/>
              <w:spacing w:after="0" w:line="147" w:lineRule="exact"/>
              <w:rPr>
                <w:sz w:val="20"/>
                <w:szCs w:val="20"/>
                <w:color w:val="auto"/>
              </w:rPr>
            </w:pPr>
            <w:r>
              <w:rPr>
                <w:rFonts w:ascii="Calibri" w:cs="Calibri" w:eastAsia="Calibri" w:hAnsi="Calibri"/>
                <w:sz w:val="13"/>
                <w:szCs w:val="13"/>
                <w:b w:val="1"/>
                <w:bCs w:val="1"/>
                <w:color w:val="auto"/>
              </w:rPr>
              <w:t>20,001,406</w:t>
            </w:r>
          </w:p>
        </w:tc>
        <w:tc>
          <w:tcPr>
            <w:tcW w:w="72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443,383</w:t>
            </w: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27,594</w:t>
            </w:r>
          </w:p>
        </w:tc>
        <w:tc>
          <w:tcPr>
            <w:tcW w:w="820" w:type="dxa"/>
            <w:vAlign w:val="bottom"/>
            <w:tcBorders>
              <w:bottom w:val="single" w:sz="8" w:color="D9D9D9"/>
            </w:tcBorders>
            <w:shd w:val="clear" w:color="auto" w:fill="D9D9D9"/>
          </w:tcPr>
          <w:p>
            <w:pPr>
              <w:jc w:val="right"/>
              <w:ind w:right="16"/>
              <w:spacing w:after="0" w:line="147" w:lineRule="exact"/>
              <w:rPr>
                <w:sz w:val="20"/>
                <w:szCs w:val="20"/>
                <w:color w:val="auto"/>
              </w:rPr>
            </w:pPr>
            <w:r>
              <w:rPr>
                <w:rFonts w:ascii="Calibri" w:cs="Calibri" w:eastAsia="Calibri" w:hAnsi="Calibri"/>
                <w:sz w:val="13"/>
                <w:szCs w:val="13"/>
                <w:b w:val="1"/>
                <w:bCs w:val="1"/>
                <w:color w:val="auto"/>
              </w:rPr>
              <w:t>45,898</w:t>
            </w:r>
          </w:p>
        </w:tc>
        <w:tc>
          <w:tcPr>
            <w:tcW w:w="880" w:type="dxa"/>
            <w:vAlign w:val="bottom"/>
            <w:tcBorders>
              <w:bottom w:val="single" w:sz="8" w:color="D9D9D9"/>
              <w:right w:val="single" w:sz="8" w:color="DBDBDB"/>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43,850</w:t>
            </w:r>
          </w:p>
        </w:tc>
        <w:tc>
          <w:tcPr>
            <w:tcW w:w="920" w:type="dxa"/>
            <w:vAlign w:val="bottom"/>
            <w:tcBorders>
              <w:bottom w:val="single" w:sz="8" w:color="D9D9D9"/>
              <w:right w:val="single" w:sz="8" w:color="DBDBDB"/>
            </w:tcBorders>
            <w:shd w:val="clear" w:color="auto" w:fill="D9D9D9"/>
          </w:tcPr>
          <w:p>
            <w:pPr>
              <w:jc w:val="right"/>
              <w:ind w:right="36"/>
              <w:spacing w:after="0" w:line="147" w:lineRule="exact"/>
              <w:rPr>
                <w:sz w:val="20"/>
                <w:szCs w:val="20"/>
                <w:color w:val="auto"/>
              </w:rPr>
            </w:pPr>
            <w:r>
              <w:rPr>
                <w:rFonts w:ascii="Calibri" w:cs="Calibri" w:eastAsia="Calibri" w:hAnsi="Calibri"/>
                <w:sz w:val="13"/>
                <w:szCs w:val="13"/>
                <w:b w:val="1"/>
                <w:bCs w:val="1"/>
                <w:color w:val="auto"/>
              </w:rPr>
              <w:t>(308,789)</w:t>
            </w: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(11,696)</w:t>
            </w: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240,240</w:t>
            </w: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209" w:right="319" w:bottom="1440" w:gutter="0" w:footer="0" w:header="0"/>
        </w:sectPr>
      </w:pPr>
    </w:p>
    <w:bookmarkStart w:id="8" w:name="page9"/>
    <w:bookmarkEnd w:id="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CONDENSED INTERIM CONSOLIDATED STATEMENTS OF CASH FLOWS</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900"/>
        <w:spacing w:after="0"/>
        <w:rPr>
          <w:sz w:val="20"/>
          <w:szCs w:val="20"/>
          <w:color w:val="auto"/>
        </w:rPr>
      </w:pPr>
      <w:r>
        <w:rPr>
          <w:rFonts w:ascii="Calibri" w:cs="Calibri" w:eastAsia="Calibri" w:hAnsi="Calibri"/>
          <w:sz w:val="15"/>
          <w:szCs w:val="15"/>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3180" w:type="dxa"/>
            <w:vAlign w:val="bottom"/>
          </w:tcPr>
          <w:p>
            <w:pPr>
              <w:ind w:left="2300"/>
              <w:spacing w:after="0"/>
              <w:rPr>
                <w:sz w:val="20"/>
                <w:szCs w:val="20"/>
                <w:color w:val="auto"/>
              </w:rPr>
            </w:pPr>
            <w:r>
              <w:rPr>
                <w:rFonts w:ascii="Calibri" w:cs="Calibri" w:eastAsia="Calibri" w:hAnsi="Calibri"/>
                <w:sz w:val="15"/>
                <w:szCs w:val="15"/>
                <w:b w:val="1"/>
                <w:bCs w:val="1"/>
                <w:color w:val="auto"/>
              </w:rPr>
              <w:t>Notes</w:t>
            </w: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2024</w:t>
            </w:r>
          </w:p>
        </w:tc>
        <w:tc>
          <w:tcPr>
            <w:tcW w:w="940" w:type="dxa"/>
            <w:vAlign w:val="bottom"/>
            <w:vMerge w:val="restart"/>
          </w:tcPr>
          <w:p>
            <w:pPr>
              <w:jc w:val="right"/>
              <w:spacing w:after="0"/>
              <w:rPr>
                <w:sz w:val="20"/>
                <w:szCs w:val="20"/>
                <w:color w:val="auto"/>
              </w:rPr>
            </w:pPr>
            <w:r>
              <w:rPr>
                <w:rFonts w:ascii="Calibri" w:cs="Calibri" w:eastAsia="Calibri" w:hAnsi="Calibri"/>
                <w:sz w:val="15"/>
                <w:szCs w:val="15"/>
                <w:b w:val="1"/>
                <w:bCs w:val="1"/>
                <w:color w:val="auto"/>
              </w:rPr>
              <w:t>2023</w:t>
            </w: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68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60"/>
              <w:spacing w:after="0"/>
              <w:rPr>
                <w:sz w:val="20"/>
                <w:szCs w:val="20"/>
                <w:color w:val="auto"/>
              </w:rPr>
            </w:pPr>
            <w:r>
              <w:rPr>
                <w:rFonts w:ascii="Calibri" w:cs="Calibri" w:eastAsia="Calibri" w:hAnsi="Calibri"/>
                <w:sz w:val="15"/>
                <w:szCs w:val="15"/>
                <w:b w:val="1"/>
                <w:bCs w:val="1"/>
                <w:color w:val="auto"/>
              </w:rPr>
              <w:t>OPERATING ACTIVITIES</w:t>
            </w: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3180" w:type="dxa"/>
            <w:vAlign w:val="bottom"/>
          </w:tcPr>
          <w:p>
            <w:pPr>
              <w:spacing w:after="0"/>
              <w:rPr>
                <w:sz w:val="16"/>
                <w:szCs w:val="16"/>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(82,558)</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(56,734)</w:t>
            </w:r>
          </w:p>
        </w:tc>
        <w:tc>
          <w:tcPr>
            <w:tcW w:w="0" w:type="dxa"/>
            <w:vAlign w:val="bottom"/>
          </w:tcPr>
          <w:p>
            <w:pPr>
              <w:spacing w:after="0"/>
              <w:rPr>
                <w:sz w:val="1"/>
                <w:szCs w:val="1"/>
                <w:color w:val="auto"/>
              </w:rPr>
            </w:pPr>
          </w:p>
        </w:tc>
      </w:tr>
      <w:tr>
        <w:trPr>
          <w:trHeight w:val="193"/>
        </w:trPr>
        <w:tc>
          <w:tcPr>
            <w:tcW w:w="5680" w:type="dxa"/>
            <w:vAlign w:val="bottom"/>
          </w:tcPr>
          <w:p>
            <w:pPr>
              <w:ind w:left="16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3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80" w:type="dxa"/>
            <w:vAlign w:val="bottom"/>
            <w:vMerge w:val="restart"/>
          </w:tcPr>
          <w:p>
            <w:pPr>
              <w:ind w:left="340"/>
              <w:spacing w:after="0"/>
              <w:rPr>
                <w:sz w:val="20"/>
                <w:szCs w:val="20"/>
                <w:color w:val="auto"/>
              </w:rPr>
            </w:pPr>
            <w:r>
              <w:rPr>
                <w:rFonts w:ascii="Calibri" w:cs="Calibri" w:eastAsia="Calibri" w:hAnsi="Calibri"/>
                <w:sz w:val="15"/>
                <w:szCs w:val="15"/>
                <w:color w:val="auto"/>
              </w:rPr>
              <w:t>Depreciaton and amortzaton</w:t>
            </w:r>
          </w:p>
        </w:tc>
        <w:tc>
          <w:tcPr>
            <w:tcW w:w="3180" w:type="dxa"/>
            <w:vAlign w:val="bottom"/>
          </w:tcPr>
          <w:p>
            <w:pPr>
              <w:jc w:val="center"/>
              <w:ind w:left="1707"/>
              <w:spacing w:after="0"/>
              <w:rPr>
                <w:sz w:val="20"/>
                <w:szCs w:val="20"/>
                <w:color w:val="auto"/>
              </w:rPr>
            </w:pPr>
            <w:r>
              <w:rPr>
                <w:rFonts w:ascii="Calibri" w:cs="Calibri" w:eastAsia="Calibri" w:hAnsi="Calibri"/>
                <w:sz w:val="15"/>
                <w:szCs w:val="15"/>
                <w:i w:val="1"/>
                <w:iCs w:val="1"/>
                <w:color w:val="auto"/>
                <w:w w:val="96"/>
              </w:rPr>
              <w:t>3, 4, 5</w:t>
            </w: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413</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282</w:t>
            </w:r>
          </w:p>
        </w:tc>
        <w:tc>
          <w:tcPr>
            <w:tcW w:w="0" w:type="dxa"/>
            <w:vAlign w:val="bottom"/>
          </w:tcPr>
          <w:p>
            <w:pPr>
              <w:spacing w:after="0"/>
              <w:rPr>
                <w:sz w:val="1"/>
                <w:szCs w:val="1"/>
                <w:color w:val="auto"/>
              </w:rPr>
            </w:pPr>
          </w:p>
        </w:tc>
      </w:tr>
      <w:tr>
        <w:trPr>
          <w:trHeight w:val="73"/>
        </w:trPr>
        <w:tc>
          <w:tcPr>
            <w:tcW w:w="568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680" w:type="dxa"/>
            <w:vAlign w:val="bottom"/>
            <w:vMerge w:val="restart"/>
          </w:tcPr>
          <w:p>
            <w:pPr>
              <w:ind w:left="340"/>
              <w:spacing w:after="0"/>
              <w:rPr>
                <w:sz w:val="20"/>
                <w:szCs w:val="20"/>
                <w:color w:val="auto"/>
              </w:rPr>
            </w:pPr>
            <w:r>
              <w:rPr>
                <w:rFonts w:ascii="Calibri" w:cs="Calibri" w:eastAsia="Calibri" w:hAnsi="Calibri"/>
                <w:sz w:val="15"/>
                <w:szCs w:val="15"/>
                <w:color w:val="auto"/>
              </w:rPr>
              <w:t>Share-based compensaton</w:t>
            </w:r>
          </w:p>
        </w:tc>
        <w:tc>
          <w:tcPr>
            <w:tcW w:w="3180" w:type="dxa"/>
            <w:vAlign w:val="bottom"/>
          </w:tcPr>
          <w:p>
            <w:pPr>
              <w:jc w:val="center"/>
              <w:ind w:left="1707"/>
              <w:spacing w:after="0"/>
              <w:rPr>
                <w:sz w:val="20"/>
                <w:szCs w:val="20"/>
                <w:color w:val="auto"/>
              </w:rPr>
            </w:pPr>
            <w:r>
              <w:rPr>
                <w:rFonts w:ascii="Calibri" w:cs="Calibri" w:eastAsia="Calibri" w:hAnsi="Calibri"/>
                <w:sz w:val="15"/>
                <w:szCs w:val="15"/>
                <w:i w:val="1"/>
                <w:iCs w:val="1"/>
                <w:color w:val="auto"/>
              </w:rPr>
              <w:t>7</w:t>
            </w: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40,776</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12,617</w:t>
            </w:r>
          </w:p>
        </w:tc>
        <w:tc>
          <w:tcPr>
            <w:tcW w:w="0" w:type="dxa"/>
            <w:vAlign w:val="bottom"/>
          </w:tcPr>
          <w:p>
            <w:pPr>
              <w:spacing w:after="0"/>
              <w:rPr>
                <w:sz w:val="1"/>
                <w:szCs w:val="1"/>
                <w:color w:val="auto"/>
              </w:rPr>
            </w:pPr>
          </w:p>
        </w:tc>
      </w:tr>
      <w:tr>
        <w:trPr>
          <w:trHeight w:val="73"/>
        </w:trPr>
        <w:tc>
          <w:tcPr>
            <w:tcW w:w="568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380"/>
              <w:spacing w:after="0"/>
              <w:rPr>
                <w:sz w:val="20"/>
                <w:szCs w:val="20"/>
                <w:color w:val="auto"/>
              </w:rPr>
            </w:pPr>
            <w:r>
              <w:rPr>
                <w:rFonts w:ascii="Calibri" w:cs="Calibri" w:eastAsia="Calibri" w:hAnsi="Calibri"/>
                <w:sz w:val="15"/>
                <w:szCs w:val="15"/>
                <w:color w:val="auto"/>
              </w:rPr>
              <w:t>Lease interest</w:t>
            </w:r>
          </w:p>
        </w:tc>
        <w:tc>
          <w:tcPr>
            <w:tcW w:w="3180" w:type="dxa"/>
            <w:vAlign w:val="bottom"/>
          </w:tcPr>
          <w:p>
            <w:pPr>
              <w:jc w:val="center"/>
              <w:ind w:left="1707"/>
              <w:spacing w:after="0"/>
              <w:rPr>
                <w:sz w:val="20"/>
                <w:szCs w:val="20"/>
                <w:color w:val="auto"/>
              </w:rPr>
            </w:pPr>
            <w:r>
              <w:rPr>
                <w:rFonts w:ascii="Calibri" w:cs="Calibri" w:eastAsia="Calibri" w:hAnsi="Calibri"/>
                <w:sz w:val="15"/>
                <w:szCs w:val="15"/>
                <w:i w:val="1"/>
                <w:iCs w:val="1"/>
                <w:color w:val="auto"/>
              </w:rPr>
              <w:t>5</w:t>
            </w: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7</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4</w:t>
            </w:r>
          </w:p>
        </w:tc>
        <w:tc>
          <w:tcPr>
            <w:tcW w:w="0" w:type="dxa"/>
            <w:vAlign w:val="bottom"/>
          </w:tcPr>
          <w:p>
            <w:pPr>
              <w:spacing w:after="0"/>
              <w:rPr>
                <w:sz w:val="1"/>
                <w:szCs w:val="1"/>
                <w:color w:val="auto"/>
              </w:rPr>
            </w:pPr>
          </w:p>
        </w:tc>
      </w:tr>
      <w:tr>
        <w:trPr>
          <w:trHeight w:val="193"/>
        </w:trPr>
        <w:tc>
          <w:tcPr>
            <w:tcW w:w="5680" w:type="dxa"/>
            <w:vAlign w:val="bottom"/>
          </w:tcPr>
          <w:p>
            <w:pPr>
              <w:ind w:left="400"/>
              <w:spacing w:after="0"/>
              <w:rPr>
                <w:sz w:val="20"/>
                <w:szCs w:val="20"/>
                <w:color w:val="auto"/>
              </w:rPr>
            </w:pPr>
            <w:r>
              <w:rPr>
                <w:rFonts w:ascii="Calibri" w:cs="Calibri" w:eastAsia="Calibri" w:hAnsi="Calibri"/>
                <w:sz w:val="15"/>
                <w:szCs w:val="15"/>
                <w:color w:val="auto"/>
              </w:rPr>
              <w:t>Other loss</w:t>
            </w:r>
          </w:p>
        </w:tc>
        <w:tc>
          <w:tcPr>
            <w:tcW w:w="3180" w:type="dxa"/>
            <w:vAlign w:val="bottom"/>
          </w:tcPr>
          <w:p>
            <w:pPr>
              <w:jc w:val="center"/>
              <w:ind w:left="1707"/>
              <w:spacing w:after="0"/>
              <w:rPr>
                <w:sz w:val="20"/>
                <w:szCs w:val="20"/>
                <w:color w:val="auto"/>
              </w:rPr>
            </w:pPr>
            <w:r>
              <w:rPr>
                <w:rFonts w:ascii="Calibri" w:cs="Calibri" w:eastAsia="Calibri" w:hAnsi="Calibri"/>
                <w:sz w:val="15"/>
                <w:szCs w:val="15"/>
                <w:i w:val="1"/>
                <w:iCs w:val="1"/>
                <w:color w:val="auto"/>
              </w:rPr>
              <w:t>5</w:t>
            </w: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28</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3"/>
        </w:trPr>
        <w:tc>
          <w:tcPr>
            <w:tcW w:w="5680" w:type="dxa"/>
            <w:vAlign w:val="bottom"/>
          </w:tcPr>
          <w:p>
            <w:pPr>
              <w:ind w:left="380"/>
              <w:spacing w:after="0"/>
              <w:rPr>
                <w:sz w:val="20"/>
                <w:szCs w:val="20"/>
                <w:color w:val="auto"/>
              </w:rPr>
            </w:pPr>
            <w:r>
              <w:rPr>
                <w:rFonts w:ascii="Calibri" w:cs="Calibri" w:eastAsia="Calibri" w:hAnsi="Calibri"/>
                <w:sz w:val="15"/>
                <w:szCs w:val="15"/>
                <w:color w:val="auto"/>
              </w:rPr>
              <w:t>Computer equipment write-down</w:t>
            </w:r>
          </w:p>
        </w:tc>
        <w:tc>
          <w:tcPr>
            <w:tcW w:w="31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18</w:t>
            </w:r>
          </w:p>
        </w:tc>
        <w:tc>
          <w:tcPr>
            <w:tcW w:w="0" w:type="dxa"/>
            <w:vAlign w:val="bottom"/>
          </w:tcPr>
          <w:p>
            <w:pPr>
              <w:spacing w:after="0"/>
              <w:rPr>
                <w:sz w:val="1"/>
                <w:szCs w:val="1"/>
                <w:color w:val="auto"/>
              </w:rPr>
            </w:pPr>
          </w:p>
        </w:tc>
      </w:tr>
      <w:tr>
        <w:trPr>
          <w:trHeight w:val="266"/>
        </w:trPr>
        <w:tc>
          <w:tcPr>
            <w:tcW w:w="5680" w:type="dxa"/>
            <w:vAlign w:val="bottom"/>
          </w:tcPr>
          <w:p>
            <w:pPr>
              <w:ind w:left="420"/>
              <w:spacing w:after="0"/>
              <w:rPr>
                <w:sz w:val="20"/>
                <w:szCs w:val="20"/>
                <w:color w:val="auto"/>
              </w:rPr>
            </w:pPr>
            <w:r>
              <w:rPr>
                <w:rFonts w:ascii="Calibri" w:cs="Calibri" w:eastAsia="Calibri" w:hAnsi="Calibri"/>
                <w:sz w:val="15"/>
                <w:szCs w:val="15"/>
                <w:color w:val="auto"/>
              </w:rPr>
              <w:t>Unrealized foreign currency translaton loss (gain)</w:t>
            </w:r>
          </w:p>
        </w:tc>
        <w:tc>
          <w:tcPr>
            <w:tcW w:w="3180" w:type="dxa"/>
            <w:vAlign w:val="bottom"/>
          </w:tcPr>
          <w:p>
            <w:pPr>
              <w:spacing w:after="0"/>
              <w:rPr>
                <w:sz w:val="23"/>
                <w:szCs w:val="23"/>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(20,497)</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2,483</w:t>
            </w: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6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(61,831)</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(41,330)</w:t>
            </w:r>
          </w:p>
        </w:tc>
        <w:tc>
          <w:tcPr>
            <w:tcW w:w="0" w:type="dxa"/>
            <w:vAlign w:val="bottom"/>
          </w:tcPr>
          <w:p>
            <w:pPr>
              <w:spacing w:after="0"/>
              <w:rPr>
                <w:sz w:val="1"/>
                <w:szCs w:val="1"/>
                <w:color w:val="auto"/>
              </w:rPr>
            </w:pPr>
          </w:p>
        </w:tc>
      </w:tr>
      <w:tr>
        <w:trPr>
          <w:trHeight w:val="190"/>
        </w:trPr>
        <w:tc>
          <w:tcPr>
            <w:tcW w:w="568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3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680" w:type="dxa"/>
            <w:vAlign w:val="bottom"/>
          </w:tcPr>
          <w:p>
            <w:pPr>
              <w:ind w:left="340"/>
              <w:spacing w:after="0"/>
              <w:rPr>
                <w:sz w:val="20"/>
                <w:szCs w:val="20"/>
                <w:color w:val="auto"/>
              </w:rPr>
            </w:pPr>
            <w:r>
              <w:rPr>
                <w:rFonts w:ascii="Calibri" w:cs="Calibri" w:eastAsia="Calibri" w:hAnsi="Calibri"/>
                <w:sz w:val="15"/>
                <w:szCs w:val="15"/>
                <w:color w:val="auto"/>
              </w:rPr>
              <w:t>Accounts receivable</w:t>
            </w:r>
          </w:p>
        </w:tc>
        <w:tc>
          <w:tcPr>
            <w:tcW w:w="3180" w:type="dxa"/>
            <w:vAlign w:val="bottom"/>
          </w:tcPr>
          <w:p>
            <w:pPr>
              <w:spacing w:after="0"/>
              <w:rPr>
                <w:sz w:val="23"/>
                <w:szCs w:val="23"/>
                <w:color w:val="auto"/>
              </w:rPr>
            </w:pPr>
          </w:p>
        </w:tc>
        <w:tc>
          <w:tcPr>
            <w:tcW w:w="1460" w:type="dxa"/>
            <w:vAlign w:val="bottom"/>
            <w:vMerge w:val="restart"/>
          </w:tcPr>
          <w:p>
            <w:pPr>
              <w:jc w:val="right"/>
              <w:ind w:right="347"/>
              <w:spacing w:after="0"/>
              <w:rPr>
                <w:sz w:val="20"/>
                <w:szCs w:val="20"/>
                <w:color w:val="auto"/>
              </w:rPr>
            </w:pPr>
            <w:r>
              <w:rPr>
                <w:rFonts w:ascii="Calibri" w:cs="Calibri" w:eastAsia="Calibri" w:hAnsi="Calibri"/>
                <w:sz w:val="15"/>
                <w:szCs w:val="15"/>
                <w:b w:val="1"/>
                <w:bCs w:val="1"/>
                <w:color w:val="auto"/>
              </w:rPr>
              <w:t>(1,107)</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(869)</w:t>
            </w: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680" w:type="dxa"/>
            <w:vAlign w:val="bottom"/>
          </w:tcPr>
          <w:p>
            <w:pPr>
              <w:ind w:left="340"/>
              <w:spacing w:after="0"/>
              <w:rPr>
                <w:sz w:val="20"/>
                <w:szCs w:val="20"/>
                <w:color w:val="auto"/>
              </w:rPr>
            </w:pPr>
            <w:r>
              <w:rPr>
                <w:rFonts w:ascii="Calibri" w:cs="Calibri" w:eastAsia="Calibri" w:hAnsi="Calibri"/>
                <w:sz w:val="15"/>
                <w:szCs w:val="15"/>
                <w:color w:val="auto"/>
              </w:rPr>
              <w:t>Prepaid expenses</w:t>
            </w:r>
          </w:p>
        </w:tc>
        <w:tc>
          <w:tcPr>
            <w:tcW w:w="3180" w:type="dxa"/>
            <w:vAlign w:val="bottom"/>
          </w:tcPr>
          <w:p>
            <w:pPr>
              <w:spacing w:after="0"/>
              <w:rPr>
                <w:sz w:val="23"/>
                <w:szCs w:val="23"/>
                <w:color w:val="auto"/>
              </w:rPr>
            </w:pPr>
          </w:p>
        </w:tc>
        <w:tc>
          <w:tcPr>
            <w:tcW w:w="1460" w:type="dxa"/>
            <w:vAlign w:val="bottom"/>
            <w:vMerge w:val="restart"/>
          </w:tcPr>
          <w:p>
            <w:pPr>
              <w:jc w:val="right"/>
              <w:ind w:right="347"/>
              <w:spacing w:after="0"/>
              <w:rPr>
                <w:sz w:val="20"/>
                <w:szCs w:val="20"/>
                <w:color w:val="auto"/>
              </w:rPr>
            </w:pPr>
            <w:r>
              <w:rPr>
                <w:rFonts w:ascii="Calibri" w:cs="Calibri" w:eastAsia="Calibri" w:hAnsi="Calibri"/>
                <w:sz w:val="15"/>
                <w:szCs w:val="15"/>
                <w:b w:val="1"/>
                <w:bCs w:val="1"/>
                <w:color w:val="auto"/>
              </w:rPr>
              <w:t>(20,000)</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(1,406)</w:t>
            </w: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680" w:type="dxa"/>
            <w:vAlign w:val="bottom"/>
          </w:tcPr>
          <w:p>
            <w:pPr>
              <w:ind w:left="340"/>
              <w:spacing w:after="0"/>
              <w:rPr>
                <w:sz w:val="20"/>
                <w:szCs w:val="20"/>
                <w:color w:val="auto"/>
              </w:rPr>
            </w:pPr>
            <w:r>
              <w:rPr>
                <w:rFonts w:ascii="Calibri" w:cs="Calibri" w:eastAsia="Calibri" w:hAnsi="Calibri"/>
                <w:sz w:val="15"/>
                <w:szCs w:val="15"/>
                <w:color w:val="auto"/>
              </w:rPr>
              <w:t>Other current assets</w:t>
            </w:r>
          </w:p>
        </w:tc>
        <w:tc>
          <w:tcPr>
            <w:tcW w:w="3180" w:type="dxa"/>
            <w:vAlign w:val="bottom"/>
          </w:tcPr>
          <w:p>
            <w:pPr>
              <w:spacing w:after="0"/>
              <w:rPr>
                <w:sz w:val="24"/>
                <w:szCs w:val="24"/>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(750)</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(383)</w:t>
            </w:r>
          </w:p>
        </w:tc>
        <w:tc>
          <w:tcPr>
            <w:tcW w:w="0" w:type="dxa"/>
            <w:vAlign w:val="bottom"/>
          </w:tcPr>
          <w:p>
            <w:pPr>
              <w:spacing w:after="0"/>
              <w:rPr>
                <w:sz w:val="1"/>
                <w:szCs w:val="1"/>
                <w:color w:val="auto"/>
              </w:rPr>
            </w:pPr>
          </w:p>
        </w:tc>
      </w:tr>
      <w:tr>
        <w:trPr>
          <w:trHeight w:val="266"/>
        </w:trPr>
        <w:tc>
          <w:tcPr>
            <w:tcW w:w="5680" w:type="dxa"/>
            <w:vAlign w:val="bottom"/>
          </w:tcPr>
          <w:p>
            <w:pPr>
              <w:ind w:left="340"/>
              <w:spacing w:after="0"/>
              <w:rPr>
                <w:sz w:val="20"/>
                <w:szCs w:val="20"/>
                <w:color w:val="auto"/>
              </w:rPr>
            </w:pPr>
            <w:r>
              <w:rPr>
                <w:rFonts w:ascii="Calibri" w:cs="Calibri" w:eastAsia="Calibri" w:hAnsi="Calibri"/>
                <w:sz w:val="15"/>
                <w:szCs w:val="15"/>
                <w:color w:val="auto"/>
              </w:rPr>
              <w:t>Accounts payable and accrued liabilites</w:t>
            </w:r>
          </w:p>
        </w:tc>
        <w:tc>
          <w:tcPr>
            <w:tcW w:w="3180" w:type="dxa"/>
            <w:vAlign w:val="bottom"/>
          </w:tcPr>
          <w:p>
            <w:pPr>
              <w:spacing w:after="0"/>
              <w:rPr>
                <w:sz w:val="23"/>
                <w:szCs w:val="23"/>
                <w:color w:val="auto"/>
              </w:rPr>
            </w:pP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3,501</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(4,213)</w:t>
            </w: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operatng actvites</w:t>
            </w:r>
          </w:p>
        </w:tc>
        <w:tc>
          <w:tcPr>
            <w:tcW w:w="31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(80,187)</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(48,201)</w:t>
            </w:r>
          </w:p>
        </w:tc>
        <w:tc>
          <w:tcPr>
            <w:tcW w:w="0" w:type="dxa"/>
            <w:vAlign w:val="bottom"/>
          </w:tcPr>
          <w:p>
            <w:pPr>
              <w:spacing w:after="0"/>
              <w:rPr>
                <w:sz w:val="1"/>
                <w:szCs w:val="1"/>
                <w:color w:val="auto"/>
              </w:rPr>
            </w:pP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340"/>
              <w:spacing w:after="0"/>
              <w:rPr>
                <w:sz w:val="20"/>
                <w:szCs w:val="20"/>
                <w:color w:val="auto"/>
              </w:rPr>
            </w:pPr>
            <w:r>
              <w:rPr>
                <w:rFonts w:ascii="Calibri" w:cs="Calibri" w:eastAsia="Calibri" w:hAnsi="Calibri"/>
                <w:sz w:val="15"/>
                <w:szCs w:val="15"/>
                <w:color w:val="auto"/>
              </w:rPr>
              <w:t>Cash acquired on acquisiton</w:t>
            </w:r>
          </w:p>
        </w:tc>
        <w:tc>
          <w:tcPr>
            <w:tcW w:w="31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7,632</w:t>
            </w:r>
          </w:p>
        </w:tc>
        <w:tc>
          <w:tcPr>
            <w:tcW w:w="0" w:type="dxa"/>
            <w:vAlign w:val="bottom"/>
          </w:tcPr>
          <w:p>
            <w:pPr>
              <w:spacing w:after="0"/>
              <w:rPr>
                <w:sz w:val="1"/>
                <w:szCs w:val="1"/>
                <w:color w:val="auto"/>
              </w:rPr>
            </w:pPr>
          </w:p>
        </w:tc>
      </w:tr>
      <w:tr>
        <w:trPr>
          <w:trHeight w:val="193"/>
        </w:trPr>
        <w:tc>
          <w:tcPr>
            <w:tcW w:w="5680" w:type="dxa"/>
            <w:vAlign w:val="bottom"/>
          </w:tcPr>
          <w:p>
            <w:pPr>
              <w:ind w:left="340"/>
              <w:spacing w:after="0"/>
              <w:rPr>
                <w:sz w:val="20"/>
                <w:szCs w:val="20"/>
                <w:color w:val="auto"/>
              </w:rPr>
            </w:pPr>
            <w:r>
              <w:rPr>
                <w:rFonts w:ascii="Calibri" w:cs="Calibri" w:eastAsia="Calibri" w:hAnsi="Calibri"/>
                <w:sz w:val="15"/>
                <w:szCs w:val="15"/>
                <w:color w:val="auto"/>
              </w:rPr>
              <w:t>Purchase of equipment and intangible assets</w:t>
            </w:r>
          </w:p>
        </w:tc>
        <w:tc>
          <w:tcPr>
            <w:tcW w:w="3180" w:type="dxa"/>
            <w:vAlign w:val="bottom"/>
          </w:tcPr>
          <w:p>
            <w:pPr>
              <w:jc w:val="center"/>
              <w:ind w:left="1687"/>
              <w:spacing w:after="0"/>
              <w:rPr>
                <w:sz w:val="20"/>
                <w:szCs w:val="20"/>
                <w:color w:val="auto"/>
              </w:rPr>
            </w:pPr>
            <w:r>
              <w:rPr>
                <w:rFonts w:ascii="Calibri" w:cs="Calibri" w:eastAsia="Calibri" w:hAnsi="Calibri"/>
                <w:sz w:val="15"/>
                <w:szCs w:val="15"/>
                <w:i w:val="1"/>
                <w:iCs w:val="1"/>
                <w:color w:val="auto"/>
                <w:w w:val="98"/>
              </w:rPr>
              <w:t>3, 4</w:t>
            </w: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(882)</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(495)</w:t>
            </w: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provided by (used in) investng actvites</w:t>
            </w:r>
          </w:p>
        </w:tc>
        <w:tc>
          <w:tcPr>
            <w:tcW w:w="31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(882)</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7,137</w:t>
            </w:r>
          </w:p>
        </w:tc>
        <w:tc>
          <w:tcPr>
            <w:tcW w:w="0" w:type="dxa"/>
            <w:vAlign w:val="bottom"/>
          </w:tcPr>
          <w:p>
            <w:pPr>
              <w:spacing w:after="0"/>
              <w:rPr>
                <w:sz w:val="1"/>
                <w:szCs w:val="1"/>
                <w:color w:val="auto"/>
              </w:rPr>
            </w:pP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31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63,646</w:t>
            </w:r>
          </w:p>
        </w:tc>
        <w:tc>
          <w:tcPr>
            <w:tcW w:w="0" w:type="dxa"/>
            <w:vAlign w:val="bottom"/>
          </w:tcPr>
          <w:p>
            <w:pPr>
              <w:spacing w:after="0"/>
              <w:rPr>
                <w:sz w:val="1"/>
                <w:szCs w:val="1"/>
                <w:color w:val="auto"/>
              </w:rPr>
            </w:pPr>
          </w:p>
        </w:tc>
      </w:tr>
      <w:tr>
        <w:trPr>
          <w:trHeight w:val="193"/>
        </w:trPr>
        <w:tc>
          <w:tcPr>
            <w:tcW w:w="5680" w:type="dxa"/>
            <w:vAlign w:val="bottom"/>
          </w:tcPr>
          <w:p>
            <w:pPr>
              <w:ind w:left="340"/>
              <w:spacing w:after="0"/>
              <w:rPr>
                <w:sz w:val="20"/>
                <w:szCs w:val="20"/>
                <w:color w:val="auto"/>
              </w:rPr>
            </w:pPr>
            <w:r>
              <w:rPr>
                <w:rFonts w:ascii="Calibri" w:cs="Calibri" w:eastAsia="Calibri" w:hAnsi="Calibri"/>
                <w:sz w:val="15"/>
                <w:szCs w:val="15"/>
                <w:color w:val="auto"/>
              </w:rPr>
              <w:t>Share issuance costs</w:t>
            </w:r>
          </w:p>
        </w:tc>
        <w:tc>
          <w:tcPr>
            <w:tcW w:w="3180" w:type="dxa"/>
            <w:vAlign w:val="bottom"/>
          </w:tcPr>
          <w:p>
            <w:pPr>
              <w:jc w:val="center"/>
              <w:ind w:left="1707"/>
              <w:spacing w:after="0"/>
              <w:rPr>
                <w:sz w:val="20"/>
                <w:szCs w:val="20"/>
                <w:color w:val="auto"/>
              </w:rPr>
            </w:pPr>
            <w:r>
              <w:rPr>
                <w:rFonts w:ascii="Calibri" w:cs="Calibri" w:eastAsia="Calibri" w:hAnsi="Calibri"/>
                <w:sz w:val="15"/>
                <w:szCs w:val="15"/>
                <w:i w:val="1"/>
                <w:iCs w:val="1"/>
                <w:color w:val="auto"/>
              </w:rPr>
              <w:t>7</w:t>
            </w: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(494)</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3"/>
        </w:trPr>
        <w:tc>
          <w:tcPr>
            <w:tcW w:w="5680" w:type="dxa"/>
            <w:vAlign w:val="bottom"/>
          </w:tcPr>
          <w:p>
            <w:pPr>
              <w:ind w:left="340"/>
              <w:spacing w:after="0"/>
              <w:rPr>
                <w:sz w:val="20"/>
                <w:szCs w:val="20"/>
                <w:color w:val="auto"/>
              </w:rPr>
            </w:pPr>
            <w:r>
              <w:rPr>
                <w:rFonts w:ascii="Calibri" w:cs="Calibri" w:eastAsia="Calibri" w:hAnsi="Calibri"/>
                <w:sz w:val="15"/>
                <w:szCs w:val="15"/>
                <w:color w:val="auto"/>
              </w:rPr>
              <w:t>Proceeds on exercise of warrants</w:t>
            </w:r>
          </w:p>
        </w:tc>
        <w:tc>
          <w:tcPr>
            <w:tcW w:w="31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56</w:t>
            </w:r>
          </w:p>
        </w:tc>
        <w:tc>
          <w:tcPr>
            <w:tcW w:w="0" w:type="dxa"/>
            <w:vAlign w:val="bottom"/>
          </w:tcPr>
          <w:p>
            <w:pPr>
              <w:spacing w:after="0"/>
              <w:rPr>
                <w:sz w:val="1"/>
                <w:szCs w:val="1"/>
                <w:color w:val="auto"/>
              </w:rPr>
            </w:pPr>
          </w:p>
        </w:tc>
      </w:tr>
      <w:tr>
        <w:trPr>
          <w:trHeight w:val="193"/>
        </w:trPr>
        <w:tc>
          <w:tcPr>
            <w:tcW w:w="5680" w:type="dxa"/>
            <w:vAlign w:val="bottom"/>
          </w:tcPr>
          <w:p>
            <w:pPr>
              <w:ind w:left="340"/>
              <w:spacing w:after="0"/>
              <w:rPr>
                <w:sz w:val="20"/>
                <w:szCs w:val="20"/>
                <w:color w:val="auto"/>
              </w:rPr>
            </w:pPr>
            <w:r>
              <w:rPr>
                <w:rFonts w:ascii="Calibri" w:cs="Calibri" w:eastAsia="Calibri" w:hAnsi="Calibri"/>
                <w:sz w:val="15"/>
                <w:szCs w:val="15"/>
                <w:color w:val="auto"/>
              </w:rPr>
              <w:t>Lease payments</w:t>
            </w:r>
          </w:p>
        </w:tc>
        <w:tc>
          <w:tcPr>
            <w:tcW w:w="3180" w:type="dxa"/>
            <w:vAlign w:val="bottom"/>
          </w:tcPr>
          <w:p>
            <w:pPr>
              <w:jc w:val="center"/>
              <w:ind w:left="1707"/>
              <w:spacing w:after="0"/>
              <w:rPr>
                <w:sz w:val="20"/>
                <w:szCs w:val="20"/>
                <w:color w:val="auto"/>
              </w:rPr>
            </w:pPr>
            <w:r>
              <w:rPr>
                <w:rFonts w:ascii="Calibri" w:cs="Calibri" w:eastAsia="Calibri" w:hAnsi="Calibri"/>
                <w:sz w:val="15"/>
                <w:szCs w:val="15"/>
                <w:i w:val="1"/>
                <w:iCs w:val="1"/>
                <w:color w:val="auto"/>
              </w:rPr>
              <w:t>5</w:t>
            </w: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(290)</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(56)</w:t>
            </w: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provided by (used in) fnancing actvites</w:t>
            </w:r>
          </w:p>
        </w:tc>
        <w:tc>
          <w:tcPr>
            <w:tcW w:w="31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(784)</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63,646</w:t>
            </w:r>
          </w:p>
        </w:tc>
        <w:tc>
          <w:tcPr>
            <w:tcW w:w="0" w:type="dxa"/>
            <w:vAlign w:val="bottom"/>
          </w:tcPr>
          <w:p>
            <w:pPr>
              <w:spacing w:after="0"/>
              <w:rPr>
                <w:sz w:val="1"/>
                <w:szCs w:val="1"/>
                <w:color w:val="auto"/>
              </w:rPr>
            </w:pP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Efects of exchange rate changes on cash</w:t>
            </w:r>
          </w:p>
        </w:tc>
        <w:tc>
          <w:tcPr>
            <w:tcW w:w="3180" w:type="dxa"/>
            <w:vAlign w:val="bottom"/>
          </w:tcPr>
          <w:p>
            <w:pPr>
              <w:spacing w:after="0"/>
              <w:rPr>
                <w:sz w:val="14"/>
                <w:szCs w:val="14"/>
                <w:color w:val="auto"/>
              </w:rPr>
            </w:pPr>
          </w:p>
        </w:tc>
        <w:tc>
          <w:tcPr>
            <w:tcW w:w="1460" w:type="dxa"/>
            <w:vAlign w:val="bottom"/>
          </w:tcPr>
          <w:p>
            <w:pPr>
              <w:jc w:val="right"/>
              <w:ind w:right="367"/>
              <w:spacing w:after="0" w:line="165" w:lineRule="exact"/>
              <w:rPr>
                <w:sz w:val="20"/>
                <w:szCs w:val="20"/>
                <w:color w:val="auto"/>
              </w:rPr>
            </w:pPr>
            <w:r>
              <w:rPr>
                <w:rFonts w:ascii="Calibri" w:cs="Calibri" w:eastAsia="Calibri" w:hAnsi="Calibri"/>
                <w:sz w:val="15"/>
                <w:szCs w:val="15"/>
                <w:b w:val="1"/>
                <w:bCs w:val="1"/>
                <w:color w:val="auto"/>
              </w:rPr>
              <w:t>9,151</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(216)</w:t>
            </w:r>
          </w:p>
        </w:tc>
        <w:tc>
          <w:tcPr>
            <w:tcW w:w="0" w:type="dxa"/>
            <w:vAlign w:val="bottom"/>
          </w:tcPr>
          <w:p>
            <w:pPr>
              <w:spacing w:after="0"/>
              <w:rPr>
                <w:sz w:val="1"/>
                <w:szCs w:val="1"/>
                <w:color w:val="auto"/>
              </w:rPr>
            </w:pP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5680" w:type="dxa"/>
            <w:vAlign w:val="bottom"/>
          </w:tcPr>
          <w:p>
            <w:pPr>
              <w:ind w:left="60"/>
              <w:spacing w:after="0"/>
              <w:rPr>
                <w:sz w:val="20"/>
                <w:szCs w:val="20"/>
                <w:color w:val="auto"/>
              </w:rPr>
            </w:pPr>
            <w:r>
              <w:rPr>
                <w:rFonts w:ascii="Calibri" w:cs="Calibri" w:eastAsia="Calibri" w:hAnsi="Calibri"/>
                <w:sz w:val="15"/>
                <w:szCs w:val="15"/>
                <w:b w:val="1"/>
                <w:bCs w:val="1"/>
                <w:color w:val="auto"/>
              </w:rPr>
              <w:t>Net increase (decrease) in cash</w:t>
            </w:r>
          </w:p>
        </w:tc>
        <w:tc>
          <w:tcPr>
            <w:tcW w:w="3180" w:type="dxa"/>
            <w:vAlign w:val="bottom"/>
          </w:tcPr>
          <w:p>
            <w:pPr>
              <w:spacing w:after="0"/>
              <w:rPr>
                <w:sz w:val="24"/>
                <w:szCs w:val="24"/>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(72,702)</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22,366</w:t>
            </w:r>
          </w:p>
        </w:tc>
        <w:tc>
          <w:tcPr>
            <w:tcW w:w="0" w:type="dxa"/>
            <w:vAlign w:val="bottom"/>
          </w:tcPr>
          <w:p>
            <w:pPr>
              <w:spacing w:after="0"/>
              <w:rPr>
                <w:sz w:val="1"/>
                <w:szCs w:val="1"/>
                <w:color w:val="auto"/>
              </w:rPr>
            </w:pPr>
          </w:p>
        </w:tc>
      </w:tr>
      <w:tr>
        <w:trPr>
          <w:trHeight w:val="193"/>
        </w:trPr>
        <w:tc>
          <w:tcPr>
            <w:tcW w:w="568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period</w:t>
            </w:r>
          </w:p>
        </w:tc>
        <w:tc>
          <w:tcPr>
            <w:tcW w:w="31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208,992</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16,633</w:t>
            </w: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6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Cash, end of period</w:t>
            </w:r>
          </w:p>
        </w:tc>
        <w:tc>
          <w:tcPr>
            <w:tcW w:w="3180" w:type="dxa"/>
            <w:vAlign w:val="bottom"/>
          </w:tcPr>
          <w:p>
            <w:pPr>
              <w:spacing w:after="0"/>
              <w:rPr>
                <w:sz w:val="14"/>
                <w:szCs w:val="14"/>
                <w:color w:val="auto"/>
              </w:rPr>
            </w:pPr>
          </w:p>
        </w:tc>
        <w:tc>
          <w:tcPr>
            <w:tcW w:w="1460" w:type="dxa"/>
            <w:vAlign w:val="bottom"/>
          </w:tcPr>
          <w:p>
            <w:pPr>
              <w:jc w:val="right"/>
              <w:ind w:right="367"/>
              <w:spacing w:after="0" w:line="165" w:lineRule="exact"/>
              <w:rPr>
                <w:sz w:val="20"/>
                <w:szCs w:val="20"/>
                <w:color w:val="auto"/>
              </w:rPr>
            </w:pPr>
            <w:r>
              <w:rPr>
                <w:rFonts w:ascii="Calibri" w:cs="Calibri" w:eastAsia="Calibri" w:hAnsi="Calibri"/>
                <w:sz w:val="15"/>
                <w:szCs w:val="15"/>
                <w:b w:val="1"/>
                <w:bCs w:val="1"/>
                <w:color w:val="auto"/>
              </w:rPr>
              <w:t>136,290</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38,999</w:t>
            </w:r>
          </w:p>
        </w:tc>
        <w:tc>
          <w:tcPr>
            <w:tcW w:w="0" w:type="dxa"/>
            <w:vAlign w:val="bottom"/>
          </w:tcPr>
          <w:p>
            <w:pPr>
              <w:spacing w:after="0"/>
              <w:rPr>
                <w:sz w:val="1"/>
                <w:szCs w:val="1"/>
                <w:color w:val="auto"/>
              </w:rPr>
            </w:pP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209" w:right="319"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242" w:lineRule="exact"/>
        <w:rPr>
          <w:sz w:val="20"/>
          <w:szCs w:val="20"/>
          <w:color w:val="auto"/>
        </w:rPr>
      </w:pPr>
    </w:p>
    <w:p>
      <w:pPr>
        <w:jc w:val="both"/>
        <w:ind w:left="280"/>
        <w:spacing w:after="0" w:line="276"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seven subsidiaries (together with Cybin, the “Company”): Cybin Corp., Natures Journey Inc. (“Journey”), Serenity Life Sciences Inc. (“Serenity”), Cybin US Holdings Inc. (“Cybin US”), Adelia Therapeutcs Inc. (“Adelia”) Cybin IRL Limited (“Cybin IRL”) and Cybin UK Ltd. Cybin’s head ofce, principal address and registered address and records ofce is 100 King Street West, Suite 5600, Toronto, Ontario M5X 1C9.</w:t>
      </w:r>
    </w:p>
    <w:p>
      <w:pPr>
        <w:spacing w:after="0" w:line="165" w:lineRule="exact"/>
        <w:rPr>
          <w:sz w:val="20"/>
          <w:szCs w:val="20"/>
          <w:color w:val="auto"/>
        </w:rPr>
      </w:pPr>
    </w:p>
    <w:p>
      <w:pPr>
        <w:jc w:val="both"/>
        <w:ind w:left="280"/>
        <w:spacing w:after="0" w:line="271" w:lineRule="auto"/>
        <w:rPr>
          <w:sz w:val="20"/>
          <w:szCs w:val="20"/>
          <w:color w:val="auto"/>
        </w:rPr>
      </w:pPr>
      <w:r>
        <w:rPr>
          <w:rFonts w:ascii="Calibri" w:cs="Calibri" w:eastAsia="Calibri" w:hAnsi="Calibri"/>
          <w:sz w:val="16"/>
          <w:szCs w:val="16"/>
          <w:color w:val="auto"/>
        </w:rPr>
        <w:t>The Company is a clinical-stage neuropsychiatric company focused on advancing therapies, delivery mechanisms, novel compounds and protocols as potental treatments for various psychiatric and neurological conditons. The Company is developing technologies and delivery systems aimed at improving the pharmacokinetcs of its proprietary molecules while retaining the therapeutc beneft. These new molecules and delivery systems are expected to be studied through clinical trials to confrm safety and efcacy.</w:t>
      </w:r>
    </w:p>
    <w:p>
      <w:pPr>
        <w:spacing w:after="0" w:line="218" w:lineRule="exact"/>
        <w:rPr>
          <w:sz w:val="20"/>
          <w:szCs w:val="20"/>
          <w:color w:val="auto"/>
        </w:rPr>
      </w:pPr>
    </w:p>
    <w:p>
      <w:pPr>
        <w:jc w:val="both"/>
        <w:ind w:left="280"/>
        <w:spacing w:after="0" w:line="279" w:lineRule="auto"/>
        <w:rPr>
          <w:sz w:val="20"/>
          <w:szCs w:val="20"/>
          <w:color w:val="auto"/>
        </w:rPr>
      </w:pPr>
      <w:r>
        <w:rPr>
          <w:rFonts w:ascii="Calibri" w:cs="Calibri" w:eastAsia="Calibri" w:hAnsi="Calibri"/>
          <w:sz w:val="16"/>
          <w:szCs w:val="16"/>
          <w:color w:val="auto"/>
        </w:rPr>
        <w:t>These condensed interim consolidated fnancial statements as at, and for the three and nine months ended December 31, 2024 were approved and authorized for issue by the board of directors on February 10, 2025.</w:t>
      </w:r>
    </w:p>
    <w:p>
      <w:pPr>
        <w:spacing w:after="0" w:line="14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Stock exchange listngs</w:t>
      </w:r>
    </w:p>
    <w:p>
      <w:pPr>
        <w:spacing w:after="0" w:line="194" w:lineRule="exact"/>
        <w:rPr>
          <w:sz w:val="20"/>
          <w:szCs w:val="20"/>
          <w:color w:val="auto"/>
        </w:rPr>
      </w:pPr>
    </w:p>
    <w:p>
      <w:pPr>
        <w:jc w:val="both"/>
        <w:ind w:left="280"/>
        <w:spacing w:after="0" w:line="279" w:lineRule="auto"/>
        <w:rPr>
          <w:sz w:val="20"/>
          <w:szCs w:val="20"/>
          <w:color w:val="auto"/>
        </w:rPr>
      </w:pPr>
      <w:r>
        <w:rPr>
          <w:rFonts w:ascii="Calibri" w:cs="Calibri" w:eastAsia="Calibri" w:hAnsi="Calibri"/>
          <w:sz w:val="16"/>
          <w:szCs w:val="16"/>
          <w:color w:val="auto"/>
        </w:rPr>
        <w:t>Cybin’s common shares (the “Common Shares”) are listed for trading on Cboe Canada Inc. (“Cboe") and NYSE American LLC under the symbol “CYBN” and on the Frankfurt Stock Exchange under the symbol “R7E1”.</w:t>
      </w:r>
    </w:p>
    <w:p>
      <w:pPr>
        <w:spacing w:after="0" w:line="184"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Share consolidaton</w:t>
      </w:r>
    </w:p>
    <w:p>
      <w:pPr>
        <w:spacing w:after="0" w:line="158" w:lineRule="exact"/>
        <w:rPr>
          <w:sz w:val="20"/>
          <w:szCs w:val="20"/>
          <w:color w:val="auto"/>
        </w:rPr>
      </w:pPr>
    </w:p>
    <w:p>
      <w:pPr>
        <w:jc w:val="both"/>
        <w:ind w:left="280" w:right="20"/>
        <w:spacing w:after="0" w:line="256" w:lineRule="auto"/>
        <w:rPr>
          <w:sz w:val="20"/>
          <w:szCs w:val="20"/>
          <w:color w:val="auto"/>
        </w:rPr>
      </w:pPr>
      <w:r>
        <w:rPr>
          <w:rFonts w:ascii="Calibri" w:cs="Calibri" w:eastAsia="Calibri" w:hAnsi="Calibri"/>
          <w:sz w:val="16"/>
          <w:szCs w:val="16"/>
          <w:color w:val="auto"/>
        </w:rPr>
        <w:t>On September 19, 2024, the Company consolidated its outstanding Common Shares on the basis of one new Common Share for every 38 existng Common Shares. IAS 33 Earnings Per Share requires retrospectve adjustment to the number of shares and earnings per share in such cases even if such a transacton occurred afer the reportng period. As a result, the number of Common Shares, warrants, optons and earnings per share presented in these condensed interim consolidated fnancial statements have been restated retrospectvely for all the periods to refect this consolidaton.</w:t>
      </w:r>
    </w:p>
    <w:p>
      <w:pPr>
        <w:spacing w:after="0" w:line="373"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MATERIAL ACCOUNTING POLICY INFORMATION AND BASIS OF PREPARATION</w:t>
      </w:r>
    </w:p>
    <w:p>
      <w:pPr>
        <w:spacing w:after="0" w:line="22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218" w:lineRule="exact"/>
        <w:rPr>
          <w:sz w:val="20"/>
          <w:szCs w:val="20"/>
          <w:color w:val="auto"/>
        </w:rPr>
      </w:pPr>
    </w:p>
    <w:p>
      <w:pPr>
        <w:jc w:val="both"/>
        <w:ind w:left="280" w:right="20"/>
        <w:spacing w:after="0" w:line="243" w:lineRule="auto"/>
        <w:rPr>
          <w:sz w:val="20"/>
          <w:szCs w:val="20"/>
          <w:color w:val="auto"/>
        </w:rPr>
      </w:pPr>
      <w:r>
        <w:rPr>
          <w:rFonts w:ascii="Calibri" w:cs="Calibri" w:eastAsia="Calibri" w:hAnsi="Calibri"/>
          <w:sz w:val="16"/>
          <w:szCs w:val="16"/>
          <w:color w:val="auto"/>
        </w:rPr>
        <w:t>These condensed interim consolidated fnancial statements for the three and nine months ended December 31, 2024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7 of 25</w:t>
      </w:r>
    </w:p>
    <w:p>
      <w:pPr>
        <w:sectPr>
          <w:pgSz w:w="11900" w:h="16838" w:orient="portrait"/>
          <w:cols w:equalWidth="0" w:num="1">
            <w:col w:w="11260"/>
          </w:cols>
          <w:pgMar w:left="320" w:top="209" w:right="319" w:bottom="1440" w:gutter="0" w:footer="0" w:header="0"/>
        </w:sectPr>
      </w:pPr>
    </w:p>
    <w:bookmarkStart w:id="10" w:name="page11"/>
    <w:bookmarkEnd w:id="10"/>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line="237" w:lineRule="auto"/>
        <w:rPr>
          <w:sz w:val="20"/>
          <w:szCs w:val="20"/>
          <w:color w:val="auto"/>
        </w:rPr>
      </w:pPr>
      <w:r>
        <w:rPr>
          <w:rFonts w:ascii="Calibri" w:cs="Calibri" w:eastAsia="Calibri" w:hAnsi="Calibri"/>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2024.</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These condensed interim consolidated fnancial statements should be read in conjuncton with the consolidated fnancial statements for the year ended March 31, 2024.</w:t>
      </w:r>
    </w:p>
    <w:p>
      <w:pPr>
        <w:spacing w:after="0" w:line="22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242" w:lineRule="exact"/>
        <w:rPr>
          <w:sz w:val="20"/>
          <w:szCs w:val="20"/>
          <w:color w:val="auto"/>
        </w:rPr>
      </w:pPr>
    </w:p>
    <w:p>
      <w:pPr>
        <w:ind w:left="220" w:right="20"/>
        <w:spacing w:after="0" w:line="249" w:lineRule="auto"/>
        <w:rPr>
          <w:sz w:val="20"/>
          <w:szCs w:val="20"/>
          <w:color w:val="auto"/>
        </w:rPr>
      </w:pPr>
      <w:r>
        <w:rPr>
          <w:rFonts w:ascii="Calibri" w:cs="Calibri" w:eastAsia="Calibri" w:hAnsi="Calibri"/>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94" w:lineRule="exact"/>
        <w:rPr>
          <w:sz w:val="20"/>
          <w:szCs w:val="20"/>
          <w:color w:val="auto"/>
        </w:rPr>
      </w:pPr>
    </w:p>
    <w:p>
      <w:pPr>
        <w:ind w:left="220" w:right="20"/>
        <w:spacing w:after="0" w:line="249"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75" w:lineRule="exact"/>
        <w:rPr>
          <w:sz w:val="20"/>
          <w:szCs w:val="20"/>
          <w:color w:val="auto"/>
        </w:rPr>
      </w:pPr>
    </w:p>
    <w:p>
      <w:pPr>
        <w:ind w:left="220"/>
        <w:spacing w:after="0" w:line="249" w:lineRule="auto"/>
        <w:rPr>
          <w:sz w:val="20"/>
          <w:szCs w:val="20"/>
          <w:color w:val="auto"/>
        </w:rPr>
      </w:pPr>
      <w:r>
        <w:rPr>
          <w:rFonts w:ascii="Calibri" w:cs="Calibri" w:eastAsia="Calibri" w:hAnsi="Calibri"/>
          <w:sz w:val="16"/>
          <w:szCs w:val="16"/>
          <w:color w:val="auto"/>
        </w:rPr>
        <w:t>These condensed interim consolidated fnancial statements are presented in Canadian dollars, the Company’s presentaton currency. The subsidiaries’ functonal currencies are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46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820" w:type="dxa"/>
            <w:vAlign w:val="bottom"/>
          </w:tcPr>
          <w:p>
            <w:pPr>
              <w:ind w:left="1620"/>
              <w:spacing w:after="0"/>
              <w:rPr>
                <w:sz w:val="20"/>
                <w:szCs w:val="20"/>
                <w:color w:val="auto"/>
              </w:rPr>
            </w:pPr>
            <w:r>
              <w:rPr>
                <w:rFonts w:ascii="Calibri" w:cs="Calibri" w:eastAsia="Calibri" w:hAnsi="Calibri"/>
                <w:sz w:val="16"/>
                <w:szCs w:val="16"/>
                <w:b w:val="1"/>
                <w:bCs w:val="1"/>
                <w:color w:val="auto"/>
              </w:rPr>
              <w:t>Currency</w:t>
            </w:r>
          </w:p>
        </w:tc>
        <w:tc>
          <w:tcPr>
            <w:tcW w:w="4260" w:type="dxa"/>
            <w:vAlign w:val="bottom"/>
          </w:tcPr>
          <w:p>
            <w:pPr>
              <w:ind w:left="860"/>
              <w:spacing w:after="0"/>
              <w:rPr>
                <w:sz w:val="20"/>
                <w:szCs w:val="20"/>
                <w:color w:val="auto"/>
              </w:rPr>
            </w:pPr>
            <w:r>
              <w:rPr>
                <w:rFonts w:ascii="Calibri" w:cs="Calibri" w:eastAsia="Calibri" w:hAnsi="Calibri"/>
                <w:sz w:val="16"/>
                <w:szCs w:val="16"/>
                <w:b w:val="1"/>
                <w:bCs w:val="1"/>
                <w:color w:val="auto"/>
              </w:rPr>
              <w:t>Ownership</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85"/>
        </w:trPr>
        <w:tc>
          <w:tcPr>
            <w:tcW w:w="246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820" w:type="dxa"/>
            <w:vAlign w:val="bottom"/>
          </w:tcPr>
          <w:p>
            <w:pPr>
              <w:ind w:left="1620"/>
              <w:spacing w:after="0" w:line="185" w:lineRule="exact"/>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246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246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309"/>
        </w:trPr>
        <w:tc>
          <w:tcPr>
            <w:tcW w:w="2460" w:type="dxa"/>
            <w:vAlign w:val="bottom"/>
          </w:tcPr>
          <w:p>
            <w:pPr>
              <w:ind w:left="20"/>
              <w:spacing w:after="0"/>
              <w:rPr>
                <w:sz w:val="20"/>
                <w:szCs w:val="20"/>
                <w:color w:val="auto"/>
              </w:rPr>
            </w:pPr>
            <w:r>
              <w:rPr>
                <w:rFonts w:ascii="Calibri" w:cs="Calibri" w:eastAsia="Calibri" w:hAnsi="Calibri"/>
                <w:sz w:val="16"/>
                <w:szCs w:val="16"/>
                <w:color w:val="auto"/>
              </w:rPr>
              <w:t>Cybin US</w:t>
            </w:r>
            <w:r>
              <w:rPr>
                <w:rFonts w:ascii="Calibri" w:cs="Calibri" w:eastAsia="Calibri" w:hAnsi="Calibri"/>
                <w:sz w:val="20"/>
                <w:szCs w:val="20"/>
                <w:color w:val="auto"/>
                <w:vertAlign w:val="superscript"/>
              </w:rPr>
              <w:t>1</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11"/>
        </w:trPr>
        <w:tc>
          <w:tcPr>
            <w:tcW w:w="2460" w:type="dxa"/>
            <w:vAlign w:val="bottom"/>
          </w:tcPr>
          <w:p>
            <w:pPr>
              <w:ind w:left="20"/>
              <w:spacing w:after="0"/>
              <w:rPr>
                <w:sz w:val="20"/>
                <w:szCs w:val="20"/>
                <w:color w:val="auto"/>
              </w:rPr>
            </w:pPr>
            <w:r>
              <w:rPr>
                <w:rFonts w:ascii="Calibri" w:cs="Calibri" w:eastAsia="Calibri" w:hAnsi="Calibri"/>
                <w:sz w:val="16"/>
                <w:szCs w:val="16"/>
                <w:color w:val="auto"/>
              </w:rPr>
              <w:t>Adelia</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U.S.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246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U.S.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309"/>
        </w:trPr>
        <w:tc>
          <w:tcPr>
            <w:tcW w:w="2460" w:type="dxa"/>
            <w:vAlign w:val="bottom"/>
          </w:tcPr>
          <w:p>
            <w:pPr>
              <w:ind w:left="20"/>
              <w:spacing w:after="0"/>
              <w:rPr>
                <w:sz w:val="20"/>
                <w:szCs w:val="20"/>
                <w:color w:val="auto"/>
              </w:rPr>
            </w:pPr>
            <w:r>
              <w:rPr>
                <w:rFonts w:ascii="Calibri" w:cs="Calibri" w:eastAsia="Calibri" w:hAnsi="Calibri"/>
                <w:sz w:val="16"/>
                <w:szCs w:val="16"/>
                <w:color w:val="auto"/>
              </w:rPr>
              <w:t>Cybin UK Ltd</w:t>
            </w:r>
            <w:r>
              <w:rPr>
                <w:rFonts w:ascii="Calibri" w:cs="Calibri" w:eastAsia="Calibri" w:hAnsi="Calibri"/>
                <w:sz w:val="20"/>
                <w:szCs w:val="20"/>
                <w:color w:val="auto"/>
                <w:vertAlign w:val="superscript"/>
              </w:rPr>
              <w:t>.</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Great Britain pounds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bl>
    <w:p>
      <w:pPr>
        <w:spacing w:after="0" w:line="43" w:lineRule="exact"/>
        <w:rPr>
          <w:sz w:val="20"/>
          <w:szCs w:val="20"/>
          <w:color w:val="auto"/>
        </w:rPr>
      </w:pPr>
    </w:p>
    <w:p>
      <w:pPr>
        <w:ind w:left="300" w:hanging="73"/>
        <w:spacing w:after="0"/>
        <w:tabs>
          <w:tab w:leader="none" w:pos="300" w:val="left"/>
        </w:tabs>
        <w:numPr>
          <w:ilvl w:val="0"/>
          <w:numId w:val="1"/>
        </w:numPr>
        <w:rPr>
          <w:rFonts w:ascii="Calibri" w:cs="Calibri" w:eastAsia="Calibri" w:hAnsi="Calibri"/>
          <w:sz w:val="17"/>
          <w:szCs w:val="17"/>
          <w:color w:val="auto"/>
          <w:vertAlign w:val="superscript"/>
        </w:rPr>
      </w:pPr>
      <w:r>
        <w:rPr>
          <w:rFonts w:ascii="Calibri" w:cs="Calibri" w:eastAsia="Calibri" w:hAnsi="Calibri"/>
          <w:sz w:val="13"/>
          <w:szCs w:val="13"/>
          <w:color w:val="auto"/>
        </w:rPr>
        <w:t>For accountng purposes, Cybin US is a wholly-owned subsidiary of Cybin. Certain former Adelia Shareholders hold Class B Shares (defned below) in Cybin US.</w:t>
      </w:r>
    </w:p>
    <w:p>
      <w:pPr>
        <w:spacing w:after="0" w:line="190" w:lineRule="exact"/>
        <w:rPr>
          <w:sz w:val="20"/>
          <w:szCs w:val="20"/>
          <w:color w:val="auto"/>
        </w:rPr>
      </w:pPr>
    </w:p>
    <w:p>
      <w:pPr>
        <w:ind w:left="220"/>
        <w:spacing w:after="0"/>
        <w:rPr>
          <w:sz w:val="20"/>
          <w:szCs w:val="20"/>
          <w:color w:val="auto"/>
        </w:rPr>
      </w:pPr>
      <w:r>
        <w:rPr>
          <w:rFonts w:ascii="Calibri" w:cs="Calibri" w:eastAsia="Calibri" w:hAnsi="Calibri"/>
          <w:sz w:val="15"/>
          <w:szCs w:val="15"/>
          <w:color w:val="auto"/>
        </w:rPr>
        <w:t>The Company acquired Small Pharma Inc. and its subsidiary Small Pharma Ltd. on October 23, 2023. On April 1, 2024, Small Pharma Inc. was amalgamated with Cybin Corp.</w:t>
      </w:r>
    </w:p>
    <w:p>
      <w:pPr>
        <w:spacing w:after="0" w:line="2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and contnued as Cybin Corp. and efectve on December 16, 2023, Small Pharma Ltd.'s name was changed to Cybin UK Ltd.</w:t>
      </w:r>
    </w:p>
    <w:p>
      <w:pPr>
        <w:spacing w:after="0" w:line="167"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Material accountng policy informaton</w:t>
      </w:r>
    </w:p>
    <w:p>
      <w:pPr>
        <w:spacing w:after="0" w:line="182" w:lineRule="exact"/>
        <w:rPr>
          <w:sz w:val="20"/>
          <w:szCs w:val="20"/>
          <w:color w:val="auto"/>
        </w:rPr>
      </w:pPr>
    </w:p>
    <w:p>
      <w:pPr>
        <w:ind w:left="220" w:right="20"/>
        <w:spacing w:after="0" w:line="279" w:lineRule="auto"/>
        <w:rPr>
          <w:sz w:val="20"/>
          <w:szCs w:val="20"/>
          <w:color w:val="auto"/>
        </w:rPr>
      </w:pPr>
      <w:r>
        <w:rPr>
          <w:rFonts w:ascii="Calibri" w:cs="Calibri" w:eastAsia="Calibri" w:hAnsi="Calibri"/>
          <w:sz w:val="16"/>
          <w:szCs w:val="16"/>
          <w:color w:val="auto"/>
        </w:rPr>
        <w:t>These condensed interim consolidated fnancial statements have been prepared using the same accountng policies and methods as those used in the Company’s annual consolidated fnancial statements 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8 of 25</w:t>
      </w:r>
    </w:p>
    <w:p>
      <w:pPr>
        <w:sectPr>
          <w:pgSz w:w="11900" w:h="16838" w:orient="portrait"/>
          <w:cols w:equalWidth="0" w:num="1">
            <w:col w:w="11200"/>
          </w:cols>
          <w:pgMar w:left="380" w:top="209" w:right="319" w:bottom="1440" w:gutter="0" w:footer="0" w:header="0"/>
        </w:sectPr>
      </w:pPr>
    </w:p>
    <w:bookmarkStart w:id="11" w:name="page12"/>
    <w:bookmarkEnd w:id="1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Use of signifcant estmates and assumptons</w:t>
      </w:r>
    </w:p>
    <w:p>
      <w:pPr>
        <w:spacing w:after="0" w:line="194" w:lineRule="exact"/>
        <w:rPr>
          <w:sz w:val="20"/>
          <w:szCs w:val="20"/>
          <w:color w:val="auto"/>
        </w:rPr>
      </w:pPr>
    </w:p>
    <w:p>
      <w:pPr>
        <w:jc w:val="both"/>
        <w:ind w:left="280" w:right="20"/>
        <w:spacing w:after="0" w:line="273" w:lineRule="auto"/>
        <w:rPr>
          <w:sz w:val="20"/>
          <w:szCs w:val="20"/>
          <w:color w:val="auto"/>
        </w:rPr>
      </w:pPr>
      <w:r>
        <w:rPr>
          <w:rFonts w:ascii="Calibri" w:cs="Calibri" w:eastAsia="Calibri" w:hAnsi="Calibri"/>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2024.</w:t>
      </w:r>
    </w:p>
    <w:p>
      <w:pPr>
        <w:spacing w:after="0" w:line="22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170"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A number of new standards, amendments to standards and interpretatons are not yet efectve as at December 31, 2024,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gridSpan w:val="2"/>
          </w:tcPr>
          <w:p>
            <w:pPr>
              <w:spacing w:after="0"/>
              <w:rPr>
                <w:sz w:val="20"/>
                <w:szCs w:val="20"/>
                <w:color w:val="auto"/>
              </w:rPr>
            </w:pPr>
            <w:r>
              <w:rPr>
                <w:rFonts w:ascii="Calibri" w:cs="Calibri" w:eastAsia="Calibri" w:hAnsi="Calibri"/>
                <w:sz w:val="16"/>
                <w:szCs w:val="16"/>
                <w:b w:val="1"/>
                <w:bCs w:val="1"/>
                <w:color w:val="2D5F91"/>
              </w:rPr>
              <w:t>3.  EQUIPMENT</w:t>
            </w:r>
          </w:p>
        </w:tc>
        <w:tc>
          <w:tcPr>
            <w:tcW w:w="2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9"/>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Lab Equipment</w:t>
            </w:r>
          </w:p>
        </w:tc>
        <w:tc>
          <w:tcPr>
            <w:tcW w:w="2600" w:type="dxa"/>
            <w:vAlign w:val="bottom"/>
          </w:tcPr>
          <w:p>
            <w:pPr>
              <w:jc w:val="right"/>
              <w:ind w:right="639"/>
              <w:spacing w:after="0"/>
              <w:rPr>
                <w:sz w:val="20"/>
                <w:szCs w:val="20"/>
                <w:color w:val="auto"/>
              </w:rPr>
            </w:pPr>
            <w:r>
              <w:rPr>
                <w:rFonts w:ascii="Calibri" w:cs="Calibri" w:eastAsia="Calibri" w:hAnsi="Calibri"/>
                <w:sz w:val="16"/>
                <w:szCs w:val="16"/>
                <w:b w:val="1"/>
                <w:bCs w:val="1"/>
                <w:color w:val="auto"/>
              </w:rPr>
              <w:t>Computer Equipment</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8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2600" w:type="dxa"/>
            <w:vAlign w:val="bottom"/>
          </w:tcPr>
          <w:p>
            <w:pPr>
              <w:jc w:val="right"/>
              <w:ind w:right="639"/>
              <w:spacing w:after="0"/>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40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March 31, 2024</w:t>
            </w:r>
          </w:p>
        </w:tc>
        <w:tc>
          <w:tcPr>
            <w:tcW w:w="2800" w:type="dxa"/>
            <w:vAlign w:val="bottom"/>
          </w:tcPr>
          <w:p>
            <w:pPr>
              <w:jc w:val="right"/>
              <w:ind w:right="439"/>
              <w:spacing w:after="0" w:line="185" w:lineRule="exact"/>
              <w:rPr>
                <w:sz w:val="20"/>
                <w:szCs w:val="20"/>
                <w:color w:val="auto"/>
              </w:rPr>
            </w:pPr>
            <w:r>
              <w:rPr>
                <w:rFonts w:ascii="Calibri" w:cs="Calibri" w:eastAsia="Calibri" w:hAnsi="Calibri"/>
                <w:sz w:val="16"/>
                <w:szCs w:val="16"/>
                <w:b w:val="1"/>
                <w:bCs w:val="1"/>
                <w:color w:val="auto"/>
              </w:rPr>
              <w:t>664</w:t>
            </w:r>
          </w:p>
        </w:tc>
        <w:tc>
          <w:tcPr>
            <w:tcW w:w="2600" w:type="dxa"/>
            <w:vAlign w:val="bottom"/>
          </w:tcPr>
          <w:p>
            <w:pPr>
              <w:jc w:val="right"/>
              <w:ind w:right="679"/>
              <w:spacing w:after="0" w:line="185" w:lineRule="exact"/>
              <w:rPr>
                <w:sz w:val="20"/>
                <w:szCs w:val="20"/>
                <w:color w:val="auto"/>
              </w:rPr>
            </w:pPr>
            <w:r>
              <w:rPr>
                <w:rFonts w:ascii="Calibri" w:cs="Calibri" w:eastAsia="Calibri" w:hAnsi="Calibri"/>
                <w:sz w:val="16"/>
                <w:szCs w:val="16"/>
                <w:b w:val="1"/>
                <w:bCs w:val="1"/>
                <w:color w:val="auto"/>
              </w:rPr>
              <w:t>266</w:t>
            </w:r>
          </w:p>
        </w:tc>
        <w:tc>
          <w:tcPr>
            <w:tcW w:w="114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930</w:t>
            </w:r>
          </w:p>
        </w:tc>
      </w:tr>
      <w:tr>
        <w:trPr>
          <w:trHeight w:val="198"/>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800" w:type="dxa"/>
            <w:vAlign w:val="bottom"/>
          </w:tcPr>
          <w:p>
            <w:pPr>
              <w:jc w:val="right"/>
              <w:ind w:right="439"/>
              <w:spacing w:after="0"/>
              <w:rPr>
                <w:sz w:val="20"/>
                <w:szCs w:val="20"/>
                <w:color w:val="auto"/>
              </w:rPr>
            </w:pPr>
            <w:r>
              <w:rPr>
                <w:rFonts w:ascii="Calibri" w:cs="Calibri" w:eastAsia="Calibri" w:hAnsi="Calibri"/>
                <w:sz w:val="16"/>
                <w:szCs w:val="16"/>
                <w:color w:val="auto"/>
              </w:rPr>
              <w:t>—</w:t>
            </w:r>
          </w:p>
        </w:tc>
        <w:tc>
          <w:tcPr>
            <w:tcW w:w="2600" w:type="dxa"/>
            <w:vAlign w:val="bottom"/>
          </w:tcPr>
          <w:p>
            <w:pPr>
              <w:jc w:val="right"/>
              <w:ind w:right="679"/>
              <w:spacing w:after="0"/>
              <w:rPr>
                <w:sz w:val="20"/>
                <w:szCs w:val="20"/>
                <w:color w:val="auto"/>
              </w:rPr>
            </w:pPr>
            <w:r>
              <w:rPr>
                <w:rFonts w:ascii="Calibri" w:cs="Calibri" w:eastAsia="Calibri" w:hAnsi="Calibri"/>
                <w:sz w:val="16"/>
                <w:szCs w:val="16"/>
                <w:color w:val="auto"/>
              </w:rPr>
              <w:t>35</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35</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800" w:type="dxa"/>
            <w:vAlign w:val="bottom"/>
          </w:tcPr>
          <w:p>
            <w:pPr>
              <w:jc w:val="right"/>
              <w:ind w:right="439"/>
              <w:spacing w:after="0"/>
              <w:rPr>
                <w:sz w:val="20"/>
                <w:szCs w:val="20"/>
                <w:color w:val="auto"/>
              </w:rPr>
            </w:pPr>
            <w:r>
              <w:rPr>
                <w:rFonts w:ascii="Calibri" w:cs="Calibri" w:eastAsia="Calibri" w:hAnsi="Calibri"/>
                <w:sz w:val="16"/>
                <w:szCs w:val="16"/>
                <w:color w:val="auto"/>
              </w:rPr>
              <w:t>42</w:t>
            </w:r>
          </w:p>
        </w:tc>
        <w:tc>
          <w:tcPr>
            <w:tcW w:w="260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0"/>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December 31, 2024</w:t>
            </w:r>
          </w:p>
        </w:tc>
        <w:tc>
          <w:tcPr>
            <w:tcW w:w="280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706</w:t>
            </w:r>
          </w:p>
        </w:tc>
        <w:tc>
          <w:tcPr>
            <w:tcW w:w="260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301</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1,007</w:t>
            </w:r>
          </w:p>
        </w:tc>
      </w:tr>
      <w:tr>
        <w:trPr>
          <w:trHeight w:val="401"/>
        </w:trPr>
        <w:tc>
          <w:tcPr>
            <w:tcW w:w="28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2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2800" w:type="dxa"/>
            <w:vAlign w:val="bottom"/>
          </w:tcPr>
          <w:p>
            <w:pPr>
              <w:jc w:val="right"/>
              <w:ind w:right="439"/>
              <w:spacing w:after="0"/>
              <w:rPr>
                <w:sz w:val="20"/>
                <w:szCs w:val="20"/>
                <w:color w:val="auto"/>
              </w:rPr>
            </w:pPr>
            <w:r>
              <w:rPr>
                <w:rFonts w:ascii="Calibri" w:cs="Calibri" w:eastAsia="Calibri" w:hAnsi="Calibri"/>
                <w:sz w:val="16"/>
                <w:szCs w:val="16"/>
                <w:b w:val="1"/>
                <w:bCs w:val="1"/>
                <w:color w:val="auto"/>
              </w:rPr>
              <w:t>430</w:t>
            </w:r>
          </w:p>
        </w:tc>
        <w:tc>
          <w:tcPr>
            <w:tcW w:w="260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234</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664</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800" w:type="dxa"/>
            <w:vAlign w:val="bottom"/>
          </w:tcPr>
          <w:p>
            <w:pPr>
              <w:jc w:val="right"/>
              <w:ind w:right="439"/>
              <w:spacing w:after="0"/>
              <w:rPr>
                <w:sz w:val="20"/>
                <w:szCs w:val="20"/>
                <w:color w:val="auto"/>
              </w:rPr>
            </w:pPr>
            <w:r>
              <w:rPr>
                <w:rFonts w:ascii="Calibri" w:cs="Calibri" w:eastAsia="Calibri" w:hAnsi="Calibri"/>
                <w:sz w:val="16"/>
                <w:szCs w:val="16"/>
                <w:color w:val="auto"/>
              </w:rPr>
              <w:t>106</w:t>
            </w:r>
          </w:p>
        </w:tc>
        <w:tc>
          <w:tcPr>
            <w:tcW w:w="2600" w:type="dxa"/>
            <w:vAlign w:val="bottom"/>
          </w:tcPr>
          <w:p>
            <w:pPr>
              <w:jc w:val="right"/>
              <w:ind w:right="679"/>
              <w:spacing w:after="0"/>
              <w:rPr>
                <w:sz w:val="20"/>
                <w:szCs w:val="20"/>
                <w:color w:val="auto"/>
              </w:rPr>
            </w:pPr>
            <w:r>
              <w:rPr>
                <w:rFonts w:ascii="Calibri" w:cs="Calibri" w:eastAsia="Calibri" w:hAnsi="Calibri"/>
                <w:sz w:val="16"/>
                <w:szCs w:val="16"/>
                <w:color w:val="auto"/>
              </w:rPr>
              <w:t>21</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127</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800" w:type="dxa"/>
            <w:vAlign w:val="bottom"/>
          </w:tcPr>
          <w:p>
            <w:pPr>
              <w:jc w:val="right"/>
              <w:ind w:right="439"/>
              <w:spacing w:after="0"/>
              <w:rPr>
                <w:sz w:val="20"/>
                <w:szCs w:val="20"/>
                <w:color w:val="auto"/>
              </w:rPr>
            </w:pPr>
            <w:r>
              <w:rPr>
                <w:rFonts w:ascii="Calibri" w:cs="Calibri" w:eastAsia="Calibri" w:hAnsi="Calibri"/>
                <w:sz w:val="16"/>
                <w:szCs w:val="16"/>
                <w:color w:val="auto"/>
              </w:rPr>
              <w:t>31</w:t>
            </w:r>
          </w:p>
        </w:tc>
        <w:tc>
          <w:tcPr>
            <w:tcW w:w="260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0"/>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December 31, 2024</w:t>
            </w:r>
          </w:p>
        </w:tc>
        <w:tc>
          <w:tcPr>
            <w:tcW w:w="280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567</w:t>
            </w:r>
          </w:p>
        </w:tc>
        <w:tc>
          <w:tcPr>
            <w:tcW w:w="260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255</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822</w:t>
            </w:r>
          </w:p>
        </w:tc>
      </w:tr>
      <w:tr>
        <w:trPr>
          <w:trHeight w:val="216"/>
        </w:trPr>
        <w:tc>
          <w:tcPr>
            <w:tcW w:w="28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91"/>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280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234</w:t>
            </w:r>
          </w:p>
        </w:tc>
        <w:tc>
          <w:tcPr>
            <w:tcW w:w="260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32</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266</w:t>
            </w:r>
          </w:p>
        </w:tc>
      </w:tr>
      <w:tr>
        <w:trPr>
          <w:trHeight w:val="198"/>
        </w:trPr>
        <w:tc>
          <w:tcPr>
            <w:tcW w:w="280" w:type="dxa"/>
            <w:vAlign w:val="bottom"/>
          </w:tcPr>
          <w:p>
            <w:pPr>
              <w:spacing w:after="0"/>
              <w:rPr>
                <w:sz w:val="17"/>
                <w:szCs w:val="17"/>
                <w:color w:val="auto"/>
              </w:rPr>
            </w:pPr>
          </w:p>
        </w:tc>
        <w:tc>
          <w:tcPr>
            <w:tcW w:w="40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December 31, 2024</w:t>
            </w:r>
          </w:p>
        </w:tc>
        <w:tc>
          <w:tcPr>
            <w:tcW w:w="2800" w:type="dxa"/>
            <w:vAlign w:val="bottom"/>
            <w:tcBorders>
              <w:bottom w:val="single" w:sz="8" w:color="auto"/>
            </w:tcBorders>
          </w:tcPr>
          <w:p>
            <w:pPr>
              <w:jc w:val="right"/>
              <w:ind w:right="439"/>
              <w:spacing w:after="0" w:line="193" w:lineRule="exact"/>
              <w:rPr>
                <w:sz w:val="20"/>
                <w:szCs w:val="20"/>
                <w:color w:val="auto"/>
              </w:rPr>
            </w:pPr>
            <w:r>
              <w:rPr>
                <w:rFonts w:ascii="Calibri" w:cs="Calibri" w:eastAsia="Calibri" w:hAnsi="Calibri"/>
                <w:sz w:val="16"/>
                <w:szCs w:val="16"/>
                <w:b w:val="1"/>
                <w:bCs w:val="1"/>
                <w:color w:val="auto"/>
              </w:rPr>
              <w:t>139</w:t>
            </w:r>
          </w:p>
        </w:tc>
        <w:tc>
          <w:tcPr>
            <w:tcW w:w="2600" w:type="dxa"/>
            <w:vAlign w:val="bottom"/>
            <w:tcBorders>
              <w:bottom w:val="single" w:sz="8" w:color="auto"/>
            </w:tcBorders>
          </w:tcPr>
          <w:p>
            <w:pPr>
              <w:jc w:val="right"/>
              <w:ind w:right="679"/>
              <w:spacing w:after="0" w:line="193" w:lineRule="exact"/>
              <w:rPr>
                <w:sz w:val="20"/>
                <w:szCs w:val="20"/>
                <w:color w:val="auto"/>
              </w:rPr>
            </w:pPr>
            <w:r>
              <w:rPr>
                <w:rFonts w:ascii="Calibri" w:cs="Calibri" w:eastAsia="Calibri" w:hAnsi="Calibri"/>
                <w:sz w:val="16"/>
                <w:szCs w:val="16"/>
                <w:b w:val="1"/>
                <w:bCs w:val="1"/>
                <w:color w:val="auto"/>
              </w:rPr>
              <w:t>46</w:t>
            </w:r>
          </w:p>
        </w:tc>
        <w:tc>
          <w:tcPr>
            <w:tcW w:w="1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9 of 25</w:t>
      </w:r>
    </w:p>
    <w:p>
      <w:pPr>
        <w:sectPr>
          <w:pgSz w:w="11900" w:h="16838" w:orient="portrait"/>
          <w:cols w:equalWidth="0" w:num="1">
            <w:col w:w="11260"/>
          </w:cols>
          <w:pgMar w:left="320" w:top="209" w:right="319" w:bottom="1440" w:gutter="0" w:footer="0" w:header="0"/>
        </w:sectPr>
      </w:pPr>
    </w:p>
    <w:bookmarkStart w:id="12" w:name="page13"/>
    <w:bookmarkEnd w:id="1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188" w:lineRule="auto"/>
        <w:rPr>
          <w:sz w:val="20"/>
          <w:szCs w:val="20"/>
          <w:color w:val="auto"/>
        </w:rPr>
      </w:pPr>
      <w:r>
        <w:rPr>
          <w:rFonts w:ascii="Calibri" w:cs="Calibri" w:eastAsia="Calibri" w:hAnsi="Calibri"/>
          <w:sz w:val="19"/>
          <w:szCs w:val="19"/>
          <w:b w:val="1"/>
          <w:bCs w:val="1"/>
          <w:color w:val="auto"/>
        </w:rPr>
        <w:t>December 31, 2024</w:t>
      </w:r>
    </w:p>
    <w:p>
      <w:pPr>
        <w:spacing w:after="0" w:line="1" w:lineRule="exact"/>
        <w:rPr>
          <w:sz w:val="20"/>
          <w:szCs w:val="20"/>
          <w:color w:val="auto"/>
        </w:rPr>
      </w:pPr>
    </w:p>
    <w:p>
      <w:pPr>
        <w:ind w:left="60" w:right="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8"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9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gridSpan w:val="2"/>
          </w:tcPr>
          <w:p>
            <w:pPr>
              <w:spacing w:after="0"/>
              <w:rPr>
                <w:sz w:val="20"/>
                <w:szCs w:val="20"/>
                <w:color w:val="auto"/>
              </w:rPr>
            </w:pPr>
            <w:r>
              <w:rPr>
                <w:rFonts w:ascii="Calibri" w:cs="Calibri" w:eastAsia="Calibri" w:hAnsi="Calibri"/>
                <w:sz w:val="16"/>
                <w:szCs w:val="16"/>
                <w:b w:val="1"/>
                <w:bCs w:val="1"/>
                <w:color w:val="2D5F91"/>
              </w:rPr>
              <w:t>4.  INTANGIBLE ASSETS</w:t>
            </w:r>
          </w:p>
        </w:tc>
        <w:tc>
          <w:tcPr>
            <w:tcW w:w="2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5"/>
        </w:trPr>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IP Research &amp;</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5"/>
        </w:trPr>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8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Development</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Patents</w:t>
            </w:r>
          </w:p>
        </w:tc>
        <w:tc>
          <w:tcPr>
            <w:tcW w:w="112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License</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Sofware</w:t>
            </w:r>
          </w:p>
        </w:tc>
        <w:tc>
          <w:tcPr>
            <w:tcW w:w="84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3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28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8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March 31, 2024</w:t>
            </w:r>
          </w:p>
        </w:tc>
        <w:tc>
          <w:tcPr>
            <w:tcW w:w="238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32,440</w:t>
            </w:r>
          </w:p>
        </w:tc>
        <w:tc>
          <w:tcPr>
            <w:tcW w:w="118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1,668</w:t>
            </w:r>
          </w:p>
        </w:tc>
        <w:tc>
          <w:tcPr>
            <w:tcW w:w="1120" w:type="dxa"/>
            <w:vAlign w:val="bottom"/>
          </w:tcPr>
          <w:p>
            <w:pPr>
              <w:jc w:val="right"/>
              <w:ind w:right="259"/>
              <w:spacing w:after="0" w:line="185" w:lineRule="exact"/>
              <w:rPr>
                <w:sz w:val="20"/>
                <w:szCs w:val="20"/>
                <w:color w:val="auto"/>
              </w:rPr>
            </w:pPr>
            <w:r>
              <w:rPr>
                <w:rFonts w:ascii="Calibri" w:cs="Calibri" w:eastAsia="Calibri" w:hAnsi="Calibri"/>
                <w:sz w:val="16"/>
                <w:szCs w:val="16"/>
                <w:b w:val="1"/>
                <w:bCs w:val="1"/>
                <w:color w:val="auto"/>
              </w:rPr>
              <w:t>1,381</w:t>
            </w:r>
          </w:p>
        </w:tc>
        <w:tc>
          <w:tcPr>
            <w:tcW w:w="122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74</w:t>
            </w:r>
          </w:p>
        </w:tc>
        <w:tc>
          <w:tcPr>
            <w:tcW w:w="84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35,563</w:t>
            </w:r>
          </w:p>
        </w:tc>
      </w:tr>
      <w:tr>
        <w:trPr>
          <w:trHeight w:val="198"/>
        </w:trPr>
        <w:tc>
          <w:tcPr>
            <w:tcW w:w="2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3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847</w:t>
            </w:r>
          </w:p>
        </w:tc>
        <w:tc>
          <w:tcPr>
            <w:tcW w:w="112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847</w:t>
            </w:r>
          </w:p>
        </w:tc>
      </w:tr>
      <w:tr>
        <w:trPr>
          <w:trHeight w:val="206"/>
        </w:trPr>
        <w:tc>
          <w:tcPr>
            <w:tcW w:w="2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380" w:type="dxa"/>
            <w:vAlign w:val="bottom"/>
          </w:tcPr>
          <w:p>
            <w:pPr>
              <w:jc w:val="right"/>
              <w:ind w:right="299"/>
              <w:spacing w:after="0"/>
              <w:rPr>
                <w:sz w:val="20"/>
                <w:szCs w:val="20"/>
                <w:color w:val="auto"/>
              </w:rPr>
            </w:pPr>
            <w:r>
              <w:rPr>
                <w:rFonts w:ascii="Calibri" w:cs="Calibri" w:eastAsia="Calibri" w:hAnsi="Calibri"/>
                <w:sz w:val="16"/>
                <w:szCs w:val="16"/>
                <w:color w:val="auto"/>
              </w:rPr>
              <w:t>177</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136</w:t>
            </w:r>
          </w:p>
        </w:tc>
        <w:tc>
          <w:tcPr>
            <w:tcW w:w="1120" w:type="dxa"/>
            <w:vAlign w:val="bottom"/>
          </w:tcPr>
          <w:p>
            <w:pPr>
              <w:jc w:val="right"/>
              <w:ind w:right="259"/>
              <w:spacing w:after="0"/>
              <w:rPr>
                <w:sz w:val="20"/>
                <w:szCs w:val="20"/>
                <w:color w:val="auto"/>
              </w:rPr>
            </w:pPr>
            <w:r>
              <w:rPr>
                <w:rFonts w:ascii="Calibri" w:cs="Calibri" w:eastAsia="Calibri" w:hAnsi="Calibri"/>
                <w:sz w:val="16"/>
                <w:szCs w:val="16"/>
                <w:color w:val="auto"/>
              </w:rPr>
              <w:t>85</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398</w:t>
            </w:r>
          </w:p>
        </w:tc>
      </w:tr>
      <w:tr>
        <w:trPr>
          <w:trHeight w:val="20"/>
        </w:trPr>
        <w:tc>
          <w:tcPr>
            <w:tcW w:w="28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38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December 31, 2024</w:t>
            </w:r>
          </w:p>
        </w:tc>
        <w:tc>
          <w:tcPr>
            <w:tcW w:w="23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32,617</w:t>
            </w:r>
          </w:p>
        </w:tc>
        <w:tc>
          <w:tcPr>
            <w:tcW w:w="11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2,651</w:t>
            </w:r>
          </w:p>
        </w:tc>
        <w:tc>
          <w:tcPr>
            <w:tcW w:w="1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1,466</w:t>
            </w:r>
          </w:p>
        </w:tc>
        <w:tc>
          <w:tcPr>
            <w:tcW w:w="122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74</w:t>
            </w:r>
          </w:p>
        </w:tc>
        <w:tc>
          <w:tcPr>
            <w:tcW w:w="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36,808</w:t>
            </w:r>
          </w:p>
        </w:tc>
      </w:tr>
      <w:tr>
        <w:trPr>
          <w:trHeight w:val="413"/>
        </w:trPr>
        <w:tc>
          <w:tcPr>
            <w:tcW w:w="2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23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56</w:t>
            </w:r>
          </w:p>
        </w:tc>
        <w:tc>
          <w:tcPr>
            <w:tcW w:w="12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42</w:t>
            </w:r>
          </w:p>
        </w:tc>
        <w:tc>
          <w:tcPr>
            <w:tcW w:w="84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r>
        <w:trPr>
          <w:trHeight w:val="206"/>
        </w:trPr>
        <w:tc>
          <w:tcPr>
            <w:tcW w:w="2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23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259"/>
              <w:spacing w:after="0"/>
              <w:rPr>
                <w:sz w:val="20"/>
                <w:szCs w:val="20"/>
                <w:color w:val="auto"/>
              </w:rPr>
            </w:pPr>
            <w:r>
              <w:rPr>
                <w:rFonts w:ascii="Calibri" w:cs="Calibri" w:eastAsia="Calibri" w:hAnsi="Calibri"/>
                <w:sz w:val="16"/>
                <w:szCs w:val="16"/>
                <w:color w:val="auto"/>
              </w:rPr>
              <w:t>30</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18</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48</w:t>
            </w:r>
          </w:p>
        </w:tc>
      </w:tr>
      <w:tr>
        <w:trPr>
          <w:trHeight w:val="206"/>
        </w:trPr>
        <w:tc>
          <w:tcPr>
            <w:tcW w:w="2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3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259"/>
              <w:spacing w:after="0"/>
              <w:rPr>
                <w:sz w:val="20"/>
                <w:szCs w:val="20"/>
                <w:color w:val="auto"/>
              </w:rPr>
            </w:pPr>
            <w:r>
              <w:rPr>
                <w:rFonts w:ascii="Calibri" w:cs="Calibri" w:eastAsia="Calibri" w:hAnsi="Calibri"/>
                <w:sz w:val="16"/>
                <w:szCs w:val="16"/>
                <w:color w:val="auto"/>
              </w:rPr>
              <w:t>4</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4</w:t>
            </w:r>
          </w:p>
        </w:tc>
      </w:tr>
      <w:tr>
        <w:trPr>
          <w:trHeight w:val="20"/>
        </w:trPr>
        <w:tc>
          <w:tcPr>
            <w:tcW w:w="28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38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December 31, 2024</w:t>
            </w:r>
          </w:p>
        </w:tc>
        <w:tc>
          <w:tcPr>
            <w:tcW w:w="23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w:t>
            </w:r>
          </w:p>
        </w:tc>
        <w:tc>
          <w:tcPr>
            <w:tcW w:w="11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w:t>
            </w:r>
          </w:p>
        </w:tc>
        <w:tc>
          <w:tcPr>
            <w:tcW w:w="1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90</w:t>
            </w:r>
          </w:p>
        </w:tc>
        <w:tc>
          <w:tcPr>
            <w:tcW w:w="122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60</w:t>
            </w:r>
          </w:p>
        </w:tc>
        <w:tc>
          <w:tcPr>
            <w:tcW w:w="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150</w:t>
            </w:r>
          </w:p>
        </w:tc>
      </w:tr>
      <w:tr>
        <w:trPr>
          <w:trHeight w:val="228"/>
        </w:trPr>
        <w:tc>
          <w:tcPr>
            <w:tcW w:w="280" w:type="dxa"/>
            <w:vAlign w:val="bottom"/>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91"/>
        </w:trPr>
        <w:tc>
          <w:tcPr>
            <w:tcW w:w="280" w:type="dxa"/>
            <w:vAlign w:val="bottom"/>
          </w:tcPr>
          <w:p>
            <w:pPr>
              <w:spacing w:after="0"/>
              <w:rPr>
                <w:sz w:val="16"/>
                <w:szCs w:val="16"/>
                <w:color w:val="auto"/>
              </w:rPr>
            </w:pPr>
          </w:p>
        </w:tc>
        <w:tc>
          <w:tcPr>
            <w:tcW w:w="38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23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32,440</w:t>
            </w:r>
          </w:p>
        </w:tc>
        <w:tc>
          <w:tcPr>
            <w:tcW w:w="11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1,668</w:t>
            </w:r>
          </w:p>
        </w:tc>
        <w:tc>
          <w:tcPr>
            <w:tcW w:w="1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1,325</w:t>
            </w:r>
          </w:p>
        </w:tc>
        <w:tc>
          <w:tcPr>
            <w:tcW w:w="122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32</w:t>
            </w:r>
          </w:p>
        </w:tc>
        <w:tc>
          <w:tcPr>
            <w:tcW w:w="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35,465</w:t>
            </w:r>
          </w:p>
        </w:tc>
      </w:tr>
      <w:tr>
        <w:trPr>
          <w:trHeight w:val="198"/>
        </w:trPr>
        <w:tc>
          <w:tcPr>
            <w:tcW w:w="280" w:type="dxa"/>
            <w:vAlign w:val="bottom"/>
          </w:tcPr>
          <w:p>
            <w:pPr>
              <w:spacing w:after="0"/>
              <w:rPr>
                <w:sz w:val="17"/>
                <w:szCs w:val="17"/>
                <w:color w:val="auto"/>
              </w:rPr>
            </w:pPr>
          </w:p>
        </w:tc>
        <w:tc>
          <w:tcPr>
            <w:tcW w:w="38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December 31, 2024</w:t>
            </w:r>
          </w:p>
        </w:tc>
        <w:tc>
          <w:tcPr>
            <w:tcW w:w="238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32,617</w:t>
            </w:r>
          </w:p>
        </w:tc>
        <w:tc>
          <w:tcPr>
            <w:tcW w:w="118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2,651</w:t>
            </w:r>
          </w:p>
        </w:tc>
        <w:tc>
          <w:tcPr>
            <w:tcW w:w="1120" w:type="dxa"/>
            <w:vAlign w:val="bottom"/>
            <w:tcBorders>
              <w:bottom w:val="single" w:sz="8" w:color="auto"/>
            </w:tcBorders>
          </w:tcPr>
          <w:p>
            <w:pPr>
              <w:jc w:val="right"/>
              <w:ind w:right="259"/>
              <w:spacing w:after="0" w:line="193" w:lineRule="exact"/>
              <w:rPr>
                <w:sz w:val="20"/>
                <w:szCs w:val="20"/>
                <w:color w:val="auto"/>
              </w:rPr>
            </w:pPr>
            <w:r>
              <w:rPr>
                <w:rFonts w:ascii="Calibri" w:cs="Calibri" w:eastAsia="Calibri" w:hAnsi="Calibri"/>
                <w:sz w:val="16"/>
                <w:szCs w:val="16"/>
                <w:b w:val="1"/>
                <w:bCs w:val="1"/>
                <w:color w:val="auto"/>
              </w:rPr>
              <w:t>1,376</w:t>
            </w:r>
          </w:p>
        </w:tc>
        <w:tc>
          <w:tcPr>
            <w:tcW w:w="122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14</w:t>
            </w:r>
          </w:p>
        </w:tc>
        <w:tc>
          <w:tcPr>
            <w:tcW w:w="8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36,658</w:t>
            </w:r>
          </w:p>
        </w:tc>
      </w:tr>
    </w:tbl>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5. RIGHT-OF-USE ASSETS AND LEASE LIABILITIES</w:t>
      </w:r>
    </w:p>
    <w:p>
      <w:pPr>
        <w:spacing w:after="0" w:line="218" w:lineRule="exact"/>
        <w:rPr>
          <w:sz w:val="20"/>
          <w:szCs w:val="20"/>
          <w:color w:val="auto"/>
        </w:rPr>
      </w:pPr>
    </w:p>
    <w:p>
      <w:pPr>
        <w:jc w:val="both"/>
        <w:ind w:left="280"/>
        <w:spacing w:after="0" w:line="255" w:lineRule="auto"/>
        <w:rPr>
          <w:sz w:val="20"/>
          <w:szCs w:val="20"/>
          <w:color w:val="auto"/>
        </w:rPr>
      </w:pPr>
      <w:r>
        <w:rPr>
          <w:rFonts w:ascii="Calibri" w:cs="Calibri" w:eastAsia="Calibri" w:hAnsi="Calibri"/>
          <w:sz w:val="16"/>
          <w:szCs w:val="16"/>
          <w:color w:val="auto"/>
        </w:rPr>
        <w:t>During the three month period ended December 31, 2024, the Company terminated its lease early, resultng in a loss on the derecogniton of its right-of-use assets of $52 and a gain on derecogniton of lease liabilites of $24. The loss on the derecogniton of its right-of-use assets refects the diference between the carrying value of the right-of-use asset and the recoverable amount at the tme of derecogniton. The gain on derecogniton of lease liabilites was calculated as the diference between the carrying amount of the lease liability immediately before the terminaton and the payment made to setle the lease obligaton. The net loss of $28 has been recognized as "other loss" in the consolidated statement of loss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10 of 25</w:t>
      </w:r>
    </w:p>
    <w:p>
      <w:pPr>
        <w:sectPr>
          <w:pgSz w:w="11900" w:h="16838" w:orient="portrait"/>
          <w:cols w:equalWidth="0" w:num="1">
            <w:col w:w="11260"/>
          </w:cols>
          <w:pgMar w:left="320" w:top="234" w:right="319" w:bottom="1440" w:gutter="0" w:footer="0" w:header="0"/>
        </w:sectPr>
      </w:pPr>
    </w:p>
    <w:bookmarkStart w:id="13" w:name="page14"/>
    <w:bookmarkEnd w:id="1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0" w:type="dxa"/>
            <w:vAlign w:val="bottom"/>
            <w:gridSpan w:val="6"/>
          </w:tcPr>
          <w:p>
            <w:pPr>
              <w:ind w:left="280"/>
              <w:spacing w:after="0"/>
              <w:rPr>
                <w:sz w:val="20"/>
                <w:szCs w:val="20"/>
                <w:color w:val="auto"/>
              </w:rPr>
            </w:pPr>
            <w:r>
              <w:rPr>
                <w:rFonts w:ascii="Calibri" w:cs="Calibri" w:eastAsia="Calibri" w:hAnsi="Calibri"/>
                <w:sz w:val="16"/>
                <w:szCs w:val="16"/>
                <w:b w:val="1"/>
                <w:bCs w:val="1"/>
                <w:color w:val="auto"/>
              </w:rPr>
              <w:t>a)  Right-of-use assets</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80" w:type="dxa"/>
            <w:vAlign w:val="bottom"/>
          </w:tcPr>
          <w:p>
            <w:pPr>
              <w:spacing w:after="0"/>
              <w:rPr>
                <w:sz w:val="24"/>
                <w:szCs w:val="24"/>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b w:val="1"/>
                <w:bCs w:val="1"/>
                <w:color w:val="auto"/>
              </w:rPr>
              <w:t>Cost</w:t>
            </w: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742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720" w:type="dxa"/>
            <w:vAlign w:val="bottom"/>
            <w:gridSpan w:val="5"/>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424</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Additons</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Efect of foreign exchange</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24</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Disposals</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(448)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742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gridSpan w:val="5"/>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401"/>
        </w:trPr>
        <w:tc>
          <w:tcPr>
            <w:tcW w:w="280" w:type="dxa"/>
            <w:vAlign w:val="bottom"/>
          </w:tcPr>
          <w:p>
            <w:pPr>
              <w:spacing w:after="0"/>
              <w:rPr>
                <w:sz w:val="24"/>
                <w:szCs w:val="24"/>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b w:val="1"/>
                <w:bCs w:val="1"/>
                <w:color w:val="auto"/>
              </w:rPr>
              <w:t>Balance as at March 31, 2024</w:t>
            </w: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rPr>
              <w:t>143</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Amortzaton</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238</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Efect of foreign exchange</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14</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Disposals</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(395)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742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gridSpan w:val="5"/>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gridSpan w:val="5"/>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281</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8720" w:type="dxa"/>
            <w:vAlign w:val="bottom"/>
            <w:tcBorders>
              <w:bottom w:val="single" w:sz="8" w:color="auto"/>
            </w:tcBorders>
            <w:gridSpan w:val="5"/>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December 31, 2024</w:t>
            </w:r>
          </w:p>
        </w:tc>
        <w:tc>
          <w:tcPr>
            <w:tcW w:w="18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434"/>
        </w:trPr>
        <w:tc>
          <w:tcPr>
            <w:tcW w:w="9000" w:type="dxa"/>
            <w:vAlign w:val="bottom"/>
            <w:gridSpan w:val="6"/>
          </w:tcPr>
          <w:p>
            <w:pPr>
              <w:ind w:left="280"/>
              <w:spacing w:after="0"/>
              <w:rPr>
                <w:sz w:val="20"/>
                <w:szCs w:val="20"/>
                <w:color w:val="auto"/>
              </w:rPr>
            </w:pPr>
            <w:r>
              <w:rPr>
                <w:rFonts w:ascii="Calibri" w:cs="Calibri" w:eastAsia="Calibri" w:hAnsi="Calibri"/>
                <w:sz w:val="16"/>
                <w:szCs w:val="16"/>
                <w:b w:val="1"/>
                <w:bCs w:val="1"/>
                <w:color w:val="auto"/>
              </w:rPr>
              <w:t>b)  Lease Liabilites</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20" w:type="dxa"/>
            <w:vAlign w:val="bottom"/>
            <w:tcBorders>
              <w:bottom w:val="single" w:sz="8" w:color="auto"/>
            </w:tcBorders>
            <w:gridSpan w:val="5"/>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720" w:type="dxa"/>
            <w:vAlign w:val="bottom"/>
            <w:gridSpan w:val="5"/>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291</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Interest accreton</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Efect of foreign exchange</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Gain on derecogniton</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(24)</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Terminaton penalty payment</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(31)</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gridSpan w:val="5"/>
          </w:tcPr>
          <w:p>
            <w:pPr>
              <w:ind w:left="20"/>
              <w:spacing w:after="0"/>
              <w:rPr>
                <w:sz w:val="20"/>
                <w:szCs w:val="20"/>
                <w:color w:val="auto"/>
              </w:rPr>
            </w:pPr>
            <w:r>
              <w:rPr>
                <w:rFonts w:ascii="Calibri" w:cs="Calibri" w:eastAsia="Calibri" w:hAnsi="Calibri"/>
                <w:sz w:val="16"/>
                <w:szCs w:val="16"/>
                <w:color w:val="auto"/>
              </w:rPr>
              <w:t>Payments</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(259)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20" w:type="dxa"/>
            <w:vAlign w:val="bottom"/>
            <w:tcBorders>
              <w:bottom w:val="single" w:sz="8" w:color="auto"/>
            </w:tcBorders>
            <w:gridSpan w:val="5"/>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gridSpan w:val="5"/>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68"/>
        </w:trPr>
        <w:tc>
          <w:tcPr>
            <w:tcW w:w="9000" w:type="dxa"/>
            <w:vAlign w:val="bottom"/>
            <w:gridSpan w:val="6"/>
          </w:tcPr>
          <w:p>
            <w:pPr>
              <w:spacing w:after="0"/>
              <w:rPr>
                <w:sz w:val="20"/>
                <w:szCs w:val="20"/>
                <w:color w:val="auto"/>
              </w:rPr>
            </w:pPr>
            <w:r>
              <w:rPr>
                <w:rFonts w:ascii="Calibri" w:cs="Calibri" w:eastAsia="Calibri" w:hAnsi="Calibri"/>
                <w:sz w:val="16"/>
                <w:szCs w:val="16"/>
                <w:b w:val="1"/>
                <w:bCs w:val="1"/>
                <w:color w:val="2D5F91"/>
              </w:rPr>
              <w:t>6. GOODWILL</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9000" w:type="dxa"/>
            <w:vAlign w:val="bottom"/>
            <w:gridSpan w:val="6"/>
          </w:tcPr>
          <w:p>
            <w:pPr>
              <w:ind w:left="280"/>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80" w:type="dxa"/>
            <w:vAlign w:val="bottom"/>
          </w:tcPr>
          <w:p>
            <w:pPr>
              <w:spacing w:after="0"/>
              <w:rPr>
                <w:sz w:val="24"/>
                <w:szCs w:val="24"/>
                <w:color w:val="auto"/>
              </w:rPr>
            </w:pPr>
          </w:p>
        </w:tc>
        <w:tc>
          <w:tcPr>
            <w:tcW w:w="8720" w:type="dxa"/>
            <w:vAlign w:val="bottom"/>
            <w:gridSpan w:val="5"/>
          </w:tcPr>
          <w:p>
            <w:pPr>
              <w:ind w:left="60"/>
              <w:spacing w:after="0"/>
              <w:rPr>
                <w:sz w:val="20"/>
                <w:szCs w:val="20"/>
                <w:color w:val="auto"/>
              </w:rPr>
            </w:pPr>
            <w:r>
              <w:rPr>
                <w:rFonts w:ascii="Calibri" w:cs="Calibri" w:eastAsia="Calibri" w:hAnsi="Calibri"/>
                <w:sz w:val="16"/>
                <w:szCs w:val="16"/>
                <w:b w:val="1"/>
                <w:bCs w:val="1"/>
                <w:color w:val="auto"/>
              </w:rPr>
              <w:t>Cost</w:t>
            </w:r>
          </w:p>
        </w:tc>
        <w:tc>
          <w:tcPr>
            <w:tcW w:w="182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60"/>
        </w:trPr>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80" w:type="dxa"/>
            <w:vAlign w:val="bottom"/>
          </w:tcPr>
          <w:p>
            <w:pPr>
              <w:spacing w:after="0"/>
              <w:rPr>
                <w:sz w:val="5"/>
                <w:szCs w:val="5"/>
                <w:color w:val="auto"/>
              </w:rPr>
            </w:pPr>
          </w:p>
        </w:tc>
        <w:tc>
          <w:tcPr>
            <w:tcW w:w="8720" w:type="dxa"/>
            <w:vAlign w:val="bottom"/>
            <w:tcBorders>
              <w:bottom w:val="single" w:sz="8" w:color="auto"/>
            </w:tcBorders>
            <w:gridSpan w:val="5"/>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720" w:type="dxa"/>
            <w:vAlign w:val="bottom"/>
            <w:gridSpan w:val="5"/>
          </w:tcPr>
          <w:p>
            <w:pPr>
              <w:ind w:left="10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color w:val="auto"/>
              </w:rPr>
              <w:t>47,475</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8720" w:type="dxa"/>
            <w:vAlign w:val="bottom"/>
            <w:gridSpan w:val="5"/>
          </w:tcPr>
          <w:p>
            <w:pPr>
              <w:ind w:left="100"/>
              <w:spacing w:after="0"/>
              <w:rPr>
                <w:sz w:val="20"/>
                <w:szCs w:val="20"/>
                <w:color w:val="auto"/>
              </w:rPr>
            </w:pPr>
            <w:r>
              <w:rPr>
                <w:rFonts w:ascii="Calibri" w:cs="Calibri" w:eastAsia="Calibri" w:hAnsi="Calibri"/>
                <w:sz w:val="16"/>
                <w:szCs w:val="16"/>
                <w:color w:val="auto"/>
              </w:rPr>
              <w:t>Efect of foreign exchange</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1,537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20" w:type="dxa"/>
            <w:vAlign w:val="bottom"/>
            <w:tcBorders>
              <w:bottom w:val="single" w:sz="8" w:color="auto"/>
            </w:tcBorders>
            <w:gridSpan w:val="5"/>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gridSpan w:val="5"/>
          </w:tcPr>
          <w:p>
            <w:pPr>
              <w:ind w:left="100"/>
              <w:spacing w:after="0" w:line="192" w:lineRule="exact"/>
              <w:rPr>
                <w:sz w:val="20"/>
                <w:szCs w:val="20"/>
                <w:color w:val="auto"/>
              </w:rPr>
            </w:pPr>
            <w:r>
              <w:rPr>
                <w:rFonts w:ascii="Calibri" w:cs="Calibri" w:eastAsia="Calibri" w:hAnsi="Calibri"/>
                <w:sz w:val="16"/>
                <w:szCs w:val="16"/>
                <w:b w:val="1"/>
                <w:bCs w:val="1"/>
                <w:color w:val="auto"/>
              </w:rPr>
              <w:t>Balance as at December 31,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49,012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b w:val="1"/>
          <w:bCs w:val="1"/>
          <w:color w:val="auto"/>
        </w:rPr>
        <w:t>Page 11 of 25</w:t>
      </w:r>
    </w:p>
    <w:p>
      <w:pPr>
        <w:sectPr>
          <w:pgSz w:w="11900" w:h="16838" w:orient="portrait"/>
          <w:cols w:equalWidth="0" w:num="1">
            <w:col w:w="11060"/>
          </w:cols>
          <w:pgMar w:left="320" w:top="209" w:right="519" w:bottom="1440" w:gutter="0" w:footer="0" w:header="0"/>
        </w:sectPr>
      </w:pPr>
    </w:p>
    <w:bookmarkStart w:id="14" w:name="page15"/>
    <w:bookmarkEnd w:id="1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7.</w:t>
      </w:r>
      <w:r>
        <w:rPr>
          <w:sz w:val="20"/>
          <w:szCs w:val="20"/>
          <w:color w:val="auto"/>
        </w:rPr>
        <w:tab/>
      </w:r>
      <w:r>
        <w:rPr>
          <w:rFonts w:ascii="Calibri" w:cs="Calibri" w:eastAsia="Calibri" w:hAnsi="Calibri"/>
          <w:sz w:val="15"/>
          <w:szCs w:val="15"/>
          <w:b w:val="1"/>
          <w:bCs w:val="1"/>
          <w:color w:val="2D5F91"/>
        </w:rPr>
        <w:t>SHARE CAPITAL</w:t>
      </w:r>
    </w:p>
    <w:p>
      <w:pPr>
        <w:spacing w:after="0" w:line="192" w:lineRule="exact"/>
        <w:rPr>
          <w:sz w:val="20"/>
          <w:szCs w:val="20"/>
          <w:color w:val="auto"/>
        </w:rPr>
      </w:pPr>
    </w:p>
    <w:p>
      <w:pPr>
        <w:ind w:left="580" w:hanging="293"/>
        <w:spacing w:after="0"/>
        <w:tabs>
          <w:tab w:leader="none" w:pos="580" w:val="left"/>
        </w:tabs>
        <w:numPr>
          <w:ilvl w:val="0"/>
          <w:numId w:val="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82" w:lineRule="exact"/>
        <w:rPr>
          <w:sz w:val="20"/>
          <w:szCs w:val="20"/>
          <w:color w:val="auto"/>
        </w:rPr>
      </w:pPr>
    </w:p>
    <w:p>
      <w:pPr>
        <w:jc w:val="both"/>
        <w:ind w:left="280"/>
        <w:spacing w:after="0" w:line="258" w:lineRule="auto"/>
        <w:rPr>
          <w:sz w:val="20"/>
          <w:szCs w:val="20"/>
          <w:color w:val="auto"/>
        </w:rPr>
      </w:pPr>
      <w:r>
        <w:rPr>
          <w:rFonts w:ascii="Calibri" w:cs="Calibri" w:eastAsia="Calibri" w:hAnsi="Calibri"/>
          <w:sz w:val="16"/>
          <w:szCs w:val="16"/>
          <w:color w:val="auto"/>
        </w:rPr>
        <w:t>On September 19, 2024, the Company consolidated its outstanding Common Shares on the basis of one new Common Share for every 38 existng Common Shares. As a result, the number of Common Shares, warrants, optons and earnings per share presented in these condensed interim consolidated fnancial statements have been restated retrospectvely for all the periods to refect this consolidaton.</w:t>
      </w:r>
    </w:p>
    <w:p>
      <w:pPr>
        <w:spacing w:after="0" w:line="168"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72" w:lineRule="exact"/>
        <w:rPr>
          <w:sz w:val="20"/>
          <w:szCs w:val="20"/>
          <w:color w:val="auto"/>
        </w:rPr>
      </w:pPr>
    </w:p>
    <w:p>
      <w:pPr>
        <w:ind w:left="560" w:hanging="273"/>
        <w:spacing w:after="0"/>
        <w:tabs>
          <w:tab w:leader="none" w:pos="560" w:val="left"/>
        </w:tabs>
        <w:numPr>
          <w:ilvl w:val="0"/>
          <w:numId w:val="3"/>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As at December 31, 2024, the Company had no Common Shares subject to transfer restrictons (March 31, 2024: 415,985).</w:t>
      </w:r>
    </w:p>
    <w:p>
      <w:pPr>
        <w:spacing w:after="0" w:line="242"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During the three and nine month periods ended December 31, 2024 no Common Shares were issued (except for three Common Shares issued upon the September 19, 2024 share consolidaton (see note 1) as a result of rounding).</w:t>
      </w:r>
    </w:p>
    <w:p>
      <w:pPr>
        <w:spacing w:after="0" w:line="16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Preferred Shares</w:t>
      </w:r>
    </w:p>
    <w:p>
      <w:pPr>
        <w:spacing w:after="0" w:line="24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As at December 31, 2024, the Company had no preferred shares outstanding (March 31, 2024- nil).</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182"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As at December 31, 2024, 36,084.7 class B common shares of Cybin US (“Class B Shares”) were outstanding, and are exchangeable for a total of 9,496 Common Shares. The Class B Shares are exchangeable at the holder’s opton for Common Shares on the basis of 0.26316 Common Shares for 1 Class B Share. These condensed interim consolidated fnancial statements refect issued Class B Shares on an as-converted basis.</w:t>
      </w:r>
    </w:p>
    <w:p>
      <w:pPr>
        <w:spacing w:after="0" w:line="165"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During the three and nine month periods ended December 31, 2024, no Class B Shares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12 of 25</w:t>
      </w:r>
    </w:p>
    <w:p>
      <w:pPr>
        <w:sectPr>
          <w:pgSz w:w="11900" w:h="16838" w:orient="portrait"/>
          <w:cols w:equalWidth="0" w:num="1">
            <w:col w:w="11260"/>
          </w:cols>
          <w:pgMar w:left="320" w:top="209" w:right="319" w:bottom="1440" w:gutter="0" w:footer="0" w:header="0"/>
        </w:sectPr>
      </w:pPr>
    </w:p>
    <w:bookmarkStart w:id="15" w:name="page16"/>
    <w:bookmarkEnd w:id="15"/>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120" w:type="dxa"/>
            <w:vAlign w:val="bottom"/>
            <w:gridSpan w:val="3"/>
          </w:tcPr>
          <w:p>
            <w:pPr>
              <w:spacing w:after="0"/>
              <w:rPr>
                <w:sz w:val="20"/>
                <w:szCs w:val="20"/>
                <w:color w:val="auto"/>
              </w:rPr>
            </w:pPr>
            <w:r>
              <w:rPr>
                <w:rFonts w:ascii="Calibri" w:cs="Calibri" w:eastAsia="Calibri" w:hAnsi="Calibri"/>
                <w:sz w:val="16"/>
                <w:szCs w:val="16"/>
                <w:b w:val="1"/>
                <w:bCs w:val="1"/>
                <w:color w:val="auto"/>
              </w:rPr>
              <w:t>c)  Warrants</w:t>
            </w:r>
          </w:p>
        </w:tc>
        <w:tc>
          <w:tcPr>
            <w:tcW w:w="1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120" w:type="dxa"/>
            <w:vAlign w:val="bottom"/>
            <w:gridSpan w:val="3"/>
          </w:tcPr>
          <w:p>
            <w:pPr>
              <w:spacing w:after="0"/>
              <w:rPr>
                <w:sz w:val="20"/>
                <w:szCs w:val="20"/>
                <w:color w:val="auto"/>
              </w:rPr>
            </w:pPr>
            <w:r>
              <w:rPr>
                <w:rFonts w:ascii="Calibri" w:cs="Calibri" w:eastAsia="Calibri" w:hAnsi="Calibri"/>
                <w:sz w:val="16"/>
                <w:szCs w:val="16"/>
                <w:color w:val="auto"/>
              </w:rPr>
              <w:t>The contnuity of the outstanding warrants for the nine month period ended December 31, 2024 is as follows:</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80" w:type="dxa"/>
            <w:vAlign w:val="bottom"/>
            <w:vMerge w:val="restart"/>
          </w:tcPr>
          <w:p>
            <w:pPr>
              <w:jc w:val="right"/>
              <w:ind w:right="39"/>
              <w:spacing w:after="0"/>
              <w:rPr>
                <w:sz w:val="20"/>
                <w:szCs w:val="20"/>
                <w:color w:val="auto"/>
              </w:rPr>
            </w:pPr>
            <w:r>
              <w:rPr>
                <w:rFonts w:ascii="Calibri" w:cs="Calibri" w:eastAsia="Calibri" w:hAnsi="Calibri"/>
                <w:sz w:val="16"/>
                <w:szCs w:val="16"/>
                <w:b w:val="1"/>
                <w:bCs w:val="1"/>
                <w:color w:val="auto"/>
              </w:rPr>
              <w:t>Number of Warrants</w:t>
            </w: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 exercise</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price</w:t>
            </w:r>
            <w:r>
              <w:rPr>
                <w:rFonts w:ascii="Calibri" w:cs="Calibri" w:eastAsia="Calibri" w:hAnsi="Calibri"/>
                <w:sz w:val="20"/>
                <w:szCs w:val="20"/>
                <w:b w:val="1"/>
                <w:bCs w:val="1"/>
                <w:color w:val="auto"/>
                <w:vertAlign w:val="superscript"/>
              </w:rPr>
              <w:t>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54"/>
        </w:trPr>
        <w:tc>
          <w:tcPr>
            <w:tcW w:w="7120" w:type="dxa"/>
            <w:vAlign w:val="bottom"/>
            <w:gridSpan w:val="3"/>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1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auto"/>
            </w:tcBorders>
            <w:gridSpan w:val="3"/>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7120" w:type="dxa"/>
            <w:vAlign w:val="bottom"/>
            <w:gridSpan w:val="3"/>
          </w:tcPr>
          <w:p>
            <w:pPr>
              <w:ind w:left="20"/>
              <w:spacing w:after="0" w:line="185" w:lineRule="exact"/>
              <w:rPr>
                <w:sz w:val="20"/>
                <w:szCs w:val="20"/>
                <w:color w:val="auto"/>
              </w:rPr>
            </w:pPr>
            <w:r>
              <w:rPr>
                <w:rFonts w:ascii="Calibri" w:cs="Calibri" w:eastAsia="Calibri" w:hAnsi="Calibri"/>
                <w:sz w:val="16"/>
                <w:szCs w:val="16"/>
                <w:color w:val="auto"/>
              </w:rPr>
              <w:t>As at March 31, 2024</w:t>
            </w:r>
          </w:p>
        </w:tc>
        <w:tc>
          <w:tcPr>
            <w:tcW w:w="1580" w:type="dxa"/>
            <w:vAlign w:val="bottom"/>
          </w:tcPr>
          <w:p>
            <w:pPr>
              <w:jc w:val="right"/>
              <w:ind w:right="39"/>
              <w:spacing w:after="0" w:line="185" w:lineRule="exact"/>
              <w:rPr>
                <w:sz w:val="20"/>
                <w:szCs w:val="20"/>
                <w:color w:val="auto"/>
              </w:rPr>
            </w:pPr>
            <w:r>
              <w:rPr>
                <w:rFonts w:ascii="Calibri" w:cs="Calibri" w:eastAsia="Calibri" w:hAnsi="Calibri"/>
                <w:sz w:val="16"/>
                <w:szCs w:val="16"/>
                <w:color w:val="auto"/>
              </w:rPr>
              <w:t>2,796,197</w:t>
            </w:r>
          </w:p>
        </w:tc>
        <w:tc>
          <w:tcPr>
            <w:tcW w:w="1840" w:type="dxa"/>
            <w:vAlign w:val="bottom"/>
          </w:tcPr>
          <w:p>
            <w:pPr>
              <w:jc w:val="right"/>
              <w:spacing w:after="0" w:line="185" w:lineRule="exact"/>
              <w:rPr>
                <w:sz w:val="20"/>
                <w:szCs w:val="20"/>
                <w:color w:val="auto"/>
              </w:rPr>
            </w:pPr>
            <w:r>
              <w:rPr>
                <w:rFonts w:ascii="Calibri" w:cs="Calibri" w:eastAsia="Calibri" w:hAnsi="Calibri"/>
                <w:sz w:val="16"/>
                <w:szCs w:val="16"/>
                <w:color w:val="auto"/>
              </w:rPr>
              <w:t>22.74</w:t>
            </w:r>
          </w:p>
        </w:tc>
        <w:tc>
          <w:tcPr>
            <w:tcW w:w="0" w:type="dxa"/>
            <w:vAlign w:val="bottom"/>
          </w:tcPr>
          <w:p>
            <w:pPr>
              <w:spacing w:after="0"/>
              <w:rPr>
                <w:sz w:val="1"/>
                <w:szCs w:val="1"/>
                <w:color w:val="auto"/>
              </w:rPr>
            </w:pPr>
          </w:p>
        </w:tc>
      </w:tr>
      <w:tr>
        <w:trPr>
          <w:trHeight w:val="198"/>
        </w:trPr>
        <w:tc>
          <w:tcPr>
            <w:tcW w:w="7120" w:type="dxa"/>
            <w:vAlign w:val="bottom"/>
            <w:gridSpan w:val="3"/>
          </w:tcPr>
          <w:p>
            <w:pPr>
              <w:ind w:left="20"/>
              <w:spacing w:after="0"/>
              <w:rPr>
                <w:sz w:val="20"/>
                <w:szCs w:val="20"/>
                <w:color w:val="auto"/>
              </w:rPr>
            </w:pPr>
            <w:r>
              <w:rPr>
                <w:rFonts w:ascii="Calibri" w:cs="Calibri" w:eastAsia="Calibri" w:hAnsi="Calibri"/>
                <w:sz w:val="16"/>
                <w:szCs w:val="16"/>
                <w:color w:val="auto"/>
              </w:rPr>
              <w:t>Exercised</w:t>
            </w:r>
          </w:p>
        </w:tc>
        <w:tc>
          <w:tcPr>
            <w:tcW w:w="1580" w:type="dxa"/>
            <w:vAlign w:val="bottom"/>
          </w:tcPr>
          <w:p>
            <w:pPr>
              <w:jc w:val="right"/>
              <w:ind w:right="139"/>
              <w:spacing w:after="0"/>
              <w:rPr>
                <w:sz w:val="20"/>
                <w:szCs w:val="20"/>
                <w:color w:val="auto"/>
              </w:rPr>
            </w:pPr>
            <w:r>
              <w:rPr>
                <w:rFonts w:ascii="Calibri" w:cs="Calibri" w:eastAsia="Calibri" w:hAnsi="Calibri"/>
                <w:sz w:val="16"/>
                <w:szCs w:val="16"/>
                <w:color w:val="auto"/>
              </w:rPr>
              <w:t>—</w:t>
            </w:r>
          </w:p>
        </w:tc>
        <w:tc>
          <w:tcPr>
            <w:tcW w:w="1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7120" w:type="dxa"/>
            <w:vAlign w:val="bottom"/>
            <w:tcBorders>
              <w:bottom w:val="single" w:sz="8" w:color="auto"/>
            </w:tcBorders>
            <w:gridSpan w:val="3"/>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120" w:type="dxa"/>
            <w:vAlign w:val="bottom"/>
            <w:tcBorders>
              <w:bottom w:val="single" w:sz="8" w:color="auto"/>
            </w:tcBorders>
            <w:gridSpan w:val="3"/>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2024</w:t>
            </w:r>
          </w:p>
        </w:tc>
        <w:tc>
          <w:tcPr>
            <w:tcW w:w="158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2,796,197</w:t>
            </w:r>
          </w:p>
        </w:tc>
        <w:tc>
          <w:tcPr>
            <w:tcW w:w="1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24.06</w:t>
            </w:r>
          </w:p>
        </w:tc>
        <w:tc>
          <w:tcPr>
            <w:tcW w:w="0" w:type="dxa"/>
            <w:vAlign w:val="bottom"/>
          </w:tcPr>
          <w:p>
            <w:pPr>
              <w:spacing w:after="0"/>
              <w:rPr>
                <w:sz w:val="1"/>
                <w:szCs w:val="1"/>
                <w:color w:val="auto"/>
              </w:rPr>
            </w:pPr>
          </w:p>
        </w:tc>
      </w:tr>
      <w:tr>
        <w:trPr>
          <w:trHeight w:val="198"/>
        </w:trPr>
        <w:tc>
          <w:tcPr>
            <w:tcW w:w="7120" w:type="dxa"/>
            <w:vAlign w:val="bottom"/>
            <w:tcBorders>
              <w:bottom w:val="single" w:sz="8" w:color="auto"/>
            </w:tcBorders>
            <w:gridSpan w:val="3"/>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2024</w:t>
            </w:r>
          </w:p>
        </w:tc>
        <w:tc>
          <w:tcPr>
            <w:tcW w:w="1580" w:type="dxa"/>
            <w:vAlign w:val="bottom"/>
            <w:tcBorders>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2,796,197</w:t>
            </w:r>
          </w:p>
        </w:tc>
        <w:tc>
          <w:tcPr>
            <w:tcW w:w="18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24.06</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20"/>
        <w:spacing w:after="0"/>
        <w:rPr>
          <w:sz w:val="20"/>
          <w:szCs w:val="20"/>
          <w:color w:val="auto"/>
        </w:rPr>
      </w:pPr>
      <w:r>
        <w:rPr>
          <w:rFonts w:ascii="Calibri" w:cs="Calibri" w:eastAsia="Calibri" w:hAnsi="Calibri"/>
          <w:sz w:val="18"/>
          <w:szCs w:val="18"/>
          <w:i w:val="1"/>
          <w:iCs w:val="1"/>
          <w:color w:val="auto"/>
          <w:vertAlign w:val="superscript"/>
        </w:rPr>
        <w:t>1</w:t>
      </w:r>
      <w:r>
        <w:rPr>
          <w:rFonts w:ascii="Calibri" w:cs="Calibri" w:eastAsia="Calibri" w:hAnsi="Calibri"/>
          <w:sz w:val="15"/>
          <w:szCs w:val="15"/>
          <w:i w:val="1"/>
          <w:iCs w:val="1"/>
          <w:color w:val="auto"/>
        </w:rPr>
        <w:t>Certain warrants were issued in USD, the weighted average exercise price is calculated using the closing exchange rate in efect as at the respectve dates.</w:t>
      </w:r>
    </w:p>
    <w:p>
      <w:pPr>
        <w:spacing w:after="0" w:line="16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warrants outstanding as at December 31, 2024:</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244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Warrants</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Warrants</w:t>
            </w:r>
          </w:p>
        </w:tc>
        <w:tc>
          <w:tcPr>
            <w:tcW w:w="162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w w:val="99"/>
              </w:rPr>
              <w:t>Weighted average of</w:t>
            </w:r>
          </w:p>
        </w:tc>
        <w:tc>
          <w:tcPr>
            <w:tcW w:w="1380" w:type="dxa"/>
            <w:vAlign w:val="bottom"/>
          </w:tcPr>
          <w:p>
            <w:pPr>
              <w:jc w:val="right"/>
              <w:ind w:right="79"/>
              <w:spacing w:after="0" w:line="193" w:lineRule="exact"/>
              <w:rPr>
                <w:sz w:val="20"/>
                <w:szCs w:val="20"/>
                <w:color w:val="auto"/>
              </w:rPr>
            </w:pPr>
            <w:r>
              <w:rPr>
                <w:rFonts w:ascii="Calibri" w:cs="Calibri" w:eastAsia="Calibri" w:hAnsi="Calibri"/>
                <w:sz w:val="16"/>
                <w:szCs w:val="16"/>
                <w:b w:val="1"/>
                <w:bCs w:val="1"/>
                <w:color w:val="auto"/>
              </w:rPr>
              <w:t>Estmated grant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remaining</w:t>
            </w:r>
          </w:p>
        </w:tc>
        <w:tc>
          <w:tcPr>
            <w:tcW w:w="0" w:type="dxa"/>
            <w:vAlign w:val="bottom"/>
          </w:tcPr>
          <w:p>
            <w:pPr>
              <w:spacing w:after="0"/>
              <w:rPr>
                <w:sz w:val="1"/>
                <w:szCs w:val="1"/>
                <w:color w:val="auto"/>
              </w:rPr>
            </w:pPr>
          </w:p>
        </w:tc>
      </w:tr>
      <w:tr>
        <w:trPr>
          <w:trHeight w:val="193"/>
        </w:trPr>
        <w:tc>
          <w:tcPr>
            <w:tcW w:w="260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244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outstanding</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exercisable</w:t>
            </w:r>
          </w:p>
        </w:tc>
        <w:tc>
          <w:tcPr>
            <w:tcW w:w="162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exercisable price</w:t>
            </w:r>
          </w:p>
        </w:tc>
        <w:tc>
          <w:tcPr>
            <w:tcW w:w="1380" w:type="dxa"/>
            <w:vAlign w:val="bottom"/>
          </w:tcPr>
          <w:p>
            <w:pPr>
              <w:jc w:val="right"/>
              <w:ind w:right="79"/>
              <w:spacing w:after="0" w:line="193" w:lineRule="exact"/>
              <w:rPr>
                <w:sz w:val="20"/>
                <w:szCs w:val="20"/>
                <w:color w:val="auto"/>
              </w:rPr>
            </w:pPr>
            <w:r>
              <w:rPr>
                <w:rFonts w:ascii="Calibri" w:cs="Calibri" w:eastAsia="Calibri" w:hAnsi="Calibri"/>
                <w:sz w:val="16"/>
                <w:szCs w:val="16"/>
                <w:b w:val="1"/>
                <w:bCs w:val="1"/>
                <w:color w:val="auto"/>
              </w:rPr>
              <w:t>date fair value</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contractual life</w:t>
            </w:r>
          </w:p>
        </w:tc>
        <w:tc>
          <w:tcPr>
            <w:tcW w:w="0" w:type="dxa"/>
            <w:vAlign w:val="bottom"/>
          </w:tcPr>
          <w:p>
            <w:pPr>
              <w:spacing w:after="0"/>
              <w:rPr>
                <w:sz w:val="1"/>
                <w:szCs w:val="1"/>
                <w:color w:val="auto"/>
              </w:rPr>
            </w:pPr>
          </w:p>
        </w:tc>
      </w:tr>
      <w:tr>
        <w:trPr>
          <w:trHeight w:val="60"/>
        </w:trPr>
        <w:tc>
          <w:tcPr>
            <w:tcW w:w="26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6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2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w:t>
            </w:r>
          </w:p>
        </w:tc>
        <w:tc>
          <w:tcPr>
            <w:tcW w:w="138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$000’s</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c>
          <w:tcPr>
            <w:tcW w:w="0" w:type="dxa"/>
            <w:vAlign w:val="bottom"/>
          </w:tcPr>
          <w:p>
            <w:pPr>
              <w:spacing w:after="0"/>
              <w:rPr>
                <w:sz w:val="1"/>
                <w:szCs w:val="1"/>
                <w:color w:val="auto"/>
              </w:rPr>
            </w:pPr>
          </w:p>
        </w:tc>
      </w:tr>
      <w:tr>
        <w:trPr>
          <w:trHeight w:val="81"/>
        </w:trPr>
        <w:tc>
          <w:tcPr>
            <w:tcW w:w="260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
              <w:spacing w:after="0" w:line="185" w:lineRule="exact"/>
              <w:rPr>
                <w:sz w:val="20"/>
                <w:szCs w:val="20"/>
                <w:color w:val="auto"/>
              </w:rPr>
            </w:pPr>
            <w:r>
              <w:rPr>
                <w:rFonts w:ascii="Calibri" w:cs="Calibri" w:eastAsia="Calibri" w:hAnsi="Calibri"/>
                <w:sz w:val="16"/>
                <w:szCs w:val="16"/>
                <w:color w:val="auto"/>
              </w:rPr>
              <w:t>August 4, 2028</w:t>
            </w:r>
          </w:p>
        </w:tc>
        <w:tc>
          <w:tcPr>
            <w:tcW w:w="2440" w:type="dxa"/>
            <w:vAlign w:val="bottom"/>
          </w:tcPr>
          <w:p>
            <w:pPr>
              <w:jc w:val="right"/>
              <w:ind w:right="279"/>
              <w:spacing w:after="0" w:line="185" w:lineRule="exact"/>
              <w:rPr>
                <w:sz w:val="20"/>
                <w:szCs w:val="20"/>
                <w:color w:val="auto"/>
              </w:rPr>
            </w:pPr>
            <w:r>
              <w:rPr>
                <w:rFonts w:ascii="Calibri" w:cs="Calibri" w:eastAsia="Calibri" w:hAnsi="Calibri"/>
                <w:sz w:val="16"/>
                <w:szCs w:val="16"/>
                <w:color w:val="auto"/>
              </w:rPr>
              <w:t>635,887</w:t>
            </w:r>
          </w:p>
        </w:tc>
        <w:tc>
          <w:tcPr>
            <w:tcW w:w="1140" w:type="dxa"/>
            <w:vAlign w:val="bottom"/>
          </w:tcPr>
          <w:p>
            <w:pPr>
              <w:jc w:val="right"/>
              <w:spacing w:after="0" w:line="185" w:lineRule="exact"/>
              <w:rPr>
                <w:sz w:val="20"/>
                <w:szCs w:val="20"/>
                <w:color w:val="auto"/>
              </w:rPr>
            </w:pPr>
            <w:r>
              <w:rPr>
                <w:rFonts w:ascii="Calibri" w:cs="Calibri" w:eastAsia="Calibri" w:hAnsi="Calibri"/>
                <w:sz w:val="16"/>
                <w:szCs w:val="16"/>
                <w:color w:val="auto"/>
              </w:rPr>
              <w:t>635,887</w:t>
            </w:r>
          </w:p>
        </w:tc>
        <w:tc>
          <w:tcPr>
            <w:tcW w:w="162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US$15.20</w:t>
            </w:r>
          </w:p>
        </w:tc>
        <w:tc>
          <w:tcPr>
            <w:tcW w:w="1380" w:type="dxa"/>
            <w:vAlign w:val="bottom"/>
          </w:tcPr>
          <w:p>
            <w:pPr>
              <w:jc w:val="right"/>
              <w:ind w:right="39"/>
              <w:spacing w:after="0" w:line="185" w:lineRule="exact"/>
              <w:rPr>
                <w:sz w:val="20"/>
                <w:szCs w:val="20"/>
                <w:color w:val="auto"/>
              </w:rPr>
            </w:pPr>
            <w:r>
              <w:rPr>
                <w:rFonts w:ascii="Calibri" w:cs="Calibri" w:eastAsia="Calibri" w:hAnsi="Calibri"/>
                <w:sz w:val="16"/>
                <w:szCs w:val="16"/>
                <w:color w:val="auto"/>
              </w:rPr>
              <w:t>4,578</w:t>
            </w:r>
          </w:p>
        </w:tc>
        <w:tc>
          <w:tcPr>
            <w:tcW w:w="1360" w:type="dxa"/>
            <w:vAlign w:val="bottom"/>
          </w:tcPr>
          <w:p>
            <w:pPr>
              <w:jc w:val="right"/>
              <w:spacing w:after="0" w:line="185" w:lineRule="exact"/>
              <w:rPr>
                <w:sz w:val="20"/>
                <w:szCs w:val="20"/>
                <w:color w:val="auto"/>
              </w:rPr>
            </w:pPr>
            <w:r>
              <w:rPr>
                <w:rFonts w:ascii="Calibri" w:cs="Calibri" w:eastAsia="Calibri" w:hAnsi="Calibri"/>
                <w:sz w:val="16"/>
                <w:szCs w:val="16"/>
                <w:color w:val="auto"/>
              </w:rPr>
              <w:t>3.59</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Calibri" w:cs="Calibri" w:eastAsia="Calibri" w:hAnsi="Calibri"/>
                <w:sz w:val="16"/>
                <w:szCs w:val="16"/>
                <w:color w:val="auto"/>
              </w:rPr>
              <w:t>May 14, 2029</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1,754,386</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1,754,386</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US$19.38</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17,842</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4.37</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Calibri" w:cs="Calibri" w:eastAsia="Calibri" w:hAnsi="Calibri"/>
                <w:sz w:val="16"/>
                <w:szCs w:val="16"/>
                <w:color w:val="auto"/>
              </w:rPr>
              <w:t>June 15, 2030</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336,843</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336,843</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9.50</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3,891</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5.45</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Calibri" w:cs="Calibri" w:eastAsia="Calibri" w:hAnsi="Calibri"/>
                <w:sz w:val="16"/>
                <w:szCs w:val="16"/>
                <w:color w:val="auto"/>
              </w:rPr>
              <w:t>August 20, 2030</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38,818</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38,818</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24.32</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936</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5.63</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Calibri" w:cs="Calibri" w:eastAsia="Calibri" w:hAnsi="Calibri"/>
                <w:sz w:val="16"/>
                <w:szCs w:val="16"/>
                <w:color w:val="auto"/>
              </w:rPr>
              <w:t>November 15, 2030</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30,263</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30,263</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9.50</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347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5.87</w:t>
            </w: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6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279"/>
              <w:spacing w:after="0" w:line="192" w:lineRule="exact"/>
              <w:rPr>
                <w:sz w:val="20"/>
                <w:szCs w:val="20"/>
                <w:color w:val="auto"/>
              </w:rPr>
            </w:pPr>
            <w:r>
              <w:rPr>
                <w:rFonts w:ascii="Calibri" w:cs="Calibri" w:eastAsia="Calibri" w:hAnsi="Calibri"/>
                <w:sz w:val="16"/>
                <w:szCs w:val="16"/>
                <w:b w:val="1"/>
                <w:bCs w:val="1"/>
                <w:color w:val="auto"/>
              </w:rPr>
              <w:t>2,796,197</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2,796,197</w:t>
            </w:r>
          </w:p>
        </w:tc>
        <w:tc>
          <w:tcPr>
            <w:tcW w:w="162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24.06</w:t>
            </w:r>
          </w:p>
        </w:tc>
        <w:tc>
          <w:tcPr>
            <w:tcW w:w="138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27,594</w:t>
            </w:r>
          </w:p>
        </w:tc>
        <w:tc>
          <w:tcPr>
            <w:tcW w:w="13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4.36</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August 27, 2024, the Company, upon receiving shareholder approval, extended the expiry dates of the warrants originally expiring on June 15, 2025, August 20 , 2025, and November 15, 2025 to June 15, 2030, August 20, 2030, and November 15, 2030, respectvely. The Company extended the expiry date of 405,924 warrants, of which 260,527 warrants related to ofcers and directors of the Company. No other changes to the terms of the warrants were made. As a result of the modifcaton, the Company recorded an additonal expense, related to the incremental fair value, of $1,955 in the statement of income as "Share-based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13 of 25</w:t>
      </w:r>
    </w:p>
    <w:p>
      <w:pPr>
        <w:sectPr>
          <w:pgSz w:w="11900" w:h="16838" w:orient="portrait"/>
          <w:cols w:equalWidth="0" w:num="1">
            <w:col w:w="11200"/>
          </w:cols>
          <w:pgMar w:left="380" w:top="209" w:right="319" w:bottom="1440" w:gutter="0" w:footer="0" w:header="0"/>
        </w:sectPr>
      </w:pPr>
    </w:p>
    <w:bookmarkStart w:id="16" w:name="page17"/>
    <w:bookmarkEnd w:id="16"/>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d</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b w:val="1"/>
          <w:bCs w:val="1"/>
          <w:u w:val="single" w:color="auto"/>
          <w:color w:val="auto"/>
        </w:rPr>
        <w:t>Stock optons</w:t>
      </w:r>
    </w:p>
    <w:p>
      <w:pPr>
        <w:spacing w:after="0" w:line="194"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27, 2024, the board of directors and the shareholders re-approved the equity incentve plan and approved certain amendments to the plan, including an increase to the fxed number of Incentve Stock Optons (as defned in the plan), certain changes to the board of director's authority to amend existng awards, and certain other housekeeping amendments.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700" w:type="dxa"/>
            <w:vAlign w:val="bottom"/>
          </w:tcPr>
          <w:p>
            <w:pPr>
              <w:spacing w:after="0"/>
              <w:rPr>
                <w:sz w:val="20"/>
                <w:szCs w:val="20"/>
                <w:color w:val="auto"/>
              </w:rPr>
            </w:pPr>
            <w:r>
              <w:rPr>
                <w:rFonts w:ascii="Calibri" w:cs="Calibri" w:eastAsia="Calibri" w:hAnsi="Calibri"/>
                <w:sz w:val="16"/>
                <w:szCs w:val="16"/>
                <w:color w:val="auto"/>
              </w:rPr>
              <w:t>The changes in optons for the nine month period ended December 31, 2024 are as follows:</w:t>
            </w:r>
          </w:p>
        </w:tc>
        <w:tc>
          <w:tcPr>
            <w:tcW w:w="23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459"/>
        </w:trPr>
        <w:tc>
          <w:tcPr>
            <w:tcW w:w="6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r>
      <w:tr>
        <w:trPr>
          <w:trHeight w:val="193"/>
        </w:trPr>
        <w:tc>
          <w:tcPr>
            <w:tcW w:w="6700" w:type="dxa"/>
            <w:vAlign w:val="bottom"/>
          </w:tcPr>
          <w:p>
            <w:pPr>
              <w:spacing w:after="0"/>
              <w:rPr>
                <w:sz w:val="16"/>
                <w:szCs w:val="16"/>
                <w:color w:val="auto"/>
              </w:rPr>
            </w:pPr>
          </w:p>
        </w:tc>
        <w:tc>
          <w:tcPr>
            <w:tcW w:w="238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Number of Optons</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exercise price</w:t>
            </w:r>
          </w:p>
        </w:tc>
      </w:tr>
      <w:tr>
        <w:trPr>
          <w:trHeight w:val="69"/>
        </w:trPr>
        <w:tc>
          <w:tcPr>
            <w:tcW w:w="670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26"/>
        </w:trPr>
        <w:tc>
          <w:tcPr>
            <w:tcW w:w="67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67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185"/>
        </w:trPr>
        <w:tc>
          <w:tcPr>
            <w:tcW w:w="670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2024</w:t>
            </w:r>
          </w:p>
        </w:tc>
        <w:tc>
          <w:tcPr>
            <w:tcW w:w="2380" w:type="dxa"/>
            <w:vAlign w:val="bottom"/>
          </w:tcPr>
          <w:p>
            <w:pPr>
              <w:jc w:val="right"/>
              <w:ind w:right="179"/>
              <w:spacing w:after="0" w:line="185" w:lineRule="exact"/>
              <w:rPr>
                <w:sz w:val="20"/>
                <w:szCs w:val="20"/>
                <w:color w:val="auto"/>
              </w:rPr>
            </w:pPr>
            <w:r>
              <w:rPr>
                <w:rFonts w:ascii="Calibri" w:cs="Calibri" w:eastAsia="Calibri" w:hAnsi="Calibri"/>
                <w:sz w:val="16"/>
                <w:szCs w:val="16"/>
                <w:color w:val="auto"/>
              </w:rPr>
              <w:t>1,742,139</w:t>
            </w:r>
          </w:p>
        </w:tc>
        <w:tc>
          <w:tcPr>
            <w:tcW w:w="1460" w:type="dxa"/>
            <w:vAlign w:val="bottom"/>
          </w:tcPr>
          <w:p>
            <w:pPr>
              <w:jc w:val="right"/>
              <w:spacing w:after="0" w:line="185" w:lineRule="exact"/>
              <w:rPr>
                <w:sz w:val="20"/>
                <w:szCs w:val="20"/>
                <w:color w:val="auto"/>
              </w:rPr>
            </w:pPr>
            <w:r>
              <w:rPr>
                <w:rFonts w:ascii="Calibri" w:cs="Calibri" w:eastAsia="Calibri" w:hAnsi="Calibri"/>
                <w:sz w:val="16"/>
                <w:szCs w:val="16"/>
                <w:color w:val="auto"/>
              </w:rPr>
              <w:t>35.17</w:t>
            </w:r>
          </w:p>
        </w:tc>
      </w:tr>
      <w:tr>
        <w:trPr>
          <w:trHeight w:val="198"/>
        </w:trPr>
        <w:tc>
          <w:tcPr>
            <w:tcW w:w="6700" w:type="dxa"/>
            <w:vAlign w:val="bottom"/>
          </w:tcPr>
          <w:p>
            <w:pPr>
              <w:ind w:left="20"/>
              <w:spacing w:after="0"/>
              <w:rPr>
                <w:sz w:val="20"/>
                <w:szCs w:val="20"/>
                <w:color w:val="auto"/>
              </w:rPr>
            </w:pPr>
            <w:r>
              <w:rPr>
                <w:rFonts w:ascii="Calibri" w:cs="Calibri" w:eastAsia="Calibri" w:hAnsi="Calibri"/>
                <w:sz w:val="16"/>
                <w:szCs w:val="16"/>
                <w:color w:val="auto"/>
              </w:rPr>
              <w:t>Granted</w:t>
            </w:r>
          </w:p>
        </w:tc>
        <w:tc>
          <w:tcPr>
            <w:tcW w:w="2380" w:type="dxa"/>
            <w:vAlign w:val="bottom"/>
          </w:tcPr>
          <w:p>
            <w:pPr>
              <w:jc w:val="right"/>
              <w:ind w:right="179"/>
              <w:spacing w:after="0"/>
              <w:rPr>
                <w:sz w:val="20"/>
                <w:szCs w:val="20"/>
                <w:color w:val="auto"/>
              </w:rPr>
            </w:pPr>
            <w:r>
              <w:rPr>
                <w:rFonts w:ascii="Calibri" w:cs="Calibri" w:eastAsia="Calibri" w:hAnsi="Calibri"/>
                <w:sz w:val="16"/>
                <w:szCs w:val="16"/>
                <w:color w:val="auto"/>
              </w:rPr>
              <w:t>3,449,626</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13.87</w:t>
            </w:r>
          </w:p>
        </w:tc>
      </w:tr>
      <w:tr>
        <w:trPr>
          <w:trHeight w:val="206"/>
        </w:trPr>
        <w:tc>
          <w:tcPr>
            <w:tcW w:w="6700" w:type="dxa"/>
            <w:vAlign w:val="bottom"/>
          </w:tcPr>
          <w:p>
            <w:pPr>
              <w:ind w:left="20"/>
              <w:spacing w:after="0"/>
              <w:rPr>
                <w:sz w:val="20"/>
                <w:szCs w:val="20"/>
                <w:color w:val="auto"/>
              </w:rPr>
            </w:pPr>
            <w:r>
              <w:rPr>
                <w:rFonts w:ascii="Calibri" w:cs="Calibri" w:eastAsia="Calibri" w:hAnsi="Calibri"/>
                <w:sz w:val="16"/>
                <w:szCs w:val="16"/>
                <w:color w:val="auto"/>
              </w:rPr>
              <w:t>Exercised</w:t>
            </w:r>
          </w:p>
        </w:tc>
        <w:tc>
          <w:tcPr>
            <w:tcW w:w="238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00" w:type="dxa"/>
            <w:vAlign w:val="bottom"/>
          </w:tcPr>
          <w:p>
            <w:pPr>
              <w:ind w:left="20"/>
              <w:spacing w:after="0"/>
              <w:rPr>
                <w:sz w:val="20"/>
                <w:szCs w:val="20"/>
                <w:color w:val="auto"/>
              </w:rPr>
            </w:pPr>
            <w:r>
              <w:rPr>
                <w:rFonts w:ascii="Calibri" w:cs="Calibri" w:eastAsia="Calibri" w:hAnsi="Calibri"/>
                <w:sz w:val="16"/>
                <w:szCs w:val="16"/>
                <w:color w:val="auto"/>
              </w:rPr>
              <w:t>Forfeited/Expired</w:t>
            </w:r>
          </w:p>
        </w:tc>
        <w:tc>
          <w:tcPr>
            <w:tcW w:w="2380" w:type="dxa"/>
            <w:vAlign w:val="bottom"/>
          </w:tcPr>
          <w:p>
            <w:pPr>
              <w:jc w:val="right"/>
              <w:ind w:right="139"/>
              <w:spacing w:after="0"/>
              <w:rPr>
                <w:sz w:val="20"/>
                <w:szCs w:val="20"/>
                <w:color w:val="auto"/>
              </w:rPr>
            </w:pPr>
            <w:r>
              <w:rPr>
                <w:rFonts w:ascii="Calibri" w:cs="Calibri" w:eastAsia="Calibri" w:hAnsi="Calibri"/>
                <w:sz w:val="16"/>
                <w:szCs w:val="16"/>
                <w:color w:val="auto"/>
              </w:rPr>
              <w:t>(1,210,759)</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39.92</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1"/>
        </w:trPr>
        <w:tc>
          <w:tcPr>
            <w:tcW w:w="67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2024</w:t>
            </w:r>
          </w:p>
        </w:tc>
        <w:tc>
          <w:tcPr>
            <w:tcW w:w="2380" w:type="dxa"/>
            <w:vAlign w:val="bottom"/>
            <w:tcBorders>
              <w:bottom w:val="single" w:sz="8" w:color="auto"/>
            </w:tcBorders>
          </w:tcPr>
          <w:p>
            <w:pPr>
              <w:jc w:val="right"/>
              <w:ind w:right="179"/>
              <w:spacing w:after="0" w:line="192" w:lineRule="exact"/>
              <w:rPr>
                <w:sz w:val="20"/>
                <w:szCs w:val="20"/>
                <w:color w:val="auto"/>
              </w:rPr>
            </w:pPr>
            <w:r>
              <w:rPr>
                <w:rFonts w:ascii="Calibri" w:cs="Calibri" w:eastAsia="Calibri" w:hAnsi="Calibri"/>
                <w:sz w:val="16"/>
                <w:szCs w:val="16"/>
                <w:b w:val="1"/>
                <w:bCs w:val="1"/>
                <w:color w:val="auto"/>
              </w:rPr>
              <w:t>3,981,006</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15.27</w:t>
            </w:r>
          </w:p>
        </w:tc>
      </w:tr>
      <w:tr>
        <w:trPr>
          <w:trHeight w:val="198"/>
        </w:trPr>
        <w:tc>
          <w:tcPr>
            <w:tcW w:w="67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2024</w:t>
            </w:r>
          </w:p>
        </w:tc>
        <w:tc>
          <w:tcPr>
            <w:tcW w:w="2380" w:type="dxa"/>
            <w:vAlign w:val="bottom"/>
            <w:tcBorders>
              <w:bottom w:val="single" w:sz="8" w:color="auto"/>
            </w:tcBorders>
          </w:tcPr>
          <w:p>
            <w:pPr>
              <w:jc w:val="right"/>
              <w:ind w:right="179"/>
              <w:spacing w:after="0" w:line="193" w:lineRule="exact"/>
              <w:rPr>
                <w:sz w:val="20"/>
                <w:szCs w:val="20"/>
                <w:color w:val="auto"/>
              </w:rPr>
            </w:pPr>
            <w:r>
              <w:rPr>
                <w:rFonts w:ascii="Calibri" w:cs="Calibri" w:eastAsia="Calibri" w:hAnsi="Calibri"/>
                <w:sz w:val="16"/>
                <w:szCs w:val="16"/>
                <w:b w:val="1"/>
                <w:bCs w:val="1"/>
                <w:color w:val="auto"/>
              </w:rPr>
              <w:t>3,406,380</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15.21</w:t>
            </w:r>
          </w:p>
        </w:tc>
      </w:tr>
    </w:tbl>
    <w:p>
      <w:pPr>
        <w:spacing w:after="0" w:line="234"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April 5, 2024, the Company granted optons to purchase up to 308,294 Common Shares, of which 111,188 were granted to employees, 171,054 were granted to ofcers of the Company and 26,052 were granted to consultants. The granted optons have an exercise price of $21.28 per Common Share and expire on April 5, 2029. The granted optons vest over two years. The aggregate estmated grant date fair value was determined to be $4,619 calculated using the Black-Scholes opton pricing model with the following assumptons: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7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25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3.62%</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historical share price of the Company</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88.13%</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Unvested forfeiture rate</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0% to 3.4%</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580" w:type="dxa"/>
            <w:vAlign w:val="bottom"/>
          </w:tcPr>
          <w:p>
            <w:pPr>
              <w:jc w:val="right"/>
              <w:ind w:right="43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21.28</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580" w:type="dxa"/>
            <w:vAlign w:val="bottom"/>
          </w:tcPr>
          <w:p>
            <w:pPr>
              <w:jc w:val="right"/>
              <w:ind w:right="43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21.28</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14 of 25</w:t>
      </w:r>
    </w:p>
    <w:p>
      <w:pPr>
        <w:sectPr>
          <w:pgSz w:w="11900" w:h="16838" w:orient="portrait"/>
          <w:cols w:equalWidth="0" w:num="1">
            <w:col w:w="11200"/>
          </w:cols>
          <w:pgMar w:left="380" w:top="209" w:right="319" w:bottom="1440" w:gutter="0" w:footer="0" w:header="0"/>
        </w:sectPr>
      </w:pPr>
    </w:p>
    <w:bookmarkStart w:id="17" w:name="page18"/>
    <w:bookmarkEnd w:id="17"/>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On May 5, 2024, the Company cancelled optons to purchase up to 1,199,655 Common Shares (exercise prices ranged from $27.17 to $119.70). The unvested optons were vested based on an accelerated cancellaton criteria which resulted in $2,060 share based compensaton expense.</w:t>
      </w:r>
    </w:p>
    <w:p>
      <w:pPr>
        <w:spacing w:after="0" w:line="223" w:lineRule="exact"/>
        <w:rPr>
          <w:sz w:val="20"/>
          <w:szCs w:val="20"/>
          <w:color w:val="auto"/>
        </w:rPr>
      </w:pPr>
    </w:p>
    <w:p>
      <w:pPr>
        <w:jc w:val="both"/>
        <w:ind w:left="220"/>
        <w:spacing w:after="0" w:line="271" w:lineRule="auto"/>
        <w:rPr>
          <w:sz w:val="20"/>
          <w:szCs w:val="20"/>
          <w:color w:val="auto"/>
        </w:rPr>
      </w:pPr>
      <w:r>
        <w:rPr>
          <w:rFonts w:ascii="Calibri" w:cs="Calibri" w:eastAsia="Calibri" w:hAnsi="Calibri"/>
          <w:sz w:val="16"/>
          <w:szCs w:val="16"/>
          <w:color w:val="auto"/>
        </w:rPr>
        <w:t>On August 15, 2024, the Company granted optons to purchase up to 3,061,232 Common Shares, of which 940,168 were granted to employees, 1,980,888 were granted to ofcers and directors and 140,176 were granted to consultants. The granted optons have an exercise price of $13.11 per Common Share and expire on August 15, 2034. Certain optons vested immediately, while others vest over periods of up to two years. The aggregate estmated grant date fair value was determined to be $34,822 calculated using the Black-Scholes opton pricing model with the following assumptons:</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6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3.07%</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historical share price of the Company</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86.69%</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10.00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Unvested forfeiture rate</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0% to 3.4%</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jc w:val="right"/>
              <w:ind w:right="77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13.30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jc w:val="right"/>
              <w:ind w:right="77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13.11</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left="220"/>
        <w:spacing w:after="0" w:line="299" w:lineRule="auto"/>
        <w:rPr>
          <w:sz w:val="20"/>
          <w:szCs w:val="20"/>
          <w:color w:val="auto"/>
        </w:rPr>
      </w:pPr>
      <w:r>
        <w:rPr>
          <w:rFonts w:ascii="Calibri" w:cs="Calibri" w:eastAsia="Calibri" w:hAnsi="Calibri"/>
          <w:sz w:val="15"/>
          <w:szCs w:val="15"/>
          <w:color w:val="auto"/>
        </w:rPr>
        <w:t>On November 27, 2024, the Company granted optons to purchase up to 80,100 Common Shares, of which 73,100 were granted to employees and 7,000 was granted to a consultant. The granted optons have an exercise price of $14.37 per Common Share and expire on November 27, 2034. The granted optons vest over periods of up to two years. The aggregate estmated grant date fair value was determined to be $982 calculated using the Black-Scholes opton pricing model with the following assumptons:</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6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3.23%</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historical share price of the Company</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86.06%</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10.00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Unvested forfeiture rate</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0% to 3.4%</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jc w:val="right"/>
              <w:ind w:right="77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14.37</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jc w:val="right"/>
              <w:ind w:right="77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14.37</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15 of 25</w:t>
      </w:r>
    </w:p>
    <w:p>
      <w:pPr>
        <w:sectPr>
          <w:pgSz w:w="11900" w:h="16838" w:orient="portrait"/>
          <w:cols w:equalWidth="0" w:num="1">
            <w:col w:w="11200"/>
          </w:cols>
          <w:pgMar w:left="380" w:top="209" w:right="319" w:bottom="1440" w:gutter="0" w:footer="0" w:header="0"/>
        </w:sectPr>
      </w:pPr>
    </w:p>
    <w:bookmarkStart w:id="18" w:name="page19"/>
    <w:bookmarkEnd w:id="18"/>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stock optons outstanding on December 31, 2024:</w:t>
      </w:r>
    </w:p>
    <w:p>
      <w:pPr>
        <w:spacing w:after="0" w:line="77" w:lineRule="exact"/>
        <w:rPr>
          <w:sz w:val="20"/>
          <w:szCs w:val="20"/>
          <w:color w:val="auto"/>
        </w:rPr>
      </w:pPr>
    </w:p>
    <w:tbl>
      <w:tblPr>
        <w:tblLayout w:type="fixed"/>
        <w:tblInd w:w="220" w:type="dxa"/>
        <w:tblCellMar>
          <w:top w:w="0" w:type="dxa"/>
          <w:left w:w="0" w:type="dxa"/>
          <w:bottom w:w="0" w:type="dxa"/>
          <w:right w:w="0" w:type="dxa"/>
        </w:tblCellMar>
      </w:tblPr>
      <w:tr>
        <w:trPr>
          <w:trHeight w:val="391"/>
        </w:trPr>
        <w:tc>
          <w:tcPr>
            <w:tcW w:w="2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Number of optons</w:t>
            </w:r>
          </w:p>
        </w:tc>
        <w:tc>
          <w:tcPr>
            <w:tcW w:w="150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Number of optons</w:t>
            </w:r>
          </w:p>
        </w:tc>
        <w:tc>
          <w:tcPr>
            <w:tcW w:w="3140" w:type="dxa"/>
            <w:vAlign w:val="bottom"/>
            <w:gridSpan w:val="2"/>
          </w:tcPr>
          <w:p>
            <w:pPr>
              <w:jc w:val="right"/>
              <w:ind w:right="19"/>
              <w:spacing w:after="0"/>
              <w:rPr>
                <w:sz w:val="20"/>
                <w:szCs w:val="20"/>
                <w:color w:val="auto"/>
              </w:rPr>
            </w:pPr>
            <w:r>
              <w:rPr>
                <w:rFonts w:ascii="Calibri" w:cs="Calibri" w:eastAsia="Calibri" w:hAnsi="Calibri"/>
                <w:sz w:val="32"/>
                <w:szCs w:val="32"/>
                <w:b w:val="1"/>
                <w:bCs w:val="1"/>
                <w:color w:val="auto"/>
                <w:w w:val="92"/>
                <w:vertAlign w:val="superscript"/>
              </w:rPr>
              <w:t>Weighted average</w:t>
            </w:r>
            <w:r>
              <w:rPr>
                <w:rFonts w:ascii="Calibri" w:cs="Calibri" w:eastAsia="Calibri" w:hAnsi="Calibri"/>
                <w:sz w:val="16"/>
                <w:szCs w:val="16"/>
                <w:b w:val="1"/>
                <w:bCs w:val="1"/>
                <w:color w:val="auto"/>
                <w:w w:val="92"/>
              </w:rPr>
              <w:t xml:space="preserve"> Estmated grant date fair</w:t>
            </w:r>
          </w:p>
        </w:tc>
        <w:tc>
          <w:tcPr>
            <w:tcW w:w="0" w:type="dxa"/>
            <w:vAlign w:val="bottom"/>
          </w:tcPr>
          <w:p>
            <w:pPr>
              <w:spacing w:after="0"/>
              <w:rPr>
                <w:sz w:val="1"/>
                <w:szCs w:val="1"/>
                <w:color w:val="auto"/>
              </w:rPr>
            </w:pPr>
          </w:p>
        </w:tc>
      </w:tr>
      <w:tr>
        <w:trPr>
          <w:trHeight w:val="242"/>
        </w:trPr>
        <w:tc>
          <w:tcPr>
            <w:tcW w:w="2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440" w:type="dxa"/>
            <w:vAlign w:val="bottom"/>
            <w:tcBorders>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outstanding</w:t>
            </w:r>
          </w:p>
        </w:tc>
        <w:tc>
          <w:tcPr>
            <w:tcW w:w="1500" w:type="dxa"/>
            <w:vAlign w:val="bottom"/>
            <w:tcBorders>
              <w:bottom w:val="single" w:sz="8" w:color="auto"/>
            </w:tcBorders>
          </w:tcPr>
          <w:p>
            <w:pPr>
              <w:jc w:val="right"/>
              <w:ind w:right="99"/>
              <w:spacing w:after="0" w:line="193" w:lineRule="exact"/>
              <w:rPr>
                <w:sz w:val="20"/>
                <w:szCs w:val="20"/>
                <w:color w:val="auto"/>
              </w:rPr>
            </w:pPr>
            <w:r>
              <w:rPr>
                <w:rFonts w:ascii="Calibri" w:cs="Calibri" w:eastAsia="Calibri" w:hAnsi="Calibri"/>
                <w:sz w:val="16"/>
                <w:szCs w:val="16"/>
                <w:b w:val="1"/>
                <w:bCs w:val="1"/>
                <w:color w:val="auto"/>
              </w:rPr>
              <w:t>exercisable</w:t>
            </w:r>
          </w:p>
        </w:tc>
        <w:tc>
          <w:tcPr>
            <w:tcW w:w="2220" w:type="dxa"/>
            <w:vAlign w:val="bottom"/>
            <w:tcBorders>
              <w:bottom w:val="single" w:sz="8" w:color="auto"/>
            </w:tcBorders>
          </w:tcPr>
          <w:p>
            <w:pPr>
              <w:jc w:val="right"/>
              <w:ind w:right="360"/>
              <w:spacing w:after="0" w:line="241" w:lineRule="exact"/>
              <w:rPr>
                <w:sz w:val="20"/>
                <w:szCs w:val="20"/>
                <w:color w:val="auto"/>
              </w:rPr>
            </w:pPr>
            <w:r>
              <w:rPr>
                <w:rFonts w:ascii="Calibri" w:cs="Calibri" w:eastAsia="Calibri" w:hAnsi="Calibri"/>
                <w:sz w:val="14"/>
                <w:szCs w:val="14"/>
                <w:b w:val="1"/>
                <w:bCs w:val="1"/>
                <w:color w:val="auto"/>
              </w:rPr>
              <w:t xml:space="preserve">remaining life </w:t>
            </w:r>
            <w:r>
              <w:rPr>
                <w:rFonts w:ascii="Calibri" w:cs="Calibri" w:eastAsia="Calibri" w:hAnsi="Calibri"/>
                <w:sz w:val="26"/>
                <w:szCs w:val="26"/>
                <w:b w:val="1"/>
                <w:bCs w:val="1"/>
                <w:color w:val="auto"/>
                <w:vertAlign w:val="subscript"/>
              </w:rPr>
              <w:t>value</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38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Expiry date</w:t>
            </w:r>
          </w:p>
        </w:tc>
        <w:tc>
          <w:tcPr>
            <w:tcW w:w="2080" w:type="dxa"/>
            <w:vAlign w:val="bottom"/>
            <w:vMerge w:val="restart"/>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vMerge w:val="restart"/>
          </w:tcPr>
          <w:p>
            <w:pPr>
              <w:jc w:val="right"/>
              <w:ind w:right="800"/>
              <w:spacing w:after="0"/>
              <w:rPr>
                <w:sz w:val="20"/>
                <w:szCs w:val="20"/>
                <w:color w:val="auto"/>
              </w:rPr>
            </w:pPr>
            <w:r>
              <w:rPr>
                <w:rFonts w:ascii="Calibri" w:cs="Calibri" w:eastAsia="Calibri" w:hAnsi="Calibri"/>
                <w:sz w:val="16"/>
                <w:szCs w:val="16"/>
                <w:b w:val="1"/>
                <w:bCs w:val="1"/>
                <w:color w:val="auto"/>
              </w:rPr>
              <w:t>Years</w:t>
            </w:r>
          </w:p>
        </w:tc>
        <w:tc>
          <w:tcPr>
            <w:tcW w:w="92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$000’s</w:t>
            </w:r>
          </w:p>
        </w:tc>
        <w:tc>
          <w:tcPr>
            <w:tcW w:w="0" w:type="dxa"/>
            <w:vAlign w:val="bottom"/>
          </w:tcPr>
          <w:p>
            <w:pPr>
              <w:spacing w:after="0"/>
              <w:rPr>
                <w:sz w:val="1"/>
                <w:szCs w:val="1"/>
                <w:color w:val="auto"/>
              </w:rPr>
            </w:pPr>
          </w:p>
        </w:tc>
      </w:tr>
      <w:tr>
        <w:trPr>
          <w:trHeight w:val="41"/>
        </w:trPr>
        <w:tc>
          <w:tcPr>
            <w:tcW w:w="238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380" w:type="dxa"/>
            <w:vAlign w:val="bottom"/>
          </w:tcPr>
          <w:p>
            <w:pPr>
              <w:ind w:left="20"/>
              <w:spacing w:after="0"/>
              <w:rPr>
                <w:sz w:val="20"/>
                <w:szCs w:val="20"/>
                <w:color w:val="auto"/>
              </w:rPr>
            </w:pPr>
            <w:r>
              <w:rPr>
                <w:rFonts w:ascii="Calibri" w:cs="Calibri" w:eastAsia="Calibri" w:hAnsi="Calibri"/>
                <w:sz w:val="16"/>
                <w:szCs w:val="16"/>
                <w:color w:val="auto"/>
              </w:rPr>
              <w:t>February 9,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13.11</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82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82</w:t>
            </w:r>
          </w:p>
        </w:tc>
        <w:tc>
          <w:tcPr>
            <w:tcW w:w="2220" w:type="dxa"/>
            <w:vAlign w:val="bottom"/>
          </w:tcPr>
          <w:p>
            <w:pPr>
              <w:jc w:val="right"/>
              <w:ind w:right="800"/>
              <w:spacing w:after="0"/>
              <w:rPr>
                <w:sz w:val="20"/>
                <w:szCs w:val="20"/>
                <w:color w:val="auto"/>
              </w:rPr>
            </w:pPr>
            <w:r>
              <w:rPr>
                <w:rFonts w:ascii="Calibri" w:cs="Calibri" w:eastAsia="Calibri" w:hAnsi="Calibri"/>
                <w:sz w:val="16"/>
                <w:szCs w:val="16"/>
                <w:color w:val="auto"/>
              </w:rPr>
              <w:t>0.11</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21.28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3,354</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3,354</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0.16</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31,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38.00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5,263</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0.62</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107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15,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9.50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61,842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61,842</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0.45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420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30,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34.20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13,158</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13,158</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0.50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183</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30,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28.50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7,106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7,106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0.75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97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4,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28.50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25,000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25,000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0.84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509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28.50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9,869</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9,869</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0.87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34.58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5,263</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0.87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53</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11,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56.24</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5,263</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0.94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212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14,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66.12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3,990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3,990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0.95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186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31,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13.11</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2,500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2,500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1.00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31,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16.72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3,947</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3,947</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1.00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53</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31,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21.28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5,263</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1.00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79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February 15,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77.14</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1,974</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1,974</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1.13</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109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10,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52.82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5,725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5,725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1.19</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217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15,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58.90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7,895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7,895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1.20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360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29,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50.16</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987</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987</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1.24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28,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110.20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4,475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4,475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1.49</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354</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26,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30.02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25,657</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25,657</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1.74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439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15,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27.17</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13,158</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8,223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1.87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141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31,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57.00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32,896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32,896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2.00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1,352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4, 2027</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42.94</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2.17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8, 2027</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38.76</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10,526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10,526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2.18</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295</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30, 2027</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38.00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132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132</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2.75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30, 2028</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16.72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291,055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261,896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3.50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3,831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26, 2028</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30.02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2,632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2,632</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3.74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20, 2029</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21.28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328</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4.22</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April 5, 2029</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21.28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292,768</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146,320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4.26</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3,429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August 15, 2034</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13.11</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3,058,074</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2,729,554</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9.62</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32,899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27, 2034</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14.37</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80,100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14,734</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9.91</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271</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3,981,006</w:t>
            </w:r>
          </w:p>
        </w:tc>
        <w:tc>
          <w:tcPr>
            <w:tcW w:w="150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3,406,380</w:t>
            </w:r>
          </w:p>
        </w:tc>
        <w:tc>
          <w:tcPr>
            <w:tcW w:w="2220" w:type="dxa"/>
            <w:vAlign w:val="bottom"/>
            <w:tcBorders>
              <w:bottom w:val="single" w:sz="8" w:color="auto"/>
            </w:tcBorders>
          </w:tcPr>
          <w:p>
            <w:pPr>
              <w:jc w:val="right"/>
              <w:ind w:right="800"/>
              <w:spacing w:after="0" w:line="192" w:lineRule="exact"/>
              <w:rPr>
                <w:sz w:val="20"/>
                <w:szCs w:val="20"/>
                <w:color w:val="auto"/>
              </w:rPr>
            </w:pPr>
            <w:r>
              <w:rPr>
                <w:rFonts w:ascii="Calibri" w:cs="Calibri" w:eastAsia="Calibri" w:hAnsi="Calibri"/>
                <w:sz w:val="16"/>
                <w:szCs w:val="16"/>
                <w:b w:val="1"/>
                <w:bCs w:val="1"/>
                <w:color w:val="auto"/>
              </w:rPr>
              <w:t>8.29</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45,898</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20"/>
        <w:spacing w:after="0" w:line="279"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three and nine months ended December 31, 2024 of $3,342 and $40,776 (2023 - $9,928 and $12,617),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16 of 25</w:t>
      </w:r>
    </w:p>
    <w:p>
      <w:pPr>
        <w:sectPr>
          <w:pgSz w:w="11900" w:h="16838" w:orient="portrait"/>
          <w:cols w:equalWidth="0" w:num="1">
            <w:col w:w="11200"/>
          </w:cols>
          <w:pgMar w:left="380" w:top="209" w:right="319" w:bottom="1440" w:gutter="0" w:footer="0" w:header="0"/>
        </w:sectPr>
      </w:pPr>
    </w:p>
    <w:bookmarkStart w:id="19" w:name="page20"/>
    <w:bookmarkEnd w:id="19"/>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3"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692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3" w:right="20"/>
        <w:spacing w:after="0" w:line="264" w:lineRule="auto"/>
        <w:rPr>
          <w:sz w:val="20"/>
          <w:szCs w:val="20"/>
          <w:color w:val="auto"/>
        </w:rPr>
      </w:pPr>
      <w:r>
        <w:rPr>
          <w:rFonts w:ascii="Calibri" w:cs="Calibri" w:eastAsia="Calibri" w:hAnsi="Calibri"/>
          <w:sz w:val="16"/>
          <w:szCs w:val="16"/>
          <w:color w:val="auto"/>
        </w:rPr>
        <w:t>The outstanding optons and warrants disclosed above were ant-dilutve for the three and nine months ended December 31, 2024 and 2023 and did not impact the calculaton of the loss per share.</w:t>
      </w:r>
    </w:p>
    <w:p>
      <w:pPr>
        <w:spacing w:after="0" w:line="233" w:lineRule="exact"/>
        <w:rPr>
          <w:sz w:val="20"/>
          <w:szCs w:val="20"/>
          <w:color w:val="auto"/>
        </w:rPr>
      </w:pPr>
    </w:p>
    <w:p>
      <w:pPr>
        <w:ind w:left="3"/>
        <w:spacing w:after="0"/>
        <w:rPr>
          <w:sz w:val="20"/>
          <w:szCs w:val="20"/>
          <w:color w:val="auto"/>
        </w:rPr>
      </w:pPr>
      <w:r>
        <w:rPr>
          <w:rFonts w:ascii="Calibri" w:cs="Calibri" w:eastAsia="Calibri" w:hAnsi="Calibri"/>
          <w:sz w:val="16"/>
          <w:szCs w:val="16"/>
          <w:b w:val="1"/>
          <w:bCs w:val="1"/>
          <w:color w:val="2D5F91"/>
        </w:rPr>
        <w:t>8. RELATED PARTY TRANSACTIONS AND BALANCES</w:t>
      </w:r>
    </w:p>
    <w:p>
      <w:pPr>
        <w:spacing w:after="0" w:line="194" w:lineRule="exact"/>
        <w:rPr>
          <w:sz w:val="20"/>
          <w:szCs w:val="20"/>
          <w:color w:val="auto"/>
        </w:rPr>
      </w:pPr>
    </w:p>
    <w:p>
      <w:pPr>
        <w:ind w:left="283"/>
        <w:spacing w:after="0" w:line="264"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certain executve ofcers and directors of the Company.</w:t>
      </w:r>
    </w:p>
    <w:p>
      <w:pPr>
        <w:spacing w:after="0" w:line="172"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The remuneraton of key management personnel for the three and nine months ended December 31, 2024 and 2023 are as follows:</w:t>
      </w:r>
    </w:p>
    <w:p>
      <w:pPr>
        <w:spacing w:after="0" w:line="216"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3360" w:type="dxa"/>
            <w:vAlign w:val="bottom"/>
            <w:gridSpan w:val="3"/>
          </w:tcPr>
          <w:p>
            <w:pPr>
              <w:ind w:left="280"/>
              <w:spacing w:after="0"/>
              <w:rPr>
                <w:sz w:val="20"/>
                <w:szCs w:val="20"/>
                <w:color w:val="auto"/>
              </w:rPr>
            </w:pPr>
            <w:r>
              <w:rPr>
                <w:rFonts w:ascii="Calibri" w:cs="Calibri" w:eastAsia="Calibri" w:hAnsi="Calibri"/>
                <w:sz w:val="16"/>
                <w:szCs w:val="16"/>
                <w:b w:val="1"/>
                <w:bCs w:val="1"/>
                <w:color w:val="auto"/>
              </w:rPr>
              <w:t>Three month period ended December 31,</w:t>
            </w:r>
          </w:p>
        </w:tc>
        <w:tc>
          <w:tcPr>
            <w:tcW w:w="3260" w:type="dxa"/>
            <w:vAlign w:val="bottom"/>
            <w:gridSpan w:val="2"/>
          </w:tcPr>
          <w:p>
            <w:pPr>
              <w:jc w:val="right"/>
              <w:ind w:right="219"/>
              <w:spacing w:after="0"/>
              <w:rPr>
                <w:sz w:val="20"/>
                <w:szCs w:val="20"/>
                <w:color w:val="auto"/>
              </w:rPr>
            </w:pPr>
            <w:r>
              <w:rPr>
                <w:rFonts w:ascii="Calibri" w:cs="Calibri" w:eastAsia="Calibri" w:hAnsi="Calibri"/>
                <w:sz w:val="16"/>
                <w:szCs w:val="16"/>
                <w:b w:val="1"/>
                <w:bCs w:val="1"/>
                <w:color w:val="auto"/>
              </w:rPr>
              <w:t>Nine month period ended December 31,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19"/>
                <w:szCs w:val="19"/>
                <w:color w:val="auto"/>
              </w:rPr>
            </w:pPr>
          </w:p>
        </w:tc>
        <w:tc>
          <w:tcPr>
            <w:tcW w:w="222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2024</w:t>
            </w:r>
          </w:p>
        </w:tc>
        <w:tc>
          <w:tcPr>
            <w:tcW w:w="1040" w:type="dxa"/>
            <w:vAlign w:val="bottom"/>
            <w:vMerge w:val="restart"/>
          </w:tcPr>
          <w:p>
            <w:pPr>
              <w:jc w:val="right"/>
              <w:spacing w:after="0"/>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9"/>
                <w:szCs w:val="19"/>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2024</w:t>
            </w:r>
          </w:p>
        </w:tc>
        <w:tc>
          <w:tcPr>
            <w:tcW w:w="108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60"/>
        </w:trPr>
        <w:tc>
          <w:tcPr>
            <w:tcW w:w="398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980" w:type="dxa"/>
            <w:vAlign w:val="bottom"/>
          </w:tcPr>
          <w:p>
            <w:pPr>
              <w:spacing w:after="0"/>
              <w:rPr>
                <w:sz w:val="17"/>
                <w:szCs w:val="17"/>
                <w:color w:val="auto"/>
              </w:rPr>
            </w:pP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2180" w:type="dxa"/>
            <w:vAlign w:val="bottom"/>
            <w:vMerge w:val="restart"/>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08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48"/>
        </w:trPr>
        <w:tc>
          <w:tcPr>
            <w:tcW w:w="39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98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60"/>
              <w:spacing w:after="0" w:line="222" w:lineRule="exact"/>
              <w:rPr>
                <w:sz w:val="20"/>
                <w:szCs w:val="20"/>
                <w:color w:val="auto"/>
              </w:rPr>
            </w:pPr>
            <w:r>
              <w:rPr>
                <w:rFonts w:ascii="Calibri" w:cs="Calibri" w:eastAsia="Calibri" w:hAnsi="Calibri"/>
                <w:sz w:val="16"/>
                <w:szCs w:val="16"/>
                <w:color w:val="auto"/>
              </w:rPr>
              <w:t>Payroll, consultng and benefts</w:t>
            </w:r>
            <w:r>
              <w:rPr>
                <w:rFonts w:ascii="Calibri" w:cs="Calibri" w:eastAsia="Calibri" w:hAnsi="Calibri"/>
                <w:sz w:val="20"/>
                <w:szCs w:val="20"/>
                <w:color w:val="auto"/>
                <w:vertAlign w:val="superscript"/>
              </w:rPr>
              <w:t>(1)</w:t>
            </w:r>
          </w:p>
        </w:tc>
        <w:tc>
          <w:tcPr>
            <w:tcW w:w="222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1,453</w:t>
            </w:r>
          </w:p>
        </w:tc>
        <w:tc>
          <w:tcPr>
            <w:tcW w:w="1040" w:type="dxa"/>
            <w:vAlign w:val="bottom"/>
            <w:vMerge w:val="restart"/>
          </w:tcPr>
          <w:p>
            <w:pPr>
              <w:jc w:val="right"/>
              <w:spacing w:after="0"/>
              <w:rPr>
                <w:sz w:val="20"/>
                <w:szCs w:val="20"/>
                <w:color w:val="auto"/>
              </w:rPr>
            </w:pPr>
            <w:r>
              <w:rPr>
                <w:rFonts w:ascii="Calibri" w:cs="Calibri" w:eastAsia="Calibri" w:hAnsi="Calibri"/>
                <w:sz w:val="16"/>
                <w:szCs w:val="16"/>
                <w:color w:val="auto"/>
              </w:rPr>
              <w:t>1,029</w:t>
            </w:r>
          </w:p>
        </w:tc>
        <w:tc>
          <w:tcPr>
            <w:tcW w:w="100" w:type="dxa"/>
            <w:vAlign w:val="bottom"/>
          </w:tcPr>
          <w:p>
            <w:pPr>
              <w:spacing w:after="0"/>
              <w:rPr>
                <w:sz w:val="19"/>
                <w:szCs w:val="19"/>
                <w:color w:val="auto"/>
              </w:rPr>
            </w:pPr>
          </w:p>
        </w:tc>
        <w:tc>
          <w:tcPr>
            <w:tcW w:w="2180" w:type="dxa"/>
            <w:vAlign w:val="bottom"/>
            <w:vMerge w:val="restart"/>
          </w:tcPr>
          <w:p>
            <w:pPr>
              <w:jc w:val="right"/>
              <w:ind w:right="519"/>
              <w:spacing w:after="0"/>
              <w:rPr>
                <w:sz w:val="20"/>
                <w:szCs w:val="20"/>
                <w:color w:val="auto"/>
              </w:rPr>
            </w:pPr>
            <w:r>
              <w:rPr>
                <w:rFonts w:ascii="Calibri" w:cs="Calibri" w:eastAsia="Calibri" w:hAnsi="Calibri"/>
                <w:sz w:val="16"/>
                <w:szCs w:val="16"/>
                <w:b w:val="1"/>
                <w:bCs w:val="1"/>
                <w:color w:val="auto"/>
              </w:rPr>
              <w:t>5,489</w:t>
            </w:r>
          </w:p>
        </w:tc>
        <w:tc>
          <w:tcPr>
            <w:tcW w:w="1080" w:type="dxa"/>
            <w:vAlign w:val="bottom"/>
            <w:vMerge w:val="restart"/>
          </w:tcPr>
          <w:p>
            <w:pPr>
              <w:jc w:val="right"/>
              <w:spacing w:after="0"/>
              <w:rPr>
                <w:sz w:val="20"/>
                <w:szCs w:val="20"/>
                <w:color w:val="auto"/>
              </w:rPr>
            </w:pPr>
            <w:r>
              <w:rPr>
                <w:rFonts w:ascii="Calibri" w:cs="Calibri" w:eastAsia="Calibri" w:hAnsi="Calibri"/>
                <w:sz w:val="16"/>
                <w:szCs w:val="16"/>
                <w:color w:val="auto"/>
              </w:rPr>
              <w:t>3,342</w:t>
            </w:r>
          </w:p>
        </w:tc>
        <w:tc>
          <w:tcPr>
            <w:tcW w:w="0" w:type="dxa"/>
            <w:vAlign w:val="bottom"/>
          </w:tcPr>
          <w:p>
            <w:pPr>
              <w:spacing w:after="0"/>
              <w:rPr>
                <w:sz w:val="1"/>
                <w:szCs w:val="1"/>
                <w:color w:val="auto"/>
              </w:rPr>
            </w:pPr>
          </w:p>
        </w:tc>
      </w:tr>
      <w:tr>
        <w:trPr>
          <w:trHeight w:val="40"/>
        </w:trPr>
        <w:tc>
          <w:tcPr>
            <w:tcW w:w="398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tcPr>
          <w:p>
            <w:pPr>
              <w:ind w:left="60"/>
              <w:spacing w:after="0"/>
              <w:rPr>
                <w:sz w:val="20"/>
                <w:szCs w:val="20"/>
                <w:color w:val="auto"/>
              </w:rPr>
            </w:pPr>
            <w:r>
              <w:rPr>
                <w:rFonts w:ascii="Calibri" w:cs="Calibri" w:eastAsia="Calibri" w:hAnsi="Calibri"/>
                <w:sz w:val="16"/>
                <w:szCs w:val="16"/>
                <w:color w:val="auto"/>
              </w:rPr>
              <w:t>Share-based compensaton</w:t>
            </w:r>
          </w:p>
        </w:tc>
        <w:tc>
          <w:tcPr>
            <w:tcW w:w="2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1,458</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7,864</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24,160</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8,169</w:t>
            </w:r>
          </w:p>
        </w:tc>
        <w:tc>
          <w:tcPr>
            <w:tcW w:w="0" w:type="dxa"/>
            <w:vAlign w:val="bottom"/>
          </w:tcPr>
          <w:p>
            <w:pPr>
              <w:spacing w:after="0"/>
              <w:rPr>
                <w:sz w:val="1"/>
                <w:szCs w:val="1"/>
                <w:color w:val="auto"/>
              </w:rPr>
            </w:pPr>
          </w:p>
        </w:tc>
      </w:tr>
      <w:tr>
        <w:trPr>
          <w:trHeight w:val="226"/>
        </w:trPr>
        <w:tc>
          <w:tcPr>
            <w:tcW w:w="3980" w:type="dxa"/>
            <w:vAlign w:val="bottom"/>
            <w:tcBorders>
              <w:bottom w:val="single" w:sz="8" w:color="auto"/>
            </w:tcBorders>
          </w:tcPr>
          <w:p>
            <w:pPr>
              <w:ind w:left="260"/>
              <w:spacing w:after="0"/>
              <w:rPr>
                <w:sz w:val="20"/>
                <w:szCs w:val="20"/>
                <w:color w:val="auto"/>
              </w:rPr>
            </w:pPr>
            <w:r>
              <w:rPr>
                <w:rFonts w:ascii="Calibri" w:cs="Calibri" w:eastAsia="Calibri" w:hAnsi="Calibri"/>
                <w:sz w:val="16"/>
                <w:szCs w:val="16"/>
                <w:color w:val="auto"/>
              </w:rPr>
              <w:t>Warrants</w:t>
            </w:r>
          </w:p>
        </w:tc>
        <w:tc>
          <w:tcPr>
            <w:tcW w:w="2220" w:type="dxa"/>
            <w:vAlign w:val="bottom"/>
            <w:tcBorders>
              <w:bottom w:val="single" w:sz="8" w:color="auto"/>
            </w:tcBorders>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bottom w:val="single" w:sz="8" w:color="auto"/>
            </w:tcBorders>
          </w:tcPr>
          <w:p>
            <w:pPr>
              <w:jc w:val="right"/>
              <w:ind w:right="519"/>
              <w:spacing w:after="0"/>
              <w:rPr>
                <w:sz w:val="20"/>
                <w:szCs w:val="20"/>
                <w:color w:val="auto"/>
              </w:rPr>
            </w:pPr>
            <w:r>
              <w:rPr>
                <w:rFonts w:ascii="Calibri" w:cs="Calibri" w:eastAsia="Calibri" w:hAnsi="Calibri"/>
                <w:sz w:val="16"/>
                <w:szCs w:val="16"/>
                <w:b w:val="1"/>
                <w:bCs w:val="1"/>
                <w:color w:val="auto"/>
              </w:rPr>
              <w:t>1,239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98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22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2,911</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8,893</w:t>
            </w: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30,888</w:t>
            </w:r>
          </w:p>
        </w:tc>
        <w:tc>
          <w:tcPr>
            <w:tcW w:w="10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11,511</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583" w:right="20" w:hanging="293"/>
        <w:spacing w:after="0" w:line="259" w:lineRule="auto"/>
        <w:tabs>
          <w:tab w:leader="none" w:pos="575" w:val="left"/>
        </w:tabs>
        <w:numPr>
          <w:ilvl w:val="1"/>
          <w:numId w:val="4"/>
        </w:numPr>
        <w:rPr>
          <w:rFonts w:ascii="Calibri" w:cs="Calibri" w:eastAsia="Calibri" w:hAnsi="Calibri"/>
          <w:sz w:val="15"/>
          <w:szCs w:val="15"/>
          <w:i w:val="1"/>
          <w:iCs w:val="1"/>
          <w:color w:val="auto"/>
        </w:rPr>
      </w:pPr>
      <w:r>
        <w:rPr>
          <w:rFonts w:ascii="Calibri" w:cs="Calibri" w:eastAsia="Calibri" w:hAnsi="Calibri"/>
          <w:sz w:val="15"/>
          <w:szCs w:val="15"/>
          <w:i w:val="1"/>
          <w:iCs w:val="1"/>
          <w:color w:val="auto"/>
        </w:rPr>
        <w:t xml:space="preserve">For the three months ended on </w:t>
      </w:r>
      <w:r>
        <w:rPr>
          <w:rFonts w:ascii="Calibri" w:cs="Calibri" w:eastAsia="Calibri" w:hAnsi="Calibri"/>
          <w:sz w:val="15"/>
          <w:szCs w:val="15"/>
          <w:color w:val="auto"/>
        </w:rPr>
        <w:t>December 31, 2024</w:t>
      </w:r>
      <w:r>
        <w:rPr>
          <w:rFonts w:ascii="Calibri" w:cs="Calibri" w:eastAsia="Calibri" w:hAnsi="Calibri"/>
          <w:sz w:val="15"/>
          <w:szCs w:val="15"/>
          <w:i w:val="1"/>
          <w:iCs w:val="1"/>
          <w:color w:val="auto"/>
        </w:rPr>
        <w:t>, includes $</w:t>
      </w:r>
      <w:r>
        <w:rPr>
          <w:rFonts w:ascii="Calibri" w:cs="Calibri" w:eastAsia="Calibri" w:hAnsi="Calibri"/>
          <w:sz w:val="15"/>
          <w:szCs w:val="15"/>
          <w:color w:val="auto"/>
        </w:rPr>
        <w:t>1,335</w:t>
      </w:r>
      <w:r>
        <w:rPr>
          <w:rFonts w:ascii="Calibri" w:cs="Calibri" w:eastAsia="Calibri" w:hAnsi="Calibri"/>
          <w:sz w:val="15"/>
          <w:szCs w:val="15"/>
          <w:i w:val="1"/>
          <w:iCs w:val="1"/>
          <w:color w:val="auto"/>
        </w:rPr>
        <w:t xml:space="preserve"> presented in the consolidated statement of loss and comprehensive loss as a part of “General and administratve costs” and $</w:t>
      </w:r>
      <w:r>
        <w:rPr>
          <w:rFonts w:ascii="Calibri" w:cs="Calibri" w:eastAsia="Calibri" w:hAnsi="Calibri"/>
          <w:sz w:val="15"/>
          <w:szCs w:val="15"/>
          <w:color w:val="auto"/>
        </w:rPr>
        <w:t>118 pr</w:t>
      </w:r>
      <w:r>
        <w:rPr>
          <w:rFonts w:ascii="Calibri" w:cs="Calibri" w:eastAsia="Calibri" w:hAnsi="Calibri"/>
          <w:sz w:val="15"/>
          <w:szCs w:val="15"/>
          <w:i w:val="1"/>
          <w:iCs w:val="1"/>
          <w:color w:val="auto"/>
        </w:rPr>
        <w:t xml:space="preserve">esented in the consolidated statement of loss and comprehensive loss as a part of “Research”. For the nine months ended on </w:t>
      </w:r>
      <w:r>
        <w:rPr>
          <w:rFonts w:ascii="Calibri" w:cs="Calibri" w:eastAsia="Calibri" w:hAnsi="Calibri"/>
          <w:sz w:val="15"/>
          <w:szCs w:val="15"/>
          <w:color w:val="auto"/>
        </w:rPr>
        <w:t>December 31, 2024</w:t>
      </w:r>
      <w:r>
        <w:rPr>
          <w:rFonts w:ascii="Calibri" w:cs="Calibri" w:eastAsia="Calibri" w:hAnsi="Calibri"/>
          <w:sz w:val="15"/>
          <w:szCs w:val="15"/>
          <w:i w:val="1"/>
          <w:iCs w:val="1"/>
          <w:color w:val="auto"/>
        </w:rPr>
        <w:t>, includes $</w:t>
      </w:r>
      <w:r>
        <w:rPr>
          <w:rFonts w:ascii="Calibri" w:cs="Calibri" w:eastAsia="Calibri" w:hAnsi="Calibri"/>
          <w:sz w:val="15"/>
          <w:szCs w:val="15"/>
          <w:color w:val="auto"/>
        </w:rPr>
        <w:t>4,577</w:t>
      </w:r>
      <w:r>
        <w:rPr>
          <w:rFonts w:ascii="Calibri" w:cs="Calibri" w:eastAsia="Calibri" w:hAnsi="Calibri"/>
          <w:sz w:val="15"/>
          <w:szCs w:val="15"/>
          <w:i w:val="1"/>
          <w:iCs w:val="1"/>
          <w:color w:val="auto"/>
        </w:rPr>
        <w:t xml:space="preserve"> presented in the consolidated statement of loss and comprehensive loss as a part of “General and administratve costs” and $</w:t>
      </w:r>
      <w:r>
        <w:rPr>
          <w:rFonts w:ascii="Calibri" w:cs="Calibri" w:eastAsia="Calibri" w:hAnsi="Calibri"/>
          <w:sz w:val="15"/>
          <w:szCs w:val="15"/>
          <w:color w:val="auto"/>
        </w:rPr>
        <w:t>912</w:t>
      </w:r>
      <w:r>
        <w:rPr>
          <w:rFonts w:ascii="Calibri" w:cs="Calibri" w:eastAsia="Calibri" w:hAnsi="Calibri"/>
          <w:sz w:val="15"/>
          <w:szCs w:val="15"/>
          <w:i w:val="1"/>
          <w:iCs w:val="1"/>
          <w:color w:val="auto"/>
        </w:rPr>
        <w:t xml:space="preserve"> presented in the consolidated statement of loss and comprehensive loss as a part of “Research”.</w:t>
      </w:r>
    </w:p>
    <w:p>
      <w:pPr>
        <w:spacing w:after="0" w:line="194" w:lineRule="exact"/>
        <w:rPr>
          <w:rFonts w:ascii="Calibri" w:cs="Calibri" w:eastAsia="Calibri" w:hAnsi="Calibri"/>
          <w:sz w:val="15"/>
          <w:szCs w:val="15"/>
          <w:i w:val="1"/>
          <w:iCs w:val="1"/>
          <w:color w:val="auto"/>
        </w:rPr>
      </w:pPr>
    </w:p>
    <w:p>
      <w:pPr>
        <w:ind w:left="163" w:hanging="163"/>
        <w:spacing w:after="0"/>
        <w:tabs>
          <w:tab w:leader="none" w:pos="163" w:val="left"/>
        </w:tabs>
        <w:numPr>
          <w:ilvl w:val="0"/>
          <w:numId w:val="5"/>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RESEARCH EXPENSES</w:t>
      </w:r>
    </w:p>
    <w:p>
      <w:pPr>
        <w:spacing w:after="0" w:line="240" w:lineRule="exact"/>
        <w:rPr>
          <w:sz w:val="20"/>
          <w:szCs w:val="20"/>
          <w:color w:val="auto"/>
        </w:rPr>
      </w:pPr>
    </w:p>
    <w:tbl>
      <w:tblPr>
        <w:tblLayout w:type="fixed"/>
        <w:tblInd w:w="223"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3400" w:type="dxa"/>
            <w:vAlign w:val="bottom"/>
            <w:gridSpan w:val="3"/>
          </w:tcPr>
          <w:p>
            <w:pPr>
              <w:ind w:left="300"/>
              <w:spacing w:after="0"/>
              <w:rPr>
                <w:sz w:val="20"/>
                <w:szCs w:val="20"/>
                <w:color w:val="auto"/>
              </w:rPr>
            </w:pPr>
            <w:r>
              <w:rPr>
                <w:rFonts w:ascii="Calibri" w:cs="Calibri" w:eastAsia="Calibri" w:hAnsi="Calibri"/>
                <w:sz w:val="16"/>
                <w:szCs w:val="16"/>
                <w:b w:val="1"/>
                <w:bCs w:val="1"/>
                <w:color w:val="auto"/>
              </w:rPr>
              <w:t>Three month period ended December 31,</w:t>
            </w:r>
          </w:p>
        </w:tc>
        <w:tc>
          <w:tcPr>
            <w:tcW w:w="3280" w:type="dxa"/>
            <w:vAlign w:val="bottom"/>
            <w:gridSpan w:val="2"/>
          </w:tcPr>
          <w:p>
            <w:pPr>
              <w:jc w:val="right"/>
              <w:ind w:right="239"/>
              <w:spacing w:after="0"/>
              <w:rPr>
                <w:sz w:val="20"/>
                <w:szCs w:val="20"/>
                <w:color w:val="auto"/>
              </w:rPr>
            </w:pPr>
            <w:r>
              <w:rPr>
                <w:rFonts w:ascii="Calibri" w:cs="Calibri" w:eastAsia="Calibri" w:hAnsi="Calibri"/>
                <w:sz w:val="16"/>
                <w:szCs w:val="16"/>
                <w:b w:val="1"/>
                <w:bCs w:val="1"/>
                <w:color w:val="auto"/>
              </w:rPr>
              <w:t>Nine month period ended December 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224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2024</w:t>
            </w:r>
          </w:p>
        </w:tc>
        <w:tc>
          <w:tcPr>
            <w:tcW w:w="1060" w:type="dxa"/>
            <w:vAlign w:val="bottom"/>
            <w:vMerge w:val="restart"/>
          </w:tcPr>
          <w:p>
            <w:pPr>
              <w:jc w:val="right"/>
              <w:spacing w:after="0"/>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8"/>
                <w:szCs w:val="18"/>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2024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2023</w:t>
            </w: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17"/>
                <w:szCs w:val="17"/>
                <w:color w:val="auto"/>
              </w:rPr>
            </w:pP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2180" w:type="dxa"/>
            <w:vAlign w:val="bottom"/>
            <w:vMerge w:val="restart"/>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10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6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6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2240" w:type="dxa"/>
            <w:vAlign w:val="bottom"/>
          </w:tcPr>
          <w:p>
            <w:pPr>
              <w:jc w:val="right"/>
              <w:ind w:right="559"/>
              <w:spacing w:after="0" w:line="185" w:lineRule="exact"/>
              <w:rPr>
                <w:sz w:val="20"/>
                <w:szCs w:val="20"/>
                <w:color w:val="auto"/>
              </w:rPr>
            </w:pPr>
            <w:r>
              <w:rPr>
                <w:rFonts w:ascii="Calibri" w:cs="Calibri" w:eastAsia="Calibri" w:hAnsi="Calibri"/>
                <w:sz w:val="16"/>
                <w:szCs w:val="16"/>
                <w:b w:val="1"/>
                <w:bCs w:val="1"/>
                <w:color w:val="auto"/>
              </w:rPr>
              <w:t>14,772</w:t>
            </w:r>
          </w:p>
        </w:tc>
        <w:tc>
          <w:tcPr>
            <w:tcW w:w="1060" w:type="dxa"/>
            <w:vAlign w:val="bottom"/>
          </w:tcPr>
          <w:p>
            <w:pPr>
              <w:jc w:val="right"/>
              <w:spacing w:after="0" w:line="185" w:lineRule="exact"/>
              <w:rPr>
                <w:sz w:val="20"/>
                <w:szCs w:val="20"/>
                <w:color w:val="auto"/>
              </w:rPr>
            </w:pPr>
            <w:r>
              <w:rPr>
                <w:rFonts w:ascii="Calibri" w:cs="Calibri" w:eastAsia="Calibri" w:hAnsi="Calibri"/>
                <w:sz w:val="16"/>
                <w:szCs w:val="16"/>
                <w:color w:val="auto"/>
              </w:rPr>
              <w:t>5,232</w:t>
            </w:r>
          </w:p>
        </w:tc>
        <w:tc>
          <w:tcPr>
            <w:tcW w:w="100" w:type="dxa"/>
            <w:vAlign w:val="bottom"/>
          </w:tcPr>
          <w:p>
            <w:pPr>
              <w:spacing w:after="0"/>
              <w:rPr>
                <w:sz w:val="16"/>
                <w:szCs w:val="16"/>
                <w:color w:val="auto"/>
              </w:rPr>
            </w:pPr>
          </w:p>
        </w:tc>
        <w:tc>
          <w:tcPr>
            <w:tcW w:w="2180" w:type="dxa"/>
            <w:vAlign w:val="bottom"/>
          </w:tcPr>
          <w:p>
            <w:pPr>
              <w:jc w:val="right"/>
              <w:ind w:right="519"/>
              <w:spacing w:after="0" w:line="185" w:lineRule="exact"/>
              <w:rPr>
                <w:sz w:val="20"/>
                <w:szCs w:val="20"/>
                <w:color w:val="auto"/>
              </w:rPr>
            </w:pPr>
            <w:r>
              <w:rPr>
                <w:rFonts w:ascii="Calibri" w:cs="Calibri" w:eastAsia="Calibri" w:hAnsi="Calibri"/>
                <w:sz w:val="16"/>
                <w:szCs w:val="16"/>
                <w:b w:val="1"/>
                <w:bCs w:val="1"/>
                <w:color w:val="auto"/>
              </w:rPr>
              <w:t>25,178</w:t>
            </w:r>
          </w:p>
        </w:tc>
        <w:tc>
          <w:tcPr>
            <w:tcW w:w="1100" w:type="dxa"/>
            <w:vAlign w:val="bottom"/>
          </w:tcPr>
          <w:p>
            <w:pPr>
              <w:jc w:val="right"/>
              <w:spacing w:after="0" w:line="185" w:lineRule="exact"/>
              <w:rPr>
                <w:sz w:val="20"/>
                <w:szCs w:val="20"/>
                <w:color w:val="auto"/>
              </w:rPr>
            </w:pPr>
            <w:r>
              <w:rPr>
                <w:rFonts w:ascii="Calibri" w:cs="Calibri" w:eastAsia="Calibri" w:hAnsi="Calibri"/>
                <w:sz w:val="16"/>
                <w:szCs w:val="16"/>
                <w:color w:val="auto"/>
              </w:rPr>
              <w:t>14,590</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3,097</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1,794</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8,267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5,003</w:t>
            </w:r>
          </w:p>
        </w:tc>
        <w:tc>
          <w:tcPr>
            <w:tcW w:w="0" w:type="dxa"/>
            <w:vAlign w:val="bottom"/>
          </w:tcPr>
          <w:p>
            <w:pPr>
              <w:spacing w:after="0"/>
              <w:rPr>
                <w:sz w:val="1"/>
                <w:szCs w:val="1"/>
                <w:color w:val="auto"/>
              </w:rPr>
            </w:pPr>
          </w:p>
        </w:tc>
      </w:tr>
      <w:tr>
        <w:trPr>
          <w:trHeight w:val="206"/>
        </w:trPr>
        <w:tc>
          <w:tcPr>
            <w:tcW w:w="406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622</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373</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1,485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778</w:t>
            </w:r>
          </w:p>
        </w:tc>
        <w:tc>
          <w:tcPr>
            <w:tcW w:w="0" w:type="dxa"/>
            <w:vAlign w:val="bottom"/>
          </w:tcPr>
          <w:p>
            <w:pPr>
              <w:spacing w:after="0"/>
              <w:rPr>
                <w:sz w:val="1"/>
                <w:szCs w:val="1"/>
                <w:color w:val="auto"/>
              </w:rPr>
            </w:pPr>
          </w:p>
        </w:tc>
      </w:tr>
      <w:tr>
        <w:trPr>
          <w:trHeight w:val="206"/>
        </w:trPr>
        <w:tc>
          <w:tcPr>
            <w:tcW w:w="406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294</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40</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1,011</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148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24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18,785</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7,439</w:t>
            </w: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35,941</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20,519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7"/>
        <w:spacing w:after="0"/>
        <w:rPr>
          <w:sz w:val="20"/>
          <w:szCs w:val="20"/>
          <w:color w:val="auto"/>
        </w:rPr>
      </w:pPr>
      <w:r>
        <w:rPr>
          <w:rFonts w:ascii="Calibri" w:cs="Calibri" w:eastAsia="Calibri" w:hAnsi="Calibri"/>
          <w:sz w:val="16"/>
          <w:szCs w:val="16"/>
          <w:b w:val="1"/>
          <w:bCs w:val="1"/>
          <w:color w:val="auto"/>
        </w:rPr>
        <w:t>Page 17 of 25</w:t>
      </w:r>
    </w:p>
    <w:p>
      <w:pPr>
        <w:sectPr>
          <w:pgSz w:w="11900" w:h="16838" w:orient="portrait"/>
          <w:cols w:equalWidth="0" w:num="1">
            <w:col w:w="11263"/>
          </w:cols>
          <w:pgMar w:left="317" w:top="209" w:right="319" w:bottom="1440" w:gutter="0" w:footer="0" w:header="0"/>
        </w:sectPr>
      </w:pPr>
    </w:p>
    <w:bookmarkStart w:id="20" w:name="page21"/>
    <w:bookmarkEnd w:id="2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10. GENERAL AND ADMINISTRATIVE EXPENSES</w:t>
      </w:r>
    </w:p>
    <w:p>
      <w:pPr>
        <w:sectPr>
          <w:pgSz w:w="11900" w:h="16838" w:orient="portrait"/>
          <w:cols w:equalWidth="0" w:num="1">
            <w:col w:w="11260"/>
          </w:cols>
          <w:pgMar w:left="320" w:top="209" w:right="319" w:bottom="1440" w:gutter="0" w:footer="0" w:header="0"/>
        </w:sectPr>
      </w:pPr>
    </w:p>
    <w:p>
      <w:pPr>
        <w:spacing w:after="0" w:line="240" w:lineRule="exact"/>
        <w:rPr>
          <w:sz w:val="20"/>
          <w:szCs w:val="20"/>
          <w:color w:val="auto"/>
        </w:rPr>
      </w:pPr>
    </w:p>
    <w:p>
      <w:pPr>
        <w:ind w:left="4480"/>
        <w:spacing w:after="0"/>
        <w:rPr>
          <w:sz w:val="20"/>
          <w:szCs w:val="20"/>
          <w:color w:val="auto"/>
        </w:rPr>
      </w:pPr>
      <w:r>
        <w:rPr>
          <w:rFonts w:ascii="Calibri" w:cs="Calibri" w:eastAsia="Calibri" w:hAnsi="Calibri"/>
          <w:sz w:val="16"/>
          <w:szCs w:val="16"/>
          <w:b w:val="1"/>
          <w:bCs w:val="1"/>
          <w:color w:val="auto"/>
        </w:rPr>
        <w:t>Three month period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12700</wp:posOffset>
            </wp:positionV>
            <wp:extent cx="20726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072640" cy="7620"/>
                    </a:xfrm>
                    <a:prstGeom prst="rect">
                      <a:avLst/>
                    </a:prstGeom>
                    <a:noFill/>
                  </pic:spPr>
                </pic:pic>
              </a:graphicData>
            </a:graphic>
          </wp:anchor>
        </w:drawing>
      </w:r>
    </w:p>
    <w:p>
      <w:pPr>
        <w:spacing w:after="0" w:line="2" w:lineRule="exact"/>
        <w:rPr>
          <w:sz w:val="20"/>
          <w:szCs w:val="20"/>
          <w:color w:val="auto"/>
        </w:rPr>
      </w:pPr>
    </w:p>
    <w:p>
      <w:pPr>
        <w:jc w:val="both"/>
        <w:ind w:left="5460"/>
        <w:spacing w:after="0"/>
        <w:tabs>
          <w:tab w:leader="none" w:pos="7060" w:val="left"/>
        </w:tabs>
        <w:rPr>
          <w:sz w:val="20"/>
          <w:szCs w:val="20"/>
          <w:color w:val="auto"/>
        </w:rPr>
      </w:pPr>
      <w:r>
        <w:rPr>
          <w:rFonts w:ascii="Calibri" w:cs="Calibri" w:eastAsia="Calibri" w:hAnsi="Calibri"/>
          <w:sz w:val="16"/>
          <w:szCs w:val="16"/>
          <w:b w:val="1"/>
          <w:bCs w:val="1"/>
          <w:color w:val="auto"/>
        </w:rPr>
        <w:t>2024</w:t>
      </w:r>
      <w:r>
        <w:rPr>
          <w:sz w:val="20"/>
          <w:szCs w:val="20"/>
          <w:color w:val="auto"/>
        </w:rPr>
        <w:tab/>
      </w:r>
      <w:r>
        <w:rPr>
          <w:rFonts w:ascii="Calibri" w:cs="Calibri" w:eastAsia="Calibri" w:hAnsi="Calibri"/>
          <w:sz w:val="16"/>
          <w:szCs w:val="16"/>
          <w:color w:val="auto"/>
        </w:rPr>
        <w:t>2023</w:t>
      </w:r>
    </w:p>
    <w:p>
      <w:pPr>
        <w:spacing w:after="0" w:line="10" w:lineRule="exact"/>
        <w:rPr>
          <w:sz w:val="20"/>
          <w:szCs w:val="20"/>
          <w:color w:val="auto"/>
        </w:rPr>
      </w:pPr>
    </w:p>
    <w:p>
      <w:pPr>
        <w:jc w:val="both"/>
        <w:ind w:left="5700"/>
        <w:spacing w:after="0"/>
        <w:tabs>
          <w:tab w:leader="none" w:pos="7300" w:val="left"/>
        </w:tabs>
        <w:rPr>
          <w:sz w:val="20"/>
          <w:szCs w:val="20"/>
          <w:color w:val="auto"/>
        </w:rPr>
      </w:pPr>
      <w:r>
        <w:rPr>
          <w:rFonts w:ascii="Calibri" w:cs="Calibri" w:eastAsia="Calibri" w:hAnsi="Calibri"/>
          <w:sz w:val="16"/>
          <w:szCs w:val="16"/>
          <w:b w:val="1"/>
          <w:bCs w:val="1"/>
          <w:color w:val="auto"/>
        </w:rPr>
        <w:t>$</w:t>
      </w:r>
      <w:r>
        <w:rPr>
          <w:sz w:val="20"/>
          <w:szCs w:val="20"/>
          <w:color w:val="auto"/>
        </w:rPr>
        <w:tab/>
      </w:r>
      <w:r>
        <w:rPr>
          <w:rFonts w:ascii="Calibri" w:cs="Calibri" w:eastAsia="Calibri" w:hAnsi="Calibri"/>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12700</wp:posOffset>
            </wp:positionV>
            <wp:extent cx="45599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Nine month period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12700</wp:posOffset>
            </wp:positionV>
            <wp:extent cx="20726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072640" cy="7620"/>
                    </a:xfrm>
                    <a:prstGeom prst="rect">
                      <a:avLst/>
                    </a:prstGeom>
                    <a:noFill/>
                  </pic:spPr>
                </pic:pic>
              </a:graphicData>
            </a:graphic>
          </wp:anchor>
        </w:drawing>
      </w:r>
    </w:p>
    <w:p>
      <w:pPr>
        <w:spacing w:after="0" w:line="2" w:lineRule="exact"/>
        <w:rPr>
          <w:sz w:val="20"/>
          <w:szCs w:val="20"/>
          <w:color w:val="auto"/>
        </w:rPr>
      </w:pPr>
    </w:p>
    <w:p>
      <w:pPr>
        <w:jc w:val="both"/>
        <w:ind w:left="940"/>
        <w:spacing w:after="0"/>
        <w:tabs>
          <w:tab w:leader="none" w:pos="2540" w:val="left"/>
        </w:tabs>
        <w:rPr>
          <w:sz w:val="20"/>
          <w:szCs w:val="20"/>
          <w:color w:val="auto"/>
        </w:rPr>
      </w:pPr>
      <w:r>
        <w:rPr>
          <w:rFonts w:ascii="Calibri" w:cs="Calibri" w:eastAsia="Calibri" w:hAnsi="Calibri"/>
          <w:sz w:val="16"/>
          <w:szCs w:val="16"/>
          <w:b w:val="1"/>
          <w:bCs w:val="1"/>
          <w:color w:val="auto"/>
        </w:rPr>
        <w:t>2024</w:t>
      </w:r>
      <w:r>
        <w:rPr>
          <w:sz w:val="20"/>
          <w:szCs w:val="20"/>
          <w:color w:val="auto"/>
        </w:rPr>
        <w:tab/>
      </w:r>
      <w:r>
        <w:rPr>
          <w:rFonts w:ascii="Calibri" w:cs="Calibri" w:eastAsia="Calibri" w:hAnsi="Calibri"/>
          <w:sz w:val="16"/>
          <w:szCs w:val="16"/>
          <w:b w:val="1"/>
          <w:bCs w:val="1"/>
          <w:color w:val="auto"/>
        </w:rPr>
        <w:t>2023</w:t>
      </w:r>
    </w:p>
    <w:p>
      <w:pPr>
        <w:spacing w:after="0" w:line="10" w:lineRule="exact"/>
        <w:rPr>
          <w:sz w:val="20"/>
          <w:szCs w:val="20"/>
          <w:color w:val="auto"/>
        </w:rPr>
      </w:pPr>
    </w:p>
    <w:p>
      <w:pPr>
        <w:jc w:val="both"/>
        <w:ind w:left="1180"/>
        <w:spacing w:after="0"/>
        <w:tabs>
          <w:tab w:leader="none" w:pos="2780" w:val="left"/>
        </w:tabs>
        <w:rPr>
          <w:sz w:val="20"/>
          <w:szCs w:val="20"/>
          <w:color w:val="auto"/>
        </w:rPr>
      </w:pPr>
      <w:r>
        <w:rPr>
          <w:rFonts w:ascii="Calibri" w:cs="Calibri" w:eastAsia="Calibri" w:hAnsi="Calibri"/>
          <w:sz w:val="16"/>
          <w:szCs w:val="16"/>
          <w:b w:val="1"/>
          <w:bCs w:val="1"/>
          <w:color w:val="auto"/>
        </w:rPr>
        <w:t>$</w:t>
      </w:r>
      <w:r>
        <w:rPr>
          <w:sz w:val="20"/>
          <w:szCs w:val="20"/>
          <w:color w:val="auto"/>
        </w:rPr>
        <w:tab/>
      </w:r>
      <w:r>
        <w:rPr>
          <w:rFonts w:ascii="Calibri" w:cs="Calibri" w:eastAsia="Calibri" w:hAnsi="Calibri"/>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12700</wp:posOffset>
            </wp:positionV>
            <wp:extent cx="20726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072640" cy="762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7400" w:space="480"/>
            <w:col w:w="3380"/>
          </w:cols>
          <w:pgMar w:left="320" w:top="209" w:right="319" w:bottom="1440" w:gutter="0" w:footer="0" w:header="0"/>
          <w:type w:val="continuous"/>
        </w:sectPr>
      </w:pPr>
    </w:p>
    <w:tbl>
      <w:tblPr>
        <w:tblLayout w:type="fixed"/>
        <w:tblInd w:w="280" w:type="dxa"/>
        <w:tblCellMar>
          <w:top w:w="0" w:type="dxa"/>
          <w:left w:w="0" w:type="dxa"/>
          <w:bottom w:w="0" w:type="dxa"/>
          <w:right w:w="0" w:type="dxa"/>
        </w:tblCellMar>
      </w:tblPr>
      <w:tr>
        <w:trPr>
          <w:trHeight w:val="195"/>
        </w:trPr>
        <w:tc>
          <w:tcPr>
            <w:tcW w:w="3600" w:type="dxa"/>
            <w:vAlign w:val="bottom"/>
          </w:tcPr>
          <w:p>
            <w:pPr>
              <w:ind w:left="20"/>
              <w:spacing w:after="0"/>
              <w:rPr>
                <w:sz w:val="20"/>
                <w:szCs w:val="20"/>
                <w:color w:val="auto"/>
              </w:rPr>
            </w:pPr>
            <w:r>
              <w:rPr>
                <w:rFonts w:ascii="Calibri" w:cs="Calibri" w:eastAsia="Calibri" w:hAnsi="Calibri"/>
                <w:sz w:val="16"/>
                <w:szCs w:val="16"/>
                <w:color w:val="auto"/>
              </w:rPr>
              <w:t>Capital markets</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1,770</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3,377</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13,985</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7,600</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Payroll, consultng and benefts</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2,596</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1,597</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8,703</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4,388</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1,301</w:t>
            </w:r>
          </w:p>
        </w:tc>
        <w:tc>
          <w:tcPr>
            <w:tcW w:w="1640" w:type="dxa"/>
            <w:vAlign w:val="bottom"/>
          </w:tcPr>
          <w:p>
            <w:pPr>
              <w:jc w:val="right"/>
              <w:ind w:right="579"/>
              <w:spacing w:after="0"/>
              <w:rPr>
                <w:sz w:val="20"/>
                <w:szCs w:val="20"/>
                <w:color w:val="auto"/>
              </w:rPr>
            </w:pPr>
            <w:r>
              <w:rPr>
                <w:rFonts w:ascii="Calibri" w:cs="Calibri" w:eastAsia="Calibri" w:hAnsi="Calibri"/>
                <w:sz w:val="16"/>
                <w:szCs w:val="16"/>
                <w:color w:val="auto"/>
              </w:rPr>
              <w:t>883</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3,354</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2,102</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1,922</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1,574</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2,925</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3,080</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517</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1,934</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1,902</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2,375</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937</w:t>
            </w:r>
          </w:p>
        </w:tc>
        <w:tc>
          <w:tcPr>
            <w:tcW w:w="1640" w:type="dxa"/>
            <w:vAlign w:val="bottom"/>
          </w:tcPr>
          <w:p>
            <w:pPr>
              <w:jc w:val="right"/>
              <w:ind w:right="579"/>
              <w:spacing w:after="0"/>
              <w:rPr>
                <w:sz w:val="20"/>
                <w:szCs w:val="20"/>
                <w:color w:val="auto"/>
              </w:rPr>
            </w:pPr>
            <w:r>
              <w:rPr>
                <w:rFonts w:ascii="Calibri" w:cs="Calibri" w:eastAsia="Calibri" w:hAnsi="Calibri"/>
                <w:sz w:val="16"/>
                <w:szCs w:val="16"/>
                <w:color w:val="auto"/>
              </w:rPr>
              <w:t>203</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1,895</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692</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42</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66</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222</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360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25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92</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23</w:t>
            </w:r>
          </w:p>
        </w:tc>
        <w:tc>
          <w:tcPr>
            <w:tcW w:w="16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172</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50</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360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54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9,177</w:t>
            </w:r>
          </w:p>
        </w:tc>
        <w:tc>
          <w:tcPr>
            <w:tcW w:w="164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color w:val="auto"/>
              </w:rPr>
              <w:t>9,657</w:t>
            </w:r>
          </w:p>
        </w:tc>
        <w:tc>
          <w:tcPr>
            <w:tcW w:w="168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33,158</w:t>
            </w:r>
          </w:p>
        </w:tc>
        <w:tc>
          <w:tcPr>
            <w:tcW w:w="10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20,505</w:t>
            </w: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11. CONTRACTS, COMMITMENTS AND CONTINGENCIES</w:t>
      </w:r>
    </w:p>
    <w:p>
      <w:pPr>
        <w:spacing w:after="0" w:line="194" w:lineRule="exact"/>
        <w:rPr>
          <w:sz w:val="20"/>
          <w:szCs w:val="20"/>
          <w:color w:val="auto"/>
        </w:rPr>
      </w:pPr>
    </w:p>
    <w:p>
      <w:pPr>
        <w:jc w:val="both"/>
        <w:ind w:left="280"/>
        <w:spacing w:after="0" w:line="271" w:lineRule="auto"/>
        <w:rPr>
          <w:sz w:val="20"/>
          <w:szCs w:val="20"/>
          <w:color w:val="auto"/>
        </w:rPr>
      </w:pPr>
      <w:r>
        <w:rPr>
          <w:rFonts w:ascii="Calibri" w:cs="Calibri" w:eastAsia="Calibri" w:hAnsi="Calibri"/>
          <w:sz w:val="16"/>
          <w:szCs w:val="16"/>
          <w:color w:val="auto"/>
        </w:rPr>
        <w:t>As at December 31, 2024, the Company had entered into agreements for various studies which may require the Company to spend up to an additonal $62,819. The Company expects to pay this amount within the 24 months ending December 31, 2026,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70" w:lineRule="exact"/>
        <w:rPr>
          <w:sz w:val="20"/>
          <w:szCs w:val="20"/>
          <w:color w:val="auto"/>
        </w:rPr>
      </w:pPr>
    </w:p>
    <w:p>
      <w:pPr>
        <w:jc w:val="both"/>
        <w:ind w:left="280" w:right="20"/>
        <w:spacing w:after="0" w:line="274" w:lineRule="auto"/>
        <w:rPr>
          <w:sz w:val="20"/>
          <w:szCs w:val="20"/>
          <w:color w:val="auto"/>
        </w:rPr>
      </w:pPr>
      <w:r>
        <w:rPr>
          <w:rFonts w:ascii="Calibri" w:cs="Calibri" w:eastAsia="Calibri" w:hAnsi="Calibri"/>
          <w:sz w:val="16"/>
          <w:szCs w:val="16"/>
          <w:color w:val="auto"/>
        </w:rPr>
        <w:t>In additon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completon of certain milestones contemplated in the exclusive license, the Company may have to pay additonal consideraton of up to $13,670 (US$9,500). At the sole discreton of Cybin, the milestones may be paid in cash or in Common Shares, or a combinaton thereof, subject to the approval of Cboe.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68"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18 of 25</w:t>
      </w:r>
    </w:p>
    <w:p>
      <w:pPr>
        <w:sectPr>
          <w:pgSz w:w="11900" w:h="16838" w:orient="portrait"/>
          <w:cols w:equalWidth="0" w:num="1">
            <w:col w:w="11260"/>
          </w:cols>
          <w:pgMar w:left="320" w:top="209" w:right="319" w:bottom="1440" w:gutter="0" w:footer="0" w:header="0"/>
          <w:type w:val="continuous"/>
        </w:sectPr>
      </w:pPr>
    </w:p>
    <w:bookmarkStart w:id="21" w:name="page22"/>
    <w:bookmarkEnd w:id="2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In the normal course of business, the Company may be subject to legal proceedings and claims. As at December 31, 2024, there was no ongoing litgaton and therefore no contngent liabilites have been recorded in the condensed interim consolidated fnancial statements.</w:t>
      </w:r>
    </w:p>
    <w:p>
      <w:pPr>
        <w:spacing w:after="0" w:line="172"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12.</w:t>
      </w:r>
      <w:r>
        <w:rPr>
          <w:sz w:val="20"/>
          <w:szCs w:val="20"/>
          <w:color w:val="auto"/>
        </w:rPr>
        <w:tab/>
      </w:r>
      <w:r>
        <w:rPr>
          <w:rFonts w:ascii="Calibri" w:cs="Calibri" w:eastAsia="Calibri" w:hAnsi="Calibri"/>
          <w:sz w:val="15"/>
          <w:szCs w:val="15"/>
          <w:b w:val="1"/>
          <w:bCs w:val="1"/>
          <w:color w:val="2D5F91"/>
        </w:rPr>
        <w:t>CAPITAL MANAGEMENT</w:t>
      </w:r>
    </w:p>
    <w:p>
      <w:pPr>
        <w:spacing w:after="0" w:line="194" w:lineRule="exact"/>
        <w:rPr>
          <w:sz w:val="20"/>
          <w:szCs w:val="20"/>
          <w:color w:val="auto"/>
        </w:rPr>
      </w:pPr>
    </w:p>
    <w:p>
      <w:pPr>
        <w:jc w:val="both"/>
        <w:ind w:left="280"/>
        <w:spacing w:after="0" w:line="296"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52" w:lineRule="exact"/>
        <w:rPr>
          <w:sz w:val="20"/>
          <w:szCs w:val="20"/>
          <w:color w:val="auto"/>
        </w:rPr>
      </w:pPr>
    </w:p>
    <w:p>
      <w:pPr>
        <w:jc w:val="both"/>
        <w:ind w:left="280" w:right="20"/>
        <w:spacing w:after="0" w:line="276"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53" w:lineRule="exact"/>
        <w:rPr>
          <w:sz w:val="20"/>
          <w:szCs w:val="20"/>
          <w:color w:val="auto"/>
        </w:rPr>
      </w:pPr>
    </w:p>
    <w:p>
      <w:pPr>
        <w:ind w:left="280"/>
        <w:spacing w:after="0"/>
        <w:rPr>
          <w:sz w:val="20"/>
          <w:szCs w:val="20"/>
          <w:color w:val="auto"/>
        </w:rPr>
      </w:pPr>
      <w:r>
        <w:rPr>
          <w:rFonts w:ascii="Calibri" w:cs="Calibri" w:eastAsia="Calibri" w:hAnsi="Calibri"/>
          <w:sz w:val="15"/>
          <w:szCs w:val="15"/>
          <w:color w:val="auto"/>
        </w:rPr>
        <w:t>The Company’s capital management objectves, policies and processes generally remained unchanged during the three and nine month periods ended December 31, 2024.</w:t>
      </w:r>
    </w:p>
    <w:p>
      <w:pPr>
        <w:spacing w:after="0" w:line="20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 requires capital to fund existng and future operatons. The Company’s policy is to maintain adequate levels of capital at all tmes.</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546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As at</w:t>
            </w:r>
          </w:p>
        </w:tc>
        <w:tc>
          <w:tcPr>
            <w:tcW w:w="3620" w:type="dxa"/>
            <w:vAlign w:val="bottom"/>
            <w:vMerge w:val="restart"/>
          </w:tcPr>
          <w:p>
            <w:pPr>
              <w:jc w:val="right"/>
              <w:ind w:right="339"/>
              <w:spacing w:after="0"/>
              <w:rPr>
                <w:sz w:val="20"/>
                <w:szCs w:val="20"/>
                <w:color w:val="auto"/>
              </w:rPr>
            </w:pPr>
            <w:r>
              <w:rPr>
                <w:rFonts w:ascii="Calibri" w:cs="Calibri" w:eastAsia="Calibri" w:hAnsi="Calibri"/>
                <w:sz w:val="16"/>
                <w:szCs w:val="16"/>
                <w:b w:val="1"/>
                <w:bCs w:val="1"/>
                <w:color w:val="auto"/>
              </w:rPr>
              <w:t>December 31, 2024</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0" w:type="dxa"/>
            <w:vAlign w:val="bottom"/>
          </w:tcPr>
          <w:p>
            <w:pPr>
              <w:spacing w:after="0"/>
              <w:rPr>
                <w:sz w:val="1"/>
                <w:szCs w:val="1"/>
                <w:color w:val="auto"/>
              </w:rPr>
            </w:pPr>
          </w:p>
        </w:tc>
      </w:tr>
      <w:tr>
        <w:trPr>
          <w:trHeight w:val="48"/>
        </w:trPr>
        <w:tc>
          <w:tcPr>
            <w:tcW w:w="546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460" w:type="dxa"/>
            <w:vAlign w:val="bottom"/>
          </w:tcPr>
          <w:p>
            <w:pPr>
              <w:spacing w:after="0"/>
              <w:rPr>
                <w:sz w:val="23"/>
                <w:szCs w:val="23"/>
                <w:color w:val="auto"/>
              </w:rPr>
            </w:pPr>
          </w:p>
        </w:tc>
        <w:tc>
          <w:tcPr>
            <w:tcW w:w="36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69"/>
        </w:trPr>
        <w:tc>
          <w:tcPr>
            <w:tcW w:w="546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46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3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6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6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443,383</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443,877</w:t>
            </w:r>
          </w:p>
        </w:tc>
        <w:tc>
          <w:tcPr>
            <w:tcW w:w="0" w:type="dxa"/>
            <w:vAlign w:val="bottom"/>
          </w:tcPr>
          <w:p>
            <w:pPr>
              <w:spacing w:after="0"/>
              <w:rPr>
                <w:sz w:val="1"/>
                <w:szCs w:val="1"/>
                <w:color w:val="auto"/>
              </w:rPr>
            </w:pP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6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43,850</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11,750</w:t>
            </w:r>
          </w:p>
        </w:tc>
        <w:tc>
          <w:tcPr>
            <w:tcW w:w="0" w:type="dxa"/>
            <w:vAlign w:val="bottom"/>
          </w:tcPr>
          <w:p>
            <w:pPr>
              <w:spacing w:after="0"/>
              <w:rPr>
                <w:sz w:val="1"/>
                <w:szCs w:val="1"/>
                <w:color w:val="auto"/>
              </w:rPr>
            </w:pP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6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45,898</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39,177</w:t>
            </w:r>
          </w:p>
        </w:tc>
        <w:tc>
          <w:tcPr>
            <w:tcW w:w="0" w:type="dxa"/>
            <w:vAlign w:val="bottom"/>
          </w:tcPr>
          <w:p>
            <w:pPr>
              <w:spacing w:after="0"/>
              <w:rPr>
                <w:sz w:val="1"/>
                <w:szCs w:val="1"/>
                <w:color w:val="auto"/>
              </w:rPr>
            </w:pP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6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27,594</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25,639</w:t>
            </w:r>
          </w:p>
        </w:tc>
        <w:tc>
          <w:tcPr>
            <w:tcW w:w="0" w:type="dxa"/>
            <w:vAlign w:val="bottom"/>
          </w:tcPr>
          <w:p>
            <w:pPr>
              <w:spacing w:after="0"/>
              <w:rPr>
                <w:sz w:val="1"/>
                <w:szCs w:val="1"/>
                <w:color w:val="auto"/>
              </w:rPr>
            </w:pP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loss</w:t>
            </w:r>
          </w:p>
        </w:tc>
        <w:tc>
          <w:tcPr>
            <w:tcW w:w="362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(11,696)</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(2,285)</w:t>
            </w:r>
          </w:p>
        </w:tc>
        <w:tc>
          <w:tcPr>
            <w:tcW w:w="0" w:type="dxa"/>
            <w:vAlign w:val="bottom"/>
          </w:tcPr>
          <w:p>
            <w:pPr>
              <w:spacing w:after="0"/>
              <w:rPr>
                <w:sz w:val="1"/>
                <w:szCs w:val="1"/>
                <w:color w:val="auto"/>
              </w:rPr>
            </w:pP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62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(308,789)</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(226,231)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4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362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240,240</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291,927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19 of 25</w:t>
      </w:r>
    </w:p>
    <w:p>
      <w:pPr>
        <w:sectPr>
          <w:pgSz w:w="11900" w:h="16838" w:orient="portrait"/>
          <w:cols w:equalWidth="0" w:num="1">
            <w:col w:w="11260"/>
          </w:cols>
          <w:pgMar w:left="320" w:top="209" w:right="319" w:bottom="1440" w:gutter="0" w:footer="0" w:header="0"/>
        </w:sectPr>
      </w:pPr>
    </w:p>
    <w:bookmarkStart w:id="22" w:name="page23"/>
    <w:bookmarkEnd w:id="2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FINANCIAL INSTRUMENTS</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7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 has classifed its fnancial instruments as follows:</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34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As at</w:t>
            </w:r>
          </w:p>
        </w:tc>
        <w:tc>
          <w:tcPr>
            <w:tcW w:w="3800" w:type="dxa"/>
            <w:vAlign w:val="bottom"/>
            <w:vMerge w:val="restart"/>
          </w:tcPr>
          <w:p>
            <w:pPr>
              <w:jc w:val="right"/>
              <w:ind w:right="299"/>
              <w:spacing w:after="0"/>
              <w:rPr>
                <w:sz w:val="20"/>
                <w:szCs w:val="20"/>
                <w:color w:val="auto"/>
              </w:rPr>
            </w:pPr>
            <w:r>
              <w:rPr>
                <w:rFonts w:ascii="Calibri" w:cs="Calibri" w:eastAsia="Calibri" w:hAnsi="Calibri"/>
                <w:sz w:val="16"/>
                <w:szCs w:val="16"/>
                <w:b w:val="1"/>
                <w:bCs w:val="1"/>
                <w:color w:val="auto"/>
              </w:rPr>
              <w:t>December 31, 2024</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0" w:type="dxa"/>
            <w:vAlign w:val="bottom"/>
          </w:tcPr>
          <w:p>
            <w:pPr>
              <w:spacing w:after="0"/>
              <w:rPr>
                <w:sz w:val="1"/>
                <w:szCs w:val="1"/>
                <w:color w:val="auto"/>
              </w:rPr>
            </w:pPr>
          </w:p>
        </w:tc>
      </w:tr>
      <w:tr>
        <w:trPr>
          <w:trHeight w:val="48"/>
        </w:trPr>
        <w:tc>
          <w:tcPr>
            <w:tcW w:w="5340" w:type="dxa"/>
            <w:vAlign w:val="bottom"/>
            <w:vMerge w:val="continue"/>
          </w:tcPr>
          <w:p>
            <w:pPr>
              <w:spacing w:after="0"/>
              <w:rPr>
                <w:sz w:val="4"/>
                <w:szCs w:val="4"/>
                <w:color w:val="auto"/>
              </w:rPr>
            </w:pPr>
          </w:p>
        </w:tc>
        <w:tc>
          <w:tcPr>
            <w:tcW w:w="380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340" w:type="dxa"/>
            <w:vAlign w:val="bottom"/>
          </w:tcPr>
          <w:p>
            <w:pPr>
              <w:spacing w:after="0"/>
              <w:rPr>
                <w:sz w:val="23"/>
                <w:szCs w:val="23"/>
                <w:color w:val="auto"/>
              </w:rPr>
            </w:pPr>
          </w:p>
        </w:tc>
        <w:tc>
          <w:tcPr>
            <w:tcW w:w="38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69"/>
        </w:trPr>
        <w:tc>
          <w:tcPr>
            <w:tcW w:w="534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34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4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8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136,290</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208,992</w:t>
            </w:r>
          </w:p>
        </w:tc>
        <w:tc>
          <w:tcPr>
            <w:tcW w:w="0" w:type="dxa"/>
            <w:vAlign w:val="bottom"/>
          </w:tcPr>
          <w:p>
            <w:pPr>
              <w:spacing w:after="0"/>
              <w:rPr>
                <w:sz w:val="1"/>
                <w:szCs w:val="1"/>
                <w:color w:val="auto"/>
              </w:rPr>
            </w:pPr>
          </w:p>
        </w:tc>
      </w:tr>
      <w:tr>
        <w:trPr>
          <w:trHeight w:val="206"/>
        </w:trPr>
        <w:tc>
          <w:tcPr>
            <w:tcW w:w="534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8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501</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254</w:t>
            </w:r>
          </w:p>
        </w:tc>
        <w:tc>
          <w:tcPr>
            <w:tcW w:w="0" w:type="dxa"/>
            <w:vAlign w:val="bottom"/>
          </w:tcPr>
          <w:p>
            <w:pPr>
              <w:spacing w:after="0"/>
              <w:rPr>
                <w:sz w:val="1"/>
                <w:szCs w:val="1"/>
                <w:color w:val="auto"/>
              </w:rPr>
            </w:pPr>
          </w:p>
        </w:tc>
      </w:tr>
      <w:tr>
        <w:trPr>
          <w:trHeight w:val="206"/>
        </w:trPr>
        <w:tc>
          <w:tcPr>
            <w:tcW w:w="534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8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13,306</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9,805</w:t>
            </w:r>
          </w:p>
        </w:tc>
        <w:tc>
          <w:tcPr>
            <w:tcW w:w="0" w:type="dxa"/>
            <w:vAlign w:val="bottom"/>
          </w:tcPr>
          <w:p>
            <w:pPr>
              <w:spacing w:after="0"/>
              <w:rPr>
                <w:sz w:val="1"/>
                <w:szCs w:val="1"/>
                <w:color w:val="auto"/>
              </w:rPr>
            </w:pPr>
          </w:p>
        </w:tc>
      </w:tr>
      <w:tr>
        <w:trPr>
          <w:trHeight w:val="206"/>
        </w:trPr>
        <w:tc>
          <w:tcPr>
            <w:tcW w:w="5340" w:type="dxa"/>
            <w:vAlign w:val="bottom"/>
          </w:tcPr>
          <w:p>
            <w:pPr>
              <w:ind w:left="160"/>
              <w:spacing w:after="0"/>
              <w:rPr>
                <w:sz w:val="20"/>
                <w:szCs w:val="20"/>
                <w:color w:val="auto"/>
              </w:rPr>
            </w:pPr>
            <w:r>
              <w:rPr>
                <w:rFonts w:ascii="Calibri" w:cs="Calibri" w:eastAsia="Calibri" w:hAnsi="Calibri"/>
                <w:sz w:val="16"/>
                <w:szCs w:val="16"/>
                <w:color w:val="auto"/>
              </w:rPr>
              <w:t>Lease liabilites</w:t>
            </w:r>
          </w:p>
        </w:tc>
        <w:tc>
          <w:tcPr>
            <w:tcW w:w="38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291</w:t>
            </w: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Fair value hierarchy of fnancial instruments</w:t>
      </w:r>
    </w:p>
    <w:p>
      <w:pPr>
        <w:spacing w:after="0" w:line="194"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50"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62"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68" w:lineRule="exact"/>
        <w:rPr>
          <w:sz w:val="20"/>
          <w:szCs w:val="20"/>
          <w:color w:val="auto"/>
        </w:rPr>
      </w:pPr>
    </w:p>
    <w:p>
      <w:pPr>
        <w:jc w:val="both"/>
        <w:ind w:left="280" w:right="20"/>
        <w:spacing w:after="0" w:line="273"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Currently, the Company has no fnancial instruments that would be classifed as Level 3.</w:t>
      </w:r>
    </w:p>
    <w:p>
      <w:pPr>
        <w:spacing w:after="0" w:line="165"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There were no transfers between levels of the fair value hierarchy for the three and nine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20 of 25</w:t>
      </w:r>
    </w:p>
    <w:p>
      <w:pPr>
        <w:sectPr>
          <w:pgSz w:w="11900" w:h="16838" w:orient="portrait"/>
          <w:cols w:equalWidth="0" w:num="1">
            <w:col w:w="11260"/>
          </w:cols>
          <w:pgMar w:left="320" w:top="209" w:right="319" w:bottom="1440" w:gutter="0" w:footer="0" w:header="0"/>
        </w:sectPr>
      </w:pPr>
    </w:p>
    <w:bookmarkStart w:id="23" w:name="page24"/>
    <w:bookmarkEnd w:id="23"/>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7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w:t>
      </w:r>
    </w:p>
    <w:p>
      <w:pPr>
        <w:spacing w:after="0" w:line="85"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exposed to credit risk. The Company reduces its credit risk on cash by placing these instruments with insttutons of high creditworthiness. As at December 31, 2024 the Company’s maximum exposure to credit risk is the carrying value of its fnancial assets.</w:t>
      </w:r>
    </w:p>
    <w:p>
      <w:pPr>
        <w:spacing w:after="0" w:line="14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94"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62" w:lineRule="exact"/>
        <w:rPr>
          <w:sz w:val="20"/>
          <w:szCs w:val="20"/>
          <w:color w:val="auto"/>
        </w:rPr>
      </w:pPr>
    </w:p>
    <w:p>
      <w:pPr>
        <w:ind w:left="220"/>
        <w:spacing w:after="0" w:line="323" w:lineRule="auto"/>
        <w:rPr>
          <w:sz w:val="20"/>
          <w:szCs w:val="20"/>
          <w:color w:val="auto"/>
        </w:rPr>
      </w:pPr>
      <w:r>
        <w:rPr>
          <w:rFonts w:ascii="Calibri" w:cs="Calibri" w:eastAsia="Calibri" w:hAnsi="Calibri"/>
          <w:sz w:val="16"/>
          <w:szCs w:val="16"/>
          <w:color w:val="auto"/>
        </w:rPr>
        <w:t>As at December 31, 2024, the Company had cash of $136,290 (March 31, 2024 - $208,992) in order to meet current liabilites. Current liabilites include accounts payable and accrued liabilites of $13,306 (March 31, 2024 - $9,805) and lease liabilites of $nil (March 31, 2024 - $291). All amounts are due within the next 12 months.</w:t>
      </w:r>
    </w:p>
    <w:p>
      <w:pPr>
        <w:spacing w:after="0" w:line="12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94" w:lineRule="exact"/>
        <w:rPr>
          <w:sz w:val="20"/>
          <w:szCs w:val="20"/>
          <w:color w:val="auto"/>
        </w:rPr>
      </w:pPr>
    </w:p>
    <w:p>
      <w:pPr>
        <w:jc w:val="both"/>
        <w:ind w:left="220" w:right="20"/>
        <w:spacing w:after="0" w:line="271"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market interest rates. In seeking to minimize the risks from interest rate fuctuatons, the Company manages exposure through its normal operatng and fnancing actvites. Assuming that all other variables remain constant, as at December 31, 2024, a 1% decline on the interest rate generated on cash would have resulted in a reducton of interest income of $1,255 over a one-year period.</w:t>
      </w:r>
    </w:p>
    <w:p>
      <w:pPr>
        <w:spacing w:after="0" w:line="167"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94" w:lineRule="exact"/>
        <w:rPr>
          <w:sz w:val="20"/>
          <w:szCs w:val="20"/>
          <w:color w:val="auto"/>
        </w:rPr>
      </w:pPr>
    </w:p>
    <w:p>
      <w:pPr>
        <w:jc w:val="both"/>
        <w:ind w:left="220"/>
        <w:spacing w:after="0" w:line="264"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the functonal currency of CAD is used for reportng. The Company has not entered into any foreign currency contracts to mitgate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21 of 25</w:t>
      </w:r>
    </w:p>
    <w:p>
      <w:pPr>
        <w:sectPr>
          <w:pgSz w:w="11900" w:h="16838" w:orient="portrait"/>
          <w:cols w:equalWidth="0" w:num="1">
            <w:col w:w="11200"/>
          </w:cols>
          <w:pgMar w:left="380" w:top="209" w:right="319" w:bottom="1440" w:gutter="0" w:footer="0" w:header="0"/>
        </w:sectPr>
      </w:pPr>
    </w:p>
    <w:bookmarkStart w:id="24" w:name="page25"/>
    <w:bookmarkEnd w:id="2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0" w:right="2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At December 31, 2024 the Company had the following balances in monetary assets and monetary liabilites which are subject to fuctuaton against CAD:</w:t>
      </w:r>
    </w:p>
    <w:p>
      <w:pPr>
        <w:spacing w:after="0" w:line="26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440" w:type="dxa"/>
            <w:vAlign w:val="bottom"/>
            <w:vMerge w:val="restart"/>
          </w:tcPr>
          <w:p>
            <w:pPr>
              <w:ind w:left="780"/>
              <w:spacing w:after="0"/>
              <w:rPr>
                <w:sz w:val="20"/>
                <w:szCs w:val="20"/>
                <w:color w:val="auto"/>
              </w:rPr>
            </w:pPr>
            <w:r>
              <w:rPr>
                <w:rFonts w:ascii="Calibri" w:cs="Calibri" w:eastAsia="Calibri" w:hAnsi="Calibri"/>
                <w:sz w:val="16"/>
                <w:szCs w:val="16"/>
                <w:b w:val="1"/>
                <w:bCs w:val="1"/>
                <w:color w:val="auto"/>
              </w:rPr>
              <w:t>Denominated in:</w:t>
            </w:r>
          </w:p>
        </w:tc>
        <w:tc>
          <w:tcPr>
            <w:tcW w:w="17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US$000’s</w:t>
            </w:r>
          </w:p>
        </w:tc>
        <w:tc>
          <w:tcPr>
            <w:tcW w:w="176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GBP 000’s</w:t>
            </w:r>
          </w:p>
        </w:tc>
        <w:tc>
          <w:tcPr>
            <w:tcW w:w="1220" w:type="dxa"/>
            <w:vAlign w:val="bottom"/>
          </w:tcPr>
          <w:p>
            <w:pPr>
              <w:jc w:val="right"/>
              <w:spacing w:after="0"/>
              <w:rPr>
                <w:sz w:val="20"/>
                <w:szCs w:val="20"/>
                <w:color w:val="auto"/>
              </w:rPr>
            </w:pPr>
            <w:r>
              <w:rPr>
                <w:rFonts w:ascii="Calibri" w:cs="Calibri" w:eastAsia="Calibri" w:hAnsi="Calibri"/>
                <w:sz w:val="16"/>
                <w:szCs w:val="16"/>
                <w:b w:val="1"/>
                <w:bCs w:val="1"/>
                <w:color w:val="auto"/>
              </w:rPr>
              <w:t>EUR 000’s</w:t>
            </w:r>
          </w:p>
        </w:tc>
        <w:tc>
          <w:tcPr>
            <w:tcW w:w="0" w:type="dxa"/>
            <w:vAlign w:val="bottom"/>
          </w:tcPr>
          <w:p>
            <w:pPr>
              <w:spacing w:after="0"/>
              <w:rPr>
                <w:sz w:val="1"/>
                <w:szCs w:val="1"/>
                <w:color w:val="auto"/>
              </w:rPr>
            </w:pPr>
          </w:p>
        </w:tc>
      </w:tr>
      <w:tr>
        <w:trPr>
          <w:trHeight w:val="60"/>
        </w:trPr>
        <w:tc>
          <w:tcPr>
            <w:tcW w:w="332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2440" w:type="dxa"/>
            <w:vAlign w:val="bottom"/>
          </w:tcPr>
          <w:p>
            <w:pPr>
              <w:spacing w:after="0"/>
              <w:rPr>
                <w:sz w:val="16"/>
                <w:szCs w:val="16"/>
                <w:color w:val="auto"/>
              </w:rPr>
            </w:pPr>
          </w:p>
        </w:tc>
        <w:tc>
          <w:tcPr>
            <w:tcW w:w="174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88,309</w:t>
            </w:r>
          </w:p>
        </w:tc>
        <w:tc>
          <w:tcPr>
            <w:tcW w:w="176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617</w:t>
            </w:r>
          </w:p>
        </w:tc>
        <w:tc>
          <w:tcPr>
            <w:tcW w:w="1220" w:type="dxa"/>
            <w:vAlign w:val="bottom"/>
          </w:tcPr>
          <w:p>
            <w:pPr>
              <w:jc w:val="right"/>
              <w:spacing w:after="0" w:line="185" w:lineRule="exact"/>
              <w:rPr>
                <w:sz w:val="20"/>
                <w:szCs w:val="20"/>
                <w:color w:val="auto"/>
              </w:rPr>
            </w:pPr>
            <w:r>
              <w:rPr>
                <w:rFonts w:ascii="Calibri" w:cs="Calibri" w:eastAsia="Calibri" w:hAnsi="Calibri"/>
                <w:sz w:val="16"/>
                <w:szCs w:val="16"/>
                <w:color w:val="auto"/>
              </w:rPr>
              <w:t>816</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Accounts receivable</w:t>
            </w:r>
          </w:p>
        </w:tc>
        <w:tc>
          <w:tcPr>
            <w:tcW w:w="2440" w:type="dxa"/>
            <w:vAlign w:val="bottom"/>
          </w:tcPr>
          <w:p>
            <w:pPr>
              <w:spacing w:after="0"/>
              <w:rPr>
                <w:sz w:val="17"/>
                <w:szCs w:val="17"/>
                <w:color w:val="auto"/>
              </w:rPr>
            </w:pPr>
          </w:p>
        </w:tc>
        <w:tc>
          <w:tcPr>
            <w:tcW w:w="1740" w:type="dxa"/>
            <w:vAlign w:val="bottom"/>
          </w:tcPr>
          <w:p>
            <w:pPr>
              <w:jc w:val="right"/>
              <w:ind w:right="499"/>
              <w:spacing w:after="0"/>
              <w:rPr>
                <w:sz w:val="20"/>
                <w:szCs w:val="20"/>
                <w:color w:val="auto"/>
              </w:rPr>
            </w:pPr>
            <w:r>
              <w:rPr>
                <w:rFonts w:ascii="Calibri" w:cs="Calibri" w:eastAsia="Calibri" w:hAnsi="Calibri"/>
                <w:sz w:val="16"/>
                <w:szCs w:val="16"/>
                <w:color w:val="auto"/>
              </w:rPr>
              <w:t>337</w:t>
            </w:r>
          </w:p>
        </w:tc>
        <w:tc>
          <w:tcPr>
            <w:tcW w:w="1760" w:type="dxa"/>
            <w:vAlign w:val="bottom"/>
          </w:tcPr>
          <w:p>
            <w:pPr>
              <w:jc w:val="right"/>
              <w:ind w:right="49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2440" w:type="dxa"/>
            <w:vAlign w:val="bottom"/>
          </w:tcPr>
          <w:p>
            <w:pPr>
              <w:spacing w:after="0"/>
              <w:rPr>
                <w:sz w:val="17"/>
                <w:szCs w:val="17"/>
                <w:color w:val="auto"/>
              </w:rPr>
            </w:pPr>
          </w:p>
        </w:tc>
        <w:tc>
          <w:tcPr>
            <w:tcW w:w="1740" w:type="dxa"/>
            <w:vAlign w:val="bottom"/>
          </w:tcPr>
          <w:p>
            <w:pPr>
              <w:jc w:val="right"/>
              <w:ind w:right="459"/>
              <w:spacing w:after="0"/>
              <w:rPr>
                <w:sz w:val="20"/>
                <w:szCs w:val="20"/>
                <w:color w:val="auto"/>
              </w:rPr>
            </w:pPr>
            <w:r>
              <w:rPr>
                <w:rFonts w:ascii="Calibri" w:cs="Calibri" w:eastAsia="Calibri" w:hAnsi="Calibri"/>
                <w:sz w:val="16"/>
                <w:szCs w:val="16"/>
                <w:color w:val="auto"/>
              </w:rPr>
              <w:t>(362)</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(419)</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40" w:type="dxa"/>
            <w:vAlign w:val="bottom"/>
          </w:tcPr>
          <w:p>
            <w:pPr>
              <w:jc w:val="right"/>
              <w:ind w:right="499"/>
              <w:spacing w:after="0" w:line="185" w:lineRule="exact"/>
              <w:rPr>
                <w:sz w:val="20"/>
                <w:szCs w:val="20"/>
                <w:color w:val="auto"/>
              </w:rPr>
            </w:pPr>
            <w:r>
              <w:rPr>
                <w:rFonts w:ascii="Calibri" w:cs="Calibri" w:eastAsia="Calibri" w:hAnsi="Calibri"/>
                <w:sz w:val="16"/>
                <w:szCs w:val="16"/>
                <w:b w:val="1"/>
                <w:bCs w:val="1"/>
                <w:color w:val="auto"/>
              </w:rPr>
              <w:t>88,284</w:t>
            </w:r>
          </w:p>
        </w:tc>
        <w:tc>
          <w:tcPr>
            <w:tcW w:w="1760" w:type="dxa"/>
            <w:vAlign w:val="bottom"/>
          </w:tcPr>
          <w:p>
            <w:pPr>
              <w:jc w:val="right"/>
              <w:ind w:right="499"/>
              <w:spacing w:after="0" w:line="185" w:lineRule="exact"/>
              <w:rPr>
                <w:sz w:val="20"/>
                <w:szCs w:val="20"/>
                <w:color w:val="auto"/>
              </w:rPr>
            </w:pPr>
            <w:r>
              <w:rPr>
                <w:rFonts w:ascii="Calibri" w:cs="Calibri" w:eastAsia="Calibri" w:hAnsi="Calibri"/>
                <w:sz w:val="16"/>
                <w:szCs w:val="16"/>
                <w:b w:val="1"/>
                <w:bCs w:val="1"/>
                <w:color w:val="auto"/>
              </w:rPr>
              <w:t>198</w:t>
            </w:r>
          </w:p>
        </w:tc>
        <w:tc>
          <w:tcPr>
            <w:tcW w:w="12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706</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2440" w:type="dxa"/>
            <w:vAlign w:val="bottom"/>
          </w:tcPr>
          <w:p>
            <w:pPr>
              <w:spacing w:after="0"/>
              <w:rPr>
                <w:sz w:val="17"/>
                <w:szCs w:val="17"/>
                <w:color w:val="auto"/>
              </w:rPr>
            </w:pPr>
          </w:p>
        </w:tc>
        <w:tc>
          <w:tcPr>
            <w:tcW w:w="1740" w:type="dxa"/>
            <w:vAlign w:val="bottom"/>
          </w:tcPr>
          <w:p>
            <w:pPr>
              <w:jc w:val="right"/>
              <w:ind w:right="459"/>
              <w:spacing w:after="0"/>
              <w:rPr>
                <w:sz w:val="20"/>
                <w:szCs w:val="20"/>
                <w:color w:val="auto"/>
              </w:rPr>
            </w:pPr>
            <w:r>
              <w:rPr>
                <w:rFonts w:ascii="Calibri" w:cs="Calibri" w:eastAsia="Calibri" w:hAnsi="Calibri"/>
                <w:sz w:val="16"/>
                <w:szCs w:val="16"/>
                <w:color w:val="auto"/>
              </w:rPr>
              <w:t>1.4389</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1.8029</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1.4928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3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2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127,032</w:t>
            </w:r>
          </w:p>
        </w:tc>
        <w:tc>
          <w:tcPr>
            <w:tcW w:w="176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357</w:t>
            </w:r>
          </w:p>
        </w:tc>
        <w:tc>
          <w:tcPr>
            <w:tcW w:w="12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1,054</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exchange</w:t>
            </w:r>
          </w:p>
        </w:tc>
        <w:tc>
          <w:tcPr>
            <w:tcW w:w="2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99"/>
              <w:spacing w:after="0" w:line="193" w:lineRule="exact"/>
              <w:rPr>
                <w:sz w:val="20"/>
                <w:szCs w:val="20"/>
                <w:color w:val="auto"/>
              </w:rPr>
            </w:pPr>
            <w:r>
              <w:rPr>
                <w:rFonts w:ascii="Calibri" w:cs="Calibri" w:eastAsia="Calibri" w:hAnsi="Calibri"/>
                <w:sz w:val="16"/>
                <w:szCs w:val="16"/>
                <w:b w:val="1"/>
                <w:bCs w:val="1"/>
                <w:color w:val="auto"/>
              </w:rPr>
              <w:t>12,703</w:t>
            </w:r>
          </w:p>
        </w:tc>
        <w:tc>
          <w:tcPr>
            <w:tcW w:w="1760" w:type="dxa"/>
            <w:vAlign w:val="bottom"/>
            <w:tcBorders>
              <w:bottom w:val="single" w:sz="8" w:color="auto"/>
            </w:tcBorders>
          </w:tcPr>
          <w:p>
            <w:pPr>
              <w:jc w:val="right"/>
              <w:ind w:right="499"/>
              <w:spacing w:after="0" w:line="193" w:lineRule="exact"/>
              <w:rPr>
                <w:sz w:val="20"/>
                <w:szCs w:val="20"/>
                <w:color w:val="auto"/>
              </w:rPr>
            </w:pPr>
            <w:r>
              <w:rPr>
                <w:rFonts w:ascii="Calibri" w:cs="Calibri" w:eastAsia="Calibri" w:hAnsi="Calibri"/>
                <w:sz w:val="16"/>
                <w:szCs w:val="16"/>
                <w:b w:val="1"/>
                <w:bCs w:val="1"/>
                <w:color w:val="auto"/>
              </w:rPr>
              <w:t>36</w:t>
            </w:r>
          </w:p>
        </w:tc>
        <w:tc>
          <w:tcPr>
            <w:tcW w:w="12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105</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Such</w:t>
      </w:r>
    </w:p>
    <w:p>
      <w:pPr>
        <w:ind w:left="280"/>
        <w:spacing w:after="0" w:line="237" w:lineRule="auto"/>
        <w:rPr>
          <w:sz w:val="20"/>
          <w:szCs w:val="20"/>
          <w:color w:val="auto"/>
        </w:rPr>
      </w:pPr>
      <w:r>
        <w:rPr>
          <w:rFonts w:ascii="Calibri" w:cs="Calibri" w:eastAsia="Calibri" w:hAnsi="Calibri"/>
          <w:sz w:val="16"/>
          <w:szCs w:val="16"/>
          <w:color w:val="auto"/>
        </w:rPr>
        <w:t>analysis excludes any indirect economic or geo-politcal efects of such currency fuctuatons.</w:t>
      </w:r>
    </w:p>
    <w:p>
      <w:pPr>
        <w:spacing w:after="0" w:line="39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INCOME TAX</w:t>
      </w:r>
    </w:p>
    <w:p>
      <w:pPr>
        <w:spacing w:after="0" w:line="17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 are as follows:</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720" w:type="dxa"/>
            <w:vAlign w:val="bottom"/>
            <w:gridSpan w:val="2"/>
          </w:tcPr>
          <w:p>
            <w:pPr>
              <w:jc w:val="right"/>
              <w:ind w:right="59"/>
              <w:spacing w:after="0"/>
              <w:rPr>
                <w:sz w:val="20"/>
                <w:szCs w:val="20"/>
                <w:color w:val="auto"/>
              </w:rPr>
            </w:pPr>
            <w:r>
              <w:rPr>
                <w:rFonts w:ascii="Calibri" w:cs="Calibri" w:eastAsia="Calibri" w:hAnsi="Calibri"/>
                <w:sz w:val="16"/>
                <w:szCs w:val="16"/>
                <w:b w:val="1"/>
                <w:bCs w:val="1"/>
                <w:color w:val="auto"/>
              </w:rPr>
              <w:t>Three month period ended December</w:t>
            </w:r>
          </w:p>
        </w:tc>
        <w:tc>
          <w:tcPr>
            <w:tcW w:w="17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3"/>
        </w:trPr>
        <w:tc>
          <w:tcPr>
            <w:tcW w:w="5120" w:type="dxa"/>
            <w:vAlign w:val="bottom"/>
          </w:tcPr>
          <w:p>
            <w:pPr>
              <w:spacing w:after="0"/>
              <w:rPr>
                <w:sz w:val="16"/>
                <w:szCs w:val="16"/>
                <w:color w:val="auto"/>
              </w:rPr>
            </w:pPr>
          </w:p>
        </w:tc>
        <w:tc>
          <w:tcPr>
            <w:tcW w:w="1780" w:type="dxa"/>
            <w:vAlign w:val="bottom"/>
          </w:tcPr>
          <w:p>
            <w:pPr>
              <w:jc w:val="right"/>
              <w:ind w:right="239"/>
              <w:spacing w:after="0" w:line="193" w:lineRule="exact"/>
              <w:rPr>
                <w:sz w:val="20"/>
                <w:szCs w:val="20"/>
                <w:color w:val="auto"/>
              </w:rPr>
            </w:pPr>
            <w:r>
              <w:rPr>
                <w:rFonts w:ascii="Calibri" w:cs="Calibri" w:eastAsia="Calibri" w:hAnsi="Calibri"/>
                <w:sz w:val="16"/>
                <w:szCs w:val="16"/>
                <w:b w:val="1"/>
                <w:bCs w:val="1"/>
                <w:color w:val="auto"/>
              </w:rPr>
              <w:t>31,</w:t>
            </w:r>
          </w:p>
        </w:tc>
        <w:tc>
          <w:tcPr>
            <w:tcW w:w="940" w:type="dxa"/>
            <w:vAlign w:val="bottom"/>
          </w:tcPr>
          <w:p>
            <w:pPr>
              <w:spacing w:after="0"/>
              <w:rPr>
                <w:sz w:val="16"/>
                <w:szCs w:val="16"/>
                <w:color w:val="auto"/>
              </w:rPr>
            </w:pPr>
          </w:p>
        </w:tc>
        <w:tc>
          <w:tcPr>
            <w:tcW w:w="2700" w:type="dxa"/>
            <w:vAlign w:val="bottom"/>
            <w:gridSpan w:val="2"/>
          </w:tcPr>
          <w:p>
            <w:pPr>
              <w:jc w:val="right"/>
              <w:spacing w:after="0" w:line="193" w:lineRule="exact"/>
              <w:rPr>
                <w:sz w:val="20"/>
                <w:szCs w:val="20"/>
                <w:color w:val="auto"/>
              </w:rPr>
            </w:pPr>
            <w:r>
              <w:rPr>
                <w:rFonts w:ascii="Calibri" w:cs="Calibri" w:eastAsia="Calibri" w:hAnsi="Calibri"/>
                <w:sz w:val="16"/>
                <w:szCs w:val="16"/>
                <w:b w:val="1"/>
                <w:bCs w:val="1"/>
                <w:color w:val="auto"/>
                <w:w w:val="98"/>
              </w:rPr>
              <w:t>Nine month period ended December 31,</w:t>
            </w:r>
          </w:p>
        </w:tc>
      </w:tr>
      <w:tr>
        <w:trPr>
          <w:trHeight w:val="20"/>
        </w:trPr>
        <w:tc>
          <w:tcPr>
            <w:tcW w:w="5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5"/>
        </w:trPr>
        <w:tc>
          <w:tcPr>
            <w:tcW w:w="5120" w:type="dxa"/>
            <w:vAlign w:val="bottom"/>
          </w:tcPr>
          <w:p>
            <w:pPr>
              <w:spacing w:after="0"/>
              <w:rPr>
                <w:sz w:val="16"/>
                <w:szCs w:val="16"/>
                <w:color w:val="auto"/>
              </w:rPr>
            </w:pPr>
          </w:p>
        </w:tc>
        <w:tc>
          <w:tcPr>
            <w:tcW w:w="1780" w:type="dxa"/>
            <w:vAlign w:val="bottom"/>
          </w:tcPr>
          <w:p>
            <w:pPr>
              <w:jc w:val="right"/>
              <w:ind w:right="399"/>
              <w:spacing w:after="0" w:line="185" w:lineRule="exact"/>
              <w:rPr>
                <w:sz w:val="20"/>
                <w:szCs w:val="20"/>
                <w:color w:val="auto"/>
              </w:rPr>
            </w:pPr>
            <w:r>
              <w:rPr>
                <w:rFonts w:ascii="Calibri" w:cs="Calibri" w:eastAsia="Calibri" w:hAnsi="Calibri"/>
                <w:sz w:val="16"/>
                <w:szCs w:val="16"/>
                <w:b w:val="1"/>
                <w:bCs w:val="1"/>
                <w:color w:val="auto"/>
              </w:rPr>
              <w:t>2024</w:t>
            </w:r>
          </w:p>
        </w:tc>
        <w:tc>
          <w:tcPr>
            <w:tcW w:w="94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2023</w:t>
            </w:r>
          </w:p>
        </w:tc>
        <w:tc>
          <w:tcPr>
            <w:tcW w:w="172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2024</w:t>
            </w:r>
          </w:p>
        </w:tc>
        <w:tc>
          <w:tcPr>
            <w:tcW w:w="9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2023</w:t>
            </w:r>
          </w:p>
        </w:tc>
      </w:tr>
      <w:tr>
        <w:trPr>
          <w:trHeight w:val="198"/>
        </w:trPr>
        <w:tc>
          <w:tcPr>
            <w:tcW w:w="5120" w:type="dxa"/>
            <w:vAlign w:val="bottom"/>
          </w:tcPr>
          <w:p>
            <w:pPr>
              <w:spacing w:after="0"/>
              <w:rPr>
                <w:sz w:val="17"/>
                <w:szCs w:val="17"/>
                <w:color w:val="auto"/>
              </w:rPr>
            </w:pP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3"/>
        </w:trPr>
        <w:tc>
          <w:tcPr>
            <w:tcW w:w="5120" w:type="dxa"/>
            <w:vAlign w:val="bottom"/>
          </w:tcPr>
          <w:p>
            <w:pPr>
              <w:ind w:left="20"/>
              <w:spacing w:after="0"/>
              <w:rPr>
                <w:sz w:val="20"/>
                <w:szCs w:val="20"/>
                <w:color w:val="auto"/>
              </w:rPr>
            </w:pPr>
            <w:r>
              <w:rPr>
                <w:rFonts w:ascii="Calibri" w:cs="Calibri" w:eastAsia="Calibri" w:hAnsi="Calibri"/>
                <w:sz w:val="16"/>
                <w:szCs w:val="16"/>
                <w:color w:val="auto"/>
              </w:rPr>
              <w:t>Net loss before income taxes</w:t>
            </w:r>
          </w:p>
        </w:tc>
        <w:tc>
          <w:tcPr>
            <w:tcW w:w="1780" w:type="dxa"/>
            <w:vAlign w:val="bottom"/>
          </w:tcPr>
          <w:p>
            <w:pPr>
              <w:jc w:val="right"/>
              <w:ind w:right="359"/>
              <w:spacing w:after="0" w:line="193" w:lineRule="exact"/>
              <w:rPr>
                <w:sz w:val="20"/>
                <w:szCs w:val="20"/>
                <w:color w:val="auto"/>
              </w:rPr>
            </w:pPr>
            <w:r>
              <w:rPr>
                <w:rFonts w:ascii="Calibri" w:cs="Calibri" w:eastAsia="Calibri" w:hAnsi="Calibri"/>
                <w:sz w:val="16"/>
                <w:szCs w:val="16"/>
                <w:b w:val="1"/>
                <w:bCs w:val="1"/>
                <w:color w:val="auto"/>
              </w:rPr>
              <w:t>(10,542)</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(30,330)</w:t>
            </w:r>
          </w:p>
        </w:tc>
        <w:tc>
          <w:tcPr>
            <w:tcW w:w="1720" w:type="dxa"/>
            <w:vAlign w:val="bottom"/>
          </w:tcPr>
          <w:p>
            <w:pPr>
              <w:jc w:val="right"/>
              <w:ind w:right="319"/>
              <w:spacing w:after="0" w:line="193" w:lineRule="exact"/>
              <w:rPr>
                <w:sz w:val="20"/>
                <w:szCs w:val="20"/>
                <w:color w:val="auto"/>
              </w:rPr>
            </w:pPr>
            <w:r>
              <w:rPr>
                <w:rFonts w:ascii="Calibri" w:cs="Calibri" w:eastAsia="Calibri" w:hAnsi="Calibri"/>
                <w:sz w:val="16"/>
                <w:szCs w:val="16"/>
                <w:b w:val="1"/>
                <w:bCs w:val="1"/>
                <w:color w:val="auto"/>
              </w:rPr>
              <w:t>(82,558)</w:t>
            </w: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(56,734)</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58"/>
        </w:trPr>
        <w:tc>
          <w:tcPr>
            <w:tcW w:w="5120" w:type="dxa"/>
            <w:vAlign w:val="bottom"/>
          </w:tcPr>
          <w:p>
            <w:pPr>
              <w:ind w:left="20"/>
              <w:spacing w:after="0"/>
              <w:rPr>
                <w:sz w:val="20"/>
                <w:szCs w:val="20"/>
                <w:color w:val="auto"/>
              </w:rPr>
            </w:pPr>
            <w:r>
              <w:rPr>
                <w:rFonts w:ascii="Calibri" w:cs="Calibri" w:eastAsia="Calibri" w:hAnsi="Calibri"/>
                <w:sz w:val="16"/>
                <w:szCs w:val="16"/>
                <w:color w:val="auto"/>
              </w:rPr>
              <w:t>Expected recovery at statutory rate</w:t>
            </w: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2,792</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8,038</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21,877</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15,035</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Non-capital losses acquired on acquisiton of subsidiary</w:t>
            </w: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11,658</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11,658</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Share-based compensaton</w:t>
            </w:r>
          </w:p>
        </w:tc>
        <w:tc>
          <w:tcPr>
            <w:tcW w:w="17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(886)</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(2,631)</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(10,806)</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(3,344)</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19</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692</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93</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1,237</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17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(2,549)</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(1,366)</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(5,618)</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(3,259)</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Efect of exchange on unbooked deferred tax assets</w:t>
            </w: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285</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(227)</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232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217</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Adjustment to prior year loss carryforwards</w:t>
            </w: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239</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17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(17)</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(40)</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(109)</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(74)</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1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356</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(16,124)</w:t>
            </w:r>
          </w:p>
        </w:tc>
        <w:tc>
          <w:tcPr>
            <w:tcW w:w="17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(5,669)</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(21,709)</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51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Income tax recovery</w:t>
            </w:r>
          </w:p>
        </w:tc>
        <w:tc>
          <w:tcPr>
            <w:tcW w:w="178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c>
          <w:tcPr>
            <w:tcW w:w="172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color w:val="auto"/>
              </w:rPr>
              <w:t>—</w:t>
            </w:r>
          </w:p>
        </w:tc>
        <w:tc>
          <w:tcPr>
            <w:tcW w:w="9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b w:val="1"/>
          <w:bCs w:val="1"/>
          <w:color w:val="auto"/>
        </w:rPr>
        <w:t>Page 22 of 25</w:t>
      </w:r>
    </w:p>
    <w:p>
      <w:pPr>
        <w:sectPr>
          <w:pgSz w:w="11900" w:h="16838" w:orient="portrait"/>
          <w:cols w:equalWidth="0" w:num="1">
            <w:col w:w="11080"/>
          </w:cols>
          <w:pgMar w:left="320" w:top="209" w:right="499" w:bottom="1440" w:gutter="0" w:footer="0" w:header="0"/>
        </w:sectPr>
      </w:pPr>
    </w:p>
    <w:bookmarkStart w:id="25" w:name="page26"/>
    <w:bookmarkEnd w:id="25"/>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line="264" w:lineRule="auto"/>
        <w:rPr>
          <w:sz w:val="20"/>
          <w:szCs w:val="20"/>
          <w:color w:val="auto"/>
        </w:rPr>
      </w:pPr>
      <w:r>
        <w:rPr>
          <w:rFonts w:ascii="Calibri" w:cs="Calibri" w:eastAsia="Calibri" w:hAnsi="Calibri"/>
          <w:sz w:val="16"/>
          <w:szCs w:val="16"/>
          <w:color w:val="auto"/>
        </w:rPr>
        <w:t>The signifcant components of the Company’s temporary diferences, unused tax credits and unused tax losses, that have not been included on the consolidated statements of fnancial positon,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131445</wp:posOffset>
            </wp:positionV>
            <wp:extent cx="67246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724650" cy="7620"/>
                    </a:xfrm>
                    <a:prstGeom prst="rect">
                      <a:avLst/>
                    </a:prstGeom>
                    <a:noFill/>
                  </pic:spPr>
                </pic:pic>
              </a:graphicData>
            </a:graphic>
          </wp:anchor>
        </w:drawing>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32"/>
        </w:trPr>
        <w:tc>
          <w:tcPr>
            <w:tcW w:w="470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4420" w:type="dxa"/>
            <w:vAlign w:val="bottom"/>
            <w:vMerge w:val="restart"/>
          </w:tcPr>
          <w:p>
            <w:pPr>
              <w:jc w:val="right"/>
              <w:ind w:right="339"/>
              <w:spacing w:after="0"/>
              <w:rPr>
                <w:sz w:val="20"/>
                <w:szCs w:val="20"/>
                <w:color w:val="auto"/>
              </w:rPr>
            </w:pPr>
            <w:r>
              <w:rPr>
                <w:rFonts w:ascii="Calibri" w:cs="Calibri" w:eastAsia="Calibri" w:hAnsi="Calibri"/>
                <w:sz w:val="16"/>
                <w:szCs w:val="16"/>
                <w:b w:val="1"/>
                <w:bCs w:val="1"/>
                <w:color w:val="auto"/>
              </w:rPr>
              <w:t>December 31, 2024</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0" w:type="dxa"/>
            <w:vAlign w:val="bottom"/>
          </w:tcPr>
          <w:p>
            <w:pPr>
              <w:spacing w:after="0"/>
              <w:rPr>
                <w:sz w:val="1"/>
                <w:szCs w:val="1"/>
                <w:color w:val="auto"/>
              </w:rPr>
            </w:pPr>
          </w:p>
        </w:tc>
      </w:tr>
      <w:tr>
        <w:trPr>
          <w:trHeight w:val="48"/>
        </w:trPr>
        <w:tc>
          <w:tcPr>
            <w:tcW w:w="470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4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line="185" w:lineRule="exact"/>
              <w:rPr>
                <w:sz w:val="20"/>
                <w:szCs w:val="20"/>
                <w:color w:val="auto"/>
              </w:rPr>
            </w:pPr>
            <w:r>
              <w:rPr>
                <w:rFonts w:ascii="Calibri" w:cs="Calibri" w:eastAsia="Calibri" w:hAnsi="Calibri"/>
                <w:sz w:val="16"/>
                <w:szCs w:val="16"/>
                <w:color w:val="auto"/>
              </w:rPr>
              <w:t>Non-capital loss carryforwards</w:t>
            </w:r>
          </w:p>
        </w:tc>
        <w:tc>
          <w:tcPr>
            <w:tcW w:w="4420" w:type="dxa"/>
            <w:vAlign w:val="bottom"/>
          </w:tcPr>
          <w:p>
            <w:pPr>
              <w:jc w:val="right"/>
              <w:ind w:right="379"/>
              <w:spacing w:after="0" w:line="185" w:lineRule="exact"/>
              <w:rPr>
                <w:sz w:val="20"/>
                <w:szCs w:val="20"/>
                <w:color w:val="auto"/>
              </w:rPr>
            </w:pPr>
            <w:r>
              <w:rPr>
                <w:rFonts w:ascii="Calibri" w:cs="Calibri" w:eastAsia="Calibri" w:hAnsi="Calibri"/>
                <w:sz w:val="16"/>
                <w:szCs w:val="16"/>
                <w:b w:val="1"/>
                <w:bCs w:val="1"/>
                <w:color w:val="auto"/>
              </w:rPr>
              <w:t>48,945</w:t>
            </w:r>
          </w:p>
        </w:tc>
        <w:tc>
          <w:tcPr>
            <w:tcW w:w="1480" w:type="dxa"/>
            <w:vAlign w:val="bottom"/>
          </w:tcPr>
          <w:p>
            <w:pPr>
              <w:jc w:val="right"/>
              <w:spacing w:after="0" w:line="185" w:lineRule="exact"/>
              <w:rPr>
                <w:sz w:val="20"/>
                <w:szCs w:val="20"/>
                <w:color w:val="auto"/>
              </w:rPr>
            </w:pPr>
            <w:r>
              <w:rPr>
                <w:rFonts w:ascii="Calibri" w:cs="Calibri" w:eastAsia="Calibri" w:hAnsi="Calibri"/>
                <w:sz w:val="16"/>
                <w:szCs w:val="16"/>
                <w:color w:val="auto"/>
              </w:rPr>
              <w:t>43,185</w:t>
            </w: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rPr>
                <w:sz w:val="20"/>
                <w:szCs w:val="20"/>
                <w:color w:val="auto"/>
              </w:rPr>
            </w:pPr>
            <w:r>
              <w:rPr>
                <w:rFonts w:ascii="Calibri" w:cs="Calibri" w:eastAsia="Calibri" w:hAnsi="Calibri"/>
                <w:sz w:val="16"/>
                <w:szCs w:val="16"/>
                <w:color w:val="auto"/>
              </w:rPr>
              <w:t>Deferred compensaton</w:t>
            </w:r>
          </w:p>
        </w:tc>
        <w:tc>
          <w:tcPr>
            <w:tcW w:w="4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1,655</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1,474</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Calibri" w:cs="Calibri" w:eastAsia="Calibri" w:hAnsi="Calibri"/>
                <w:sz w:val="16"/>
                <w:szCs w:val="16"/>
                <w:color w:val="auto"/>
              </w:rPr>
              <w:t>R&amp;D expenditures</w:t>
            </w:r>
          </w:p>
        </w:tc>
        <w:tc>
          <w:tcPr>
            <w:tcW w:w="4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2,347</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1,681</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4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3,417</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4,361</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4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13</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4420" w:type="dxa"/>
            <w:vAlign w:val="bottom"/>
          </w:tcPr>
          <w:p>
            <w:pPr>
              <w:jc w:val="right"/>
              <w:ind w:right="379"/>
              <w:spacing w:after="0" w:line="185" w:lineRule="exact"/>
              <w:rPr>
                <w:sz w:val="20"/>
                <w:szCs w:val="20"/>
                <w:color w:val="auto"/>
              </w:rPr>
            </w:pPr>
            <w:r>
              <w:rPr>
                <w:rFonts w:ascii="Calibri" w:cs="Calibri" w:eastAsia="Calibri" w:hAnsi="Calibri"/>
                <w:sz w:val="16"/>
                <w:szCs w:val="16"/>
                <w:b w:val="1"/>
                <w:bCs w:val="1"/>
                <w:color w:val="auto"/>
              </w:rPr>
              <w:t>56,377</w:t>
            </w:r>
          </w:p>
        </w:tc>
        <w:tc>
          <w:tcPr>
            <w:tcW w:w="1480" w:type="dxa"/>
            <w:vAlign w:val="bottom"/>
          </w:tcPr>
          <w:p>
            <w:pPr>
              <w:jc w:val="right"/>
              <w:spacing w:after="0" w:line="185" w:lineRule="exact"/>
              <w:rPr>
                <w:sz w:val="20"/>
                <w:szCs w:val="20"/>
                <w:color w:val="auto"/>
              </w:rPr>
            </w:pPr>
            <w:r>
              <w:rPr>
                <w:rFonts w:ascii="Calibri" w:cs="Calibri" w:eastAsia="Calibri" w:hAnsi="Calibri"/>
                <w:sz w:val="16"/>
                <w:szCs w:val="16"/>
                <w:color w:val="auto"/>
              </w:rPr>
              <w:t>50,708</w:t>
            </w: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44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(56,377)</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(50,708)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w:t>
            </w:r>
          </w:p>
        </w:tc>
        <w:tc>
          <w:tcPr>
            <w:tcW w:w="1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Non-capital loss balance</w:t>
      </w:r>
    </w:p>
    <w:p>
      <w:pPr>
        <w:spacing w:after="0" w:line="194" w:lineRule="exact"/>
        <w:rPr>
          <w:sz w:val="20"/>
          <w:szCs w:val="20"/>
          <w:color w:val="auto"/>
        </w:rPr>
      </w:pPr>
    </w:p>
    <w:p>
      <w:pPr>
        <w:ind w:left="220" w:right="20"/>
        <w:spacing w:after="0" w:line="279" w:lineRule="auto"/>
        <w:rPr>
          <w:sz w:val="20"/>
          <w:szCs w:val="20"/>
          <w:color w:val="auto"/>
        </w:rPr>
      </w:pPr>
      <w:r>
        <w:rPr>
          <w:rFonts w:ascii="Calibri" w:cs="Calibri" w:eastAsia="Calibri" w:hAnsi="Calibri"/>
          <w:sz w:val="16"/>
          <w:szCs w:val="16"/>
          <w:color w:val="auto"/>
        </w:rPr>
        <w:t>As at December 31, 2024, the Company has non-capital losses in Canada, which under certain circumstances can be used to reduce taxable income of future years. The non-capital losses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254000</wp:posOffset>
            </wp:positionV>
            <wp:extent cx="66935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38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460" w:type="dxa"/>
            <w:vAlign w:val="bottom"/>
          </w:tcPr>
          <w:p>
            <w:pPr>
              <w:ind w:left="20"/>
              <w:spacing w:after="0"/>
              <w:rPr>
                <w:sz w:val="20"/>
                <w:szCs w:val="20"/>
                <w:color w:val="auto"/>
              </w:rPr>
            </w:pPr>
            <w:r>
              <w:rPr>
                <w:rFonts w:ascii="Calibri" w:cs="Calibri" w:eastAsia="Calibri" w:hAnsi="Calibri"/>
                <w:sz w:val="16"/>
                <w:szCs w:val="16"/>
                <w:color w:val="auto"/>
              </w:rPr>
              <w:t>Year of expiry</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85"/>
        </w:trPr>
        <w:tc>
          <w:tcPr>
            <w:tcW w:w="5460" w:type="dxa"/>
            <w:vAlign w:val="bottom"/>
          </w:tcPr>
          <w:p>
            <w:pPr>
              <w:ind w:left="20"/>
              <w:spacing w:after="0" w:line="185" w:lineRule="exact"/>
              <w:rPr>
                <w:sz w:val="20"/>
                <w:szCs w:val="20"/>
                <w:color w:val="auto"/>
              </w:rPr>
            </w:pPr>
            <w:r>
              <w:rPr>
                <w:rFonts w:ascii="Calibri" w:cs="Calibri" w:eastAsia="Calibri" w:hAnsi="Calibri"/>
                <w:sz w:val="16"/>
                <w:szCs w:val="16"/>
                <w:color w:val="auto"/>
              </w:rPr>
              <w:t>2036</w:t>
            </w:r>
          </w:p>
        </w:tc>
        <w:tc>
          <w:tcPr>
            <w:tcW w:w="50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w:t>
            </w:r>
          </w:p>
        </w:tc>
      </w:tr>
      <w:tr>
        <w:trPr>
          <w:trHeight w:val="198"/>
        </w:trPr>
        <w:tc>
          <w:tcPr>
            <w:tcW w:w="5460" w:type="dxa"/>
            <w:vAlign w:val="bottom"/>
          </w:tcPr>
          <w:p>
            <w:pPr>
              <w:ind w:left="20"/>
              <w:spacing w:after="0"/>
              <w:rPr>
                <w:sz w:val="20"/>
                <w:szCs w:val="20"/>
                <w:color w:val="auto"/>
              </w:rPr>
            </w:pPr>
            <w:r>
              <w:rPr>
                <w:rFonts w:ascii="Calibri" w:cs="Calibri" w:eastAsia="Calibri" w:hAnsi="Calibri"/>
                <w:sz w:val="16"/>
                <w:szCs w:val="16"/>
                <w:color w:val="auto"/>
              </w:rPr>
              <w:t>2037</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2038</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32</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2039</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115</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2040</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863</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2041</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21,856</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2042</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16,019</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2043</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10,704</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2044</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24,397</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2045</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2,504</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91"/>
        </w:trPr>
        <w:tc>
          <w:tcPr>
            <w:tcW w:w="54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76,553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23 of 25</w:t>
      </w:r>
    </w:p>
    <w:p>
      <w:pPr>
        <w:sectPr>
          <w:pgSz w:w="11900" w:h="16838" w:orient="portrait"/>
          <w:cols w:equalWidth="0" w:num="1">
            <w:col w:w="11200"/>
          </w:cols>
          <w:pgMar w:left="380" w:top="209" w:right="319" w:bottom="1440" w:gutter="0" w:footer="0" w:header="0"/>
        </w:sectPr>
      </w:pPr>
    </w:p>
    <w:bookmarkStart w:id="26" w:name="page27"/>
    <w:bookmarkEnd w:id="26"/>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left="63"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692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283" w:right="20"/>
        <w:spacing w:after="0" w:line="264" w:lineRule="auto"/>
        <w:rPr>
          <w:sz w:val="20"/>
          <w:szCs w:val="20"/>
          <w:color w:val="auto"/>
        </w:rPr>
      </w:pPr>
      <w:r>
        <w:rPr>
          <w:rFonts w:ascii="Calibri" w:cs="Calibri" w:eastAsia="Calibri" w:hAnsi="Calibri"/>
          <w:sz w:val="16"/>
          <w:szCs w:val="16"/>
          <w:color w:val="auto"/>
        </w:rPr>
        <w:t>As at December 31, 2024, the Company has non-capital losses in the United States, which under certain circumstances can be used to reduce the taxable income of future years. The non-capital losses, stated in Canadian dollars that will expire as follows:</w:t>
      </w:r>
    </w:p>
    <w:p>
      <w:pPr>
        <w:spacing w:after="0" w:line="196"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185"/>
        </w:trPr>
        <w:tc>
          <w:tcPr>
            <w:tcW w:w="7240" w:type="dxa"/>
            <w:vAlign w:val="bottom"/>
          </w:tcPr>
          <w:p>
            <w:pPr>
              <w:ind w:left="20"/>
              <w:spacing w:after="0" w:line="185" w:lineRule="exact"/>
              <w:rPr>
                <w:sz w:val="20"/>
                <w:szCs w:val="20"/>
                <w:color w:val="auto"/>
              </w:rPr>
            </w:pPr>
            <w:r>
              <w:rPr>
                <w:rFonts w:ascii="Calibri" w:cs="Calibri" w:eastAsia="Calibri" w:hAnsi="Calibri"/>
                <w:sz w:val="16"/>
                <w:szCs w:val="16"/>
                <w:color w:val="auto"/>
              </w:rPr>
              <w:t>Pre-acquisiton loss generated in the period ended December 4, 2020</w:t>
            </w:r>
          </w:p>
        </w:tc>
        <w:tc>
          <w:tcPr>
            <w:tcW w:w="32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1,054</w:t>
            </w:r>
          </w:p>
        </w:tc>
      </w:tr>
      <w:tr>
        <w:trPr>
          <w:trHeight w:val="198"/>
        </w:trPr>
        <w:tc>
          <w:tcPr>
            <w:tcW w:w="7240" w:type="dxa"/>
            <w:vAlign w:val="bottom"/>
          </w:tcPr>
          <w:p>
            <w:pPr>
              <w:ind w:left="20"/>
              <w:spacing w:after="0"/>
              <w:rPr>
                <w:sz w:val="20"/>
                <w:szCs w:val="20"/>
                <w:color w:val="auto"/>
              </w:rPr>
            </w:pPr>
            <w:r>
              <w:rPr>
                <w:rFonts w:ascii="Calibri" w:cs="Calibri" w:eastAsia="Calibri" w:hAnsi="Calibri"/>
                <w:sz w:val="16"/>
                <w:szCs w:val="16"/>
                <w:color w:val="auto"/>
              </w:rPr>
              <w:t>Post-acquisiton loss generated in the period ending March 31, 2021</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1,545</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2022</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4,984</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2023</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2,144</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2024</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3,056</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nine-month period ended December 31, 2024</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3,223</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191"/>
        </w:trPr>
        <w:tc>
          <w:tcPr>
            <w:tcW w:w="7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16,006</w:t>
            </w:r>
          </w:p>
        </w:tc>
      </w:tr>
    </w:tbl>
    <w:p>
      <w:pPr>
        <w:spacing w:after="0" w:line="77" w:lineRule="exact"/>
        <w:rPr>
          <w:sz w:val="20"/>
          <w:szCs w:val="20"/>
          <w:color w:val="auto"/>
        </w:rPr>
      </w:pPr>
    </w:p>
    <w:p>
      <w:pPr>
        <w:jc w:val="both"/>
        <w:ind w:left="283" w:right="20"/>
        <w:spacing w:after="0" w:line="273"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December 31, 2024, the annual limitaton was $144.</w:t>
      </w:r>
    </w:p>
    <w:p>
      <w:pPr>
        <w:spacing w:after="0" w:line="165"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94" w:lineRule="exact"/>
        <w:rPr>
          <w:sz w:val="20"/>
          <w:szCs w:val="20"/>
          <w:color w:val="auto"/>
        </w:rPr>
      </w:pPr>
    </w:p>
    <w:p>
      <w:pPr>
        <w:jc w:val="both"/>
        <w:ind w:left="283" w:right="20"/>
        <w:spacing w:after="0" w:line="264" w:lineRule="auto"/>
        <w:rPr>
          <w:sz w:val="20"/>
          <w:szCs w:val="20"/>
          <w:color w:val="auto"/>
        </w:rPr>
      </w:pPr>
      <w:r>
        <w:rPr>
          <w:rFonts w:ascii="Calibri" w:cs="Calibri" w:eastAsia="Calibri" w:hAnsi="Calibri"/>
          <w:sz w:val="16"/>
          <w:szCs w:val="16"/>
          <w:color w:val="auto"/>
        </w:rPr>
        <w:t>As at December 31, 2024, the Company has non-capital losses in Ireland, which under certain circumstances can be used to reduce taxable income of future years. The non-capital losses in Ireland, stated in Canadian Dollars, expire as follows:</w:t>
      </w:r>
    </w:p>
    <w:p>
      <w:pPr>
        <w:spacing w:after="0" w:line="100"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5500" w:type="dxa"/>
            <w:vAlign w:val="bottom"/>
          </w:tcPr>
          <w:p>
            <w:pPr>
              <w:ind w:left="20"/>
              <w:spacing w:after="0"/>
              <w:rPr>
                <w:sz w:val="20"/>
                <w:szCs w:val="20"/>
                <w:color w:val="auto"/>
              </w:rPr>
            </w:pPr>
            <w:r>
              <w:rPr>
                <w:rFonts w:ascii="Calibri" w:cs="Calibri" w:eastAsia="Calibri" w:hAnsi="Calibri"/>
                <w:sz w:val="16"/>
                <w:szCs w:val="16"/>
                <w:b w:val="1"/>
                <w:bCs w:val="1"/>
                <w:color w:val="auto"/>
              </w:rPr>
              <w:t>Year of expiry</w:t>
            </w:r>
          </w:p>
        </w:tc>
        <w:tc>
          <w:tcPr>
            <w:tcW w:w="516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73"/>
        </w:trPr>
        <w:tc>
          <w:tcPr>
            <w:tcW w:w="5500" w:type="dxa"/>
            <w:vAlign w:val="bottom"/>
          </w:tcPr>
          <w:p>
            <w:pPr>
              <w:spacing w:after="0"/>
              <w:rPr>
                <w:sz w:val="6"/>
                <w:szCs w:val="6"/>
                <w:color w:val="auto"/>
              </w:rPr>
            </w:pPr>
          </w:p>
        </w:tc>
        <w:tc>
          <w:tcPr>
            <w:tcW w:w="5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5500" w:type="dxa"/>
            <w:vAlign w:val="bottom"/>
            <w:vMerge w:val="restart"/>
          </w:tcPr>
          <w:p>
            <w:pPr>
              <w:ind w:left="20"/>
              <w:spacing w:after="0"/>
              <w:rPr>
                <w:sz w:val="20"/>
                <w:szCs w:val="20"/>
                <w:color w:val="auto"/>
              </w:rPr>
            </w:pPr>
            <w:r>
              <w:rPr>
                <w:rFonts w:ascii="Calibri" w:cs="Calibri" w:eastAsia="Calibri" w:hAnsi="Calibri"/>
                <w:sz w:val="16"/>
                <w:szCs w:val="16"/>
                <w:color w:val="auto"/>
              </w:rPr>
              <w:t>2042</w:t>
            </w:r>
          </w:p>
        </w:tc>
        <w:tc>
          <w:tcPr>
            <w:tcW w:w="51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22,965</w:t>
            </w:r>
          </w:p>
        </w:tc>
        <w:tc>
          <w:tcPr>
            <w:tcW w:w="0" w:type="dxa"/>
            <w:vAlign w:val="bottom"/>
          </w:tcPr>
          <w:p>
            <w:pPr>
              <w:spacing w:after="0"/>
              <w:rPr>
                <w:sz w:val="1"/>
                <w:szCs w:val="1"/>
                <w:color w:val="auto"/>
              </w:rPr>
            </w:pPr>
          </w:p>
        </w:tc>
      </w:tr>
      <w:tr>
        <w:trPr>
          <w:trHeight w:val="53"/>
        </w:trPr>
        <w:tc>
          <w:tcPr>
            <w:tcW w:w="5500" w:type="dxa"/>
            <w:vAlign w:val="bottom"/>
            <w:vMerge w:val="continue"/>
          </w:tcPr>
          <w:p>
            <w:pPr>
              <w:spacing w:after="0"/>
              <w:rPr>
                <w:sz w:val="4"/>
                <w:szCs w:val="4"/>
                <w:color w:val="auto"/>
              </w:rPr>
            </w:pPr>
          </w:p>
        </w:tc>
        <w:tc>
          <w:tcPr>
            <w:tcW w:w="5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500" w:type="dxa"/>
            <w:vAlign w:val="bottom"/>
            <w:vMerge w:val="restart"/>
          </w:tcPr>
          <w:p>
            <w:pPr>
              <w:ind w:left="20"/>
              <w:spacing w:after="0"/>
              <w:rPr>
                <w:sz w:val="20"/>
                <w:szCs w:val="20"/>
                <w:color w:val="auto"/>
              </w:rPr>
            </w:pPr>
            <w:r>
              <w:rPr>
                <w:rFonts w:ascii="Calibri" w:cs="Calibri" w:eastAsia="Calibri" w:hAnsi="Calibri"/>
                <w:sz w:val="16"/>
                <w:szCs w:val="16"/>
                <w:color w:val="auto"/>
              </w:rPr>
              <w:t>2043</w:t>
            </w:r>
          </w:p>
        </w:tc>
        <w:tc>
          <w:tcPr>
            <w:tcW w:w="5160" w:type="dxa"/>
            <w:vAlign w:val="bottom"/>
          </w:tcPr>
          <w:p>
            <w:pPr>
              <w:jc w:val="right"/>
              <w:spacing w:after="0"/>
              <w:rPr>
                <w:sz w:val="20"/>
                <w:szCs w:val="20"/>
                <w:color w:val="auto"/>
              </w:rPr>
            </w:pPr>
            <w:r>
              <w:rPr>
                <w:rFonts w:ascii="Calibri" w:cs="Calibri" w:eastAsia="Calibri" w:hAnsi="Calibri"/>
                <w:sz w:val="16"/>
                <w:szCs w:val="16"/>
                <w:b w:val="1"/>
                <w:bCs w:val="1"/>
                <w:color w:val="auto"/>
              </w:rPr>
              <w:t>23,017</w:t>
            </w:r>
          </w:p>
        </w:tc>
        <w:tc>
          <w:tcPr>
            <w:tcW w:w="0" w:type="dxa"/>
            <w:vAlign w:val="bottom"/>
          </w:tcPr>
          <w:p>
            <w:pPr>
              <w:spacing w:after="0"/>
              <w:rPr>
                <w:sz w:val="1"/>
                <w:szCs w:val="1"/>
                <w:color w:val="auto"/>
              </w:rPr>
            </w:pPr>
          </w:p>
        </w:tc>
      </w:tr>
      <w:tr>
        <w:trPr>
          <w:trHeight w:val="60"/>
        </w:trPr>
        <w:tc>
          <w:tcPr>
            <w:tcW w:w="5500" w:type="dxa"/>
            <w:vAlign w:val="bottom"/>
            <w:vMerge w:val="continue"/>
          </w:tcPr>
          <w:p>
            <w:pPr>
              <w:spacing w:after="0"/>
              <w:rPr>
                <w:sz w:val="5"/>
                <w:szCs w:val="5"/>
                <w:color w:val="auto"/>
              </w:rPr>
            </w:pPr>
          </w:p>
        </w:tc>
        <w:tc>
          <w:tcPr>
            <w:tcW w:w="5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500" w:type="dxa"/>
            <w:vAlign w:val="bottom"/>
            <w:vMerge w:val="restart"/>
          </w:tcPr>
          <w:p>
            <w:pPr>
              <w:ind w:left="20"/>
              <w:spacing w:after="0"/>
              <w:rPr>
                <w:sz w:val="20"/>
                <w:szCs w:val="20"/>
                <w:color w:val="auto"/>
              </w:rPr>
            </w:pPr>
            <w:r>
              <w:rPr>
                <w:rFonts w:ascii="Calibri" w:cs="Calibri" w:eastAsia="Calibri" w:hAnsi="Calibri"/>
                <w:sz w:val="16"/>
                <w:szCs w:val="16"/>
                <w:color w:val="auto"/>
              </w:rPr>
              <w:t>2044</w:t>
            </w:r>
          </w:p>
        </w:tc>
        <w:tc>
          <w:tcPr>
            <w:tcW w:w="5160" w:type="dxa"/>
            <w:vAlign w:val="bottom"/>
          </w:tcPr>
          <w:p>
            <w:pPr>
              <w:jc w:val="right"/>
              <w:spacing w:after="0"/>
              <w:rPr>
                <w:sz w:val="20"/>
                <w:szCs w:val="20"/>
                <w:color w:val="auto"/>
              </w:rPr>
            </w:pPr>
            <w:r>
              <w:rPr>
                <w:rFonts w:ascii="Calibri" w:cs="Calibri" w:eastAsia="Calibri" w:hAnsi="Calibri"/>
                <w:sz w:val="16"/>
                <w:szCs w:val="16"/>
                <w:b w:val="1"/>
                <w:bCs w:val="1"/>
                <w:color w:val="auto"/>
              </w:rPr>
              <w:t>33,857</w:t>
            </w:r>
          </w:p>
        </w:tc>
        <w:tc>
          <w:tcPr>
            <w:tcW w:w="0" w:type="dxa"/>
            <w:vAlign w:val="bottom"/>
          </w:tcPr>
          <w:p>
            <w:pPr>
              <w:spacing w:after="0"/>
              <w:rPr>
                <w:sz w:val="1"/>
                <w:szCs w:val="1"/>
                <w:color w:val="auto"/>
              </w:rPr>
            </w:pPr>
          </w:p>
        </w:tc>
      </w:tr>
      <w:tr>
        <w:trPr>
          <w:trHeight w:val="60"/>
        </w:trPr>
        <w:tc>
          <w:tcPr>
            <w:tcW w:w="5500" w:type="dxa"/>
            <w:vAlign w:val="bottom"/>
            <w:vMerge w:val="continue"/>
          </w:tcPr>
          <w:p>
            <w:pPr>
              <w:spacing w:after="0"/>
              <w:rPr>
                <w:sz w:val="5"/>
                <w:szCs w:val="5"/>
                <w:color w:val="auto"/>
              </w:rPr>
            </w:pPr>
          </w:p>
        </w:tc>
        <w:tc>
          <w:tcPr>
            <w:tcW w:w="5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500" w:type="dxa"/>
            <w:vAlign w:val="bottom"/>
            <w:vMerge w:val="restart"/>
          </w:tcPr>
          <w:p>
            <w:pPr>
              <w:ind w:left="20"/>
              <w:spacing w:after="0"/>
              <w:rPr>
                <w:sz w:val="20"/>
                <w:szCs w:val="20"/>
                <w:color w:val="auto"/>
              </w:rPr>
            </w:pPr>
            <w:r>
              <w:rPr>
                <w:rFonts w:ascii="Calibri" w:cs="Calibri" w:eastAsia="Calibri" w:hAnsi="Calibri"/>
                <w:sz w:val="16"/>
                <w:szCs w:val="16"/>
                <w:color w:val="auto"/>
              </w:rPr>
              <w:t>2045</w:t>
            </w:r>
          </w:p>
        </w:tc>
        <w:tc>
          <w:tcPr>
            <w:tcW w:w="5160" w:type="dxa"/>
            <w:vAlign w:val="bottom"/>
          </w:tcPr>
          <w:p>
            <w:pPr>
              <w:jc w:val="right"/>
              <w:spacing w:after="0"/>
              <w:rPr>
                <w:sz w:val="20"/>
                <w:szCs w:val="20"/>
                <w:color w:val="auto"/>
              </w:rPr>
            </w:pPr>
            <w:r>
              <w:rPr>
                <w:rFonts w:ascii="Calibri" w:cs="Calibri" w:eastAsia="Calibri" w:hAnsi="Calibri"/>
                <w:sz w:val="16"/>
                <w:szCs w:val="16"/>
                <w:b w:val="1"/>
                <w:bCs w:val="1"/>
                <w:color w:val="auto"/>
              </w:rPr>
              <w:t>36,056</w:t>
            </w:r>
          </w:p>
        </w:tc>
        <w:tc>
          <w:tcPr>
            <w:tcW w:w="0" w:type="dxa"/>
            <w:vAlign w:val="bottom"/>
          </w:tcPr>
          <w:p>
            <w:pPr>
              <w:spacing w:after="0"/>
              <w:rPr>
                <w:sz w:val="1"/>
                <w:szCs w:val="1"/>
                <w:color w:val="auto"/>
              </w:rPr>
            </w:pPr>
          </w:p>
        </w:tc>
      </w:tr>
      <w:tr>
        <w:trPr>
          <w:trHeight w:val="60"/>
        </w:trPr>
        <w:tc>
          <w:tcPr>
            <w:tcW w:w="5500" w:type="dxa"/>
            <w:vAlign w:val="bottom"/>
            <w:vMerge w:val="continue"/>
          </w:tcPr>
          <w:p>
            <w:pPr>
              <w:spacing w:after="0"/>
              <w:rPr>
                <w:sz w:val="5"/>
                <w:szCs w:val="5"/>
                <w:color w:val="auto"/>
              </w:rPr>
            </w:pPr>
          </w:p>
        </w:tc>
        <w:tc>
          <w:tcPr>
            <w:tcW w:w="5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50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5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115,895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83"/>
        <w:spacing w:after="0" w:line="249" w:lineRule="auto"/>
        <w:rPr>
          <w:sz w:val="20"/>
          <w:szCs w:val="20"/>
          <w:color w:val="auto"/>
        </w:rPr>
      </w:pPr>
      <w:r>
        <w:rPr>
          <w:rFonts w:ascii="Calibri" w:cs="Calibri" w:eastAsia="Calibri" w:hAnsi="Calibri"/>
          <w:sz w:val="16"/>
          <w:szCs w:val="16"/>
          <w:color w:val="auto"/>
        </w:rPr>
        <w:t>As at December 31, 2024 the Company had $43,208 of non-capital losses in UK which under certain circumstances can be used to reduce the taxable income of future years. These losses do not expire.</w:t>
      </w:r>
    </w:p>
    <w:p>
      <w:pPr>
        <w:spacing w:after="0" w:line="175" w:lineRule="exact"/>
        <w:rPr>
          <w:sz w:val="20"/>
          <w:szCs w:val="20"/>
          <w:color w:val="auto"/>
        </w:rPr>
      </w:pPr>
    </w:p>
    <w:p>
      <w:pPr>
        <w:ind w:left="283" w:right="9600" w:hanging="283"/>
        <w:spacing w:after="0" w:line="503" w:lineRule="auto"/>
        <w:tabs>
          <w:tab w:leader="none" w:pos="230" w:val="left"/>
        </w:tabs>
        <w:numPr>
          <w:ilvl w:val="0"/>
          <w:numId w:val="6"/>
        </w:numPr>
        <w:rPr>
          <w:rFonts w:ascii="Calibri" w:cs="Calibri" w:eastAsia="Calibri" w:hAnsi="Calibri"/>
          <w:sz w:val="15"/>
          <w:szCs w:val="15"/>
          <w:b w:val="1"/>
          <w:bCs w:val="1"/>
          <w:color w:val="2D5F91"/>
        </w:rPr>
      </w:pPr>
      <w:r>
        <w:rPr>
          <w:rFonts w:ascii="Calibri" w:cs="Calibri" w:eastAsia="Calibri" w:hAnsi="Calibri"/>
          <w:sz w:val="15"/>
          <w:szCs w:val="15"/>
          <w:b w:val="1"/>
          <w:bCs w:val="1"/>
          <w:color w:val="2D5F91"/>
        </w:rPr>
        <w:t xml:space="preserve">SUBSEQUENT EVENTS </w:t>
      </w:r>
      <w:r>
        <w:rPr>
          <w:rFonts w:ascii="Calibri" w:cs="Calibri" w:eastAsia="Calibri" w:hAnsi="Calibri"/>
          <w:sz w:val="15"/>
          <w:szCs w:val="15"/>
          <w:b w:val="1"/>
          <w:bCs w:val="1"/>
          <w:color w:val="000000"/>
        </w:rPr>
        <w:t>ATM Program</w:t>
      </w:r>
    </w:p>
    <w:p>
      <w:pPr>
        <w:spacing w:after="0" w:line="79" w:lineRule="exact"/>
        <w:rPr>
          <w:sz w:val="20"/>
          <w:szCs w:val="20"/>
          <w:color w:val="auto"/>
        </w:rPr>
      </w:pPr>
    </w:p>
    <w:p>
      <w:pPr>
        <w:ind w:left="283" w:right="20"/>
        <w:spacing w:after="0" w:line="264" w:lineRule="auto"/>
        <w:rPr>
          <w:sz w:val="20"/>
          <w:szCs w:val="20"/>
          <w:color w:val="auto"/>
        </w:rPr>
      </w:pPr>
      <w:r>
        <w:rPr>
          <w:rFonts w:ascii="Calibri" w:cs="Calibri" w:eastAsia="Calibri" w:hAnsi="Calibri"/>
          <w:sz w:val="16"/>
          <w:szCs w:val="16"/>
          <w:color w:val="auto"/>
        </w:rPr>
        <w:t>During the period from January 1, 2025 to February 10, 2025, the Company sold 1,034,516 Common Shares, at an average price of US$9.82 per Common Share, for aggregate gross proceeds of US$10,156, through its at-the-market equity program ("2023 ATM Program"). On February 10, 2025, the Company, Cantor Fitzgerald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7"/>
        <w:spacing w:after="0"/>
        <w:rPr>
          <w:sz w:val="20"/>
          <w:szCs w:val="20"/>
          <w:color w:val="auto"/>
        </w:rPr>
      </w:pPr>
      <w:r>
        <w:rPr>
          <w:rFonts w:ascii="Calibri" w:cs="Calibri" w:eastAsia="Calibri" w:hAnsi="Calibri"/>
          <w:sz w:val="16"/>
          <w:szCs w:val="16"/>
          <w:b w:val="1"/>
          <w:bCs w:val="1"/>
          <w:color w:val="auto"/>
        </w:rPr>
        <w:t>Page 24 of 25</w:t>
      </w:r>
    </w:p>
    <w:p>
      <w:pPr>
        <w:sectPr>
          <w:pgSz w:w="11900" w:h="16838" w:orient="portrait"/>
          <w:cols w:equalWidth="0" w:num="1">
            <w:col w:w="11263"/>
          </w:cols>
          <w:pgMar w:left="317" w:top="209" w:right="319" w:bottom="1440" w:gutter="0" w:footer="0" w:header="0"/>
        </w:sectPr>
      </w:pPr>
    </w:p>
    <w:bookmarkStart w:id="27" w:name="page28"/>
    <w:bookmarkEnd w:id="27"/>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December 31,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Canada Corporaton and Cantor Fitzgerald &amp; Co. terminated the at-the-market equity distributon agreement, dated August 23, 2023, and ended its 2023 ATM Program.</w:t>
      </w:r>
    </w:p>
    <w:p>
      <w:pPr>
        <w:spacing w:after="0" w:line="254"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On February 10, 2025, the Company launched a new at-the-market equity program (the “2025 ATM Program”) to allow the Company to issue and sell up to US$100,000 of Common Shares from treasury to the public. In connecton with the 2025 ATM Program, the Company entered into an at-the-market equity distributon agreement (the “2025 Distributon Agreement”) dated February 10, 2025, among the Company, Cantor Fitzgerald Canada Corporaton and Cantor Fitzgerald &amp; Co. The 2025 ATM Program is to be efectve untl the earlier of the issuance and sale of all of the Common Shares issuable pursuant to the 2025 ATM Program and September 17, 2025, unless earlier terminated in accordance with the terms of the 2025 Distributon Agreement.</w:t>
      </w:r>
    </w:p>
    <w:p>
      <w:pPr>
        <w:spacing w:after="0" w:line="164"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Base Shelf Prospectus</w:t>
      </w:r>
    </w:p>
    <w:p>
      <w:pPr>
        <w:spacing w:after="0" w:line="230"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On January 6, 2025, the Company fled amendment no. 3 to its current base shelf prospectus to increase the aggregate amount of securites that may be ofered from tme to tme under the base shelf prospectus from $400,000 to $650,000.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25 of 25</w:t>
      </w:r>
    </w:p>
    <w:p>
      <w:pPr>
        <w:sectPr>
          <w:pgSz w:w="11900" w:h="16838" w:orient="portrait"/>
          <w:cols w:equalWidth="0" w:num="1">
            <w:col w:w="11200"/>
          </w:cols>
          <w:pgMar w:left="380" w:top="209"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3126105</wp:posOffset>
            </wp:positionH>
            <wp:positionV relativeFrom="page">
              <wp:posOffset>2737485</wp:posOffset>
            </wp:positionV>
            <wp:extent cx="1304925" cy="76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0492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Financial Condition and Operating Performance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three and nine months ended December 31, 2024</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February 10, 2025</w:t>
      </w:r>
    </w:p>
    <w:p>
      <w:pPr>
        <w:sectPr>
          <w:pgSz w:w="11900" w:h="16838" w:orient="portrait"/>
          <w:cols w:equalWidth="0" w:num="1">
            <w:col w:w="9019"/>
          </w:cols>
          <w:pgMar w:left="1440" w:top="1440"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w:t>
      </w:r>
    </w:p>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This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been prepared by management of Cybin Inc.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should be read in conjunction with Cybin’s unaudited condensed interim consolidated financial statements and notes for the three and nine months ended December 31, 2024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on SEDAR+. The Financial Statements have been prepared using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All amounts are in Canadian dollars unless otherwise indicated. The Financial Statements may be viewed on the SEDAR+ profile of Cybin at www.sedarplus.ca.</w:t>
      </w:r>
    </w:p>
    <w:p>
      <w:pPr>
        <w:spacing w:after="0" w:line="18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February 10, 2025. Unless otherwise indicated, all amounts in this MD&amp;A are in thousands of Canadian dollars.</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301" w:right="319" w:bottom="1440" w:gutter="0" w:footer="0" w:header="0"/>
        </w:sectPr>
      </w:pPr>
    </w:p>
    <w:bookmarkStart w:id="30" w:name="page31"/>
    <w:bookmarkEnd w:id="30"/>
    <w:p>
      <w:pPr>
        <w:jc w:val="both"/>
        <w:spacing w:after="0" w:line="301" w:lineRule="auto"/>
        <w:rPr>
          <w:sz w:val="20"/>
          <w:szCs w:val="20"/>
          <w:color w:val="auto"/>
        </w:rPr>
      </w:pPr>
      <w:r>
        <w:rPr>
          <w:rFonts w:ascii="Times New Roman" w:cs="Times New Roman" w:eastAsia="Times New Roman" w:hAnsi="Times New Roman"/>
          <w:sz w:val="18"/>
          <w:szCs w:val="18"/>
          <w:color w:val="auto"/>
        </w:rPr>
        <w:t>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5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32" w:lineRule="exact"/>
        <w:rPr>
          <w:sz w:val="20"/>
          <w:szCs w:val="20"/>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operating history;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speculative nature of investment risk;</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regulatory risks and uncertainties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of operating in European countries;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“foreign private issuer” status under U.S. Securities Laws;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plans for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assurance of commercial success;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profits or significant revenues;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contract manufacturers;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safety and efficacy of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completion of clinical trials;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commercial grade product manufacturing;</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nature of regulatory approvals;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market access and acceptance;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social media;</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employee misconduct;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business expansion and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liability;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enforcing contracts;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and material recalls;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difficulty to forecast;</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promoting the brand;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viability;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success of quality control systems;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key inputs;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liability arising from fraudulent or illegal activity;</w:t>
      </w:r>
    </w:p>
    <w:p>
      <w:pPr>
        <w:sectPr>
          <w:pgSz w:w="11900" w:h="16838" w:orient="portrait"/>
          <w:cols w:equalWidth="0" w:num="1">
            <w:col w:w="11260"/>
          </w:cols>
          <w:pgMar w:left="320" w:top="130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303" w:right="319" w:bottom="1440" w:gutter="0" w:footer="0" w:header="0"/>
          <w:type w:val="continuous"/>
        </w:sectPr>
      </w:pPr>
    </w:p>
    <w:bookmarkStart w:id="31" w:name="page32"/>
    <w:bookmarkEnd w:id="31"/>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operating risk and insurance coverage;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costs of operating as public company;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management of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conflicts of interest;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foreign operations;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exchange rate fluctuations;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cybersecurity and privacy risk;</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environmental regulation and risks;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decriminalization of psychedelics;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forward-looking statements may prove to be inaccurate;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effects of inflation;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political and economic conditions;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application and interpretation of tax laws;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enforcement of civil liabilities;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pandemics;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52" w:lineRule="exact"/>
        <w:rPr>
          <w:sz w:val="20"/>
          <w:szCs w:val="20"/>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trademark protection;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trade secrets;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patent law reform;</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protection of intellectual property;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third-party licences;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264" w:lineRule="exact"/>
        <w:rPr>
          <w:sz w:val="20"/>
          <w:szCs w:val="20"/>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number of authorized but unissued Common Shares (as defined herein);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dilution;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negative cash flow from operating activities;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additional capital requirements;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lack of significant product revenue;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inadequate internal controls;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264" w:lineRule="exact"/>
        <w:rPr>
          <w:sz w:val="20"/>
          <w:szCs w:val="20"/>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market for the Common Shares;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significant sales of Common Shares;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tax issues;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dividends.</w:t>
      </w:r>
    </w:p>
    <w:p>
      <w:pPr>
        <w:spacing w:after="0" w:line="27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w:t>
      </w: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03" w:right="339" w:bottom="1440" w:gutter="0" w:footer="0" w:header="0"/>
          <w:type w:val="continuous"/>
        </w:sectPr>
      </w:pPr>
    </w:p>
    <w:bookmarkStart w:id="32" w:name="page33"/>
    <w:bookmarkEnd w:id="32"/>
    <w:p>
      <w:pPr>
        <w:ind w:right="20"/>
        <w:spacing w:after="0" w:line="323" w:lineRule="auto"/>
        <w:rPr>
          <w:sz w:val="20"/>
          <w:szCs w:val="20"/>
          <w:color w:val="auto"/>
        </w:rPr>
      </w:pPr>
      <w:r>
        <w:rPr>
          <w:rFonts w:ascii="Times New Roman" w:cs="Times New Roman" w:eastAsia="Times New Roman" w:hAnsi="Times New Roman"/>
          <w:sz w:val="18"/>
          <w:szCs w:val="18"/>
          <w:color w:val="auto"/>
        </w:rPr>
        <w:t>that actual results, performance or achievements will be consistent with these forward-looking statements. In particular, the Company has made assumptions regarding, among other things:</w:t>
      </w:r>
    </w:p>
    <w:p>
      <w:pPr>
        <w:spacing w:after="0" w:line="132" w:lineRule="exact"/>
        <w:rPr>
          <w:sz w:val="20"/>
          <w:szCs w:val="20"/>
          <w:color w:val="auto"/>
        </w:rPr>
      </w:pPr>
    </w:p>
    <w:p>
      <w:pPr>
        <w:ind w:left="580" w:right="20" w:hanging="296"/>
        <w:spacing w:after="0" w:line="292" w:lineRule="auto"/>
        <w:tabs>
          <w:tab w:leader="none" w:pos="576"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pandemics;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56" w:lineRule="exact"/>
        <w:rPr>
          <w:rFonts w:ascii="Calibri" w:cs="Calibri" w:eastAsia="Calibri" w:hAnsi="Calibri"/>
          <w:sz w:val="18"/>
          <w:szCs w:val="18"/>
          <w:color w:val="auto"/>
        </w:rPr>
      </w:pPr>
    </w:p>
    <w:p>
      <w:pPr>
        <w:ind w:left="580" w:right="20" w:hanging="296"/>
        <w:spacing w:after="0" w:line="326" w:lineRule="auto"/>
        <w:tabs>
          <w:tab w:leader="none" w:pos="578"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4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303" w:right="319" w:bottom="1440" w:gutter="0" w:footer="0" w:header="0"/>
        </w:sectPr>
      </w:pPr>
    </w:p>
    <w:bookmarkStart w:id="33" w:name="page34"/>
    <w:bookmarkEnd w:id="33"/>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STRUCTURE OVERVIEW</w:t>
      </w:r>
    </w:p>
    <w:p>
      <w:pPr>
        <w:spacing w:after="0" w:line="23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The Company is a clinical-stage breakthrough neuropsychiatry company focused on advancing next-generation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changed its name to “Cybin Inc.” and the common shares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became listed for trading on Cboe Canada Inc.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under the trading symbol “CYBN”.</w:t>
      </w:r>
    </w:p>
    <w:p>
      <w:pPr>
        <w:spacing w:after="0" w:line="19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acquisition by Cybin of Small Pharma Inc. (“</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xml:space="preserve">”) by way of a statutory plan of arrangement under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a result of the Arrangement, Small Pharma is now a wholly-owned subsidiary of Cybin.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40" w:right="319" w:bottom="1440" w:gutter="0" w:footer="0" w:header="0"/>
        </w:sectPr>
      </w:pPr>
    </w:p>
    <w:bookmarkStart w:id="34" w:name="page35"/>
    <w:bookmarkEnd w:id="34"/>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On September 19, 2024, the Company consolidated its outstanding Common Shares on the basis of one new Common Share for every 38 existing Common Shares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As a result, all figures related to shares, warrants, options and earnings per share presented in this MD&amp;A have been restated retrospectively for all periods to reflect the Consolidation.</w:t>
      </w:r>
    </w:p>
    <w:p>
      <w:pPr>
        <w:spacing w:after="0" w:line="162" w:lineRule="exact"/>
        <w:rPr>
          <w:sz w:val="20"/>
          <w:szCs w:val="20"/>
          <w:color w:val="auto"/>
        </w:rPr>
      </w:pPr>
    </w:p>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General Development of the Business</w:t>
      </w:r>
      <w:r>
        <w:rPr>
          <w:rFonts w:ascii="Times New Roman" w:cs="Times New Roman" w:eastAsia="Times New Roman" w:hAnsi="Times New Roman"/>
          <w:sz w:val="18"/>
          <w:szCs w:val="18"/>
          <w:color w:val="auto"/>
        </w:rPr>
        <w:t>” in the AIF for additional information on the background and operational highlights of Cybin. The AIF may be viewed under the SEDAR+ profile of Cybin at www.sedarplus.ca.</w:t>
      </w:r>
    </w:p>
    <w:p>
      <w:pPr>
        <w:spacing w:after="0" w:line="1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4"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Cybin is a clinical-stage breakthrough neuropsychiatry company on a mission to create safe and effective next-generation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3"/>
          <w:szCs w:val="23"/>
          <w:color w:val="auto"/>
          <w:vertAlign w:val="superscript"/>
        </w:rPr>
        <w:t>1</w:t>
      </w:r>
    </w:p>
    <w:p>
      <w:pPr>
        <w:spacing w:after="0" w:line="121" w:lineRule="exact"/>
        <w:rPr>
          <w:sz w:val="20"/>
          <w:szCs w:val="20"/>
          <w:color w:val="auto"/>
        </w:rPr>
      </w:pPr>
    </w:p>
    <w:p>
      <w:pPr>
        <w:jc w:val="both"/>
        <w:ind w:left="3" w:right="20"/>
        <w:spacing w:after="0" w:line="316" w:lineRule="auto"/>
        <w:rPr>
          <w:sz w:val="20"/>
          <w:szCs w:val="20"/>
          <w:color w:val="auto"/>
        </w:rPr>
      </w:pPr>
      <w:r>
        <w:rPr>
          <w:rFonts w:ascii="Times New Roman" w:cs="Times New Roman" w:eastAsia="Times New Roman" w:hAnsi="Times New Roman"/>
          <w:sz w:val="17"/>
          <w:szCs w:val="17"/>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Company’s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17"/>
          <w:szCs w:val="17"/>
          <w:b w:val="1"/>
          <w:bCs w:val="1"/>
          <w:color w:val="auto"/>
        </w:rPr>
        <w:t>DMT</w:t>
      </w:r>
      <w:r>
        <w:rPr>
          <w:rFonts w:ascii="Times New Roman" w:cs="Times New Roman" w:eastAsia="Times New Roman" w:hAnsi="Times New Roman"/>
          <w:sz w:val="17"/>
          <w:szCs w:val="17"/>
          <w:color w:val="auto"/>
        </w:rPr>
        <w:t>”), CYB005, phenethylamine derivatives, and an expansive list of preclinical molecules to facilitate future drug development opportunities.</w:t>
      </w:r>
    </w:p>
    <w:p>
      <w:pPr>
        <w:spacing w:after="0" w:line="167"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On October 23, 2023, the Company completed the acquisition of Small Pharma by way of the Arrangement pursuant to which Small Pharma became a wholly-owned subsidiary of Cybin. Small Pharma is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18"/>
          <w:szCs w:val="18"/>
          <w:b w:val="1"/>
          <w:bCs w:val="1"/>
          <w:color w:val="auto"/>
        </w:rPr>
        <w:t>LSD</w:t>
      </w:r>
      <w:r>
        <w:rPr>
          <w:rFonts w:ascii="Times New Roman" w:cs="Times New Roman" w:eastAsia="Times New Roman" w:hAnsi="Times New Roman"/>
          <w:sz w:val="18"/>
          <w:szCs w:val="18"/>
          <w:color w:val="auto"/>
        </w:rPr>
        <w:t>”). Second-generation psychedelics refer to those that have been chemically modified with the aim to optimize their therapeutic benefit.</w:t>
      </w:r>
    </w:p>
    <w:p>
      <w:pPr>
        <w:spacing w:after="0" w:line="183"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5354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69" w:lineRule="exact"/>
        <w:rPr>
          <w:sz w:val="20"/>
          <w:szCs w:val="20"/>
          <w:color w:val="auto"/>
        </w:rPr>
      </w:pPr>
    </w:p>
    <w:p>
      <w:pPr>
        <w:jc w:val="both"/>
        <w:ind w:left="3" w:hanging="3"/>
        <w:spacing w:after="0" w:line="223" w:lineRule="auto"/>
        <w:tabs>
          <w:tab w:leader="none" w:pos="86"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3"/>
          </w:cols>
          <w:pgMar w:left="317" w:top="1303" w:right="319" w:bottom="1440" w:gutter="0" w:footer="0" w:header="0"/>
        </w:sectPr>
      </w:pPr>
    </w:p>
    <w:bookmarkStart w:id="35" w:name="page36"/>
    <w:bookmarkEnd w:id="35"/>
    <w:p>
      <w:pPr>
        <w:ind w:left="3"/>
        <w:spacing w:after="0"/>
        <w:rPr>
          <w:sz w:val="20"/>
          <w:szCs w:val="20"/>
          <w:color w:val="auto"/>
        </w:rPr>
      </w:pPr>
      <w:r>
        <w:rPr>
          <w:rFonts w:ascii="Times New Roman" w:cs="Times New Roman" w:eastAsia="Times New Roman" w:hAnsi="Times New Roman"/>
          <w:sz w:val="18"/>
          <w:szCs w:val="18"/>
          <w:color w:val="auto"/>
        </w:rPr>
        <w:t>development portfolios are highly complementary and provide multiple opportunities to create operational and cost synergies.</w:t>
      </w:r>
    </w:p>
    <w:p>
      <w:pPr>
        <w:spacing w:after="0" w:line="289"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As a result of the acquisition of Small Pharma by way of the Arrangement, Cybin currently now has over 80 granted patents and over 230 pending applications. See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Advancement of Mental Healthcare</w:t>
      </w:r>
    </w:p>
    <w:p>
      <w:pPr>
        <w:spacing w:after="0" w:line="266"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The Company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92" w:lineRule="exact"/>
        <w:rPr>
          <w:sz w:val="20"/>
          <w:szCs w:val="20"/>
          <w:color w:val="auto"/>
        </w:rPr>
      </w:pPr>
    </w:p>
    <w:p>
      <w:pPr>
        <w:jc w:val="both"/>
        <w:ind w:left="3"/>
        <w:spacing w:after="0" w:line="297"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 administration.</w:t>
      </w:r>
      <w:r>
        <w:rPr>
          <w:rFonts w:ascii="Times New Roman" w:cs="Times New Roman" w:eastAsia="Times New Roman" w:hAnsi="Times New Roman"/>
          <w:sz w:val="23"/>
          <w:szCs w:val="23"/>
          <w:color w:val="auto"/>
          <w:vertAlign w:val="superscript"/>
        </w:rPr>
        <w:t>2</w:t>
      </w:r>
    </w:p>
    <w:p>
      <w:pPr>
        <w:spacing w:after="0" w:line="115"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4</w:t>
      </w:r>
    </w:p>
    <w:p>
      <w:pPr>
        <w:spacing w:after="0" w:line="117"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6</w:t>
      </w:r>
    </w:p>
    <w:p>
      <w:pPr>
        <w:spacing w:after="0" w:line="1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268" w:lineRule="exact"/>
        <w:rPr>
          <w:sz w:val="20"/>
          <w:szCs w:val="20"/>
          <w:color w:val="auto"/>
        </w:rPr>
      </w:pPr>
    </w:p>
    <w:p>
      <w:pPr>
        <w:jc w:val="both"/>
        <w:ind w:left="3" w:right="20"/>
        <w:spacing w:after="0" w:line="341"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neuropsychiatry business is focused on research and development and any future revenue will be dependent on a number of factors, including the outcome of the Company’s clinical trials and the receipt of all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5354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343" w:lineRule="exact"/>
        <w:rPr>
          <w:sz w:val="20"/>
          <w:szCs w:val="20"/>
          <w:color w:val="auto"/>
        </w:rPr>
      </w:pPr>
    </w:p>
    <w:p>
      <w:pPr>
        <w:ind w:left="83" w:hanging="83"/>
        <w:spacing w:after="0"/>
        <w:tabs>
          <w:tab w:leader="none" w:pos="83"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footnote 1.</w:t>
      </w:r>
    </w:p>
    <w:p>
      <w:pPr>
        <w:ind w:left="3"/>
        <w:spacing w:after="0" w:line="22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See footnote 1.</w:t>
      </w:r>
    </w:p>
    <w:p>
      <w:pPr>
        <w:ind w:left="3"/>
        <w:spacing w:after="0" w:line="22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5"/>
          <w:szCs w:val="15"/>
          <w:color w:val="auto"/>
        </w:rPr>
        <w:t xml:space="preserve"> See footnote 1.</w:t>
      </w:r>
    </w:p>
    <w:p>
      <w:pPr>
        <w:ind w:left="3"/>
        <w:spacing w:after="0" w:line="196"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5"/>
          <w:szCs w:val="15"/>
          <w:color w:val="auto"/>
        </w:rPr>
        <w:t xml:space="preserve"> A material factor and assumption underlying this forward-looking statement is that the Company will be able to successfully negotiate strategic partnerships.</w:t>
      </w:r>
    </w:p>
    <w:p>
      <w:pPr>
        <w:jc w:val="both"/>
        <w:ind w:left="3" w:right="20"/>
        <w:spacing w:after="0" w:line="227"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3"/>
          </w:cols>
          <w:pgMar w:left="317" w:top="1303" w:right="319" w:bottom="1440" w:gutter="0" w:footer="0" w:header="0"/>
        </w:sectPr>
      </w:pPr>
    </w:p>
    <w:bookmarkStart w:id="36" w:name="page37"/>
    <w:bookmarkEnd w:id="36"/>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products based in Canada, the United States, the European Union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the UK to source the pharmaceutical products the Company intends to develop and distribute under its specific brand, and (ii) to explore options to facilitate the development and distribution and sale of its specific brand of pharmaceutical products.</w:t>
      </w:r>
      <w:r>
        <w:rPr>
          <w:rFonts w:ascii="Times New Roman" w:cs="Times New Roman" w:eastAsia="Times New Roman" w:hAnsi="Times New Roman"/>
          <w:sz w:val="23"/>
          <w:szCs w:val="23"/>
          <w:color w:val="auto"/>
          <w:vertAlign w:val="superscript"/>
        </w:rPr>
        <w:t>7</w:t>
      </w:r>
    </w:p>
    <w:p>
      <w:pPr>
        <w:spacing w:after="0" w:line="119"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92" w:lineRule="exact"/>
        <w:rPr>
          <w:sz w:val="20"/>
          <w:szCs w:val="20"/>
          <w:color w:val="auto"/>
        </w:rPr>
      </w:pPr>
    </w:p>
    <w:p>
      <w:pPr>
        <w:jc w:val="both"/>
        <w:ind w:left="3" w:right="20"/>
        <w:spacing w:after="0" w:line="291"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94"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On March 13, 2024, the Company announced that it had been granted Breakthrough Therapy Designation (the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i w:val="1"/>
          <w:iCs w:val="1"/>
          <w:color w:val="auto"/>
          <w:vertAlign w:val="superscript"/>
        </w:rPr>
        <w:t>8</w:t>
      </w:r>
    </w:p>
    <w:p>
      <w:pPr>
        <w:spacing w:after="0" w:line="19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47" w:lineRule="exact"/>
        <w:rPr>
          <w:sz w:val="20"/>
          <w:szCs w:val="20"/>
          <w:color w:val="auto"/>
        </w:rPr>
      </w:pPr>
    </w:p>
    <w:p>
      <w:pPr>
        <w:ind w:left="583" w:hanging="293"/>
        <w:spacing w:after="0"/>
        <w:tabs>
          <w:tab w:leader="none" w:pos="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Psilocin Program (CYB003)</w:t>
      </w:r>
    </w:p>
    <w:p>
      <w:pPr>
        <w:spacing w:after="0" w:line="34"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5354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65" w:lineRule="exact"/>
        <w:rPr>
          <w:sz w:val="20"/>
          <w:szCs w:val="20"/>
          <w:color w:val="auto"/>
        </w:rPr>
      </w:pPr>
    </w:p>
    <w:p>
      <w:pPr>
        <w:ind w:left="3" w:right="20" w:hanging="3"/>
        <w:spacing w:after="0" w:line="220" w:lineRule="auto"/>
        <w:tabs>
          <w:tab w:leader="none" w:pos="102"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ind w:left="3"/>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3"/>
          </w:cols>
          <w:pgMar w:left="317" w:top="1303" w:right="319" w:bottom="1440" w:gutter="0" w:footer="0" w:header="0"/>
        </w:sectPr>
      </w:pPr>
    </w:p>
    <w:bookmarkStart w:id="37" w:name="page38"/>
    <w:bookmarkEnd w:id="37"/>
    <w:p>
      <w:pPr>
        <w:ind w:left="580" w:hanging="293"/>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46" w:lineRule="exact"/>
        <w:rPr>
          <w:rFonts w:ascii="Times New Roman" w:cs="Times New Roman" w:eastAsia="Times New Roman" w:hAnsi="Times New Roman"/>
          <w:sz w:val="18"/>
          <w:szCs w:val="18"/>
          <w:color w:val="auto"/>
        </w:rPr>
      </w:pPr>
    </w:p>
    <w:p>
      <w:pPr>
        <w:ind w:left="580" w:hanging="293"/>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2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pharmacological interventions for neuropsychiatry.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elational,</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8"/>
          <w:szCs w:val="18"/>
          <w:color w:val="auto"/>
        </w:rPr>
        <w:t>eeping Momentum) represent the broad spectrum of ways in which therapeutic benefits may arise in treatment and the equally broad training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18"/>
          <w:szCs w:val="18"/>
          <w:b w:val="1"/>
          <w:bCs w:val="1"/>
          <w:color w:val="auto"/>
        </w:rPr>
        <w:t>EMBARK OA</w:t>
      </w:r>
      <w:r>
        <w:rPr>
          <w:rFonts w:ascii="Times New Roman" w:cs="Times New Roman" w:eastAsia="Times New Roman" w:hAnsi="Times New Roman"/>
          <w:sz w:val="18"/>
          <w:szCs w:val="18"/>
          <w:color w:val="auto"/>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18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acquisition of Small Pharma by way of the Arrangement and will provide further information and updates upon completion of the integration of Small Pharma’s business, including the anticipated spend associated with any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Deuterated Psilocin Program (CYB003)</w:t>
      </w:r>
    </w:p>
    <w:p>
      <w:pPr>
        <w:spacing w:after="0" w:line="25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8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psilocin molecule that has been granted FDA BTD for the adjunctive treatment of MDD. CYB003 aims to address the limitations of oral psilocin, including side effects, scalability and accessibility of treatment.</w:t>
      </w:r>
    </w:p>
    <w:p>
      <w:pPr>
        <w:spacing w:after="0" w:line="15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303" w:right="319" w:bottom="1440" w:gutter="0" w:footer="0" w:header="0"/>
        </w:sectPr>
      </w:pPr>
    </w:p>
    <w:bookmarkStart w:id="38" w:name="page39"/>
    <w:bookmarkEnd w:id="38"/>
    <w:p>
      <w:pPr>
        <w:jc w:val="both"/>
        <w:spacing w:after="0" w:line="302" w:lineRule="auto"/>
        <w:rPr>
          <w:sz w:val="20"/>
          <w:szCs w:val="20"/>
          <w:color w:val="auto"/>
        </w:rPr>
      </w:pPr>
      <w:r>
        <w:rPr>
          <w:rFonts w:ascii="Times New Roman" w:cs="Times New Roman" w:eastAsia="Times New Roman" w:hAnsi="Times New Roman"/>
          <w:sz w:val="18"/>
          <w:szCs w:val="18"/>
          <w:color w:val="auto"/>
        </w:rPr>
        <w:t>moderate to severe MDD. The Company had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had been dosed in the Phase 1/2a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CYB003 Phase 1/2a Clinical Trial</w:t>
      </w:r>
    </w:p>
    <w:p>
      <w:pPr>
        <w:spacing w:after="0" w:line="2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study investigated the safety, tolerability, pharmacokinetics (“</w:t>
      </w:r>
      <w:r>
        <w:rPr>
          <w:rFonts w:ascii="Times New Roman" w:cs="Times New Roman" w:eastAsia="Times New Roman" w:hAnsi="Times New Roman"/>
          <w:sz w:val="17"/>
          <w:szCs w:val="17"/>
          <w:b w:val="1"/>
          <w:bCs w:val="1"/>
          <w:color w:val="auto"/>
        </w:rPr>
        <w:t>PK</w:t>
      </w:r>
      <w:r>
        <w:rPr>
          <w:rFonts w:ascii="Times New Roman" w:cs="Times New Roman" w:eastAsia="Times New Roman" w:hAnsi="Times New Roman"/>
          <w:sz w:val="17"/>
          <w:szCs w:val="17"/>
          <w:color w:val="auto"/>
        </w:rPr>
        <w:t>”) and pharmacodynamics (“</w:t>
      </w:r>
      <w:r>
        <w:rPr>
          <w:rFonts w:ascii="Times New Roman" w:cs="Times New Roman" w:eastAsia="Times New Roman" w:hAnsi="Times New Roman"/>
          <w:sz w:val="17"/>
          <w:szCs w:val="17"/>
          <w:b w:val="1"/>
          <w:bCs w:val="1"/>
          <w:color w:val="auto"/>
        </w:rPr>
        <w:t>PD</w:t>
      </w:r>
      <w:r>
        <w:rPr>
          <w:rFonts w:ascii="Times New Roman" w:cs="Times New Roman" w:eastAsia="Times New Roman" w:hAnsi="Times New Roman"/>
          <w:sz w:val="17"/>
          <w:szCs w:val="17"/>
          <w:color w:val="auto"/>
        </w:rPr>
        <w:t>”), and pharmacological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17"/>
          <w:szCs w:val="17"/>
          <w:b w:val="1"/>
          <w:bCs w:val="1"/>
          <w:color w:val="auto"/>
        </w:rPr>
        <w:t>MADRS</w:t>
      </w:r>
      <w:r>
        <w:rPr>
          <w:rFonts w:ascii="Times New Roman" w:cs="Times New Roman" w:eastAsia="Times New Roman" w:hAnsi="Times New Roman"/>
          <w:sz w:val="17"/>
          <w:szCs w:val="17"/>
          <w:color w:val="auto"/>
        </w:rPr>
        <w:t>”), and evaluated the incremental benefit of a second dose of CYB003 when administered at Week 3. An optional period of assessment will help determine the durability of treatment effect out to 12 months. The study is listed on ClinicalTrials.gov under Identifier: NCT05385783.</w:t>
      </w:r>
    </w:p>
    <w:p>
      <w:pPr>
        <w:spacing w:after="0" w:line="16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17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psilocin analog program being developed for the potential treatment of MDD. All participants in the sixth, and final, cohort received at least one dose (placebo or 16mg of CYB003) with several second doses already administered, and no serious adverse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301" w:right="319" w:bottom="1440" w:gutter="0" w:footer="0" w:header="0"/>
        </w:sectPr>
      </w:pPr>
    </w:p>
    <w:bookmarkStart w:id="39" w:name="page40"/>
    <w:bookmarkEnd w:id="39"/>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observed in participants. As of that date, CYB003 demonstrated a favorable safety and tolerability profile at all doses evaluated in the five completed cohorts (1mg, 3mg, 8mg, 10mg, and 12mg).</w:t>
      </w:r>
    </w:p>
    <w:p>
      <w:pPr>
        <w:spacing w:after="0" w:line="1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October 31, 2023, the Company announced Phase 2a interim results for CYB003, its proprietary deuterated psilocin analog,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MADRS total score, was superior in participants assigned to CYB003 compared to the participants who received placebo by 14.08 points (p=0.0005, Cohen’s d=2.15).</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w:t>
      </w:r>
    </w:p>
    <w:p>
      <w:pPr>
        <w:spacing w:after="0" w:line="2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spacing w:after="0" w:line="3" w:lineRule="exact"/>
        <w:rPr>
          <w:sz w:val="20"/>
          <w:szCs w:val="20"/>
          <w:color w:val="auto"/>
        </w:rPr>
      </w:pPr>
    </w:p>
    <w:p>
      <w:pPr>
        <w:ind w:left="560" w:hanging="276"/>
        <w:spacing w:after="0"/>
        <w:tabs>
          <w:tab w:leader="none" w:pos="560" w:val="left"/>
        </w:tabs>
        <w:numPr>
          <w:ilvl w:val="0"/>
          <w:numId w:val="18"/>
        </w:numPr>
        <w:rPr>
          <w:rFonts w:ascii="Calibri" w:cs="Calibri" w:eastAsia="Calibri" w:hAnsi="Calibri"/>
          <w:sz w:val="17"/>
          <w:szCs w:val="17"/>
          <w:color w:val="auto"/>
        </w:rPr>
      </w:pPr>
      <w:r>
        <w:rPr>
          <w:rFonts w:ascii="Times New Roman" w:cs="Times New Roman" w:eastAsia="Times New Roman" w:hAnsi="Times New Roman"/>
          <w:sz w:val="17"/>
          <w:szCs w:val="17"/>
          <w:color w:val="auto"/>
        </w:rPr>
        <w:t>Average mean reduction from baseline in the MADRS total score across 2 cohorts was approximately 22 points from baseline in both dosing cohorts.</w:t>
      </w:r>
    </w:p>
    <w:p>
      <w:pPr>
        <w:spacing w:after="0" w:line="70" w:lineRule="exact"/>
        <w:rPr>
          <w:rFonts w:ascii="Calibri" w:cs="Calibri" w:eastAsia="Calibri" w:hAnsi="Calibri"/>
          <w:sz w:val="17"/>
          <w:szCs w:val="17"/>
          <w:color w:val="auto"/>
        </w:rPr>
      </w:pPr>
    </w:p>
    <w:p>
      <w:pPr>
        <w:ind w:left="560" w:hanging="276"/>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patients on 12 mg and 75% on 16 mg were in remission from depression following 2 doses (MADRS score &lt;/= 10).</w:t>
      </w:r>
    </w:p>
    <w:p>
      <w:pPr>
        <w:spacing w:after="0" w:line="25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ind w:left="580" w:hanging="293"/>
        <w:spacing w:after="0" w:line="323" w:lineRule="auto"/>
        <w:tabs>
          <w:tab w:leader="none" w:pos="5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pivotal study program will include a study with a three-arm design with a high dose, mid-dose, and placebo arm. Patients will not know if they received the therapeutic high dose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303" w:right="319" w:bottom="1440" w:gutter="0" w:footer="0" w:header="0"/>
        </w:sectPr>
      </w:pPr>
    </w:p>
    <w:bookmarkStart w:id="40" w:name="page41"/>
    <w:bookmarkEnd w:id="40"/>
    <w:p>
      <w:pPr>
        <w:ind w:left="583"/>
        <w:spacing w:after="0"/>
        <w:rPr>
          <w:sz w:val="20"/>
          <w:szCs w:val="20"/>
          <w:color w:val="auto"/>
        </w:rPr>
      </w:pPr>
      <w:r>
        <w:rPr>
          <w:rFonts w:ascii="Times New Roman" w:cs="Times New Roman" w:eastAsia="Times New Roman" w:hAnsi="Times New Roman"/>
          <w:sz w:val="18"/>
          <w:szCs w:val="18"/>
          <w:color w:val="auto"/>
        </w:rPr>
        <w:t>sub therapeutic mid-dose, mitigating the unblinding to an extent and addressing potential expectancy bias;</w:t>
      </w:r>
    </w:p>
    <w:p>
      <w:pPr>
        <w:spacing w:after="0" w:line="47" w:lineRule="exact"/>
        <w:rPr>
          <w:sz w:val="20"/>
          <w:szCs w:val="20"/>
          <w:color w:val="auto"/>
        </w:rPr>
      </w:pPr>
    </w:p>
    <w:p>
      <w:pPr>
        <w:ind w:left="583" w:right="680" w:hanging="293"/>
        <w:spacing w:after="0" w:line="280" w:lineRule="auto"/>
        <w:tabs>
          <w:tab w:leader="none" w:pos="5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will utilize remote, independent, blinded raters who will not have any information on the dose received or the participant’s dosing experience;</w:t>
      </w:r>
    </w:p>
    <w:p>
      <w:pPr>
        <w:ind w:left="563" w:hanging="273"/>
        <w:spacing w:after="0"/>
        <w:tabs>
          <w:tab w:leader="none" w:pos="5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effects during the dosing session will be fire-walled to ensure that the study team stays blinded;</w:t>
      </w:r>
    </w:p>
    <w:p>
      <w:pPr>
        <w:spacing w:after="0" w:line="46" w:lineRule="exact"/>
        <w:rPr>
          <w:rFonts w:ascii="Times New Roman" w:cs="Times New Roman" w:eastAsia="Times New Roman" w:hAnsi="Times New Roman"/>
          <w:sz w:val="18"/>
          <w:szCs w:val="18"/>
          <w:color w:val="auto"/>
        </w:rPr>
      </w:pPr>
    </w:p>
    <w:p>
      <w:pPr>
        <w:ind w:left="563" w:hanging="273"/>
        <w:spacing w:after="0"/>
        <w:tabs>
          <w:tab w:leader="none" w:pos="5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will recruit participants who are largely psychedelic naïve to reduce the impact of expectancy bias; and</w:t>
      </w:r>
    </w:p>
    <w:p>
      <w:pPr>
        <w:spacing w:after="0" w:line="34" w:lineRule="exact"/>
        <w:rPr>
          <w:rFonts w:ascii="Times New Roman" w:cs="Times New Roman" w:eastAsia="Times New Roman" w:hAnsi="Times New Roman"/>
          <w:sz w:val="18"/>
          <w:szCs w:val="18"/>
          <w:color w:val="auto"/>
        </w:rPr>
      </w:pPr>
    </w:p>
    <w:p>
      <w:pPr>
        <w:ind w:left="563" w:hanging="273"/>
        <w:spacing w:after="0"/>
        <w:tabs>
          <w:tab w:leader="none" w:pos="5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will assess long-term efficacy data points up to one year, to outlast any potential expectancy effects.</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In addition, the studies will include manual and real time artificial intelligence screening of monitoring sessions to ensure monitor fidelity and patient safety.</w:t>
      </w:r>
    </w:p>
    <w:p>
      <w:pPr>
        <w:spacing w:after="0" w:line="276" w:lineRule="exact"/>
        <w:rPr>
          <w:sz w:val="20"/>
          <w:szCs w:val="20"/>
          <w:color w:val="auto"/>
        </w:rPr>
      </w:pPr>
    </w:p>
    <w:p>
      <w:pPr>
        <w:ind w:left="3"/>
        <w:spacing w:after="0" w:line="309" w:lineRule="auto"/>
        <w:rPr>
          <w:sz w:val="20"/>
          <w:szCs w:val="20"/>
          <w:color w:val="auto"/>
        </w:rPr>
      </w:pPr>
      <w:r>
        <w:rPr>
          <w:rFonts w:ascii="Times New Roman" w:cs="Times New Roman" w:eastAsia="Times New Roman" w:hAnsi="Times New Roman"/>
          <w:sz w:val="18"/>
          <w:szCs w:val="18"/>
          <w:color w:val="auto"/>
        </w:rPr>
        <w:t>On September 19, 2024, the Company announced the appointment of Dr. Atul R. Mahableshwarkar, and Dr. Tom Macek to lead the Company’s CYB003 and CYB004 programs, respectively.</w:t>
      </w:r>
    </w:p>
    <w:p>
      <w:pPr>
        <w:spacing w:after="0" w:line="180" w:lineRule="exact"/>
        <w:rPr>
          <w:sz w:val="20"/>
          <w:szCs w:val="20"/>
          <w:color w:val="auto"/>
        </w:rPr>
      </w:pPr>
    </w:p>
    <w:p>
      <w:pPr>
        <w:ind w:left="3" w:right="480"/>
        <w:spacing w:after="0" w:line="308" w:lineRule="auto"/>
        <w:rPr>
          <w:sz w:val="20"/>
          <w:szCs w:val="20"/>
          <w:color w:val="auto"/>
        </w:rPr>
      </w:pPr>
      <w:r>
        <w:rPr>
          <w:rFonts w:ascii="Times New Roman" w:cs="Times New Roman" w:eastAsia="Times New Roman" w:hAnsi="Times New Roman"/>
          <w:sz w:val="18"/>
          <w:szCs w:val="18"/>
          <w:color w:val="auto"/>
        </w:rPr>
        <w:t>On November 13, 2024, the Company announced that it had initiated PARADIGM, a multinational pivotal Phase 3 program evaluating CYB003 for the adjunctive treatment of MDD.</w:t>
      </w:r>
      <w:r>
        <w:rPr>
          <w:rFonts w:ascii="Times New Roman" w:cs="Times New Roman" w:eastAsia="Times New Roman" w:hAnsi="Times New Roman"/>
          <w:sz w:val="23"/>
          <w:szCs w:val="23"/>
          <w:color w:val="auto"/>
          <w:vertAlign w:val="superscript"/>
        </w:rPr>
        <w:t>9</w:t>
      </w:r>
    </w:p>
    <w:p>
      <w:pPr>
        <w:spacing w:after="0" w:line="9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About the Phase 3 PARADIGM Pivotal Program</w:t>
      </w:r>
    </w:p>
    <w:p>
      <w:pPr>
        <w:spacing w:after="0" w:line="2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Company’s Phase 3 program comprises three pivotal efficacy studies as outlined below. The first pivotal study, APPROACH, is currently underway.</w:t>
      </w:r>
    </w:p>
    <w:p>
      <w:pPr>
        <w:spacing w:after="0" w:line="250" w:lineRule="exact"/>
        <w:rPr>
          <w:sz w:val="20"/>
          <w:szCs w:val="20"/>
          <w:color w:val="auto"/>
        </w:rPr>
      </w:pPr>
    </w:p>
    <w:p>
      <w:pPr>
        <w:ind w:left="3"/>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Pivotal study 1: APPROACH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b w:val="1"/>
          <w:bCs w:val="1"/>
          <w:color w:val="auto"/>
        </w:rPr>
        <w:t xml:space="preserve"> (A P</w:t>
      </w:r>
      <w:r>
        <w:rPr>
          <w:rFonts w:ascii="Times New Roman" w:cs="Times New Roman" w:eastAsia="Times New Roman" w:hAnsi="Times New Roman"/>
          <w:sz w:val="18"/>
          <w:szCs w:val="18"/>
          <w:color w:val="auto"/>
        </w:rPr>
        <w:t>hase III,</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8"/>
          <w:szCs w:val="18"/>
          <w:color w:val="auto"/>
        </w:rPr>
        <w:t>lacebo-Controlled,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8"/>
          <w:szCs w:val="18"/>
          <w:color w:val="auto"/>
        </w:rPr>
        <w:t>andomized, Double-Blind Trial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8"/>
          <w:szCs w:val="18"/>
          <w:color w:val="auto"/>
        </w:rPr>
        <w:t>ral Doses of CYB003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8"/>
          <w:szCs w:val="18"/>
          <w:color w:val="auto"/>
        </w:rPr>
        <w:t>ssess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8"/>
          <w:szCs w:val="18"/>
          <w:color w:val="auto"/>
        </w:rPr>
        <w:t>ombined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Efficacy in </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umans with Major Depressive Disorder)(“</w:t>
      </w:r>
      <w:r>
        <w:rPr>
          <w:rFonts w:ascii="Times New Roman" w:cs="Times New Roman" w:eastAsia="Times New Roman" w:hAnsi="Times New Roman"/>
          <w:sz w:val="18"/>
          <w:szCs w:val="18"/>
          <w:b w:val="1"/>
          <w:bCs w:val="1"/>
          <w:color w:val="auto"/>
        </w:rPr>
        <w:t>APPROACH</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both"/>
        <w:ind w:left="583" w:hanging="293"/>
        <w:spacing w:after="0" w:line="285" w:lineRule="auto"/>
        <w:tabs>
          <w:tab w:leader="none" w:pos="5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(n=220) will be randomized 1:1 to receive either 16 mg of CYB003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w:t>
      </w:r>
    </w:p>
    <w:p>
      <w:pPr>
        <w:ind w:left="563" w:hanging="273"/>
        <w:spacing w:after="0"/>
        <w:tabs>
          <w:tab w:leader="none" w:pos="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 will be change in depressive symptoms as measured by change in MADRS from baseline at six weeks after the first dose.</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APPROACH will enroll participants at more than 40 clinical sites across the U.S. and Europe.</w:t>
      </w:r>
    </w:p>
    <w:p>
      <w:pPr>
        <w:spacing w:after="0" w:line="262" w:lineRule="exact"/>
        <w:rPr>
          <w:sz w:val="20"/>
          <w:szCs w:val="20"/>
          <w:color w:val="auto"/>
        </w:rPr>
      </w:pPr>
    </w:p>
    <w:p>
      <w:pPr>
        <w:ind w:left="3" w:right="240"/>
        <w:spacing w:after="0" w:line="244" w:lineRule="auto"/>
        <w:rPr>
          <w:sz w:val="20"/>
          <w:szCs w:val="20"/>
          <w:color w:val="auto"/>
        </w:rPr>
      </w:pPr>
      <w:r>
        <w:rPr>
          <w:rFonts w:ascii="Times New Roman" w:cs="Times New Roman" w:eastAsia="Times New Roman" w:hAnsi="Times New Roman"/>
          <w:sz w:val="18"/>
          <w:szCs w:val="18"/>
          <w:b w:val="1"/>
          <w:bCs w:val="1"/>
          <w:color w:val="auto"/>
        </w:rPr>
        <w:t>Pivotal study 2: EMBRACE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fficacy and Safety, Phase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8"/>
          <w:szCs w:val="18"/>
          <w:color w:val="auto"/>
        </w:rPr>
        <w:t>ulti-center, Double-</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color w:val="auto"/>
        </w:rPr>
        <w:t>lind,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andomized Controlled Study Comparing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ctive and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Inactive Oral Doses of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YB003 in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ligible Participants with Major Depressive Disorder) ("</w:t>
      </w:r>
      <w:r>
        <w:rPr>
          <w:rFonts w:ascii="Times New Roman" w:cs="Times New Roman" w:eastAsia="Times New Roman" w:hAnsi="Times New Roman"/>
          <w:sz w:val="18"/>
          <w:szCs w:val="18"/>
          <w:b w:val="1"/>
          <w:bCs w:val="1"/>
          <w:color w:val="auto"/>
        </w:rPr>
        <w:t>EMBRACE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15354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 w:hanging="3"/>
        <w:spacing w:after="0" w:line="186" w:lineRule="auto"/>
        <w:tabs>
          <w:tab w:leader="none" w:pos="114"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late summer 2024. The Company completed initiation of a Phase 3 study of CYB003 in MDD in November 2024. Minor change in anticipated timing due to updates to the study. Anticipated spending and timelines regarding drug development are based on reasonable assumptions informed by current knowledge and information available to the Company. Also 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3"/>
          </w:cols>
          <w:pgMar w:left="317" w:top="1303" w:right="339" w:bottom="1440" w:gutter="0" w:footer="0" w:header="0"/>
        </w:sectPr>
      </w:pPr>
    </w:p>
    <w:bookmarkStart w:id="41" w:name="page42"/>
    <w:bookmarkEnd w:id="41"/>
    <w:p>
      <w:pPr>
        <w:ind w:left="560" w:hanging="273"/>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(n=330) will be randomized 1:1:1 to receive 16 mg of CYB003 (n=110), 8 mg of CYB003 (n=110), or inactive placebo (n=110). Each</w:t>
      </w:r>
    </w:p>
    <w:p>
      <w:pPr>
        <w:spacing w:after="0" w:line="46" w:lineRule="exact"/>
        <w:rPr>
          <w:rFonts w:ascii="Times New Roman" w:cs="Times New Roman" w:eastAsia="Times New Roman" w:hAnsi="Times New Roman"/>
          <w:sz w:val="18"/>
          <w:szCs w:val="18"/>
          <w:color w:val="auto"/>
        </w:rPr>
      </w:pPr>
    </w:p>
    <w:p>
      <w:pPr>
        <w:ind w:left="58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will evaluate a two-dose regimen, with doses administered three weeks apart. The study will enroll patients suffering from moderate to severe MDD (MADRS≥24) who are on a stable dose of antidepressant medication but are responding inadequately.</w:t>
      </w:r>
    </w:p>
    <w:p>
      <w:pPr>
        <w:ind w:left="560" w:hanging="273"/>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 will be change in depressive symptoms as measured by change in MADRS from baseline at six weeks after the first dose.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EMBRACE is expected to enroll at 48 clinical sites, with minimal site overlap with the APPROACH study.</w:t>
      </w:r>
    </w:p>
    <w:p>
      <w:pPr>
        <w:spacing w:after="0" w:line="250"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8"/>
          <w:szCs w:val="18"/>
          <w:b w:val="1"/>
          <w:bCs w:val="1"/>
          <w:color w:val="auto"/>
        </w:rPr>
        <w:t xml:space="preserve">Pivotal study 3: ("EXTEND") </w:t>
      </w:r>
      <w:r>
        <w:rPr>
          <w:rFonts w:ascii="Times New Roman" w:cs="Times New Roman" w:eastAsia="Times New Roman" w:hAnsi="Times New Roman"/>
          <w:sz w:val="18"/>
          <w:szCs w:val="18"/>
          <w:color w:val="auto"/>
        </w:rPr>
        <w:t>(A Phase III Open Label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Exten</w:t>
      </w:r>
      <w:r>
        <w:rPr>
          <w:rFonts w:ascii="Times New Roman" w:cs="Times New Roman" w:eastAsia="Times New Roman" w:hAnsi="Times New Roman"/>
          <w:sz w:val="18"/>
          <w:szCs w:val="18"/>
          <w:color w:val="auto"/>
        </w:rPr>
        <w:t>sion Study with Optional Additional Doses of CYB003 to Assess the Safety and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Efficacy in Participants With Major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epressive Disorder)</w:t>
      </w:r>
    </w:p>
    <w:p>
      <w:pPr>
        <w:spacing w:after="0" w:line="179" w:lineRule="exact"/>
        <w:rPr>
          <w:sz w:val="20"/>
          <w:szCs w:val="20"/>
          <w:color w:val="auto"/>
        </w:rPr>
      </w:pPr>
    </w:p>
    <w:p>
      <w:pPr>
        <w:jc w:val="both"/>
        <w:ind w:left="580" w:hanging="293"/>
        <w:spacing w:after="0" w:line="304" w:lineRule="auto"/>
        <w:tabs>
          <w:tab w:leader="none" w:pos="56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w:t>
      </w:r>
    </w:p>
    <w:p>
      <w:pPr>
        <w:ind w:left="58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who relapse during the EXTEND study will be eligible to receive an additional two doses of CYB003 (16 mg) administered three weeks apart. Participants who do not respond to these two doses or relapse again will be eligible to receive an additional single 16 mg dose of CYB003.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all three studies, raters will be remote, independent, and blinded with no information on the dose received or the participant’s dosing experience.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Effects during the dosing session will be firewalled to ensure that the study team stays blinded.</w:t>
      </w:r>
    </w:p>
    <w:p>
      <w:pPr>
        <w:spacing w:after="0" w:line="2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November 18, 2024, the Company reported positive Phase 2 data for CYB003, demonstrating 12-month efficacy in treating MDD. At 12 months after two 16 mg doses, 100% of participants were responsive to treatment and 71% of participants were in remission. The mean change from baseline in MADRS was approximately -23 points at 12 months after two 16 mg doses. CYB003 demonstrated an excellent safety and tolerability profile. No new adverse events were reported in the 12-month follow up, including no reports of suicidality.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spent approximately $22,318 on the Deuterated Psilocin Program during the nine months ended December 31, 2024.</w:t>
      </w:r>
    </w:p>
    <w:p>
      <w:pPr>
        <w:spacing w:after="0" w:line="25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its clinical development have been identified. The Company intends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03" w:right="339" w:bottom="1440" w:gutter="0" w:footer="0" w:header="0"/>
        </w:sectPr>
      </w:pPr>
    </w:p>
    <w:bookmarkStart w:id="42" w:name="page43"/>
    <w:bookmarkEnd w:id="42"/>
    <w:p>
      <w:pPr>
        <w:ind w:left="563" w:hanging="276"/>
        <w:spacing w:after="0"/>
        <w:tabs>
          <w:tab w:leader="none" w:pos="563" w:val="left"/>
        </w:tabs>
        <w:numPr>
          <w:ilvl w:val="0"/>
          <w:numId w:val="25"/>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Initiate the second Phase 3 study, EMBRACE, mid-year 2025.</w:t>
      </w:r>
      <w:r>
        <w:rPr>
          <w:rFonts w:ascii="Times New Roman" w:cs="Times New Roman" w:eastAsia="Times New Roman" w:hAnsi="Times New Roman"/>
          <w:sz w:val="23"/>
          <w:szCs w:val="23"/>
          <w:color w:val="auto"/>
          <w:vertAlign w:val="superscript"/>
        </w:rPr>
        <w:t>10</w:t>
      </w:r>
    </w:p>
    <w:p>
      <w:pPr>
        <w:spacing w:after="0" w:line="33" w:lineRule="exact"/>
        <w:rPr>
          <w:rFonts w:ascii="Calibri" w:cs="Calibri" w:eastAsia="Calibri" w:hAnsi="Calibri"/>
          <w:sz w:val="18"/>
          <w:szCs w:val="18"/>
          <w:color w:val="auto"/>
        </w:rPr>
      </w:pPr>
    </w:p>
    <w:p>
      <w:pPr>
        <w:ind w:left="563" w:hanging="276"/>
        <w:spacing w:after="0" w:line="219" w:lineRule="auto"/>
        <w:tabs>
          <w:tab w:leader="none" w:pos="5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the Phase 3 extension study, EXTEND, in the first half of 2025.</w:t>
      </w:r>
      <w:r>
        <w:rPr>
          <w:rFonts w:ascii="Times New Roman" w:cs="Times New Roman" w:eastAsia="Times New Roman" w:hAnsi="Times New Roman"/>
          <w:sz w:val="23"/>
          <w:szCs w:val="23"/>
          <w:color w:val="auto"/>
          <w:vertAlign w:val="superscript"/>
        </w:rPr>
        <w:t>11</w:t>
      </w:r>
    </w:p>
    <w:p>
      <w:pPr>
        <w:ind w:left="563" w:hanging="276"/>
        <w:spacing w:after="0"/>
        <w:tabs>
          <w:tab w:leader="none" w:pos="5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topline efficacy data readout from the first Phase 3 study, APPROACH, in 2026.</w:t>
      </w:r>
      <w:r>
        <w:rPr>
          <w:rFonts w:ascii="Times New Roman" w:cs="Times New Roman" w:eastAsia="Times New Roman" w:hAnsi="Times New Roman"/>
          <w:sz w:val="23"/>
          <w:szCs w:val="23"/>
          <w:color w:val="auto"/>
          <w:vertAlign w:val="superscript"/>
        </w:rPr>
        <w:t>12</w:t>
      </w:r>
    </w:p>
    <w:p>
      <w:pPr>
        <w:spacing w:after="0" w:line="175" w:lineRule="exact"/>
        <w:rPr>
          <w:sz w:val="20"/>
          <w:szCs w:val="20"/>
          <w:color w:val="auto"/>
        </w:rPr>
      </w:pPr>
    </w:p>
    <w:p>
      <w:pPr>
        <w:jc w:val="both"/>
        <w:ind w:left="3"/>
        <w:spacing w:after="0" w:line="272" w:lineRule="auto"/>
        <w:rPr>
          <w:sz w:val="20"/>
          <w:szCs w:val="20"/>
          <w:color w:val="auto"/>
        </w:rPr>
      </w:pPr>
      <w:r>
        <w:rPr>
          <w:rFonts w:ascii="Times New Roman" w:cs="Times New Roman" w:eastAsia="Times New Roman" w:hAnsi="Times New Roman"/>
          <w:sz w:val="18"/>
          <w:szCs w:val="18"/>
          <w:color w:val="auto"/>
        </w:rPr>
        <w:t>The Company spent approximately $10,669 to initiate a Phase 3 study of CYB003 in MDD to the end of November 2024, of which approximately $7,691 was spent during the nine months ended December 31, 2024 and approximately $2,978 was spent during the twelve months ended March 31, 2024</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The Company spent approximately $853 to provide 12-month efficacy data from the Phase 2 MDD study in Q4 2024 of which approximately $853 was spent during the nine months ended December 31, 2024</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The Company intends to continue funding the Deuterated Psilocin (CYB003) Program.</w:t>
      </w:r>
    </w:p>
    <w:p>
      <w:pPr>
        <w:spacing w:after="0" w:line="140" w:lineRule="exact"/>
        <w:rPr>
          <w:sz w:val="20"/>
          <w:szCs w:val="20"/>
          <w:color w:val="auto"/>
        </w:rPr>
      </w:pPr>
    </w:p>
    <w:p>
      <w:pPr>
        <w:jc w:val="both"/>
        <w:ind w:left="3"/>
        <w:spacing w:after="0" w:line="266" w:lineRule="auto"/>
        <w:rPr>
          <w:sz w:val="20"/>
          <w:szCs w:val="20"/>
          <w:color w:val="auto"/>
        </w:rPr>
      </w:pPr>
      <w:r>
        <w:rPr>
          <w:rFonts w:ascii="Times New Roman" w:cs="Times New Roman" w:eastAsia="Times New Roman" w:hAnsi="Times New Roman"/>
          <w:sz w:val="18"/>
          <w:szCs w:val="18"/>
          <w:color w:val="auto"/>
        </w:rPr>
        <w:t>The Company expects to spend approximately $5,484 to initiate the second Phase 3 study, EMBRACE, mid-year 2025 of which approximately $1,584 was spent during the nine months ended December 31, 2024 resulting in an approximate remaining spend as of December 31, 2024 of $3,900 by mid year 2025.</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 xml:space="preserve"> The Company expects to spend approximately $13,450 to initiate the Phase 3 extension study, EXTEND, in the first half of 2025 of which approximately $955 was spent during the nine months ended December 31, 2024 resulting in an approximate remaining spend as of December 31, 2024 of $12,495 by the first half of 2025.</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The Company expects to spend approximately $32,680 to provide topline efficacy data readout from the first Phase 3 study, APPROACH, in 2026 of which approximately $3,637 was spent during the nine months ended December 31, 2024 resulting in an approximate remaining spend as of December 31, 2024 of $29,043 by the first half of 2025.</w:t>
      </w:r>
      <w:r>
        <w:rPr>
          <w:rFonts w:ascii="Times New Roman" w:cs="Times New Roman" w:eastAsia="Times New Roman" w:hAnsi="Times New Roman"/>
          <w:sz w:val="23"/>
          <w:szCs w:val="23"/>
          <w:color w:val="auto"/>
          <w:vertAlign w:val="superscript"/>
        </w:rPr>
        <w:t>17</w:t>
      </w:r>
    </w:p>
    <w:p>
      <w:pPr>
        <w:spacing w:after="0" w:line="1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15354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3" w:right="20" w:hanging="3"/>
        <w:spacing w:after="0" w:line="243" w:lineRule="auto"/>
        <w:tabs>
          <w:tab w:leader="none" w:pos="146"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63" w:hanging="163"/>
        <w:spacing w:after="0" w:line="186" w:lineRule="auto"/>
        <w:tabs>
          <w:tab w:leader="none" w:pos="163"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footnote 10.</w:t>
      </w:r>
    </w:p>
    <w:p>
      <w:pPr>
        <w:spacing w:after="0" w:line="20" w:lineRule="exact"/>
        <w:rPr>
          <w:rFonts w:ascii="Times New Roman" w:cs="Times New Roman" w:eastAsia="Times New Roman" w:hAnsi="Times New Roman"/>
          <w:sz w:val="23"/>
          <w:szCs w:val="23"/>
          <w:color w:val="auto"/>
          <w:vertAlign w:val="superscript"/>
        </w:rPr>
      </w:pPr>
    </w:p>
    <w:p>
      <w:pPr>
        <w:ind w:left="183" w:hanging="183"/>
        <w:spacing w:after="0" w:line="180" w:lineRule="auto"/>
        <w:tabs>
          <w:tab w:leader="none" w:pos="183"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 10.</w:t>
      </w:r>
    </w:p>
    <w:p>
      <w:pPr>
        <w:spacing w:after="0" w:line="45" w:lineRule="exact"/>
        <w:rPr>
          <w:rFonts w:ascii="Times New Roman" w:cs="Times New Roman" w:eastAsia="Times New Roman" w:hAnsi="Times New Roman"/>
          <w:sz w:val="20"/>
          <w:szCs w:val="20"/>
          <w:color w:val="auto"/>
          <w:vertAlign w:val="superscript"/>
        </w:rPr>
      </w:pPr>
    </w:p>
    <w:p>
      <w:pPr>
        <w:jc w:val="both"/>
        <w:ind w:left="3" w:hanging="3"/>
        <w:spacing w:after="0" w:line="217" w:lineRule="auto"/>
        <w:tabs>
          <w:tab w:leader="none" w:pos="177"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had previously estimated that its spending to complete this milestone would be $13,276.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footnotes 9 and 10.</w:t>
      </w:r>
    </w:p>
    <w:p>
      <w:pPr>
        <w:spacing w:after="0" w:line="41" w:lineRule="exact"/>
        <w:rPr>
          <w:rFonts w:ascii="Times New Roman" w:cs="Times New Roman" w:eastAsia="Times New Roman" w:hAnsi="Times New Roman"/>
          <w:sz w:val="25"/>
          <w:szCs w:val="25"/>
          <w:color w:val="auto"/>
          <w:vertAlign w:val="superscript"/>
        </w:rPr>
      </w:pPr>
    </w:p>
    <w:p>
      <w:pPr>
        <w:jc w:val="both"/>
        <w:ind w:left="3" w:hanging="3"/>
        <w:spacing w:after="0" w:line="222" w:lineRule="auto"/>
        <w:tabs>
          <w:tab w:leader="none" w:pos="189"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had previously estimated that its spending to complete this milestone would be $750.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footnote 10.</w:t>
      </w:r>
    </w:p>
    <w:p>
      <w:pPr>
        <w:ind w:left="183" w:hanging="183"/>
        <w:spacing w:after="0" w:line="186" w:lineRule="auto"/>
        <w:tabs>
          <w:tab w:leader="none" w:pos="183"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footnote 10.</w:t>
      </w:r>
    </w:p>
    <w:p>
      <w:pPr>
        <w:spacing w:after="0" w:line="20" w:lineRule="exact"/>
        <w:rPr>
          <w:rFonts w:ascii="Times New Roman" w:cs="Times New Roman" w:eastAsia="Times New Roman" w:hAnsi="Times New Roman"/>
          <w:sz w:val="23"/>
          <w:szCs w:val="23"/>
          <w:color w:val="auto"/>
          <w:vertAlign w:val="superscript"/>
        </w:rPr>
      </w:pPr>
    </w:p>
    <w:p>
      <w:pPr>
        <w:ind w:left="183" w:hanging="183"/>
        <w:spacing w:after="0" w:line="180" w:lineRule="auto"/>
        <w:tabs>
          <w:tab w:leader="none" w:pos="183"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 10.</w:t>
      </w:r>
    </w:p>
    <w:p>
      <w:pPr>
        <w:spacing w:after="0" w:line="20" w:lineRule="exact"/>
        <w:rPr>
          <w:rFonts w:ascii="Times New Roman" w:cs="Times New Roman" w:eastAsia="Times New Roman" w:hAnsi="Times New Roman"/>
          <w:sz w:val="20"/>
          <w:szCs w:val="20"/>
          <w:color w:val="auto"/>
          <w:vertAlign w:val="superscript"/>
        </w:rPr>
      </w:pPr>
    </w:p>
    <w:p>
      <w:pPr>
        <w:ind w:left="183" w:hanging="183"/>
        <w:spacing w:after="0" w:line="180" w:lineRule="auto"/>
        <w:tabs>
          <w:tab w:leader="none" w:pos="183"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3"/>
          </w:cols>
          <w:pgMar w:left="317" w:top="130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Deuterated Dimethyltryptamine Program</w:t>
      </w:r>
    </w:p>
    <w:p>
      <w:pPr>
        <w:spacing w:after="0" w:line="2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Company’s proprietary deuterated dimethyltryptamine (“</w:t>
      </w:r>
      <w:r>
        <w:rPr>
          <w:rFonts w:ascii="Times New Roman" w:cs="Times New Roman" w:eastAsia="Times New Roman" w:hAnsi="Times New Roman"/>
          <w:sz w:val="18"/>
          <w:szCs w:val="18"/>
          <w:b w:val="1"/>
          <w:bCs w:val="1"/>
          <w:color w:val="auto"/>
        </w:rPr>
        <w:t>dDMT</w:t>
      </w:r>
      <w:r>
        <w:rPr>
          <w:rFonts w:ascii="Times New Roman" w:cs="Times New Roman" w:eastAsia="Times New Roman" w:hAnsi="Times New Roman"/>
          <w:sz w:val="18"/>
          <w:szCs w:val="18"/>
          <w:color w:val="auto"/>
        </w:rPr>
        <w:t>”) program CYB004 is being developed as an intermittent treatment with the potential for less invasive, more convenient and patient-friendly dosing methods for the potential treatment of GAD. A single intramuscular (“IM”) dose is expected to result in acute psychedelic effects lasting an average of 90 minutes.</w:t>
      </w:r>
    </w:p>
    <w:p>
      <w:pPr>
        <w:spacing w:after="0" w:line="19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these completed studies are as follows:</w:t>
      </w:r>
    </w:p>
    <w:p>
      <w:pPr>
        <w:spacing w:after="0" w:line="264" w:lineRule="exact"/>
        <w:rPr>
          <w:sz w:val="20"/>
          <w:szCs w:val="20"/>
          <w:color w:val="auto"/>
        </w:rPr>
      </w:pPr>
    </w:p>
    <w:p>
      <w:pPr>
        <w:ind w:left="560" w:hanging="276"/>
        <w:spacing w:after="0"/>
        <w:tabs>
          <w:tab w:leader="none" w:pos="560" w:val="left"/>
        </w:tabs>
        <w:numPr>
          <w:ilvl w:val="0"/>
          <w:numId w:val="27"/>
        </w:numPr>
        <w:rPr>
          <w:rFonts w:ascii="Calibri" w:cs="Calibri" w:eastAsia="Calibri" w:hAnsi="Calibri"/>
          <w:sz w:val="17"/>
          <w:szCs w:val="17"/>
          <w:color w:val="auto"/>
        </w:rPr>
      </w:pPr>
      <w:r>
        <w:rPr>
          <w:rFonts w:ascii="Times New Roman" w:cs="Times New Roman" w:eastAsia="Times New Roman" w:hAnsi="Times New Roman"/>
          <w:sz w:val="17"/>
          <w:szCs w:val="17"/>
          <w:color w:val="auto"/>
        </w:rPr>
        <w:t>Phase 2a safety and efficacy data for SPL026 (IV DMT) in 34 participants with MDD, demonstrating a clinically relevant and statistically significant</w:t>
      </w:r>
    </w:p>
    <w:p>
      <w:pPr>
        <w:spacing w:after="0" w:line="58" w:lineRule="exact"/>
        <w:rPr>
          <w:rFonts w:ascii="Calibri" w:cs="Calibri" w:eastAsia="Calibri" w:hAnsi="Calibri"/>
          <w:sz w:val="17"/>
          <w:szCs w:val="17"/>
          <w:color w:val="auto"/>
        </w:rPr>
      </w:pPr>
    </w:p>
    <w:p>
      <w:pPr>
        <w:jc w:val="both"/>
        <w:ind w:left="580"/>
        <w:spacing w:after="0" w:line="285"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ind w:left="580" w:hanging="296"/>
        <w:spacing w:after="0" w:line="292" w:lineRule="auto"/>
        <w:tabs>
          <w:tab w:leader="none" w:pos="576" w:val="left"/>
        </w:tabs>
        <w:numPr>
          <w:ilvl w:val="0"/>
          <w:numId w:val="2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study evaluating IM SPL026 supporting IM administration for patient-friendly dosing. The study demonstrated that IM DMT is well-tolerated and generates a breakthrough psychedelic experience lasting approximately 45 minutes.</w:t>
      </w:r>
    </w:p>
    <w:p>
      <w:pPr>
        <w:ind w:left="560" w:hanging="276"/>
        <w:spacing w:after="0"/>
        <w:tabs>
          <w:tab w:leader="none" w:pos="560" w:val="left"/>
        </w:tabs>
        <w:numPr>
          <w:ilvl w:val="0"/>
          <w:numId w:val="2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study evaluating IM SPL028 supporting IM administration for patient-friendly dosing. The completed Phase 1 study of IV/IM SPL028 in</w:t>
      </w:r>
    </w:p>
    <w:p>
      <w:pPr>
        <w:spacing w:after="0" w:line="46" w:lineRule="exact"/>
        <w:rPr>
          <w:rFonts w:ascii="Calibri" w:cs="Calibri" w:eastAsia="Calibri" w:hAnsi="Calibri"/>
          <w:sz w:val="18"/>
          <w:szCs w:val="18"/>
          <w:color w:val="auto"/>
        </w:rPr>
      </w:pPr>
    </w:p>
    <w:p>
      <w:pPr>
        <w:ind w:left="580"/>
        <w:spacing w:after="0" w:line="286"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healthy volunteers showed that SPL028 is safe and well-tolerated, and demonstrated that IM dosing of SPL028 produced robust psychedelic effects lasting a short duration (average approximately 90 minutes) in the majority of subjects.</w:t>
      </w:r>
    </w:p>
    <w:p>
      <w:pPr>
        <w:ind w:left="560" w:hanging="276"/>
        <w:spacing w:after="0"/>
        <w:tabs>
          <w:tab w:leader="none" w:pos="560" w:val="left"/>
        </w:tabs>
        <w:numPr>
          <w:ilvl w:val="0"/>
          <w:numId w:val="27"/>
        </w:numPr>
        <w:rPr>
          <w:rFonts w:ascii="Calibri" w:cs="Calibri" w:eastAsia="Calibri" w:hAnsi="Calibri"/>
          <w:sz w:val="17"/>
          <w:szCs w:val="17"/>
          <w:color w:val="auto"/>
        </w:rPr>
      </w:pPr>
      <w:r>
        <w:rPr>
          <w:rFonts w:ascii="Times New Roman" w:cs="Times New Roman" w:eastAsia="Times New Roman" w:hAnsi="Times New Roman"/>
          <w:sz w:val="17"/>
          <w:szCs w:val="17"/>
          <w:color w:val="auto"/>
        </w:rPr>
        <w:t>Phase 1b study evaluating the safety and efficacy of SPL026 in conjunction with selective serotonin reuptake inhibitors (“</w:t>
      </w:r>
      <w:r>
        <w:rPr>
          <w:rFonts w:ascii="Times New Roman" w:cs="Times New Roman" w:eastAsia="Times New Roman" w:hAnsi="Times New Roman"/>
          <w:sz w:val="17"/>
          <w:szCs w:val="17"/>
          <w:b w:val="1"/>
          <w:bCs w:val="1"/>
          <w:color w:val="auto"/>
        </w:rPr>
        <w:t>SSRIs</w:t>
      </w:r>
      <w:r>
        <w:rPr>
          <w:rFonts w:ascii="Times New Roman" w:cs="Times New Roman" w:eastAsia="Times New Roman" w:hAnsi="Times New Roman"/>
          <w:sz w:val="17"/>
          <w:szCs w:val="17"/>
          <w:color w:val="auto"/>
        </w:rPr>
        <w:t>”) in 17 participants</w:t>
      </w:r>
    </w:p>
    <w:p>
      <w:pPr>
        <w:spacing w:after="0" w:line="60" w:lineRule="exact"/>
        <w:rPr>
          <w:rFonts w:ascii="Calibri" w:cs="Calibri" w:eastAsia="Calibri" w:hAnsi="Calibri"/>
          <w:sz w:val="17"/>
          <w:szCs w:val="17"/>
          <w:color w:val="auto"/>
        </w:rPr>
      </w:pPr>
    </w:p>
    <w:p>
      <w:pPr>
        <w:ind w:left="580"/>
        <w:spacing w:after="0" w:line="287"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with MDD, demonstrating no relevant drug-drug interactions, a favorable safety profile and enhanced efficacy when SPL026 was administered with SSRIs, and a 92% remission rate at 4 weeks in the DMT + SSRI combination cohort (n=12).</w:t>
      </w:r>
    </w:p>
    <w:p>
      <w:pPr>
        <w:ind w:left="580" w:hanging="296"/>
        <w:spacing w:after="0" w:line="322" w:lineRule="auto"/>
        <w:tabs>
          <w:tab w:leader="none" w:pos="576" w:val="left"/>
        </w:tabs>
        <w:numPr>
          <w:ilvl w:val="0"/>
          <w:numId w:val="2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16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03" w:right="339" w:bottom="1440" w:gutter="0" w:footer="0" w:header="0"/>
        </w:sectPr>
      </w:pPr>
    </w:p>
    <w:bookmarkStart w:id="44" w:name="page45"/>
    <w:bookmarkEnd w:id="44"/>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activates the serotonin 5-HT</w:t>
      </w:r>
      <w:r>
        <w:rPr>
          <w:rFonts w:ascii="Times New Roman" w:cs="Times New Roman" w:eastAsia="Times New Roman" w:hAnsi="Times New Roman"/>
          <w:sz w:val="23"/>
          <w:szCs w:val="23"/>
          <w:color w:val="auto"/>
          <w:vertAlign w:val="subscript"/>
        </w:rPr>
        <w:t>2A</w:t>
      </w:r>
      <w:r>
        <w:rPr>
          <w:rFonts w:ascii="Times New Roman" w:cs="Times New Roman" w:eastAsia="Times New Roman" w:hAnsi="Times New Roman"/>
          <w:sz w:val="18"/>
          <w:szCs w:val="18"/>
          <w:color w:val="auto"/>
        </w:rPr>
        <w:t xml:space="preserve"> receptor, which is believed to mediate the potential therapeutic effects of DMT.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18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5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Phase 1 CYB004-E DMT Study</w:t>
      </w:r>
    </w:p>
    <w:p>
      <w:pPr>
        <w:spacing w:after="0" w:line="25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8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8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320" w:top="1237" w:right="319" w:bottom="1440" w:gutter="0" w:footer="0" w:header="0"/>
        </w:sectPr>
      </w:pPr>
    </w:p>
    <w:bookmarkStart w:id="45" w:name="page46"/>
    <w:bookmarkEnd w:id="45"/>
    <w:p>
      <w:pPr>
        <w:jc w:val="both"/>
        <w:spacing w:after="0" w:line="294" w:lineRule="auto"/>
        <w:rPr>
          <w:sz w:val="20"/>
          <w:szCs w:val="20"/>
          <w:color w:val="auto"/>
        </w:rPr>
      </w:pPr>
      <w:r>
        <w:rPr>
          <w:rFonts w:ascii="Times New Roman" w:cs="Times New Roman" w:eastAsia="Times New Roman" w:hAnsi="Times New Roman"/>
          <w:sz w:val="18"/>
          <w:szCs w:val="18"/>
          <w:color w:val="auto"/>
        </w:rPr>
        <w:t>(IV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6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spacing w:after="0" w:line="180" w:lineRule="exact"/>
        <w:rPr>
          <w:sz w:val="20"/>
          <w:szCs w:val="20"/>
          <w:color w:val="auto"/>
        </w:rPr>
      </w:pPr>
    </w:p>
    <w:p>
      <w:pPr>
        <w:ind w:left="560" w:hanging="276"/>
        <w:spacing w:after="0"/>
        <w:tabs>
          <w:tab w:leader="none" w:pos="560" w:val="left"/>
        </w:tabs>
        <w:numPr>
          <w:ilvl w:val="0"/>
          <w:numId w:val="2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w:t>
      </w:r>
    </w:p>
    <w:p>
      <w:pPr>
        <w:spacing w:after="0" w:line="46" w:lineRule="exact"/>
        <w:rPr>
          <w:rFonts w:ascii="Calibri" w:cs="Calibri" w:eastAsia="Calibri" w:hAnsi="Calibri"/>
          <w:sz w:val="18"/>
          <w:szCs w:val="18"/>
          <w:color w:val="auto"/>
        </w:rPr>
      </w:pPr>
    </w:p>
    <w:p>
      <w:pPr>
        <w:ind w:left="580"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native DMT. These psychedelic effects were rapid in onset when administered as an IV bolus over five minutes and persisted for about 40 minutes after the bolus without the need for an extended infusion.</w:t>
      </w:r>
    </w:p>
    <w:p>
      <w:pPr>
        <w:ind w:left="580" w:right="20" w:hanging="296"/>
        <w:spacing w:after="0" w:line="285" w:lineRule="auto"/>
        <w:tabs>
          <w:tab w:leader="none" w:pos="576" w:val="left"/>
        </w:tabs>
        <w:numPr>
          <w:ilvl w:val="0"/>
          <w:numId w:val="2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ind w:left="580" w:hanging="296"/>
        <w:spacing w:after="0" w:line="336" w:lineRule="auto"/>
        <w:tabs>
          <w:tab w:leader="none" w:pos="576" w:val="left"/>
        </w:tabs>
        <w:numPr>
          <w:ilvl w:val="0"/>
          <w:numId w:val="28"/>
        </w:numPr>
        <w:rPr>
          <w:rFonts w:ascii="Calibri" w:cs="Calibri" w:eastAsia="Calibri" w:hAnsi="Calibri"/>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 study of CYB004 in GAD.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15, 2024, the Company announced that it had initiated a Phase 2 study of IM CYB004 in participants with moderate to severe GAD.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Phase 2 CYB004 Study in GAD</w:t>
      </w:r>
    </w:p>
    <w:p>
      <w:pPr>
        <w:spacing w:after="0" w:line="25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sub-therapeutic doses of CYB004. The primary endpoint is a change in the Hamilton Anxiety Rating Scale score from baseline at six weeks following the second dose. Other endpoints include the HAM-D (Hamilton Depression Rating Scale), safety assessments, MEQ30 (psychedelic experience assessment) and EQ-5D-5L (quality of life assessment). Participants will be followed for up to a year. Results from this study are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1303" w:right="319" w:bottom="1440" w:gutter="0" w:footer="0" w:header="0"/>
        </w:sectPr>
      </w:pPr>
    </w:p>
    <w:bookmarkStart w:id="46" w:name="page47"/>
    <w:bookmarkEnd w:id="46"/>
    <w:p>
      <w:pPr>
        <w:ind w:left="3"/>
        <w:spacing w:after="0"/>
        <w:rPr>
          <w:sz w:val="20"/>
          <w:szCs w:val="20"/>
          <w:color w:val="auto"/>
        </w:rPr>
      </w:pPr>
      <w:r>
        <w:rPr>
          <w:rFonts w:ascii="Times New Roman" w:cs="Times New Roman" w:eastAsia="Times New Roman" w:hAnsi="Times New Roman"/>
          <w:sz w:val="18"/>
          <w:szCs w:val="18"/>
          <w:color w:val="auto"/>
        </w:rPr>
        <w:t>provide proof of concept for CYB004’s efficacy in GAD, the time to onset of effects, as well as durability of effects to one year.</w:t>
      </w:r>
    </w:p>
    <w:p>
      <w:pPr>
        <w:spacing w:after="0" w:line="264" w:lineRule="exact"/>
        <w:rPr>
          <w:sz w:val="20"/>
          <w:szCs w:val="20"/>
          <w:color w:val="auto"/>
        </w:rPr>
      </w:pPr>
    </w:p>
    <w:p>
      <w:pPr>
        <w:ind w:left="3" w:right="20"/>
        <w:spacing w:after="0" w:line="309" w:lineRule="auto"/>
        <w:rPr>
          <w:sz w:val="20"/>
          <w:szCs w:val="20"/>
          <w:color w:val="auto"/>
        </w:rPr>
      </w:pPr>
      <w:r>
        <w:rPr>
          <w:rFonts w:ascii="Times New Roman" w:cs="Times New Roman" w:eastAsia="Times New Roman" w:hAnsi="Times New Roman"/>
          <w:sz w:val="18"/>
          <w:szCs w:val="18"/>
          <w:color w:val="auto"/>
        </w:rPr>
        <w:t>The Company spent approximately $8,569 on its Deuterated Dimethyltryptamine Program during the nine months ended December 31, 2024 related to the milestones detailed below.</w:t>
      </w:r>
    </w:p>
    <w:p>
      <w:pPr>
        <w:spacing w:after="0" w:line="168" w:lineRule="exact"/>
        <w:rPr>
          <w:sz w:val="20"/>
          <w:szCs w:val="20"/>
          <w:color w:val="auto"/>
        </w:rPr>
      </w:pPr>
    </w:p>
    <w:p>
      <w:pPr>
        <w:ind w:left="3" w:right="20"/>
        <w:spacing w:after="0" w:line="323"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156" w:lineRule="exact"/>
        <w:rPr>
          <w:sz w:val="20"/>
          <w:szCs w:val="20"/>
          <w:color w:val="auto"/>
        </w:rPr>
      </w:pPr>
    </w:p>
    <w:p>
      <w:pPr>
        <w:ind w:left="563" w:hanging="276"/>
        <w:spacing w:after="0"/>
        <w:tabs>
          <w:tab w:leader="none" w:pos="563" w:val="left"/>
        </w:tabs>
        <w:numPr>
          <w:ilvl w:val="0"/>
          <w:numId w:val="2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topline safety and efficacy data from Phase 2 GAD study in the first half of 2025.</w:t>
      </w:r>
      <w:r>
        <w:rPr>
          <w:rFonts w:ascii="Times New Roman" w:cs="Times New Roman" w:eastAsia="Times New Roman" w:hAnsi="Times New Roman"/>
          <w:sz w:val="23"/>
          <w:szCs w:val="23"/>
          <w:color w:val="auto"/>
          <w:vertAlign w:val="superscript"/>
        </w:rPr>
        <w:t>18</w:t>
      </w:r>
    </w:p>
    <w:p>
      <w:pPr>
        <w:spacing w:after="0" w:line="219" w:lineRule="exact"/>
        <w:rPr>
          <w:sz w:val="20"/>
          <w:szCs w:val="20"/>
          <w:color w:val="auto"/>
        </w:rPr>
      </w:pPr>
    </w:p>
    <w:p>
      <w:pPr>
        <w:jc w:val="both"/>
        <w:ind w:left="3"/>
        <w:spacing w:after="0" w:line="302" w:lineRule="auto"/>
        <w:rPr>
          <w:sz w:val="20"/>
          <w:szCs w:val="20"/>
          <w:color w:val="auto"/>
        </w:rPr>
      </w:pPr>
      <w:r>
        <w:rPr>
          <w:rFonts w:ascii="Times New Roman" w:cs="Times New Roman" w:eastAsia="Times New Roman" w:hAnsi="Times New Roman"/>
          <w:sz w:val="18"/>
          <w:szCs w:val="18"/>
          <w:color w:val="auto"/>
        </w:rPr>
        <w:t>The Company expects to spend approximately $10,014 to provide topline safety and efficacy data from Phase 2 GAD study in the first half of 2025 of which approximately $4,534 was spent during the nine months ended December 31, 2024 and approximately $58 was spent during the financial year ended March 31, 2024, resulting in an approximate remaining spend as of December 31, 2024 of $5,422 by the first half of 2025.</w:t>
      </w:r>
      <w:r>
        <w:rPr>
          <w:rFonts w:ascii="Times New Roman" w:cs="Times New Roman" w:eastAsia="Times New Roman" w:hAnsi="Times New Roman"/>
          <w:sz w:val="23"/>
          <w:szCs w:val="23"/>
          <w:color w:val="auto"/>
          <w:vertAlign w:val="superscript"/>
        </w:rPr>
        <w:t>19</w:t>
      </w:r>
    </w:p>
    <w:p>
      <w:pPr>
        <w:spacing w:after="0" w:line="1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w:t>
      </w:r>
    </w:p>
    <w:p>
      <w:pPr>
        <w:spacing w:after="0" w:line="252" w:lineRule="exact"/>
        <w:rPr>
          <w:sz w:val="20"/>
          <w:szCs w:val="20"/>
          <w:color w:val="auto"/>
        </w:rPr>
      </w:pPr>
    </w:p>
    <w:p>
      <w:pPr>
        <w:jc w:val="both"/>
        <w:ind w:left="3" w:right="20"/>
        <w:spacing w:after="0" w:line="308"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20</w:t>
      </w:r>
    </w:p>
    <w:p>
      <w:pPr>
        <w:spacing w:after="0" w:line="1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Phenethylamine Derivatives Program (CYB005)</w:t>
      </w:r>
    </w:p>
    <w:p>
      <w:pPr>
        <w:spacing w:after="0" w:line="252"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CNS disorders, neuroinflammation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5354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94" w:lineRule="exact"/>
        <w:rPr>
          <w:sz w:val="20"/>
          <w:szCs w:val="20"/>
          <w:color w:val="auto"/>
        </w:rPr>
      </w:pPr>
    </w:p>
    <w:p>
      <w:pPr>
        <w:ind w:left="123" w:hanging="123"/>
        <w:spacing w:after="0"/>
        <w:tabs>
          <w:tab w:leader="none" w:pos="123"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10.</w:t>
      </w:r>
    </w:p>
    <w:p>
      <w:pPr>
        <w:spacing w:after="0" w:line="20" w:lineRule="exact"/>
        <w:rPr>
          <w:rFonts w:ascii="Times New Roman" w:cs="Times New Roman" w:eastAsia="Times New Roman" w:hAnsi="Times New Roman"/>
          <w:sz w:val="18"/>
          <w:szCs w:val="18"/>
          <w:color w:val="auto"/>
          <w:vertAlign w:val="superscript"/>
        </w:rPr>
      </w:pPr>
    </w:p>
    <w:p>
      <w:pPr>
        <w:jc w:val="both"/>
        <w:ind w:left="3" w:hanging="3"/>
        <w:spacing w:after="0" w:line="256" w:lineRule="auto"/>
        <w:tabs>
          <w:tab w:leader="none" w:pos="144"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had previously estimated that its spending to complete this milestone would be $5,720. Anticipated timing and spending regarding drug development is based on reasonable assumptions informed by current knowledge and information available to the Company. Such statements are informed by, among other things, regulatory guidelines for developing a drug with</w:t>
      </w:r>
    </w:p>
    <w:p>
      <w:pPr>
        <w:spacing w:after="0" w:line="2" w:lineRule="exact"/>
        <w:rPr>
          <w:rFonts w:ascii="Times New Roman" w:cs="Times New Roman" w:eastAsia="Times New Roman" w:hAnsi="Times New Roman"/>
          <w:sz w:val="18"/>
          <w:szCs w:val="18"/>
          <w:color w:val="auto"/>
          <w:vertAlign w:val="superscript"/>
        </w:rPr>
      </w:pPr>
    </w:p>
    <w:p>
      <w:pPr>
        <w:ind w:left="3" w:right="20"/>
        <w:spacing w:after="0" w:line="269"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footnote 10.</w:t>
      </w:r>
    </w:p>
    <w:p>
      <w:pPr>
        <w:ind w:left="123" w:hanging="123"/>
        <w:spacing w:after="0" w:line="224" w:lineRule="auto"/>
        <w:tabs>
          <w:tab w:leader="none" w:pos="123"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3"/>
          </w:cols>
          <w:pgMar w:left="317" w:top="1303" w:right="319" w:bottom="1440" w:gutter="0" w:footer="0" w:header="0"/>
        </w:sectPr>
      </w:pPr>
    </w:p>
    <w:bookmarkStart w:id="47" w:name="page48"/>
    <w:bookmarkEnd w:id="47"/>
    <w:p>
      <w:pPr>
        <w:jc w:val="both"/>
        <w:ind w:left="3" w:right="20"/>
        <w:spacing w:after="0" w:line="269" w:lineRule="auto"/>
        <w:rPr>
          <w:sz w:val="20"/>
          <w:szCs w:val="20"/>
          <w:color w:val="auto"/>
        </w:rPr>
      </w:pPr>
      <w:r>
        <w:rPr>
          <w:rFonts w:ascii="Times New Roman" w:cs="Times New Roman" w:eastAsia="Times New Roman" w:hAnsi="Times New Roman"/>
          <w:sz w:val="18"/>
          <w:szCs w:val="18"/>
          <w:color w:val="auto"/>
        </w:rPr>
        <w:t>neurological conditions.</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 xml:space="preserve"> The Company is investigating novel molecules within the CYB005 program at non-hallucinogenic doses for a range of CNS disorders. In addition, the Company is continuing to explore non-hallucinogenic neuroplastogens within its broader discovery pipeline, as well as targeted serotonin 5-HT</w:t>
      </w:r>
      <w:r>
        <w:rPr>
          <w:rFonts w:ascii="Times New Roman" w:cs="Times New Roman" w:eastAsia="Times New Roman" w:hAnsi="Times New Roman"/>
          <w:sz w:val="23"/>
          <w:szCs w:val="23"/>
          <w:color w:val="auto"/>
          <w:vertAlign w:val="subscript"/>
        </w:rPr>
        <w:t>1A</w:t>
      </w:r>
      <w:r>
        <w:rPr>
          <w:rFonts w:ascii="Times New Roman" w:cs="Times New Roman" w:eastAsia="Times New Roman" w:hAnsi="Times New Roman"/>
          <w:sz w:val="18"/>
          <w:szCs w:val="18"/>
          <w:color w:val="auto"/>
        </w:rPr>
        <w:t xml:space="preserve"> and 5-HT</w:t>
      </w:r>
      <w:r>
        <w:rPr>
          <w:rFonts w:ascii="Times New Roman" w:cs="Times New Roman" w:eastAsia="Times New Roman" w:hAnsi="Times New Roman"/>
          <w:sz w:val="23"/>
          <w:szCs w:val="23"/>
          <w:color w:val="auto"/>
          <w:vertAlign w:val="subscript"/>
        </w:rPr>
        <w:t>2C</w:t>
      </w:r>
      <w:r>
        <w:rPr>
          <w:rFonts w:ascii="Times New Roman" w:cs="Times New Roman" w:eastAsia="Times New Roman" w:hAnsi="Times New Roman"/>
          <w:sz w:val="18"/>
          <w:szCs w:val="18"/>
          <w:color w:val="auto"/>
        </w:rPr>
        <w:t xml:space="preserve"> receptor agonists</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99" w:lineRule="exact"/>
        <w:rPr>
          <w:sz w:val="20"/>
          <w:szCs w:val="20"/>
          <w:color w:val="auto"/>
        </w:rPr>
      </w:pPr>
    </w:p>
    <w:p>
      <w:pPr>
        <w:jc w:val="both"/>
        <w:ind w:left="3" w:right="20"/>
        <w:spacing w:after="0" w:line="291"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84"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56"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On October 24, 2024, the Company announced that the United States Patent and Trademark Office granted U.S. patent 12,122,741 with claims to the composition of matter of lead preclinical candidates in the Company's CYB005 phenethylamines program.</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$27 on its preclinical Phenethylamine Derivatives Program during the nine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5354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65" w:lineRule="exact"/>
        <w:rPr>
          <w:sz w:val="20"/>
          <w:szCs w:val="20"/>
          <w:color w:val="auto"/>
        </w:rPr>
      </w:pPr>
    </w:p>
    <w:p>
      <w:pPr>
        <w:jc w:val="both"/>
        <w:ind w:left="3" w:hanging="3"/>
        <w:spacing w:after="0" w:line="253" w:lineRule="auto"/>
        <w:tabs>
          <w:tab w:leader="none" w:pos="146"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 w:lineRule="exact"/>
        <w:rPr>
          <w:rFonts w:ascii="Times New Roman" w:cs="Times New Roman" w:eastAsia="Times New Roman" w:hAnsi="Times New Roman"/>
          <w:sz w:val="19"/>
          <w:szCs w:val="19"/>
          <w:color w:val="auto"/>
          <w:vertAlign w:val="superscript"/>
        </w:rPr>
      </w:pPr>
    </w:p>
    <w:p>
      <w:pPr>
        <w:ind w:left="183" w:hanging="183"/>
        <w:spacing w:after="0" w:line="186" w:lineRule="auto"/>
        <w:tabs>
          <w:tab w:leader="none" w:pos="183"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footnotes 10 and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3"/>
          </w:cols>
          <w:pgMar w:left="317" w:top="1303" w:right="319" w:bottom="1440" w:gutter="0" w:footer="0" w:header="0"/>
        </w:sectPr>
      </w:pPr>
    </w:p>
    <w:bookmarkStart w:id="48" w:name="page49"/>
    <w:bookmarkEnd w:id="48"/>
    <w:p>
      <w:pPr>
        <w:spacing w:after="0" w:line="82"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23</w:t>
      </w:r>
    </w:p>
    <w:p>
      <w:pPr>
        <w:spacing w:after="0" w:line="101" w:lineRule="exact"/>
        <w:rPr>
          <w:sz w:val="20"/>
          <w:szCs w:val="20"/>
          <w:color w:val="auto"/>
        </w:rPr>
      </w:pPr>
    </w:p>
    <w:p>
      <w:pPr>
        <w:jc w:val="both"/>
        <w:ind w:left="3" w:right="20"/>
        <w:spacing w:after="0" w:line="269"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of which approximately $27 was spent in the nine months ended December 31, 2024, approximately $83 was spent during the twelve months ended March 31, 2024, and approximately $782 was spent during the financial year ended March 31, 2023 resulting in an approximate remaining spend as of December 31, 2024 of $8. The Company intends to continue funding the Phenethylamine Derivatives Program (CYB005) Program.</w:t>
      </w:r>
    </w:p>
    <w:p>
      <w:pPr>
        <w:spacing w:after="0" w:line="2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254"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51" w:lineRule="exact"/>
        <w:rPr>
          <w:sz w:val="20"/>
          <w:szCs w:val="20"/>
          <w:color w:val="auto"/>
        </w:rPr>
      </w:pPr>
    </w:p>
    <w:p>
      <w:pPr>
        <w:jc w:val="both"/>
        <w:ind w:left="3"/>
        <w:spacing w:after="0" w:line="301"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88"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15354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381" w:lineRule="exact"/>
        <w:rPr>
          <w:sz w:val="20"/>
          <w:szCs w:val="20"/>
          <w:color w:val="auto"/>
        </w:rPr>
      </w:pPr>
    </w:p>
    <w:p>
      <w:pPr>
        <w:ind w:left="123" w:hanging="123"/>
        <w:spacing w:after="0"/>
        <w:tabs>
          <w:tab w:leader="none" w:pos="123"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10.</w:t>
      </w:r>
    </w:p>
    <w:p>
      <w:pPr>
        <w:spacing w:after="0" w:line="8" w:lineRule="exact"/>
        <w:rPr>
          <w:rFonts w:ascii="Times New Roman" w:cs="Times New Roman" w:eastAsia="Times New Roman" w:hAnsi="Times New Roman"/>
          <w:sz w:val="18"/>
          <w:szCs w:val="18"/>
          <w:color w:val="auto"/>
          <w:vertAlign w:val="superscript"/>
        </w:rPr>
      </w:pPr>
    </w:p>
    <w:p>
      <w:pPr>
        <w:jc w:val="both"/>
        <w:ind w:left="3" w:hanging="3"/>
        <w:spacing w:after="0" w:line="244" w:lineRule="auto"/>
        <w:tabs>
          <w:tab w:leader="none" w:pos="157"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Reflects actual spend during the financial year ended March 31, 2024, the nine months ended December 31, 2024, and expected spend during the period from July 1, 2024 until the achievement of 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5" w:lineRule="exact"/>
        <w:rPr>
          <w:rFonts w:ascii="Times New Roman" w:cs="Times New Roman" w:eastAsia="Times New Roman" w:hAnsi="Times New Roman"/>
          <w:sz w:val="19"/>
          <w:szCs w:val="19"/>
          <w:color w:val="auto"/>
          <w:vertAlign w:val="superscript"/>
        </w:rPr>
      </w:pPr>
    </w:p>
    <w:p>
      <w:pPr>
        <w:jc w:val="both"/>
        <w:ind w:left="3" w:right="20" w:hanging="3"/>
        <w:spacing w:after="0" w:line="255" w:lineRule="auto"/>
        <w:tabs>
          <w:tab w:leader="none" w:pos="161"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Q3 2023. The Company now expects to complete preclinical 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3"/>
          </w:cols>
          <w:pgMar w:left="317" w:top="1440" w:right="319" w:bottom="1440" w:gutter="0" w:footer="0" w:header="0"/>
        </w:sectPr>
      </w:pPr>
    </w:p>
    <w:bookmarkStart w:id="49" w:name="page50"/>
    <w:bookmarkEnd w:id="49"/>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66" w:lineRule="exact"/>
        <w:rPr>
          <w:sz w:val="20"/>
          <w:szCs w:val="20"/>
          <w:color w:val="auto"/>
        </w:rPr>
      </w:pPr>
    </w:p>
    <w:p>
      <w:pPr>
        <w:jc w:val="both"/>
        <w:ind w:left="3" w:right="20"/>
        <w:spacing w:after="0" w:line="311"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55"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67"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 and pulse rate variability (“</w:t>
      </w:r>
      <w:r>
        <w:rPr>
          <w:rFonts w:ascii="Times New Roman" w:cs="Times New Roman" w:eastAsia="Times New Roman" w:hAnsi="Times New Roman"/>
          <w:sz w:val="18"/>
          <w:szCs w:val="18"/>
          <w:b w:val="1"/>
          <w:bCs w:val="1"/>
          <w:color w:val="auto"/>
        </w:rPr>
        <w:t>PRV</w:t>
      </w:r>
      <w:r>
        <w:rPr>
          <w:rFonts w:ascii="Times New Roman" w:cs="Times New Roman" w:eastAsia="Times New Roman" w:hAnsi="Times New Roman"/>
          <w:sz w:val="18"/>
          <w:szCs w:val="18"/>
          <w:color w:val="auto"/>
        </w:rPr>
        <w:t>”),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199"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8"/>
          <w:szCs w:val="18"/>
          <w:b w:val="1"/>
          <w:bCs w:val="1"/>
          <w:color w:val="auto"/>
        </w:rPr>
        <w:t>fNIRS</w:t>
      </w:r>
      <w:r>
        <w:rPr>
          <w:rFonts w:ascii="Times New Roman" w:cs="Times New Roman" w:eastAsia="Times New Roman" w:hAnsi="Times New Roman"/>
          <w:sz w:val="18"/>
          <w:szCs w:val="18"/>
          <w:color w:val="auto"/>
        </w:rPr>
        <w:t>”)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15354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left="3" w:hanging="3"/>
        <w:spacing w:after="0" w:line="231" w:lineRule="auto"/>
        <w:tabs>
          <w:tab w:leader="none" w:pos="14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3"/>
          </w:cols>
          <w:pgMar w:left="317" w:top="129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auto"/>
        </w:rPr>
        <w:t>About the Phase 1 Kernel Flow Feasibility Study</w:t>
      </w:r>
    </w:p>
    <w:p>
      <w:pPr>
        <w:spacing w:after="0" w:line="26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8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Prospectus Supplement</w:t>
      </w:r>
    </w:p>
    <w:p>
      <w:pPr>
        <w:spacing w:after="0" w:line="24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table below covers the period beginning November 1, 2023 until October 31, 2024, and describes the differences between the Company’s anticipated use of proceeds of $28,070 as previously disclosed in the Company’s prospectus supplement dated November 10, 2023 (the “</w:t>
      </w:r>
      <w:r>
        <w:rPr>
          <w:rFonts w:ascii="Times New Roman" w:cs="Times New Roman" w:eastAsia="Times New Roman" w:hAnsi="Times New Roman"/>
          <w:sz w:val="18"/>
          <w:szCs w:val="18"/>
          <w:b w:val="1"/>
          <w:bCs w:val="1"/>
          <w:color w:val="auto"/>
        </w:rPr>
        <w:t>November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Company’s base shelf prospectus dated August 17, 2023, as amended by Amendment No. 1 dated December 22, 2023, by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2 dated April 8, 2024, and by Amendment No. 3 dated January 6, 2025 (collectively,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and the actual use of proceeds,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1303" w:right="319" w:bottom="1440" w:gutter="0" w:footer="0" w:header="0"/>
        </w:sectPr>
      </w:pPr>
    </w:p>
    <w:bookmarkStart w:id="51" w:name="page52"/>
    <w:bookmarkEnd w:id="51"/>
    <w:tbl>
      <w:tblPr>
        <w:tblLayout w:type="fixed"/>
        <w:tblInd w:w="13" w:type="dxa"/>
        <w:tblCellMar>
          <w:top w:w="0" w:type="dxa"/>
          <w:left w:w="0" w:type="dxa"/>
          <w:bottom w:w="0" w:type="dxa"/>
          <w:right w:w="0" w:type="dxa"/>
        </w:tblCellMar>
      </w:tblPr>
      <w:tr>
        <w:trPr>
          <w:trHeight w:val="225"/>
        </w:trPr>
        <w:tc>
          <w:tcPr>
            <w:tcW w:w="5460" w:type="dxa"/>
            <w:vAlign w:val="bottom"/>
            <w:tcBorders>
              <w:top w:val="single" w:sz="8" w:color="auto"/>
              <w:left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84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Regarding Use</w:t>
            </w:r>
          </w:p>
        </w:tc>
        <w:tc>
          <w:tcPr>
            <w:tcW w:w="18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November</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 Use of Proceeds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Revised Estimated Use of</w:t>
            </w:r>
          </w:p>
        </w:tc>
        <w:tc>
          <w:tcPr>
            <w:tcW w:w="0" w:type="dxa"/>
            <w:vAlign w:val="bottom"/>
          </w:tcPr>
          <w:p>
            <w:pPr>
              <w:spacing w:after="0"/>
              <w:rPr>
                <w:sz w:val="1"/>
                <w:szCs w:val="1"/>
                <w:color w:val="auto"/>
              </w:rPr>
            </w:pPr>
          </w:p>
        </w:tc>
      </w:tr>
      <w:tr>
        <w:trPr>
          <w:trHeight w:val="117"/>
        </w:trPr>
        <w:tc>
          <w:tcPr>
            <w:tcW w:w="54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Prospectus Supplement</w:t>
            </w:r>
          </w:p>
        </w:tc>
        <w:tc>
          <w:tcPr>
            <w:tcW w:w="184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Proceeds</w:t>
            </w:r>
          </w:p>
        </w:tc>
        <w:tc>
          <w:tcPr>
            <w:tcW w:w="0" w:type="dxa"/>
            <w:vAlign w:val="bottom"/>
          </w:tcPr>
          <w:p>
            <w:pPr>
              <w:spacing w:after="0"/>
              <w:rPr>
                <w:sz w:val="1"/>
                <w:szCs w:val="1"/>
                <w:color w:val="auto"/>
              </w:rPr>
            </w:pPr>
          </w:p>
        </w:tc>
      </w:tr>
      <w:tr>
        <w:trPr>
          <w:trHeight w:val="97"/>
        </w:trPr>
        <w:tc>
          <w:tcPr>
            <w:tcW w:w="5460" w:type="dxa"/>
            <w:vAlign w:val="bottom"/>
            <w:tcBorders>
              <w:left w:val="single" w:sz="8" w:color="auto"/>
              <w:right w:val="single" w:sz="8" w:color="auto"/>
            </w:tcBorders>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(November 1, 2023, to</w:t>
            </w:r>
          </w:p>
        </w:tc>
        <w:tc>
          <w:tcPr>
            <w:tcW w:w="18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460" w:type="dxa"/>
            <w:vAlign w:val="bottom"/>
            <w:tcBorders>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5"/>
                <w:szCs w:val="15"/>
                <w:b w:val="1"/>
                <w:bCs w:val="1"/>
                <w:color w:val="auto"/>
              </w:rPr>
              <w:t>Use of Available Funds (USD $000’s)</w:t>
            </w:r>
            <w:r>
              <w:rPr>
                <w:rFonts w:ascii="Times New Roman" w:cs="Times New Roman" w:eastAsia="Times New Roman" w:hAnsi="Times New Roman"/>
                <w:sz w:val="18"/>
                <w:szCs w:val="18"/>
                <w:b w:val="1"/>
                <w:bCs w:val="1"/>
                <w:color w:val="auto"/>
                <w:vertAlign w:val="superscript"/>
              </w:rPr>
              <w:t>(1)(2)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October 31, 2024)</w:t>
            </w:r>
          </w:p>
        </w:tc>
        <w:tc>
          <w:tcPr>
            <w:tcW w:w="184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Deuterated Psilocin Program</w:t>
            </w:r>
          </w:p>
        </w:tc>
        <w:tc>
          <w:tcPr>
            <w:tcW w:w="1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$6,393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$6,393</w:t>
            </w:r>
          </w:p>
        </w:tc>
        <w:tc>
          <w:tcPr>
            <w:tcW w:w="0" w:type="dxa"/>
            <w:vAlign w:val="bottom"/>
          </w:tcPr>
          <w:p>
            <w:pPr>
              <w:spacing w:after="0"/>
              <w:rPr>
                <w:sz w:val="1"/>
                <w:szCs w:val="1"/>
                <w:color w:val="auto"/>
              </w:rPr>
            </w:pP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Deuterated Dimethyltryptamine Program</w:t>
            </w:r>
          </w:p>
        </w:tc>
        <w:tc>
          <w:tcPr>
            <w:tcW w:w="1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Phase 2 Proof-Of-Concept Study</w:t>
            </w:r>
            <w:r>
              <w:rPr>
                <w:rFonts w:ascii="Times New Roman" w:cs="Times New Roman" w:eastAsia="Times New Roman" w:hAnsi="Times New Roman"/>
                <w:sz w:val="18"/>
                <w:szCs w:val="18"/>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0" w:type="dxa"/>
            <w:vAlign w:val="bottom"/>
          </w:tcPr>
          <w:p>
            <w:pPr>
              <w:spacing w:after="0"/>
              <w:rPr>
                <w:sz w:val="1"/>
                <w:szCs w:val="1"/>
                <w:color w:val="auto"/>
              </w:rPr>
            </w:pPr>
          </w:p>
        </w:tc>
      </w:tr>
      <w:tr>
        <w:trPr>
          <w:trHeight w:val="245"/>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00"/>
        </w:trPr>
        <w:tc>
          <w:tcPr>
            <w:tcW w:w="5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Phenethylamine Development Program</w:t>
            </w:r>
          </w:p>
        </w:tc>
        <w:tc>
          <w:tcPr>
            <w:tcW w:w="1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06"/>
        </w:trPr>
        <w:tc>
          <w:tcPr>
            <w:tcW w:w="5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(4)</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$20,300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$21,080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$21,080</w:t>
            </w:r>
          </w:p>
        </w:tc>
        <w:tc>
          <w:tcPr>
            <w:tcW w:w="0" w:type="dxa"/>
            <w:vAlign w:val="bottom"/>
          </w:tcPr>
          <w:p>
            <w:pPr>
              <w:spacing w:after="0"/>
              <w:rPr>
                <w:sz w:val="1"/>
                <w:szCs w:val="1"/>
                <w:color w:val="auto"/>
              </w:rPr>
            </w:pPr>
          </w:p>
        </w:tc>
      </w:tr>
      <w:tr>
        <w:trPr>
          <w:trHeight w:val="205"/>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$28,070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$28,070</w:t>
            </w:r>
          </w:p>
        </w:tc>
        <w:tc>
          <w:tcPr>
            <w:tcW w:w="0" w:type="dxa"/>
            <w:vAlign w:val="bottom"/>
          </w:tcPr>
          <w:p>
            <w:pPr>
              <w:spacing w:after="0"/>
              <w:rPr>
                <w:sz w:val="1"/>
                <w:szCs w:val="1"/>
                <w:color w:val="auto"/>
              </w:rPr>
            </w:pP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23" w:lineRule="exact"/>
        <w:rPr>
          <w:sz w:val="20"/>
          <w:szCs w:val="20"/>
          <w:color w:val="auto"/>
        </w:rPr>
      </w:pPr>
    </w:p>
    <w:p>
      <w:pPr>
        <w:ind w:left="403" w:hanging="403"/>
        <w:spacing w:after="0"/>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the chart are in USD. Certain amounts have been converted from USD to CAD at an exchange rate of 1:0.74.</w:t>
      </w:r>
    </w:p>
    <w:p>
      <w:pPr>
        <w:spacing w:after="0" w:line="16"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milestone is now denoted as ‘initiate a Phase 2a GAD study’. For further information see “Deuterated Dimethyltryptamine Program”.</w:t>
      </w:r>
    </w:p>
    <w:p>
      <w:pPr>
        <w:spacing w:after="0" w:line="33"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w:t>
      </w:r>
    </w:p>
    <w:p>
      <w:pPr>
        <w:spacing w:after="0" w:line="33" w:lineRule="exact"/>
        <w:rPr>
          <w:rFonts w:ascii="Times New Roman" w:cs="Times New Roman" w:eastAsia="Times New Roman" w:hAnsi="Times New Roman"/>
          <w:sz w:val="15"/>
          <w:szCs w:val="15"/>
          <w:color w:val="auto"/>
        </w:rPr>
      </w:pPr>
    </w:p>
    <w:p>
      <w:pPr>
        <w:ind w:left="403" w:right="2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intends to use a portion of these proceeds to continue funding both its Deuterated Psilocin and Deuterated Dimethyltryptamine programs. The allocation between these programs and specific milestones within the programs have not yet been determined.</w:t>
      </w:r>
    </w:p>
    <w:p>
      <w:pPr>
        <w:spacing w:after="0" w:line="200"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3" w:lineRule="exact"/>
        <w:rPr>
          <w:sz w:val="20"/>
          <w:szCs w:val="20"/>
          <w:color w:val="auto"/>
        </w:rPr>
      </w:pPr>
    </w:p>
    <w:p>
      <w:pPr>
        <w:jc w:val="both"/>
        <w:ind w:left="3" w:right="20"/>
        <w:spacing w:after="0" w:line="315" w:lineRule="auto"/>
        <w:rPr>
          <w:sz w:val="20"/>
          <w:szCs w:val="20"/>
          <w:color w:val="auto"/>
        </w:rPr>
      </w:pPr>
      <w:r>
        <w:rPr>
          <w:rFonts w:ascii="Times New Roman" w:cs="Times New Roman" w:eastAsia="Times New Roman" w:hAnsi="Times New Roman"/>
          <w:sz w:val="17"/>
          <w:szCs w:val="17"/>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3"/>
          </w:cols>
          <w:pgMar w:left="317" w:top="1304" w:right="319" w:bottom="1440" w:gutter="0" w:footer="0" w:header="0"/>
        </w:sectPr>
      </w:pPr>
    </w:p>
    <w:bookmarkStart w:id="52" w:name="page53"/>
    <w:bookmarkEnd w:id="52"/>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4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2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psilocin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2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Segal Trials</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January 15, 2025, the Company launched its first strategic partnership agreement with Segal Trials in furtherance of Cybin’s multinational pivotal Phase 3 program evaluating CYB003 for the adjunctive treatment of MDD. Segal Trials is a privately held company with a network of six research sites throughout South Florida. Segal Trials has extensive experience conducting research trials with an emphasis on psychiatry, neurology, addiction and psychedelics research. See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0"/>
          </w:cols>
          <w:pgMar w:left="320" w:top="1440" w:right="319" w:bottom="1440" w:gutter="0" w:footer="0" w:header="0"/>
        </w:sectPr>
      </w:pPr>
    </w:p>
    <w:bookmarkStart w:id="53" w:name="page54"/>
    <w:bookmarkEnd w:id="53"/>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268"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256" w:lineRule="exact"/>
        <w:rPr>
          <w:sz w:val="20"/>
          <w:szCs w:val="20"/>
          <w:color w:val="auto"/>
        </w:rPr>
      </w:pPr>
    </w:p>
    <w:p>
      <w:pPr>
        <w:jc w:val="both"/>
        <w:ind w:left="3" w:right="20"/>
        <w:spacing w:after="0" w:line="276"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0"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44"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9"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15354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 w:right="20" w:hanging="3"/>
        <w:spacing w:after="0" w:line="227" w:lineRule="auto"/>
        <w:tabs>
          <w:tab w:leader="none" w:pos="152"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3"/>
          </w:cols>
          <w:pgMar w:left="317" w:top="1299" w:right="319" w:bottom="1440" w:gutter="0" w:footer="0" w:header="0"/>
        </w:sectPr>
      </w:pPr>
    </w:p>
    <w:bookmarkStart w:id="54" w:name="page55"/>
    <w:bookmarkEnd w:id="54"/>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MD&amp;A or unforeseen events.</w:t>
      </w:r>
    </w:p>
    <w:p>
      <w:pPr>
        <w:spacing w:after="0" w:line="19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Cybin has title to twenty granted US patents and sixty five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11,242,318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11,724,985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11,746,088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11,834,410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11,958,807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12,110,272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12,122,741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2018311307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2020378647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2020381103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2021334933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2021204158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2020286709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1120220221983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Brazil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3104072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Drug Substance Compositions Comprising N,N-Dimethyltryptamine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3160337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291" w:right="3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3179161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3160334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3179335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ZL202180046463.X</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ZL202080050439.9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046951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Eurasian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048675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Eurasian Patent Office</w:t>
            </w:r>
          </w:p>
        </w:tc>
        <w:tc>
          <w:tcPr>
            <w:tcW w:w="69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w w:val="98"/>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3463323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2R,6R-Hydroxynorketamine or Derivatives Thereof</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3687515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Ketamine Derivatives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3532457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3826632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3844147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3873883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3902541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4031529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4138818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4149460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40042383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40035970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Ketamine Derivatives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40056359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40060666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40065709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40064531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40045846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40060891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40078818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40089095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507114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528813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284"/>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292753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Israel</w:t>
            </w:r>
          </w:p>
        </w:tc>
        <w:tc>
          <w:tcPr>
            <w:tcW w:w="6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 Compositions Comprising Same, and Uses Thereof in the Treatment of Psychiatric or</w:t>
            </w:r>
          </w:p>
        </w:tc>
      </w:tr>
      <w:tr>
        <w:trPr>
          <w:trHeight w:val="191"/>
        </w:trPr>
        <w:tc>
          <w:tcPr>
            <w:tcW w:w="2660" w:type="dxa"/>
            <w:vAlign w:val="bottom"/>
            <w:tcBorders>
              <w:left w:val="single" w:sz="8" w:color="auto"/>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Neurological Disorders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288617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Israel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298542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Israel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7288154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1304" w:right="31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7423131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7523474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A therapeutic composition comprising a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7579888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ZL202180046463.X</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404310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411316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412331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788543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derivatives and their use in psychedelic-assisted psychotherapy</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794833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2589605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Republic of Korea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2636385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Republic of Korea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2023/01086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South Africa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2585978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2586940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2592822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2595776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11,377,416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11,771,681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11,773,062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Deuterated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11,643,390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11,471,417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11,406,619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11,697,638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5-Methoxy-N,N-Dimethyltryptamine Crystalline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11,660,289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11,578,039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12,042,564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12,076,311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12,084,417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12157723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bl>
    <w:p>
      <w:pPr>
        <w:spacing w:after="0" w:line="30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addition, Cybin has title to three provisional patent applications, thirty one US non-provisional patent applications, one hundred and ninety three national (non-US) patent applications, and ten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applications, including claims directed to compositions of matter and methods of use in support of its research and development and preclinical and clinical trial programs.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980" w:type="dxa"/>
            <w:vAlign w:val="bottom"/>
            <w:tcBorders>
              <w:left w:val="single" w:sz="8" w:color="auto"/>
              <w:bottom w:val="single" w:sz="8" w:color="auto"/>
              <w:right w:val="single" w:sz="8" w:color="auto"/>
            </w:tcBorders>
          </w:tcPr>
          <w:p>
            <w:pPr>
              <w:jc w:val="right"/>
              <w:ind w:right="1087"/>
              <w:spacing w:after="0"/>
              <w:rPr>
                <w:sz w:val="20"/>
                <w:szCs w:val="20"/>
                <w:color w:val="auto"/>
              </w:rPr>
            </w:pPr>
            <w:r>
              <w:rPr>
                <w:rFonts w:ascii="Times New Roman" w:cs="Times New Roman" w:eastAsia="Times New Roman" w:hAnsi="Times New Roman"/>
                <w:sz w:val="15"/>
                <w:szCs w:val="15"/>
                <w:color w:val="auto"/>
              </w:rPr>
              <w:t>18/056,958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1304" w:right="31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17/999,310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18/041,728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18/027,810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18/547,100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PCT/EP2023/073122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Tryptamine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PCT/EP2023/080027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18/561,152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18/576,487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Integrated Data Collection Devices for Use in Various Therapeutic and Wellness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Applications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63/553,321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18/588,132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PCT/EP2024/054897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18/688,125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18/600,018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PCT/EP2024/062406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Pharmaceutical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18/707,825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PCT/EP2024/065453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Companion Animal Treatments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18/720,922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PCT/EP2024/067458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Processes For Preparing Phenethylamine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18/730,397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18/730,423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18/825,122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18/883,262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18/850,356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18/852,115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18/867,231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Solid Dispersions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19/020,095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793553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812214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297492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312785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3177454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NC2022/0016662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Colombia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1304" w:right="3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5"/>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MX/a/2022/014605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MX/a/2024/006467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202203191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10-2022-7040243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10-2024-7019118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EP21808464.8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24175524.8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202180036163.3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202410728550.9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1120220235658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2021276656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2024203974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11202254530T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10202401521X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202213256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2201007493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1-2022-553135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1-2024-551326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202227065770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2022-571175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2024-080101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62023078320.6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42024099806.2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3186357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10-2023-7003815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2021327136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2023-512063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21766581.9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62023079716.4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3186359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10-2023-7006128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304" w:right="31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2021328671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2023-512107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21763068.0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62023079718.0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21786852.0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10-2023-7007858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2021354006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2023-519831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3194558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62023079720.6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802136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305457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3212563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NC2023/0013714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Columbia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MX/a/2023/010843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202302731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10-2023-7032581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22716857.2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202280022029.2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1120230188946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2022239825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11202305618U</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202309486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2301005753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1-2023-552572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202327063524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2023-556906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62024086011.9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2022277515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320" w:top="1304" w:right="31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3216799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22729558.1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202327074210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2023-571283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10-2023-7041239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62024089505.7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2022342266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3231021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22716971.1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2024-515026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10-2024-7008355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62024094405.3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2022381220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1120240088332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3236624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202280073355.6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22783493.4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202417038272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2024-526529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10-2024-7017594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810005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1120242311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62024097476.1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202411034735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Processes For Preparing Phenethylamine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2023207801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1120240139522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3259235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202380016531.7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23700949.3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313889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202417058417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2024-541809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10-2024-7026687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MX/a/2024/008691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PI2024003160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811765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62024099899.2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2023222397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1304" w:right="31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3244275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23705529.8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2024-547671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10-2024-7028837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62024101488.0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2023222126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3244130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23705530.6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2024-547667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10-2024-7028843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62024101490.6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2023246690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3246274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23715813.4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2024-557460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10-2024-7032719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815769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2023242469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3247035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23717049.3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2024-557455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813800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2023331937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Tryptamine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23764241.8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Tryptamine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1120220089198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202291378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202217028822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Compounds, Compositions Comprising Same, and Uses Thereof in the</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Treatment of Psychiatric or Neurological Disorders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2023-202672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10-2023-7033500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1304" w:right="31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18/921,515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110143066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Taiwan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Deuterated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2021391581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3203020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202180090269.1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23198784.3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42024091001.8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202317043169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303288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2023-533243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800961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18/163,388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21 816489.5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18/252,949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PCT/EP2022/082486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2022393234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11 2024 009571 1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3238583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22 818741.5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3"/>
        </w:trPr>
        <w:tc>
          <w:tcPr>
            <w:tcW w:w="2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62025102900.0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95"/>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202417045861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312859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2024-529536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10-2024-7020007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MX/a/2024/005955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811102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11202403174T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2024/03906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PI 2024002791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1120242659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202401452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2401003192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12024551165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18/711,130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NC2024/0007518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Colombia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202280084101.4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202390295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1304" w:right="31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24194778.7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298129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PI 2023000584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MX/a/2022/014128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793361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11202300697X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17/806,526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18/619,547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Administration</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PCT/EP2024/058587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Combination Comprising a Monoamine Antidepressant Agent and a Short-</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Duration Psychedelic Agent</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PCT/EP2023/078480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7"/>
              </w:rPr>
              <w:t>Method of Administration of a Parenteral Formulation Comprising a</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Psychedelic Agent</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PCT/EP2024/051569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Treatment of Psychiatric or Neurological Disorders by Parenteral</w:t>
            </w:r>
          </w:p>
        </w:tc>
        <w:tc>
          <w:tcPr>
            <w:tcW w:w="0" w:type="dxa"/>
            <w:vAlign w:val="bottom"/>
          </w:tcPr>
          <w:p>
            <w:pPr>
              <w:spacing w:after="0"/>
              <w:rPr>
                <w:sz w:val="1"/>
                <w:szCs w:val="1"/>
                <w:color w:val="auto"/>
              </w:rPr>
            </w:pPr>
          </w:p>
        </w:tc>
      </w:tr>
      <w:tr>
        <w:trPr>
          <w:trHeight w:val="145"/>
        </w:trPr>
        <w:tc>
          <w:tcPr>
            <w:tcW w:w="2980" w:type="dxa"/>
            <w:vAlign w:val="bottom"/>
            <w:tcBorders>
              <w:left w:val="single" w:sz="8" w:color="auto"/>
              <w:right w:val="single" w:sz="8" w:color="auto"/>
            </w:tcBorders>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47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5"/>
                <w:szCs w:val="15"/>
                <w:color w:val="auto"/>
                <w:w w:val="96"/>
              </w:rPr>
              <w:t>Administration of a Single, Effective Parenteral Dose of A Short-Acting</w:t>
            </w:r>
          </w:p>
        </w:tc>
        <w:tc>
          <w:tcPr>
            <w:tcW w:w="0" w:type="dxa"/>
            <w:vAlign w:val="bottom"/>
          </w:tcPr>
          <w:p>
            <w:pPr>
              <w:spacing w:after="0"/>
              <w:rPr>
                <w:sz w:val="1"/>
                <w:szCs w:val="1"/>
                <w:color w:val="auto"/>
              </w:rPr>
            </w:pPr>
          </w:p>
        </w:tc>
      </w:tr>
      <w:tr>
        <w:trPr>
          <w:trHeight w:val="191"/>
        </w:trPr>
        <w:tc>
          <w:tcPr>
            <w:tcW w:w="2980" w:type="dxa"/>
            <w:vAlign w:val="bottom"/>
            <w:tcBorders>
              <w:left w:val="single" w:sz="8" w:color="auto"/>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Psychedelic Agent</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22214748.0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202217028688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292754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21203394.8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Solid Oral Dosage Forms of 2R,6R-Hydroxynorketamine or Derivatives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Thereof</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18/602,171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110119792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Taiwan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Compositions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1120220245661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202180046463.X</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42023070531.1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202217076779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298541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1120210243330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3142290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22173907.1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783166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10-2021-7043410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18/779,611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2021284861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1304" w:right="31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202217076899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794813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3118556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202180046533.1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18/748,483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63/699,449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Pharmaceutical Compositions Comprising Deuterated N,N-Dimethyltryptamine</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63/723,250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Pharmaceutical Compositions Comprising Deuterated N,N-Dimethyltryptamine</w:t>
            </w:r>
          </w:p>
        </w:tc>
      </w:tr>
    </w:tbl>
    <w:p>
      <w:pPr>
        <w:spacing w:after="0" w:line="18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7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thirty-seven trademarks, including APPROACH, CHANGING MINDS®, CYBIN®, EMBARK®, EMBRACE, EXTEND, PSYCHEDELICS TO THERAPEUTICS®, CYB®, and SMALL PHARMA®. The Company has registered the CYBIN trademark in the EU (reg. 18495520), the UK (reg. UK00003656496), and the US (reg. 6,852,975) the mark PSYCHEDELICS TO THERAPEUTICS in the UK (reg. UK00003717706), the mark CHANGING MINDS in Canada (TMA1195700) and in the US (reg. 7,442,497), the mark EMBARK in Canada (TMA1196747) and the US (reg. 7,213,859), CYB® in US (reg. 7,393,810) and marks related to SMALL PHARMA are registered trademarks with the UK (reg. UK00003244617) and the EU (reg. 018396486).</w:t>
      </w:r>
    </w:p>
    <w:p>
      <w:pPr>
        <w:spacing w:after="0" w:line="19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Framework and Licensing Regime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psilocin and other psychedelic substances, whether natural or novel. The provincial/territorial level of government has authority over the delivery of health care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1304" w:right="319" w:bottom="1440" w:gutter="0" w:footer="0" w:header="0"/>
        </w:sectPr>
      </w:pPr>
    </w:p>
    <w:bookmarkStart w:id="65" w:name="page66"/>
    <w:bookmarkEnd w:id="65"/>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5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3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Health Canada has not approved psilocin as a drug for any indication. However, there are legal routes through which psilocin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Company has not applied for access under the SAP.</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2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4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1303" w:right="319" w:bottom="1440" w:gutter="0" w:footer="0" w:header="0"/>
        </w:sectPr>
      </w:pPr>
    </w:p>
    <w:bookmarkStart w:id="66" w:name="page67"/>
    <w:bookmarkEnd w:id="66"/>
    <w:p>
      <w:pPr>
        <w:jc w:val="both"/>
        <w:spacing w:after="0" w:line="291" w:lineRule="auto"/>
        <w:rPr>
          <w:sz w:val="20"/>
          <w:szCs w:val="20"/>
          <w:color w:val="auto"/>
        </w:rPr>
      </w:pPr>
      <w:r>
        <w:rPr>
          <w:rFonts w:ascii="Times New Roman" w:cs="Times New Roman" w:eastAsia="Times New Roman" w:hAnsi="Times New Roman"/>
          <w:sz w:val="18"/>
          <w:szCs w:val="18"/>
          <w:color w:val="auto"/>
        </w:rPr>
        <w:t>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1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Europe/Netherlands</w:t>
      </w:r>
    </w:p>
    <w:p>
      <w:pPr>
        <w:spacing w:after="0" w:line="21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9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1303" w:right="319" w:bottom="1440" w:gutter="0" w:footer="0" w:header="0"/>
        </w:sectPr>
      </w:pPr>
    </w:p>
    <w:bookmarkStart w:id="67" w:name="page68"/>
    <w:bookmarkEnd w:id="67"/>
    <w:p>
      <w:pPr>
        <w:ind w:left="580" w:right="20" w:hanging="296"/>
        <w:spacing w:after="0" w:line="292" w:lineRule="auto"/>
        <w:tabs>
          <w:tab w:leader="none" w:pos="576"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0" w:hanging="276"/>
        <w:spacing w:after="0"/>
        <w:tabs>
          <w:tab w:leader="none" w:pos="560"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ind w:left="560" w:hanging="276"/>
        <w:spacing w:after="0"/>
        <w:tabs>
          <w:tab w:leader="none" w:pos="560"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w:t>
      </w:r>
    </w:p>
    <w:p>
      <w:pPr>
        <w:spacing w:after="0" w:line="46" w:lineRule="exact"/>
        <w:rPr>
          <w:rFonts w:ascii="Calibri" w:cs="Calibri" w:eastAsia="Calibri" w:hAnsi="Calibri"/>
          <w:sz w:val="18"/>
          <w:szCs w:val="18"/>
          <w:color w:val="auto"/>
        </w:rPr>
      </w:pPr>
    </w:p>
    <w:p>
      <w:pPr>
        <w:ind w:left="580"/>
        <w:spacing w:after="0" w:line="323"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country or region, respectively, or other persons or enterprises which are specifically authorized by the competent authorities of their country or region for the purpose.</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20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320" w:top="1303" w:right="319" w:bottom="1440" w:gutter="0" w:footer="0" w:header="0"/>
        </w:sectPr>
      </w:pPr>
    </w:p>
    <w:bookmarkStart w:id="68" w:name="page69"/>
    <w:bookmarkEnd w:id="68"/>
    <w:p>
      <w:pPr>
        <w:jc w:val="both"/>
        <w:spacing w:after="0" w:line="294" w:lineRule="auto"/>
        <w:rPr>
          <w:sz w:val="20"/>
          <w:szCs w:val="20"/>
          <w:color w:val="auto"/>
        </w:rPr>
      </w:pPr>
      <w:r>
        <w:rPr>
          <w:rFonts w:ascii="Times New Roman" w:cs="Times New Roman" w:eastAsia="Times New Roman" w:hAnsi="Times New Roman"/>
          <w:sz w:val="18"/>
          <w:szCs w:val="18"/>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3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6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7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w:t>
      </w:r>
    </w:p>
    <w:p>
      <w:pPr>
        <w:spacing w:after="0" w:line="1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API.DMT is also considered a Class A drug under the MDA and as a Schedule I drug under the MDR.</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Psilocin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reference number 1355388, issued on July 24, 2023, expiring July 23,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0"/>
          </w:cols>
          <w:pgMar w:left="320" w:top="1304" w:right="319" w:bottom="1440" w:gutter="0" w:footer="0" w:header="0"/>
        </w:sectPr>
      </w:pPr>
    </w:p>
    <w:bookmarkStart w:id="69" w:name="page70"/>
    <w:bookmarkEnd w:id="69"/>
    <w:p>
      <w:pPr>
        <w:ind w:left="3"/>
        <w:spacing w:after="0"/>
        <w:rPr>
          <w:sz w:val="20"/>
          <w:szCs w:val="20"/>
          <w:color w:val="auto"/>
        </w:rPr>
      </w:pPr>
      <w:r>
        <w:rPr>
          <w:rFonts w:ascii="Times New Roman" w:cs="Times New Roman" w:eastAsia="Times New Roman" w:hAnsi="Times New Roman"/>
          <w:sz w:val="18"/>
          <w:szCs w:val="18"/>
          <w:color w:val="auto"/>
        </w:rPr>
        <w:t>API. The CYB004-E API was manufactured in the Netherlands by a pharmaceutical ingredient provider that is US FDA-inspected.</w:t>
      </w:r>
      <w:r>
        <w:rPr>
          <w:rFonts w:ascii="Times New Roman" w:cs="Times New Roman" w:eastAsia="Times New Roman" w:hAnsi="Times New Roman"/>
          <w:sz w:val="23"/>
          <w:szCs w:val="23"/>
          <w:color w:val="auto"/>
          <w:vertAlign w:val="superscript"/>
        </w:rPr>
        <w:t>28</w:t>
      </w:r>
    </w:p>
    <w:p>
      <w:pPr>
        <w:spacing w:after="0" w:line="207" w:lineRule="exact"/>
        <w:rPr>
          <w:sz w:val="20"/>
          <w:szCs w:val="20"/>
          <w:color w:val="auto"/>
        </w:rPr>
      </w:pPr>
    </w:p>
    <w:p>
      <w:pPr>
        <w:jc w:val="both"/>
        <w:ind w:left="3" w:right="80"/>
        <w:spacing w:after="0" w:line="291"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50" w:lineRule="exact"/>
        <w:rPr>
          <w:sz w:val="20"/>
          <w:szCs w:val="20"/>
          <w:color w:val="auto"/>
        </w:rPr>
      </w:pPr>
    </w:p>
    <w:p>
      <w:pPr>
        <w:jc w:val="both"/>
        <w:ind w:left="3" w:right="100"/>
        <w:spacing w:after="0" w:line="297"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29</w:t>
      </w:r>
    </w:p>
    <w:p>
      <w:pPr>
        <w:spacing w:after="0" w:line="106" w:lineRule="exact"/>
        <w:rPr>
          <w:sz w:val="20"/>
          <w:szCs w:val="20"/>
          <w:color w:val="auto"/>
        </w:rPr>
      </w:pPr>
    </w:p>
    <w:p>
      <w:pPr>
        <w:jc w:val="both"/>
        <w:ind w:left="3" w:right="100"/>
        <w:spacing w:after="0" w:line="295"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30</w:t>
      </w:r>
    </w:p>
    <w:p>
      <w:pPr>
        <w:spacing w:after="0" w:line="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2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28" w:lineRule="exact"/>
        <w:rPr>
          <w:sz w:val="20"/>
          <w:szCs w:val="20"/>
          <w:color w:val="auto"/>
        </w:rPr>
      </w:pPr>
    </w:p>
    <w:p>
      <w:pPr>
        <w:jc w:val="both"/>
        <w:ind w:left="3" w:right="100"/>
        <w:spacing w:after="0" w:line="294"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15354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3" w:right="80" w:hanging="3"/>
        <w:spacing w:after="0" w:line="235" w:lineRule="auto"/>
        <w:tabs>
          <w:tab w:leader="none" w:pos="146"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ind w:left="3" w:hanging="3"/>
        <w:spacing w:after="0" w:line="233" w:lineRule="auto"/>
        <w:tabs>
          <w:tab w:leader="none" w:pos="134"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 https://assets.publishing.service.gov.uk/government/uploads/system/uploads/attachment_data/file/1125889/Security_Guidance_for_all_Businesses_and_Other_Organisations_v1.5_Nov_2022.pdf.</w:t>
      </w:r>
    </w:p>
    <w:p>
      <w:pPr>
        <w:spacing w:after="0" w:line="1" w:lineRule="exact"/>
        <w:rPr>
          <w:rFonts w:ascii="Times New Roman" w:cs="Times New Roman" w:eastAsia="Times New Roman" w:hAnsi="Times New Roman"/>
          <w:sz w:val="18"/>
          <w:szCs w:val="18"/>
          <w:color w:val="auto"/>
          <w:vertAlign w:val="superscript"/>
        </w:rPr>
      </w:pPr>
    </w:p>
    <w:p>
      <w:pPr>
        <w:ind w:left="123" w:hanging="123"/>
        <w:spacing w:after="0" w:line="200" w:lineRule="auto"/>
        <w:tabs>
          <w:tab w:leader="none" w:pos="123"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Guidelines for Standard Operating Procedures (SOPs);</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3"/>
          </w:cols>
          <w:pgMar w:left="317" w:top="1303" w:right="239" w:bottom="1440" w:gutter="0" w:footer="0" w:header="0"/>
        </w:sectPr>
      </w:pPr>
    </w:p>
    <w:bookmarkStart w:id="70" w:name="page71"/>
    <w:bookmarkEnd w:id="70"/>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Up to (and including) 31 December 2024, there are separate licensing routes for products licensed: (i) in Great Britain only; (ii) in Northern Ireland only; and (iii) across the UK. From 1 January 2025, the MHRA will license products across the whole of the UK through UK-wide authorizations, removing the separate routes for Great Britain and Northern Ireland.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26" w:lineRule="exact"/>
        <w:rPr>
          <w:sz w:val="20"/>
          <w:szCs w:val="20"/>
          <w:color w:val="auto"/>
        </w:rPr>
      </w:pP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w:t>
      </w:r>
    </w:p>
    <w:p>
      <w:pPr>
        <w:spacing w:after="0" w:line="60" w:lineRule="exact"/>
        <w:rPr>
          <w:rFonts w:ascii="Calibri" w:cs="Calibri" w:eastAsia="Calibri" w:hAnsi="Calibri"/>
          <w:sz w:val="18"/>
          <w:szCs w:val="18"/>
          <w:color w:val="auto"/>
        </w:rPr>
      </w:pPr>
    </w:p>
    <w:p>
      <w:pPr>
        <w:ind w:left="580" w:right="20"/>
        <w:spacing w:after="0" w:line="280"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must register with the MHRA and provide the MHRA with 60 days’ notice of the intended start of manufacture/distribution of the API, and comply with GMP and GDP for active substances; and</w:t>
      </w:r>
    </w:p>
    <w:p>
      <w:pPr>
        <w:ind w:left="560" w:hanging="276"/>
        <w:spacing w:after="0"/>
        <w:tabs>
          <w:tab w:leader="none" w:pos="560" w:val="left"/>
        </w:tabs>
        <w:numPr>
          <w:ilvl w:val="0"/>
          <w:numId w:val="3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w:t>
      </w:r>
    </w:p>
    <w:p>
      <w:pPr>
        <w:spacing w:after="0" w:line="56" w:lineRule="exact"/>
        <w:rPr>
          <w:rFonts w:ascii="Calibri" w:cs="Calibri" w:eastAsia="Calibri" w:hAnsi="Calibri"/>
          <w:sz w:val="18"/>
          <w:szCs w:val="18"/>
          <w:color w:val="auto"/>
        </w:rPr>
      </w:pPr>
    </w:p>
    <w:p>
      <w:pPr>
        <w:ind w:left="580" w:right="20"/>
        <w:spacing w:after="0" w:line="311"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79"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3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130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these programs mature more patent applications will be filed and more details about these programs will be disclosed at such time.</w:t>
      </w:r>
    </w:p>
    <w:p>
      <w:pPr>
        <w:spacing w:after="0" w:line="24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6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psilocyin are well known and well characterized. In conjunction with psychotherapy, psilocin has been utilized broadly in phase II clinical trials.</w:t>
      </w:r>
    </w:p>
    <w:p>
      <w:pPr>
        <w:spacing w:after="0" w:line="13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2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psilocyin and other psychedelics through mechanisms such as sublingual film delivery, IV, and by way of inhalation.</w:t>
      </w:r>
    </w:p>
    <w:p>
      <w:pPr>
        <w:spacing w:after="0" w:line="18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26" w:lineRule="exact"/>
        <w:rPr>
          <w:sz w:val="20"/>
          <w:szCs w:val="20"/>
          <w:color w:val="auto"/>
        </w:rPr>
      </w:pPr>
    </w:p>
    <w:p>
      <w:pPr>
        <w:ind w:left="580" w:right="20" w:hanging="296"/>
        <w:spacing w:after="0" w:line="338" w:lineRule="auto"/>
        <w:tabs>
          <w:tab w:leader="none" w:pos="576"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36" w:lineRule="exact"/>
        <w:rPr>
          <w:rFonts w:ascii="Calibri" w:cs="Calibri" w:eastAsia="Calibri" w:hAnsi="Calibri"/>
          <w:sz w:val="18"/>
          <w:szCs w:val="18"/>
          <w:color w:val="auto"/>
        </w:rPr>
      </w:pPr>
    </w:p>
    <w:p>
      <w:pPr>
        <w:ind w:left="580" w:hanging="296"/>
        <w:spacing w:after="0" w:line="324" w:lineRule="auto"/>
        <w:tabs>
          <w:tab w:leader="none" w:pos="576"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1303" w:right="319" w:bottom="1440" w:gutter="0" w:footer="0" w:header="0"/>
        </w:sectPr>
      </w:pPr>
    </w:p>
    <w:bookmarkStart w:id="72" w:name="page73"/>
    <w:bookmarkEnd w:id="72"/>
    <w:p>
      <w:pPr>
        <w:ind w:left="560" w:hanging="276"/>
        <w:spacing w:after="0"/>
        <w:tabs>
          <w:tab w:leader="none" w:pos="5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p>
    <w:p>
      <w:pPr>
        <w:spacing w:after="0" w:line="58" w:lineRule="exact"/>
        <w:rPr>
          <w:rFonts w:ascii="Calibri" w:cs="Calibri" w:eastAsia="Calibri" w:hAnsi="Calibri"/>
          <w:sz w:val="18"/>
          <w:szCs w:val="18"/>
          <w:color w:val="auto"/>
        </w:rPr>
      </w:pPr>
    </w:p>
    <w:p>
      <w:pPr>
        <w:jc w:val="both"/>
        <w:ind w:left="580"/>
        <w:spacing w:after="0" w:line="295"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91" w:lineRule="exact"/>
        <w:rPr>
          <w:rFonts w:ascii="Calibri" w:cs="Calibri" w:eastAsia="Calibri" w:hAnsi="Calibri"/>
          <w:sz w:val="18"/>
          <w:szCs w:val="18"/>
          <w:color w:val="auto"/>
        </w:rPr>
      </w:pPr>
    </w:p>
    <w:p>
      <w:pPr>
        <w:ind w:left="560" w:hanging="276"/>
        <w:spacing w:after="0"/>
        <w:tabs>
          <w:tab w:leader="none" w:pos="560" w:val="left"/>
        </w:tabs>
        <w:numPr>
          <w:ilvl w:val="0"/>
          <w:numId w:val="40"/>
        </w:numPr>
        <w:rPr>
          <w:rFonts w:ascii="Calibri" w:cs="Calibri" w:eastAsia="Calibri" w:hAnsi="Calibri"/>
          <w:sz w:val="17"/>
          <w:szCs w:val="17"/>
          <w:color w:val="auto"/>
        </w:rPr>
      </w:pPr>
      <w:r>
        <w:rPr>
          <w:rFonts w:ascii="Times New Roman" w:cs="Times New Roman" w:eastAsia="Times New Roman" w:hAnsi="Times New Roman"/>
          <w:sz w:val="17"/>
          <w:szCs w:val="17"/>
          <w:i w:val="1"/>
          <w:iCs w:val="1"/>
          <w:color w:val="auto"/>
        </w:rPr>
        <w:t xml:space="preserve">Clinical Trials – Phase 2 - Phase 2 </w:t>
      </w:r>
      <w:r>
        <w:rPr>
          <w:rFonts w:ascii="Times New Roman" w:cs="Times New Roman" w:eastAsia="Times New Roman" w:hAnsi="Times New Roman"/>
          <w:sz w:val="17"/>
          <w:szCs w:val="17"/>
          <w:color w:val="auto"/>
        </w:rPr>
        <w:t>trials are carried out on people with the target condition, who are usually otherwise healthy, with no other medical</w:t>
      </w:r>
    </w:p>
    <w:p>
      <w:pPr>
        <w:spacing w:after="0" w:line="60" w:lineRule="exact"/>
        <w:rPr>
          <w:rFonts w:ascii="Calibri" w:cs="Calibri" w:eastAsia="Calibri" w:hAnsi="Calibri"/>
          <w:sz w:val="17"/>
          <w:szCs w:val="17"/>
          <w:color w:val="auto"/>
        </w:rPr>
      </w:pPr>
    </w:p>
    <w:p>
      <w:pPr>
        <w:ind w:left="580" w:right="20"/>
        <w:spacing w:after="0" w:line="309"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78" w:lineRule="exact"/>
        <w:rPr>
          <w:rFonts w:ascii="Calibri" w:cs="Calibri" w:eastAsia="Calibri" w:hAnsi="Calibri"/>
          <w:sz w:val="17"/>
          <w:szCs w:val="17"/>
          <w:color w:val="auto"/>
        </w:rPr>
      </w:pPr>
    </w:p>
    <w:p>
      <w:pPr>
        <w:ind w:left="560" w:hanging="276"/>
        <w:spacing w:after="0"/>
        <w:tabs>
          <w:tab w:leader="none" w:pos="5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p>
    <w:p>
      <w:pPr>
        <w:spacing w:after="0" w:line="48" w:lineRule="exact"/>
        <w:rPr>
          <w:rFonts w:ascii="Calibri" w:cs="Calibri" w:eastAsia="Calibri" w:hAnsi="Calibri"/>
          <w:sz w:val="18"/>
          <w:szCs w:val="18"/>
          <w:color w:val="auto"/>
        </w:rPr>
      </w:pPr>
    </w:p>
    <w:p>
      <w:pPr>
        <w:ind w:left="580"/>
        <w:spacing w:after="0"/>
        <w:rPr>
          <w:rFonts w:ascii="Calibri" w:cs="Calibri" w:eastAsia="Calibri" w:hAnsi="Calibri"/>
          <w:sz w:val="18"/>
          <w:szCs w:val="18"/>
          <w:color w:val="auto"/>
        </w:rPr>
      </w:pP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w:t>
      </w:r>
    </w:p>
    <w:p>
      <w:pPr>
        <w:spacing w:after="0" w:line="46" w:lineRule="exact"/>
        <w:rPr>
          <w:rFonts w:ascii="Calibri" w:cs="Calibri" w:eastAsia="Calibri" w:hAnsi="Calibri"/>
          <w:sz w:val="18"/>
          <w:szCs w:val="18"/>
          <w:color w:val="auto"/>
        </w:rPr>
      </w:pPr>
    </w:p>
    <w:p>
      <w:pPr>
        <w:ind w:left="580" w:right="20"/>
        <w:spacing w:after="0" w:line="309"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profile, in people who better represent the general population. Further information will also be obtained on how the drug should be used, the optimal dosage regimen and the possible side effects.</w:t>
      </w:r>
    </w:p>
    <w:p>
      <w:pPr>
        <w:spacing w:after="0" w:line="166" w:lineRule="exact"/>
        <w:rPr>
          <w:rFonts w:ascii="Calibri" w:cs="Calibri" w:eastAsia="Calibri" w:hAnsi="Calibri"/>
          <w:sz w:val="18"/>
          <w:szCs w:val="18"/>
          <w:color w:val="auto"/>
        </w:rPr>
      </w:pPr>
    </w:p>
    <w:p>
      <w:pPr>
        <w:ind w:left="560" w:hanging="276"/>
        <w:spacing w:after="0"/>
        <w:tabs>
          <w:tab w:leader="none" w:pos="560" w:val="left"/>
        </w:tabs>
        <w:numPr>
          <w:ilvl w:val="0"/>
          <w:numId w:val="40"/>
        </w:numPr>
        <w:rPr>
          <w:rFonts w:ascii="Calibri" w:cs="Calibri" w:eastAsia="Calibri" w:hAnsi="Calibri"/>
          <w:sz w:val="17"/>
          <w:szCs w:val="17"/>
          <w:color w:val="auto"/>
        </w:rPr>
      </w:pPr>
      <w:r>
        <w:rPr>
          <w:rFonts w:ascii="Times New Roman" w:cs="Times New Roman" w:eastAsia="Times New Roman" w:hAnsi="Times New Roman"/>
          <w:sz w:val="17"/>
          <w:szCs w:val="17"/>
          <w:i w:val="1"/>
          <w:iCs w:val="1"/>
          <w:color w:val="auto"/>
        </w:rPr>
        <w:t xml:space="preserve">New Drug Submission – </w:t>
      </w:r>
      <w:r>
        <w:rPr>
          <w:rFonts w:ascii="Times New Roman" w:cs="Times New Roman" w:eastAsia="Times New Roman" w:hAnsi="Times New Roman"/>
          <w:sz w:val="17"/>
          <w:szCs w:val="17"/>
          <w:color w:val="auto"/>
        </w:rPr>
        <w:t>If the results from phase III continue to be favourable, the drug manufacturer can submit a new drug submission (“</w:t>
      </w:r>
      <w:r>
        <w:rPr>
          <w:rFonts w:ascii="Times New Roman" w:cs="Times New Roman" w:eastAsia="Times New Roman" w:hAnsi="Times New Roman"/>
          <w:sz w:val="17"/>
          <w:szCs w:val="17"/>
          <w:b w:val="1"/>
          <w:bCs w:val="1"/>
          <w:color w:val="auto"/>
        </w:rPr>
        <w:t>NDS</w:t>
      </w:r>
      <w:r>
        <w:rPr>
          <w:rFonts w:ascii="Times New Roman" w:cs="Times New Roman" w:eastAsia="Times New Roman" w:hAnsi="Times New Roman"/>
          <w:sz w:val="17"/>
          <w:szCs w:val="17"/>
          <w:color w:val="auto"/>
        </w:rPr>
        <w:t>”) to</w:t>
      </w:r>
    </w:p>
    <w:p>
      <w:pPr>
        <w:spacing w:after="0" w:line="72" w:lineRule="exact"/>
        <w:rPr>
          <w:rFonts w:ascii="Calibri" w:cs="Calibri" w:eastAsia="Calibri" w:hAnsi="Calibri"/>
          <w:sz w:val="17"/>
          <w:szCs w:val="17"/>
          <w:color w:val="auto"/>
        </w:rPr>
      </w:pPr>
    </w:p>
    <w:p>
      <w:pPr>
        <w:jc w:val="both"/>
        <w:ind w:left="580"/>
        <w:spacing w:after="0" w:line="294"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264" w:lineRule="exact"/>
        <w:rPr>
          <w:sz w:val="20"/>
          <w:szCs w:val="20"/>
          <w:color w:val="auto"/>
        </w:rPr>
      </w:pPr>
    </w:p>
    <w:p>
      <w:pPr>
        <w:ind w:left="580" w:hanging="296"/>
        <w:spacing w:after="0" w:line="292" w:lineRule="auto"/>
        <w:tabs>
          <w:tab w:leader="none" w:pos="576" w:val="left"/>
        </w:tabs>
        <w:numPr>
          <w:ilvl w:val="0"/>
          <w:numId w:val="41"/>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6"/>
        <w:spacing w:after="0"/>
        <w:tabs>
          <w:tab w:leader="none" w:pos="560" w:val="left"/>
        </w:tabs>
        <w:numPr>
          <w:ilvl w:val="0"/>
          <w:numId w:val="41"/>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1"/>
        </w:numPr>
        <w:rPr>
          <w:rFonts w:ascii="Calibri" w:cs="Calibri" w:eastAsia="Calibri" w:hAnsi="Calibri"/>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46" w:lineRule="exact"/>
        <w:rPr>
          <w:rFonts w:ascii="Calibri" w:cs="Calibri" w:eastAsia="Calibri" w:hAnsi="Calibri"/>
          <w:sz w:val="18"/>
          <w:szCs w:val="18"/>
          <w:color w:val="auto"/>
        </w:rPr>
      </w:pPr>
    </w:p>
    <w:p>
      <w:pPr>
        <w:ind w:left="580" w:right="20" w:hanging="296"/>
        <w:spacing w:after="0" w:line="336" w:lineRule="auto"/>
        <w:tabs>
          <w:tab w:leader="none" w:pos="576" w:val="left"/>
        </w:tabs>
        <w:numPr>
          <w:ilvl w:val="0"/>
          <w:numId w:val="41"/>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 regulations, including Good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1301" w:right="319"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8"/>
          <w:szCs w:val="18"/>
          <w:color w:val="auto"/>
        </w:rPr>
        <w:t>Practices, to establish the safety and efficacy of the prescription drug product candidate for each proposed indication;</w:t>
      </w:r>
    </w:p>
    <w:p>
      <w:pPr>
        <w:spacing w:after="0" w:line="45" w:lineRule="exact"/>
        <w:rPr>
          <w:sz w:val="20"/>
          <w:szCs w:val="20"/>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48" w:lineRule="exact"/>
        <w:rPr>
          <w:rFonts w:ascii="Calibri" w:cs="Calibri" w:eastAsia="Calibri" w:hAnsi="Calibri"/>
          <w:sz w:val="18"/>
          <w:szCs w:val="18"/>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w:t>
      </w:r>
    </w:p>
    <w:p>
      <w:pPr>
        <w:spacing w:after="0" w:line="46" w:lineRule="exact"/>
        <w:rPr>
          <w:rFonts w:ascii="Calibri" w:cs="Calibri" w:eastAsia="Calibri" w:hAnsi="Calibri"/>
          <w:sz w:val="18"/>
          <w:szCs w:val="18"/>
          <w:color w:val="auto"/>
        </w:rPr>
      </w:pPr>
    </w:p>
    <w:p>
      <w:pPr>
        <w:ind w:left="580"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assess compliance with cGMP requirements to assure that the facilities, methods and controls are adequate to preserve the drug’s identity, strength, quality, and purity; and</w:t>
      </w: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8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5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1303" w:right="319" w:bottom="1440" w:gutter="0" w:footer="0" w:header="0"/>
        </w:sectPr>
      </w:pPr>
    </w:p>
    <w:bookmarkStart w:id="74" w:name="page75"/>
    <w:bookmarkEnd w:id="74"/>
    <w:p>
      <w:pPr>
        <w:jc w:val="both"/>
        <w:spacing w:after="0" w:line="307" w:lineRule="auto"/>
        <w:rPr>
          <w:sz w:val="20"/>
          <w:szCs w:val="20"/>
          <w:color w:val="auto"/>
        </w:rPr>
      </w:pPr>
      <w:r>
        <w:rPr>
          <w:rFonts w:ascii="Times New Roman" w:cs="Times New Roman" w:eastAsia="Times New Roman" w:hAnsi="Times New Roman"/>
          <w:sz w:val="17"/>
          <w:szCs w:val="17"/>
          <w:color w:val="auto"/>
        </w:rPr>
        <w:t>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5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1303" w:right="319" w:bottom="1440" w:gutter="0" w:footer="0" w:header="0"/>
        </w:sectPr>
      </w:pPr>
    </w:p>
    <w:bookmarkStart w:id="75" w:name="page76"/>
    <w:bookmarkEnd w:id="75"/>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9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Controlled Substances</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1303" w:right="319" w:bottom="1440" w:gutter="0" w:footer="0" w:header="0"/>
        </w:sectPr>
      </w:pPr>
    </w:p>
    <w:bookmarkStart w:id="76" w:name="page77"/>
    <w:bookmarkEnd w:id="76"/>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5"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4"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7"/>
          <w:szCs w:val="17"/>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w:t>
      </w:r>
    </w:p>
    <w:p>
      <w:pPr>
        <w:spacing w:after="0" w:line="2" w:lineRule="exact"/>
        <w:rPr>
          <w:sz w:val="20"/>
          <w:szCs w:val="20"/>
          <w:color w:val="auto"/>
        </w:rPr>
      </w:pPr>
    </w:p>
    <w:p>
      <w:pPr>
        <w:ind w:left="163" w:hanging="163"/>
        <w:spacing w:after="0"/>
        <w:tabs>
          <w:tab w:leader="none" w:pos="16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substances. Required security measures commonly include background checks on employees and physical control of controlled substances through storage</w:t>
      </w:r>
    </w:p>
    <w:p>
      <w:pPr>
        <w:spacing w:after="0" w:line="58" w:lineRule="exact"/>
        <w:rPr>
          <w:rFonts w:ascii="Times New Roman" w:cs="Times New Roman" w:eastAsia="Times New Roman" w:hAnsi="Times New Roman"/>
          <w:sz w:val="17"/>
          <w:szCs w:val="17"/>
          <w:color w:val="auto"/>
        </w:rPr>
      </w:pPr>
    </w:p>
    <w:p>
      <w:pPr>
        <w:jc w:val="both"/>
        <w:ind w:left="3" w:right="20"/>
        <w:spacing w:after="0" w:line="28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w:t>
      </w:r>
    </w:p>
    <w:p>
      <w:pPr>
        <w:jc w:val="both"/>
        <w:ind w:left="3"/>
        <w:spacing w:after="0" w:line="28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w:t>
      </w:r>
    </w:p>
    <w:p>
      <w:pPr>
        <w:ind w:left="3" w:right="2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import or export of a Schedule I and II substance or Schedule III, IV and V narcotic, and submit import or export declarations for Schedule III, IV and V non-narcotics.</w:t>
      </w:r>
    </w:p>
    <w:p>
      <w:pPr>
        <w:spacing w:after="0" w:line="180" w:lineRule="exact"/>
        <w:rPr>
          <w:sz w:val="20"/>
          <w:szCs w:val="20"/>
          <w:color w:val="auto"/>
        </w:rPr>
      </w:pPr>
    </w:p>
    <w:p>
      <w:pPr>
        <w:jc w:val="both"/>
        <w:ind w:left="3" w:right="20"/>
        <w:spacing w:after="0" w:line="291"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96"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3"/>
          </w:cols>
          <w:pgMar w:left="317" w:top="1303" w:right="319" w:bottom="1440" w:gutter="0" w:footer="0" w:header="0"/>
        </w:sectPr>
      </w:pPr>
    </w:p>
    <w:bookmarkStart w:id="77" w:name="page78"/>
    <w:bookmarkEnd w:id="77"/>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Europe/Netherlands</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 the “</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8"/>
          <w:szCs w:val="18"/>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8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Investigational Medical Product Dossier (“</w:t>
      </w:r>
      <w:r>
        <w:rPr>
          <w:rFonts w:ascii="Times New Roman" w:cs="Times New Roman" w:eastAsia="Times New Roman" w:hAnsi="Times New Roman"/>
          <w:sz w:val="18"/>
          <w:szCs w:val="18"/>
          <w:b w:val="1"/>
          <w:bCs w:val="1"/>
          <w:color w:val="auto"/>
        </w:rPr>
        <w:t>IMPD</w:t>
      </w:r>
      <w:r>
        <w:rPr>
          <w:rFonts w:ascii="Times New Roman" w:cs="Times New Roman" w:eastAsia="Times New Roman" w:hAnsi="Times New Roman"/>
          <w:sz w:val="18"/>
          <w:szCs w:val="18"/>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130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clinical practice in the conduct of clinical trials on medicinal products for human use (also commonly referred to as the “</w:t>
      </w:r>
      <w:r>
        <w:rPr>
          <w:rFonts w:ascii="Times New Roman" w:cs="Times New Roman" w:eastAsia="Times New Roman" w:hAnsi="Times New Roman"/>
          <w:sz w:val="18"/>
          <w:szCs w:val="18"/>
          <w:b w:val="1"/>
          <w:bCs w:val="1"/>
          <w:color w:val="auto"/>
        </w:rPr>
        <w:t>Clinical Trials Directive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9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130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6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8"/>
          <w:szCs w:val="18"/>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201"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1303" w:right="319" w:bottom="1440" w:gutter="0" w:footer="0" w:header="0"/>
        </w:sectPr>
      </w:pPr>
    </w:p>
    <w:bookmarkStart w:id="80" w:name="page81"/>
    <w:bookmarkEnd w:id="80"/>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Authorization Regulatory Process</w:t>
      </w:r>
    </w:p>
    <w:p>
      <w:pPr>
        <w:spacing w:after="0" w:line="26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3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7"/>
          <w:szCs w:val="17"/>
          <w:b w:val="1"/>
          <w:bCs w:val="1"/>
          <w:color w:val="auto"/>
        </w:rPr>
        <w:t>RMS</w:t>
      </w:r>
      <w:r>
        <w:rPr>
          <w:rFonts w:ascii="Times New Roman" w:cs="Times New Roman" w:eastAsia="Times New Roman" w:hAnsi="Times New Roman"/>
          <w:sz w:val="17"/>
          <w:szCs w:val="17"/>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1440" w:right="319" w:bottom="1440" w:gutter="0" w:footer="0" w:header="0"/>
        </w:sectPr>
      </w:pPr>
    </w:p>
    <w:bookmarkStart w:id="81" w:name="page82"/>
    <w:bookmarkEnd w:id="81"/>
    <w:p>
      <w:pPr>
        <w:jc w:val="both"/>
        <w:spacing w:after="0" w:line="294" w:lineRule="auto"/>
        <w:rPr>
          <w:sz w:val="20"/>
          <w:szCs w:val="20"/>
          <w:color w:val="auto"/>
        </w:rPr>
      </w:pPr>
      <w:r>
        <w:rPr>
          <w:rFonts w:ascii="Times New Roman" w:cs="Times New Roman" w:eastAsia="Times New Roman" w:hAnsi="Times New Roman"/>
          <w:sz w:val="18"/>
          <w:szCs w:val="18"/>
          <w:color w:val="auto"/>
        </w:rPr>
        <w:t>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w:t>
      </w:r>
    </w:p>
    <w:p>
      <w:pPr>
        <w:spacing w:after="0" w:line="25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6"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5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8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Applicable Laws</w:t>
      </w:r>
    </w:p>
    <w:p>
      <w:pPr>
        <w:spacing w:after="0" w:line="23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1303" w:right="319" w:bottom="1440" w:gutter="0" w:footer="0" w:header="0"/>
        </w:sectPr>
      </w:pPr>
    </w:p>
    <w:bookmarkStart w:id="82" w:name="page83"/>
    <w:bookmarkEnd w:id="82"/>
    <w:p>
      <w:pPr>
        <w:jc w:val="both"/>
        <w:spacing w:after="0" w:line="295" w:lineRule="auto"/>
        <w:rPr>
          <w:sz w:val="20"/>
          <w:szCs w:val="20"/>
          <w:color w:val="auto"/>
        </w:rPr>
      </w:pPr>
      <w:r>
        <w:rPr>
          <w:rFonts w:ascii="Times New Roman" w:cs="Times New Roman" w:eastAsia="Times New Roman" w:hAnsi="Times New Roman"/>
          <w:sz w:val="18"/>
          <w:szCs w:val="18"/>
          <w:color w:val="auto"/>
        </w:rPr>
        <w:t>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8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4"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0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1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7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Cooperation Treaty</w:t>
      </w:r>
    </w:p>
    <w:p>
      <w:pPr>
        <w:spacing w:after="0" w:line="2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4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1291" w:right="319" w:bottom="1440" w:gutter="0" w:footer="0" w:header="0"/>
        </w:sectPr>
      </w:pPr>
    </w:p>
    <w:bookmarkStart w:id="83" w:name="page84"/>
    <w:bookmarkEnd w:id="83"/>
    <w:p>
      <w:pPr>
        <w:jc w:val="both"/>
        <w:spacing w:after="0" w:line="294"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Quarterly Information</w:t>
      </w:r>
    </w:p>
    <w:p>
      <w:pPr>
        <w:spacing w:after="0" w:line="25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 xml:space="preserve">The following table sets forth selected consolidated financial information for the periods indicated that are derived </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rom, and should be read in conjunction with, the Financial Statements and related notes thereto.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160" w:type="dxa"/>
            <w:vAlign w:val="bottom"/>
            <w:shd w:val="clear" w:color="auto" w:fill="DBDBDB"/>
          </w:tcPr>
          <w:p>
            <w:pPr>
              <w:spacing w:after="0"/>
              <w:rPr>
                <w:sz w:val="13"/>
                <w:szCs w:val="1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w w:val="97"/>
              </w:rPr>
              <w:t>except per share and share figures)</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76"/>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31,304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58,254</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20,317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27,024</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13,910</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12,707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13,703</w:t>
            </w:r>
          </w:p>
        </w:tc>
      </w:tr>
      <w:tr>
        <w:trPr>
          <w:trHeight w:val="180"/>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(10,542)</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(57,192)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(14,824)</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(21,346)</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(30,330)</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(11,890)</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(14,514)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(13,720)</w:t>
            </w:r>
          </w:p>
        </w:tc>
      </w:tr>
      <w:tr>
        <w:trPr>
          <w:trHeight w:val="423"/>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Weighted Average Shares - Basic</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20,001,406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20,001,406</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20,001,406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12,045,467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8,781,041</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6,173,270</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5,425,205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5,161,694</w:t>
            </w:r>
          </w:p>
        </w:tc>
      </w:tr>
      <w:tr>
        <w:trPr>
          <w:trHeight w:val="18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(0.53)</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(0.74)</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(3.45)</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(1.93)</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(2.68)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383"/>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60" w:type="dxa"/>
            <w:vAlign w:val="bottom"/>
            <w:shd w:val="clear" w:color="auto" w:fill="DBDBDB"/>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20,001,406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20,001,406</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20,001,406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12,045,467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8,781,041</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6,173,270</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5,425,205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5,161,694</w:t>
            </w:r>
          </w:p>
        </w:tc>
      </w:tr>
      <w:tr>
        <w:trPr>
          <w:trHeight w:val="18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(0.53)</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(0.74)</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(3.45)</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(1.93)</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(2.68)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423"/>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136,290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154,318</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183,275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208,992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38,999</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18,118</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9,349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16,633</w:t>
            </w:r>
          </w:p>
        </w:tc>
      </w:tr>
      <w:tr>
        <w:trPr>
          <w:trHeight w:val="18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253,546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262,391</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284,647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302,023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129,724</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57,627</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45,691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53,897</w:t>
            </w:r>
          </w:p>
        </w:tc>
      </w:tr>
      <w:tr>
        <w:trPr>
          <w:trHeight w:val="200"/>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Total Non-Current Liabilities ($)</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Total assets decreased by $48,477 from April 1, 2024 to December 31, 2024 mainly as a result of a decrease in cash as the Company continues to progress its operations. The decrease is partially offset by an increase of prepaid expenses. As at December 31, 2024, the Company had prepaid expenses related to future clinical work of $15,234 (US$10,587).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03" w:right="339" w:bottom="1440" w:gutter="0" w:footer="0" w:header="0"/>
        </w:sectPr>
      </w:pPr>
    </w:p>
    <w:bookmarkStart w:id="84" w:name="page85"/>
    <w:bookmarkEnd w:id="84"/>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3200" w:type="dxa"/>
            <w:vAlign w:val="bottom"/>
            <w:gridSpan w:val="2"/>
          </w:tcPr>
          <w:p>
            <w:pPr>
              <w:jc w:val="right"/>
              <w:ind w:right="567"/>
              <w:spacing w:after="0"/>
              <w:rPr>
                <w:sz w:val="20"/>
                <w:szCs w:val="20"/>
                <w:color w:val="auto"/>
              </w:rPr>
            </w:pPr>
            <w:r>
              <w:rPr>
                <w:rFonts w:ascii="Calibri" w:cs="Calibri" w:eastAsia="Calibri" w:hAnsi="Calibri"/>
                <w:sz w:val="15"/>
                <w:szCs w:val="15"/>
                <w:b w:val="1"/>
                <w:bCs w:val="1"/>
                <w:color w:val="auto"/>
              </w:rPr>
              <w:t>Three months ended December 31,</w:t>
            </w:r>
          </w:p>
        </w:tc>
        <w:tc>
          <w:tcPr>
            <w:tcW w:w="2740" w:type="dxa"/>
            <w:vAlign w:val="bottom"/>
            <w:gridSpan w:val="2"/>
          </w:tcPr>
          <w:p>
            <w:pPr>
              <w:jc w:val="right"/>
              <w:ind w:right="367"/>
              <w:spacing w:after="0"/>
              <w:rPr>
                <w:sz w:val="20"/>
                <w:szCs w:val="20"/>
                <w:color w:val="auto"/>
              </w:rPr>
            </w:pPr>
            <w:r>
              <w:rPr>
                <w:rFonts w:ascii="Calibri" w:cs="Calibri" w:eastAsia="Calibri" w:hAnsi="Calibri"/>
                <w:sz w:val="15"/>
                <w:szCs w:val="15"/>
                <w:b w:val="1"/>
                <w:bCs w:val="1"/>
                <w:color w:val="auto"/>
              </w:rPr>
              <w:t>Nine months ended December 31,</w:t>
            </w:r>
          </w:p>
        </w:tc>
        <w:tc>
          <w:tcPr>
            <w:tcW w:w="0" w:type="dxa"/>
            <w:vAlign w:val="bottom"/>
          </w:tcPr>
          <w:p>
            <w:pPr>
              <w:spacing w:after="0"/>
              <w:rPr>
                <w:sz w:val="1"/>
                <w:szCs w:val="1"/>
                <w:color w:val="auto"/>
              </w:rPr>
            </w:pPr>
          </w:p>
        </w:tc>
      </w:tr>
      <w:tr>
        <w:trPr>
          <w:trHeight w:val="24"/>
        </w:trPr>
        <w:tc>
          <w:tcPr>
            <w:tcW w:w="5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80" w:type="dxa"/>
            <w:vAlign w:val="bottom"/>
          </w:tcPr>
          <w:p>
            <w:pPr>
              <w:spacing w:after="0"/>
              <w:rPr>
                <w:sz w:val="18"/>
                <w:szCs w:val="18"/>
                <w:color w:val="auto"/>
              </w:rPr>
            </w:pPr>
          </w:p>
        </w:tc>
        <w:tc>
          <w:tcPr>
            <w:tcW w:w="1920" w:type="dxa"/>
            <w:vAlign w:val="bottom"/>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8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51"/>
        </w:trPr>
        <w:tc>
          <w:tcPr>
            <w:tcW w:w="52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1"/>
        </w:trPr>
        <w:tc>
          <w:tcPr>
            <w:tcW w:w="52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w:t>
            </w:r>
          </w:p>
        </w:tc>
        <w:tc>
          <w:tcPr>
            <w:tcW w:w="1920" w:type="dxa"/>
            <w:vAlign w:val="bottom"/>
            <w:vMerge w:val="restart"/>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18,785</w:t>
            </w:r>
          </w:p>
        </w:tc>
        <w:tc>
          <w:tcPr>
            <w:tcW w:w="1280" w:type="dxa"/>
            <w:vAlign w:val="bottom"/>
            <w:vMerge w:val="restart"/>
          </w:tcPr>
          <w:p>
            <w:pPr>
              <w:jc w:val="right"/>
              <w:ind w:right="187"/>
              <w:spacing w:after="0"/>
              <w:rPr>
                <w:sz w:val="20"/>
                <w:szCs w:val="20"/>
                <w:color w:val="auto"/>
              </w:rPr>
            </w:pPr>
            <w:r>
              <w:rPr>
                <w:rFonts w:ascii="Times New Roman" w:cs="Times New Roman" w:eastAsia="Times New Roman" w:hAnsi="Times New Roman"/>
                <w:sz w:val="15"/>
                <w:szCs w:val="15"/>
                <w:color w:val="auto"/>
              </w:rPr>
              <w:t>7,439</w:t>
            </w:r>
          </w:p>
        </w:tc>
        <w:tc>
          <w:tcPr>
            <w:tcW w:w="16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35,941</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20,519</w:t>
            </w:r>
          </w:p>
        </w:tc>
        <w:tc>
          <w:tcPr>
            <w:tcW w:w="0" w:type="dxa"/>
            <w:vAlign w:val="bottom"/>
          </w:tcPr>
          <w:p>
            <w:pPr>
              <w:spacing w:after="0"/>
              <w:rPr>
                <w:sz w:val="1"/>
                <w:szCs w:val="1"/>
                <w:color w:val="auto"/>
              </w:rPr>
            </w:pPr>
          </w:p>
        </w:tc>
      </w:tr>
      <w:tr>
        <w:trPr>
          <w:trHeight w:val="60"/>
        </w:trPr>
        <w:tc>
          <w:tcPr>
            <w:tcW w:w="52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1920" w:type="dxa"/>
            <w:vAlign w:val="bottom"/>
            <w:vMerge w:val="restart"/>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9,177</w:t>
            </w:r>
          </w:p>
        </w:tc>
        <w:tc>
          <w:tcPr>
            <w:tcW w:w="1280" w:type="dxa"/>
            <w:vAlign w:val="bottom"/>
            <w:vMerge w:val="restart"/>
          </w:tcPr>
          <w:p>
            <w:pPr>
              <w:jc w:val="right"/>
              <w:ind w:right="187"/>
              <w:spacing w:after="0"/>
              <w:rPr>
                <w:sz w:val="20"/>
                <w:szCs w:val="20"/>
                <w:color w:val="auto"/>
              </w:rPr>
            </w:pPr>
            <w:r>
              <w:rPr>
                <w:rFonts w:ascii="Times New Roman" w:cs="Times New Roman" w:eastAsia="Times New Roman" w:hAnsi="Times New Roman"/>
                <w:sz w:val="15"/>
                <w:szCs w:val="15"/>
                <w:color w:val="auto"/>
              </w:rPr>
              <w:t>9,657</w:t>
            </w:r>
          </w:p>
        </w:tc>
        <w:tc>
          <w:tcPr>
            <w:tcW w:w="16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33,158</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20,505</w:t>
            </w:r>
          </w:p>
        </w:tc>
        <w:tc>
          <w:tcPr>
            <w:tcW w:w="0" w:type="dxa"/>
            <w:vAlign w:val="bottom"/>
          </w:tcPr>
          <w:p>
            <w:pPr>
              <w:spacing w:after="0"/>
              <w:rPr>
                <w:sz w:val="1"/>
                <w:szCs w:val="1"/>
                <w:color w:val="auto"/>
              </w:rPr>
            </w:pPr>
          </w:p>
        </w:tc>
      </w:tr>
      <w:tr>
        <w:trPr>
          <w:trHeight w:val="60"/>
        </w:trPr>
        <w:tc>
          <w:tcPr>
            <w:tcW w:w="52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1920" w:type="dxa"/>
            <w:vAlign w:val="bottom"/>
            <w:vMerge w:val="restart"/>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3,342</w:t>
            </w:r>
          </w:p>
        </w:tc>
        <w:tc>
          <w:tcPr>
            <w:tcW w:w="1280" w:type="dxa"/>
            <w:vAlign w:val="bottom"/>
            <w:vMerge w:val="restart"/>
          </w:tcPr>
          <w:p>
            <w:pPr>
              <w:jc w:val="right"/>
              <w:ind w:right="187"/>
              <w:spacing w:after="0"/>
              <w:rPr>
                <w:sz w:val="20"/>
                <w:szCs w:val="20"/>
                <w:color w:val="auto"/>
              </w:rPr>
            </w:pPr>
            <w:r>
              <w:rPr>
                <w:rFonts w:ascii="Times New Roman" w:cs="Times New Roman" w:eastAsia="Times New Roman" w:hAnsi="Times New Roman"/>
                <w:sz w:val="15"/>
                <w:szCs w:val="15"/>
                <w:color w:val="auto"/>
              </w:rPr>
              <w:t>9,928</w:t>
            </w:r>
          </w:p>
        </w:tc>
        <w:tc>
          <w:tcPr>
            <w:tcW w:w="16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40,776</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12,617</w:t>
            </w:r>
          </w:p>
        </w:tc>
        <w:tc>
          <w:tcPr>
            <w:tcW w:w="0" w:type="dxa"/>
            <w:vAlign w:val="bottom"/>
          </w:tcPr>
          <w:p>
            <w:pPr>
              <w:spacing w:after="0"/>
              <w:rPr>
                <w:sz w:val="1"/>
                <w:szCs w:val="1"/>
                <w:color w:val="auto"/>
              </w:rPr>
            </w:pPr>
          </w:p>
        </w:tc>
      </w:tr>
      <w:tr>
        <w:trPr>
          <w:trHeight w:val="60"/>
        </w:trPr>
        <w:tc>
          <w:tcPr>
            <w:tcW w:w="52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9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31,304</w:t>
            </w:r>
          </w:p>
        </w:tc>
        <w:tc>
          <w:tcPr>
            <w:tcW w:w="12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27,024</w:t>
            </w:r>
          </w:p>
        </w:tc>
        <w:tc>
          <w:tcPr>
            <w:tcW w:w="16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109,875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53,641</w:t>
            </w:r>
          </w:p>
        </w:tc>
        <w:tc>
          <w:tcPr>
            <w:tcW w:w="0" w:type="dxa"/>
            <w:vAlign w:val="bottom"/>
          </w:tcPr>
          <w:p>
            <w:pPr>
              <w:spacing w:after="0"/>
              <w:rPr>
                <w:sz w:val="1"/>
                <w:szCs w:val="1"/>
                <w:color w:val="auto"/>
              </w:rPr>
            </w:pPr>
          </w:p>
        </w:tc>
      </w:tr>
      <w:tr>
        <w:trPr>
          <w:trHeight w:val="400"/>
        </w:trPr>
        <w:tc>
          <w:tcPr>
            <w:tcW w:w="52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1920" w:type="dxa"/>
            <w:vAlign w:val="bottom"/>
            <w:vMerge w:val="restart"/>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19,161</w:t>
            </w:r>
          </w:p>
        </w:tc>
        <w:tc>
          <w:tcPr>
            <w:tcW w:w="1280" w:type="dxa"/>
            <w:vAlign w:val="bottom"/>
            <w:vMerge w:val="restart"/>
          </w:tcPr>
          <w:p>
            <w:pPr>
              <w:jc w:val="right"/>
              <w:ind w:right="147"/>
              <w:spacing w:after="0"/>
              <w:rPr>
                <w:sz w:val="20"/>
                <w:szCs w:val="20"/>
                <w:color w:val="auto"/>
              </w:rPr>
            </w:pPr>
            <w:r>
              <w:rPr>
                <w:rFonts w:ascii="Times New Roman" w:cs="Times New Roman" w:eastAsia="Times New Roman" w:hAnsi="Times New Roman"/>
                <w:sz w:val="15"/>
                <w:szCs w:val="15"/>
                <w:color w:val="auto"/>
              </w:rPr>
              <w:t>(3,447)</w:t>
            </w:r>
          </w:p>
        </w:tc>
        <w:tc>
          <w:tcPr>
            <w:tcW w:w="16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20,497</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(3,370)</w:t>
            </w:r>
          </w:p>
        </w:tc>
        <w:tc>
          <w:tcPr>
            <w:tcW w:w="0" w:type="dxa"/>
            <w:vAlign w:val="bottom"/>
          </w:tcPr>
          <w:p>
            <w:pPr>
              <w:spacing w:after="0"/>
              <w:rPr>
                <w:sz w:val="1"/>
                <w:szCs w:val="1"/>
                <w:color w:val="auto"/>
              </w:rPr>
            </w:pPr>
          </w:p>
        </w:tc>
      </w:tr>
      <w:tr>
        <w:trPr>
          <w:trHeight w:val="60"/>
        </w:trPr>
        <w:tc>
          <w:tcPr>
            <w:tcW w:w="52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1920" w:type="dxa"/>
            <w:vAlign w:val="bottom"/>
            <w:vMerge w:val="restart"/>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1,629</w:t>
            </w:r>
          </w:p>
        </w:tc>
        <w:tc>
          <w:tcPr>
            <w:tcW w:w="1280" w:type="dxa"/>
            <w:vAlign w:val="bottom"/>
            <w:vMerge w:val="restart"/>
          </w:tcPr>
          <w:p>
            <w:pPr>
              <w:jc w:val="right"/>
              <w:ind w:right="187"/>
              <w:spacing w:after="0"/>
              <w:rPr>
                <w:sz w:val="20"/>
                <w:szCs w:val="20"/>
                <w:color w:val="auto"/>
              </w:rPr>
            </w:pPr>
            <w:r>
              <w:rPr>
                <w:rFonts w:ascii="Times New Roman" w:cs="Times New Roman" w:eastAsia="Times New Roman" w:hAnsi="Times New Roman"/>
                <w:sz w:val="15"/>
                <w:szCs w:val="15"/>
                <w:color w:val="auto"/>
              </w:rPr>
              <w:t>141</w:t>
            </w:r>
          </w:p>
        </w:tc>
        <w:tc>
          <w:tcPr>
            <w:tcW w:w="16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6,848</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60"/>
        </w:trPr>
        <w:tc>
          <w:tcPr>
            <w:tcW w:w="5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Other loss</w:t>
            </w:r>
          </w:p>
        </w:tc>
        <w:tc>
          <w:tcPr>
            <w:tcW w:w="19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(28)</w:t>
            </w:r>
          </w:p>
        </w:tc>
        <w:tc>
          <w:tcPr>
            <w:tcW w:w="12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(28)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w:t>
            </w:r>
          </w:p>
        </w:tc>
        <w:tc>
          <w:tcPr>
            <w:tcW w:w="19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20,762</w:t>
            </w:r>
          </w:p>
        </w:tc>
        <w:tc>
          <w:tcPr>
            <w:tcW w:w="12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rPr>
              <w:t>(3,306)</w:t>
            </w:r>
          </w:p>
        </w:tc>
        <w:tc>
          <w:tcPr>
            <w:tcW w:w="16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27,317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(3,093)</w:t>
            </w:r>
          </w:p>
        </w:tc>
        <w:tc>
          <w:tcPr>
            <w:tcW w:w="0" w:type="dxa"/>
            <w:vAlign w:val="bottom"/>
          </w:tcPr>
          <w:p>
            <w:pPr>
              <w:spacing w:after="0"/>
              <w:rPr>
                <w:sz w:val="1"/>
                <w:szCs w:val="1"/>
                <w:color w:val="auto"/>
              </w:rPr>
            </w:pPr>
          </w:p>
        </w:tc>
      </w:tr>
      <w:tr>
        <w:trPr>
          <w:trHeight w:val="211"/>
        </w:trPr>
        <w:tc>
          <w:tcPr>
            <w:tcW w:w="5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PERIOD</w:t>
            </w:r>
          </w:p>
        </w:tc>
        <w:tc>
          <w:tcPr>
            <w:tcW w:w="1920" w:type="dxa"/>
            <w:vAlign w:val="bottom"/>
            <w:tcBorders>
              <w:bottom w:val="single" w:sz="8" w:color="auto"/>
            </w:tcBorders>
            <w:shd w:val="clear" w:color="auto" w:fill="DBDBDB"/>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(10,542)</w:t>
            </w:r>
          </w:p>
        </w:tc>
        <w:tc>
          <w:tcPr>
            <w:tcW w:w="1280" w:type="dxa"/>
            <w:vAlign w:val="bottom"/>
            <w:tcBorders>
              <w:bottom w:val="single" w:sz="8" w:color="auto"/>
            </w:tcBorders>
            <w:shd w:val="clear" w:color="auto" w:fill="DBDBDB"/>
          </w:tcPr>
          <w:p>
            <w:pPr>
              <w:jc w:val="right"/>
              <w:ind w:right="147"/>
              <w:spacing w:after="0"/>
              <w:rPr>
                <w:sz w:val="20"/>
                <w:szCs w:val="20"/>
                <w:color w:val="auto"/>
              </w:rPr>
            </w:pPr>
            <w:r>
              <w:rPr>
                <w:rFonts w:ascii="Times New Roman" w:cs="Times New Roman" w:eastAsia="Times New Roman" w:hAnsi="Times New Roman"/>
                <w:sz w:val="15"/>
                <w:szCs w:val="15"/>
                <w:color w:val="auto"/>
              </w:rPr>
              <w:t>(30,330)</w:t>
            </w:r>
          </w:p>
        </w:tc>
        <w:tc>
          <w:tcPr>
            <w:tcW w:w="1680" w:type="dxa"/>
            <w:vAlign w:val="bottom"/>
            <w:tcBorders>
              <w:bottom w:val="single" w:sz="8" w:color="auto"/>
            </w:tcBorders>
            <w:shd w:val="clear" w:color="auto" w:fill="DBDBDB"/>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(82,558)</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(56,734)</w:t>
            </w:r>
          </w:p>
        </w:tc>
        <w:tc>
          <w:tcPr>
            <w:tcW w:w="0" w:type="dxa"/>
            <w:vAlign w:val="bottom"/>
          </w:tcPr>
          <w:p>
            <w:pPr>
              <w:spacing w:after="0"/>
              <w:rPr>
                <w:sz w:val="1"/>
                <w:szCs w:val="1"/>
                <w:color w:val="auto"/>
              </w:rPr>
            </w:pPr>
          </w:p>
        </w:tc>
      </w:tr>
      <w:tr>
        <w:trPr>
          <w:trHeight w:val="402"/>
        </w:trPr>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period</w:t>
            </w:r>
          </w:p>
        </w:tc>
        <w:tc>
          <w:tcPr>
            <w:tcW w:w="192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(0.53)</w:t>
            </w:r>
          </w:p>
        </w:tc>
        <w:tc>
          <w:tcPr>
            <w:tcW w:w="12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rPr>
              <w:t>(3.45)</w:t>
            </w:r>
          </w:p>
        </w:tc>
        <w:tc>
          <w:tcPr>
            <w:tcW w:w="16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(4.13)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(8.67)</w:t>
            </w:r>
          </w:p>
        </w:tc>
        <w:tc>
          <w:tcPr>
            <w:tcW w:w="0" w:type="dxa"/>
            <w:vAlign w:val="bottom"/>
          </w:tcPr>
          <w:p>
            <w:pPr>
              <w:spacing w:after="0"/>
              <w:rPr>
                <w:sz w:val="1"/>
                <w:szCs w:val="1"/>
                <w:color w:val="auto"/>
              </w:rPr>
            </w:pPr>
          </w:p>
        </w:tc>
      </w:tr>
      <w:tr>
        <w:trPr>
          <w:trHeight w:val="187"/>
        </w:trPr>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19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20,001,406</w:t>
            </w:r>
          </w:p>
        </w:tc>
        <w:tc>
          <w:tcPr>
            <w:tcW w:w="12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8,781,041</w:t>
            </w:r>
          </w:p>
        </w:tc>
        <w:tc>
          <w:tcPr>
            <w:tcW w:w="16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20,001,406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6,546,221</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three and nine months ended December 31, 2024, Cybin incurred a net loss of $10,542 and $82,558, respectively, compared to a net loss of $30,330 and $56,734 during the same periods in prior year. The net loss for the three and nine months ended December 31, 2024, includes a non-cash component related to share-based compensation of $3,342 and $40,776, respectively, compared to $9,928 and $12,617 during the same periods in prior year.</w:t>
      </w:r>
    </w:p>
    <w:p>
      <w:pPr>
        <w:spacing w:after="0" w:line="1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During the nine month period ended December 31, 2024, the Company was focused on progressing its various research programs, with a focus on its Deuterated Psilocin Analog Program (CYB003) and Deuterated Dimethyltryptamine Program (CYB004), and raising awareness of the Company and its industry. During the period, both the CYB003 and the CYB004 clinical programs have progressed towards the milestones noted above. See “</w:t>
      </w:r>
      <w:r>
        <w:rPr>
          <w:rFonts w:ascii="Times New Roman" w:cs="Times New Roman" w:eastAsia="Times New Roman" w:hAnsi="Times New Roman"/>
          <w:sz w:val="18"/>
          <w:szCs w:val="18"/>
          <w:i w:val="1"/>
          <w:iCs w:val="1"/>
          <w:color w:val="auto"/>
        </w:rPr>
        <w:t>Non-Revenue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Generating Projects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1440"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three month period ended December 31, 2024, operating expenses totaled $31,304 (2023 - $27,024). The operating expenses include a non-cash component of $3,342 (2023 - $9,928) related to share-based compensation. The remaining operating expenses were incurred to support raising capital, research &amp; development and the overall development of the Company.</w:t>
      </w:r>
    </w:p>
    <w:p>
      <w:pPr>
        <w:spacing w:after="0" w:line="15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nine month period ended December 31, 2024, operating expenses totaled $109,875 (2023 - $53,641). The operating expenses include a non-cash component of $40,776 (2023 - $12,617) related to share-based compensation. The remaining operating expenses were incurred to support raising capital, research &amp; development and the overall development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w:t>
      </w:r>
    </w:p>
    <w:p>
      <w:pPr>
        <w:spacing w:after="0" w:line="26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For the three month period ended December 31, 2024, the Company’s research expenses totaled $18,785 compared to $7,439 during the same period in prior year. Research expenses for the three month period are comprised of advancement of the development programs of $14,772 (2023 - $5,232), payroll related expenses of $3,097 (2023 - $1,794 ), lab and administration expenses of $622 (2023 - $373), and professional and consulting fees of $294 (2023 - $40).</w:t>
      </w:r>
    </w:p>
    <w:p>
      <w:pPr>
        <w:spacing w:after="0" w:line="134"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For the nine month period ended December 31, 2024, the Company’s research expenses totaled $35,941 compared to $20,519 during the same period in prior year. Research expenses for the nine month period are comprised of advancement of the development programs of $25,178 (2023 - $14,590), payroll related expenses of $8,267 (2023 - $5,003), lab and administration expenses of $1,485 (2023 - $778) and professional and consulting fees of $1,011 (2023 - $148).</w:t>
      </w:r>
    </w:p>
    <w:p>
      <w:pPr>
        <w:spacing w:after="0" w:line="13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overall increase in research expenses is due the progression of the Company’s various research programs, primarily related to the advancement of its clinical trials for both its Deuterated Psilocin Analog Program (CYB003) and Deuterated Dimethyltryptamine Program (CYB004). Both of the Company's proprietary clinical programs, CYB003 and CYB004, have shown positive phase 2 safety and efficacy results. Furthermore, CYB003, which has been granted FDA BTD, has initiated phase 3 studies.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Administration Costs</w:t>
      </w:r>
    </w:p>
    <w:p>
      <w:pPr>
        <w:spacing w:after="0" w:line="2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For the three month period ended December 31, 2024 general and administrative expenses were $9,177 compared to $9,657 during the same period in the prior year. General and administrative expenses for the three-month period are comprised of payroll related expenses of $2,596 (2023 - $1,597), professional and consulting fees of $1,922 (2023 -$1,574), office and administration expenses of $1,301 (2023 - $883), capital market expenses of $1,770 (2023 - $3,377), business development expenses of $937 (2023 - $203), investor relations expenses of $517 (2023 - $1,934), marketing media fees of $92 (2023 - $23) and listing fees of $42 (2023 - $66). The overall decrease in general and administrative expenses for the three month period ended December 31, 2024 is due to timing of capital market spend and investor relations activities, partially offset by an increase in payroll related expenses due to both the acquisition of Small Pharma and the overall growth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1336" w:right="319" w:bottom="1440" w:gutter="0" w:footer="0" w:header="0"/>
        </w:sectPr>
      </w:pPr>
    </w:p>
    <w:bookmarkStart w:id="86" w:name="page87"/>
    <w:bookmarkEnd w:id="86"/>
    <w:p>
      <w:pPr>
        <w:jc w:val="both"/>
        <w:spacing w:after="0" w:line="289" w:lineRule="auto"/>
        <w:rPr>
          <w:sz w:val="20"/>
          <w:szCs w:val="20"/>
          <w:color w:val="auto"/>
        </w:rPr>
      </w:pPr>
      <w:r>
        <w:rPr>
          <w:rFonts w:ascii="Times New Roman" w:cs="Times New Roman" w:eastAsia="Times New Roman" w:hAnsi="Times New Roman"/>
          <w:sz w:val="18"/>
          <w:szCs w:val="18"/>
          <w:color w:val="auto"/>
        </w:rPr>
        <w:t>For the nine month period ended December 31, 2024 general and administrative expenses were $33,158 compared to $20,505 during the same period in the prior year. General and administrative expenses for the nine month period are comprised of capital market expenses of $13,985 (2023 - $7,600), payroll related expenses of $8,703 (2023 - $4,388), office and administration expenses of $3,354 (2023 - $2,102), professional and consulting fees of $2,925 (2023 -$3,080), investor relations expenses of $1,902 (2023 - $2,375), business development expenses of $1,895 (2023 - $692), listing fees of $222 (2023 - $218), and marketing media fees of $172 (2023 - $50). The overall increase in general and administrative expenses for the nine month period ended December 31, 2024 is largely due to an increase in capital market spend as the Company continues to raise awareness of the Company and its industry. In addition, payroll related expenses have increased due to both the acquisition of Small Pharma and the overall growth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For the three and nine month periods ended December 31, 2024, the Company recorded a share-based compensation expense of $3,342 and $40,776, respectively, compared to $9,928 and $12,617 during the same periods in prior year. The increase is largely related to the new options grants issued to consultants, officers, directors and employees.</w:t>
      </w:r>
    </w:p>
    <w:p>
      <w:pPr>
        <w:spacing w:after="0" w:line="17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warrants and options the equity reserve balances will be moved to share capital.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 Gain (Loss)</w:t>
      </w:r>
    </w:p>
    <w:p>
      <w:pPr>
        <w:spacing w:after="0" w:line="25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three-month period ended December 31, 2024 the Company incurred a foreign currency translation gain from operations and revaluation of balance sheet assets and liabilities held in foreign currencies of $19,161. The Company holds assets and liabilities in Canadian dollars, U.S. dollars, Euros, and British pounds.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For the nine month period ended December 31, 2024 the Company incurred a foreign currency translation gain from operations and revaluation of balance sheet assets and liabilities held in foreign currencies of $20,497. The Company holds assets and liabilities in Canadian dollars, U.S. dollars, Euros, and British pounds.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21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For the three and nine month periods ended December 31, 2024, the Company recorded interest income of $1,629 and $6,848, respectively, compared to $141 and $277 during the same periods in prior year. The increase is largely related to an increase on interest rates and the cash balance earning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03" w:right="339" w:bottom="1440" w:gutter="0" w:footer="0" w:header="0"/>
        </w:sectPr>
      </w:pPr>
    </w:p>
    <w:bookmarkStart w:id="87" w:name="page88"/>
    <w:bookmarkEnd w:id="87"/>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December</w:t>
            </w:r>
          </w:p>
        </w:tc>
        <w:tc>
          <w:tcPr>
            <w:tcW w:w="11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Nine months ended December</w:t>
            </w:r>
          </w:p>
        </w:tc>
        <w:tc>
          <w:tcPr>
            <w:tcW w:w="14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40" w:type="dxa"/>
            <w:vAlign w:val="bottom"/>
            <w:tcBorders>
              <w:bottom w:val="single" w:sz="8" w:color="auto"/>
            </w:tcBorders>
            <w:gridSpan w:val="2"/>
          </w:tcPr>
          <w:p>
            <w:pPr>
              <w:jc w:val="right"/>
              <w:ind w:right="867"/>
              <w:spacing w:after="0"/>
              <w:rPr>
                <w:sz w:val="20"/>
                <w:szCs w:val="20"/>
                <w:color w:val="auto"/>
              </w:rPr>
            </w:pPr>
            <w:r>
              <w:rPr>
                <w:rFonts w:ascii="Times New Roman" w:cs="Times New Roman" w:eastAsia="Times New Roman" w:hAnsi="Times New Roman"/>
                <w:sz w:val="15"/>
                <w:szCs w:val="15"/>
                <w:b w:val="1"/>
                <w:bCs w:val="1"/>
                <w:color w:val="auto"/>
              </w:rPr>
              <w:t>31,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31,</w:t>
            </w:r>
          </w:p>
        </w:tc>
        <w:tc>
          <w:tcPr>
            <w:tcW w:w="5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86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B6B6B6"/>
            </w:tcBorders>
          </w:tcPr>
          <w:p>
            <w:pPr>
              <w:spacing w:after="0"/>
              <w:rPr>
                <w:sz w:val="16"/>
                <w:szCs w:val="16"/>
                <w:color w:val="auto"/>
              </w:rPr>
            </w:pPr>
          </w:p>
        </w:tc>
        <w:tc>
          <w:tcPr>
            <w:tcW w:w="420" w:type="dxa"/>
            <w:vAlign w:val="bottom"/>
            <w:tcBorders>
              <w:bottom w:val="single" w:sz="8" w:color="B6B6B6"/>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B6B6B6"/>
            </w:tcBorders>
          </w:tcPr>
          <w:p>
            <w:pPr>
              <w:spacing w:after="0"/>
              <w:rPr>
                <w:sz w:val="16"/>
                <w:szCs w:val="16"/>
                <w:color w:val="auto"/>
              </w:rPr>
            </w:pPr>
          </w:p>
        </w:tc>
        <w:tc>
          <w:tcPr>
            <w:tcW w:w="1520" w:type="dxa"/>
            <w:vAlign w:val="bottom"/>
            <w:tcBorders>
              <w:bottom w:val="single" w:sz="8" w:color="B6B6B6"/>
            </w:tcBorders>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980" w:type="dxa"/>
            <w:vAlign w:val="bottom"/>
            <w:tcBorders>
              <w:bottom w:val="single" w:sz="8" w:color="B6B6B6"/>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B6B6B6"/>
            </w:tcBorders>
          </w:tcPr>
          <w:p>
            <w:pPr>
              <w:spacing w:after="0"/>
              <w:rPr>
                <w:sz w:val="16"/>
                <w:szCs w:val="16"/>
                <w:color w:val="auto"/>
              </w:rPr>
            </w:pPr>
          </w:p>
        </w:tc>
        <w:tc>
          <w:tcPr>
            <w:tcW w:w="420" w:type="dxa"/>
            <w:vAlign w:val="bottom"/>
            <w:tcBorders>
              <w:bottom w:val="single" w:sz="8" w:color="B6B6B6"/>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8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(27,124)</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(26,042)</w:t>
            </w:r>
          </w:p>
        </w:tc>
        <w:tc>
          <w:tcPr>
            <w:tcW w:w="16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(1,082)</w:t>
            </w:r>
          </w:p>
        </w:tc>
        <w:tc>
          <w:tcPr>
            <w:tcW w:w="420" w:type="dxa"/>
            <w:vAlign w:val="bottom"/>
            <w:shd w:val="clear" w:color="auto" w:fill="DBDBDB"/>
          </w:tcPr>
          <w:p>
            <w:pPr>
              <w:spacing w:after="0"/>
              <w:rPr>
                <w:sz w:val="16"/>
                <w:szCs w:val="16"/>
                <w:color w:val="auto"/>
              </w:rPr>
            </w:pPr>
          </w:p>
        </w:tc>
        <w:tc>
          <w:tcPr>
            <w:tcW w:w="5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1520" w:type="dxa"/>
            <w:vAlign w:val="bottom"/>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(80,187)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(48,201)</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(31,986)</w:t>
            </w:r>
          </w:p>
        </w:tc>
        <w:tc>
          <w:tcPr>
            <w:tcW w:w="420" w:type="dxa"/>
            <w:vAlign w:val="bottom"/>
            <w:shd w:val="clear" w:color="auto" w:fill="DBDBDB"/>
          </w:tcPr>
          <w:p>
            <w:pPr>
              <w:spacing w:after="0"/>
              <w:rPr>
                <w:sz w:val="16"/>
                <w:szCs w:val="16"/>
                <w:color w:val="auto"/>
              </w:rPr>
            </w:pPr>
          </w:p>
        </w:tc>
        <w:tc>
          <w:tcPr>
            <w:tcW w:w="5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0" w:type="dxa"/>
            <w:vAlign w:val="bottom"/>
          </w:tcPr>
          <w:p>
            <w:pPr>
              <w:spacing w:after="0"/>
              <w:rPr>
                <w:sz w:val="1"/>
                <w:szCs w:val="1"/>
                <w:color w:val="auto"/>
              </w:rPr>
            </w:pPr>
          </w:p>
        </w:tc>
      </w:tr>
      <w:tr>
        <w:trPr>
          <w:trHeight w:val="191"/>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cash (used in) from investing activities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(303)</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7,460</w:t>
            </w:r>
          </w:p>
        </w:tc>
        <w:tc>
          <w:tcPr>
            <w:tcW w:w="16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(7,763)</w:t>
            </w:r>
          </w:p>
        </w:tc>
        <w:tc>
          <w:tcPr>
            <w:tcW w:w="420" w:type="dxa"/>
            <w:vAlign w:val="bottom"/>
            <w:shd w:val="clear" w:color="auto" w:fill="DBDBDB"/>
          </w:tcPr>
          <w:p>
            <w:pPr>
              <w:spacing w:after="0"/>
              <w:rPr>
                <w:sz w:val="16"/>
                <w:szCs w:val="16"/>
                <w:color w:val="auto"/>
              </w:rPr>
            </w:pPr>
          </w:p>
        </w:tc>
        <w:tc>
          <w:tcPr>
            <w:tcW w:w="5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520" w:type="dxa"/>
            <w:vAlign w:val="bottom"/>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(882)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7,137</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(8,019)</w:t>
            </w:r>
          </w:p>
        </w:tc>
        <w:tc>
          <w:tcPr>
            <w:tcW w:w="420" w:type="dxa"/>
            <w:vAlign w:val="bottom"/>
            <w:shd w:val="clear" w:color="auto" w:fill="DBDBDB"/>
          </w:tcPr>
          <w:p>
            <w:pPr>
              <w:spacing w:after="0"/>
              <w:rPr>
                <w:sz w:val="16"/>
                <w:szCs w:val="16"/>
                <w:color w:val="auto"/>
              </w:rPr>
            </w:pPr>
          </w:p>
        </w:tc>
        <w:tc>
          <w:tcPr>
            <w:tcW w:w="5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929292"/>
            </w:tcBorders>
            <w:gridSpan w:val="2"/>
          </w:tcPr>
          <w:p>
            <w:pPr>
              <w:ind w:left="20"/>
              <w:spacing w:after="0"/>
              <w:rPr>
                <w:sz w:val="20"/>
                <w:szCs w:val="20"/>
                <w:color w:val="auto"/>
              </w:rPr>
            </w:pPr>
            <w:r>
              <w:rPr>
                <w:rFonts w:ascii="Times New Roman" w:cs="Times New Roman" w:eastAsia="Times New Roman" w:hAnsi="Times New Roman"/>
                <w:sz w:val="15"/>
                <w:szCs w:val="15"/>
                <w:color w:val="auto"/>
              </w:rPr>
              <w:t>Net cash from (used in) financing activities</w:t>
            </w:r>
          </w:p>
        </w:tc>
        <w:tc>
          <w:tcPr>
            <w:tcW w:w="104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(179)</w:t>
            </w:r>
          </w:p>
        </w:tc>
        <w:tc>
          <w:tcPr>
            <w:tcW w:w="10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39,742</w:t>
            </w:r>
          </w:p>
        </w:tc>
        <w:tc>
          <w:tcPr>
            <w:tcW w:w="160" w:type="dxa"/>
            <w:vAlign w:val="bottom"/>
            <w:tcBorders>
              <w:bottom w:val="single" w:sz="8" w:color="929292"/>
            </w:tcBorders>
            <w:shd w:val="clear" w:color="auto" w:fill="DBDBDB"/>
          </w:tcPr>
          <w:p>
            <w:pPr>
              <w:spacing w:after="0"/>
              <w:rPr>
                <w:sz w:val="17"/>
                <w:szCs w:val="17"/>
                <w:color w:val="auto"/>
              </w:rPr>
            </w:pPr>
          </w:p>
        </w:tc>
        <w:tc>
          <w:tcPr>
            <w:tcW w:w="70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(39,921)</w:t>
            </w:r>
          </w:p>
        </w:tc>
        <w:tc>
          <w:tcPr>
            <w:tcW w:w="420" w:type="dxa"/>
            <w:vAlign w:val="bottom"/>
            <w:tcBorders>
              <w:bottom w:val="single" w:sz="8" w:color="929292"/>
            </w:tcBorders>
            <w:shd w:val="clear" w:color="auto" w:fill="DBDBDB"/>
          </w:tcPr>
          <w:p>
            <w:pPr>
              <w:spacing w:after="0"/>
              <w:rPr>
                <w:sz w:val="17"/>
                <w:szCs w:val="17"/>
                <w:color w:val="auto"/>
              </w:rPr>
            </w:pPr>
          </w:p>
        </w:tc>
        <w:tc>
          <w:tcPr>
            <w:tcW w:w="42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520" w:type="dxa"/>
            <w:vAlign w:val="bottom"/>
            <w:tcBorders>
              <w:bottom w:val="single" w:sz="8" w:color="929292"/>
            </w:tcBorders>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(784)</w:t>
            </w:r>
          </w:p>
        </w:tc>
        <w:tc>
          <w:tcPr>
            <w:tcW w:w="58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63,646</w:t>
            </w:r>
          </w:p>
        </w:tc>
        <w:tc>
          <w:tcPr>
            <w:tcW w:w="9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(64,430)</w:t>
            </w:r>
          </w:p>
        </w:tc>
        <w:tc>
          <w:tcPr>
            <w:tcW w:w="420" w:type="dxa"/>
            <w:vAlign w:val="bottom"/>
            <w:tcBorders>
              <w:bottom w:val="single" w:sz="8" w:color="929292"/>
            </w:tcBorders>
            <w:shd w:val="clear" w:color="auto" w:fill="DBDBDB"/>
          </w:tcPr>
          <w:p>
            <w:pPr>
              <w:spacing w:after="0"/>
              <w:rPr>
                <w:sz w:val="17"/>
                <w:szCs w:val="17"/>
                <w:color w:val="auto"/>
              </w:rPr>
            </w:pPr>
          </w:p>
        </w:tc>
        <w:tc>
          <w:tcPr>
            <w:tcW w:w="42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4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85"/>
        </w:trPr>
        <w:tc>
          <w:tcPr>
            <w:tcW w:w="2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Increase (decrease) in cash</w:t>
            </w:r>
          </w:p>
        </w:tc>
        <w:tc>
          <w:tcPr>
            <w:tcW w:w="8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(27,606)</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21,160</w:t>
            </w:r>
          </w:p>
        </w:tc>
        <w:tc>
          <w:tcPr>
            <w:tcW w:w="16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(48,766)</w:t>
            </w:r>
          </w:p>
        </w:tc>
        <w:tc>
          <w:tcPr>
            <w:tcW w:w="4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520" w:type="dxa"/>
            <w:vAlign w:val="bottom"/>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(81,853)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22,582</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(104,435)</w:t>
            </w:r>
          </w:p>
        </w:tc>
        <w:tc>
          <w:tcPr>
            <w:tcW w:w="4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860" w:type="dxa"/>
            <w:vAlign w:val="bottom"/>
          </w:tcPr>
          <w:p>
            <w:pPr>
              <w:spacing w:after="0"/>
              <w:rPr>
                <w:sz w:val="16"/>
                <w:szCs w:val="16"/>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9,578</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6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9,857</w:t>
            </w:r>
          </w:p>
        </w:tc>
        <w:tc>
          <w:tcPr>
            <w:tcW w:w="4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(3533)%</w:t>
            </w:r>
          </w:p>
        </w:tc>
        <w:tc>
          <w:tcPr>
            <w:tcW w:w="152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9,151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9,367</w:t>
            </w:r>
          </w:p>
        </w:tc>
        <w:tc>
          <w:tcPr>
            <w:tcW w:w="4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(4337)%</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929292"/>
            </w:tcBorders>
            <w:gridSpan w:val="2"/>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040" w:type="dxa"/>
            <w:vAlign w:val="bottom"/>
            <w:tcBorders>
              <w:bottom w:val="single" w:sz="8" w:color="929292"/>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154,318</w:t>
            </w:r>
          </w:p>
        </w:tc>
        <w:tc>
          <w:tcPr>
            <w:tcW w:w="10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18,118</w:t>
            </w:r>
          </w:p>
        </w:tc>
        <w:tc>
          <w:tcPr>
            <w:tcW w:w="160" w:type="dxa"/>
            <w:vAlign w:val="bottom"/>
            <w:tcBorders>
              <w:bottom w:val="single" w:sz="8" w:color="929292"/>
            </w:tcBorders>
            <w:shd w:val="clear" w:color="auto" w:fill="DBDBDB"/>
          </w:tcPr>
          <w:p>
            <w:pPr>
              <w:spacing w:after="0"/>
              <w:rPr>
                <w:sz w:val="17"/>
                <w:szCs w:val="17"/>
                <w:color w:val="auto"/>
              </w:rPr>
            </w:pPr>
          </w:p>
        </w:tc>
        <w:tc>
          <w:tcPr>
            <w:tcW w:w="70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136,200</w:t>
            </w:r>
          </w:p>
        </w:tc>
        <w:tc>
          <w:tcPr>
            <w:tcW w:w="420" w:type="dxa"/>
            <w:vAlign w:val="bottom"/>
            <w:tcBorders>
              <w:bottom w:val="single" w:sz="8" w:color="929292"/>
            </w:tcBorders>
          </w:tcPr>
          <w:p>
            <w:pPr>
              <w:spacing w:after="0"/>
              <w:rPr>
                <w:sz w:val="17"/>
                <w:szCs w:val="17"/>
                <w:color w:val="auto"/>
              </w:rPr>
            </w:pPr>
          </w:p>
        </w:tc>
        <w:tc>
          <w:tcPr>
            <w:tcW w:w="580" w:type="dxa"/>
            <w:vAlign w:val="bottom"/>
            <w:tcBorders>
              <w:bottom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752 %</w:t>
            </w:r>
          </w:p>
        </w:tc>
        <w:tc>
          <w:tcPr>
            <w:tcW w:w="1520" w:type="dxa"/>
            <w:vAlign w:val="bottom"/>
            <w:tcBorders>
              <w:bottom w:val="single" w:sz="8" w:color="929292"/>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58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16,633</w:t>
            </w:r>
          </w:p>
        </w:tc>
        <w:tc>
          <w:tcPr>
            <w:tcW w:w="9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192,359</w:t>
            </w:r>
          </w:p>
        </w:tc>
        <w:tc>
          <w:tcPr>
            <w:tcW w:w="420" w:type="dxa"/>
            <w:vAlign w:val="bottom"/>
            <w:tcBorders>
              <w:bottom w:val="single" w:sz="8" w:color="929292"/>
            </w:tcBorders>
          </w:tcPr>
          <w:p>
            <w:pPr>
              <w:spacing w:after="0"/>
              <w:rPr>
                <w:sz w:val="17"/>
                <w:szCs w:val="17"/>
                <w:color w:val="auto"/>
              </w:rPr>
            </w:pPr>
          </w:p>
        </w:tc>
        <w:tc>
          <w:tcPr>
            <w:tcW w:w="560" w:type="dxa"/>
            <w:vAlign w:val="bottom"/>
            <w:tcBorders>
              <w:bottom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1156 %</w:t>
            </w: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6"/>
              </w:rPr>
              <w:t>Cash and cash equivalents, end of period</w:t>
            </w: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136,290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38,999</w:t>
            </w:r>
          </w:p>
        </w:tc>
        <w:tc>
          <w:tcPr>
            <w:tcW w:w="16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97,291</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249 %</w:t>
            </w:r>
          </w:p>
        </w:tc>
        <w:tc>
          <w:tcPr>
            <w:tcW w:w="15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136,290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38,999</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97,291</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249 %</w:t>
            </w:r>
          </w:p>
        </w:tc>
        <w:tc>
          <w:tcPr>
            <w:tcW w:w="0" w:type="dxa"/>
            <w:vAlign w:val="bottom"/>
          </w:tcPr>
          <w:p>
            <w:pPr>
              <w:spacing w:after="0"/>
              <w:rPr>
                <w:sz w:val="1"/>
                <w:szCs w:val="1"/>
                <w:color w:val="auto"/>
              </w:rPr>
            </w:pPr>
          </w:p>
        </w:tc>
      </w:tr>
      <w:tr>
        <w:trPr>
          <w:trHeight w:val="525"/>
        </w:trPr>
        <w:tc>
          <w:tcPr>
            <w:tcW w:w="2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DBDBDB"/>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Net cash used in operating</w:t>
            </w:r>
          </w:p>
        </w:tc>
        <w:tc>
          <w:tcPr>
            <w:tcW w:w="8820" w:type="dxa"/>
            <w:vAlign w:val="bottom"/>
            <w:gridSpan w:val="14"/>
          </w:tcPr>
          <w:p>
            <w:pPr>
              <w:ind w:left="20"/>
              <w:spacing w:after="0" w:line="149"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 salaries, and other general and</w:t>
            </w:r>
          </w:p>
        </w:tc>
        <w:tc>
          <w:tcPr>
            <w:tcW w:w="0" w:type="dxa"/>
            <w:vAlign w:val="bottom"/>
          </w:tcPr>
          <w:p>
            <w:pPr>
              <w:spacing w:after="0"/>
              <w:rPr>
                <w:sz w:val="1"/>
                <w:szCs w:val="1"/>
                <w:color w:val="auto"/>
              </w:rPr>
            </w:pPr>
          </w:p>
        </w:tc>
      </w:tr>
      <w:tr>
        <w:trPr>
          <w:trHeight w:val="189"/>
        </w:trPr>
        <w:tc>
          <w:tcPr>
            <w:tcW w:w="2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882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administration expenses. Cash flows from operating activities exclude expenses not affecting cash, such as share based compensation</w:t>
            </w:r>
          </w:p>
        </w:tc>
        <w:tc>
          <w:tcPr>
            <w:tcW w:w="0" w:type="dxa"/>
            <w:vAlign w:val="bottom"/>
          </w:tcPr>
          <w:p>
            <w:pPr>
              <w:spacing w:after="0"/>
              <w:rPr>
                <w:sz w:val="1"/>
                <w:szCs w:val="1"/>
                <w:color w:val="auto"/>
              </w:rPr>
            </w:pPr>
          </w:p>
        </w:tc>
      </w:tr>
      <w:tr>
        <w:trPr>
          <w:trHeight w:val="181"/>
        </w:trPr>
        <w:tc>
          <w:tcPr>
            <w:tcW w:w="2400" w:type="dxa"/>
            <w:vAlign w:val="bottom"/>
            <w:shd w:val="clear" w:color="auto" w:fill="DBDBDB"/>
          </w:tcPr>
          <w:p>
            <w:pPr>
              <w:spacing w:after="0"/>
              <w:rPr>
                <w:sz w:val="15"/>
                <w:szCs w:val="15"/>
                <w:color w:val="auto"/>
              </w:rPr>
            </w:pPr>
          </w:p>
        </w:tc>
        <w:tc>
          <w:tcPr>
            <w:tcW w:w="8820" w:type="dxa"/>
            <w:vAlign w:val="bottom"/>
            <w:gridSpan w:val="14"/>
          </w:tcPr>
          <w:p>
            <w:pPr>
              <w:ind w:left="20"/>
              <w:spacing w:after="0" w:line="181" w:lineRule="exact"/>
              <w:rPr>
                <w:sz w:val="20"/>
                <w:szCs w:val="20"/>
                <w:color w:val="auto"/>
              </w:rPr>
            </w:pPr>
            <w:r>
              <w:rPr>
                <w:rFonts w:ascii="Times New Roman" w:cs="Times New Roman" w:eastAsia="Times New Roman" w:hAnsi="Times New Roman"/>
                <w:sz w:val="16"/>
                <w:szCs w:val="16"/>
                <w:color w:val="auto"/>
              </w:rPr>
              <w:t>expense, depreciation and amortization, lease interest, unrealized foreign exchange gains or losses, and net changes in non-cash</w:t>
            </w:r>
          </w:p>
        </w:tc>
        <w:tc>
          <w:tcPr>
            <w:tcW w:w="0" w:type="dxa"/>
            <w:vAlign w:val="bottom"/>
          </w:tcPr>
          <w:p>
            <w:pPr>
              <w:spacing w:after="0"/>
              <w:rPr>
                <w:sz w:val="1"/>
                <w:szCs w:val="1"/>
                <w:color w:val="auto"/>
              </w:rPr>
            </w:pPr>
          </w:p>
        </w:tc>
      </w:tr>
      <w:tr>
        <w:trPr>
          <w:trHeight w:val="210"/>
        </w:trPr>
        <w:tc>
          <w:tcPr>
            <w:tcW w:w="2400" w:type="dxa"/>
            <w:vAlign w:val="bottom"/>
            <w:shd w:val="clear" w:color="auto" w:fill="DBDBDB"/>
          </w:tcPr>
          <w:p>
            <w:pPr>
              <w:spacing w:after="0"/>
              <w:rPr>
                <w:sz w:val="18"/>
                <w:szCs w:val="18"/>
                <w:color w:val="auto"/>
              </w:rPr>
            </w:pPr>
          </w:p>
        </w:tc>
        <w:tc>
          <w:tcPr>
            <w:tcW w:w="3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balances relating to operations.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400" w:type="dxa"/>
            <w:vAlign w:val="bottom"/>
            <w:shd w:val="clear" w:color="auto" w:fill="DBDBDB"/>
          </w:tcPr>
          <w:p>
            <w:pPr>
              <w:spacing w:after="0"/>
              <w:rPr>
                <w:sz w:val="15"/>
                <w:szCs w:val="15"/>
                <w:color w:val="auto"/>
              </w:rPr>
            </w:pPr>
          </w:p>
        </w:tc>
        <w:tc>
          <w:tcPr>
            <w:tcW w:w="8820" w:type="dxa"/>
            <w:vAlign w:val="bottom"/>
            <w:gridSpan w:val="14"/>
          </w:tcPr>
          <w:p>
            <w:pPr>
              <w:ind w:left="20"/>
              <w:spacing w:after="0" w:line="181" w:lineRule="exact"/>
              <w:rPr>
                <w:sz w:val="20"/>
                <w:szCs w:val="20"/>
                <w:color w:val="auto"/>
              </w:rPr>
            </w:pPr>
            <w:r>
              <w:rPr>
                <w:rFonts w:ascii="Times New Roman" w:cs="Times New Roman" w:eastAsia="Times New Roman" w:hAnsi="Times New Roman"/>
                <w:sz w:val="16"/>
                <w:szCs w:val="16"/>
                <w:color w:val="auto"/>
              </w:rPr>
              <w:t>For the three-month period ended December 31, 2024, cash used in For the nine-month period ended December 31, 2024, cash used in</w:t>
            </w:r>
          </w:p>
        </w:tc>
        <w:tc>
          <w:tcPr>
            <w:tcW w:w="0" w:type="dxa"/>
            <w:vAlign w:val="bottom"/>
          </w:tcPr>
          <w:p>
            <w:pPr>
              <w:spacing w:after="0"/>
              <w:rPr>
                <w:sz w:val="1"/>
                <w:szCs w:val="1"/>
                <w:color w:val="auto"/>
              </w:rPr>
            </w:pPr>
          </w:p>
        </w:tc>
      </w:tr>
      <w:tr>
        <w:trPr>
          <w:trHeight w:val="181"/>
        </w:trPr>
        <w:tc>
          <w:tcPr>
            <w:tcW w:w="2400" w:type="dxa"/>
            <w:vAlign w:val="bottom"/>
            <w:shd w:val="clear" w:color="auto" w:fill="DBDBDB"/>
          </w:tcPr>
          <w:p>
            <w:pPr>
              <w:spacing w:after="0"/>
              <w:rPr>
                <w:sz w:val="15"/>
                <w:szCs w:val="15"/>
                <w:color w:val="auto"/>
              </w:rPr>
            </w:pPr>
          </w:p>
        </w:tc>
        <w:tc>
          <w:tcPr>
            <w:tcW w:w="8820" w:type="dxa"/>
            <w:vAlign w:val="bottom"/>
            <w:gridSpan w:val="14"/>
          </w:tcPr>
          <w:p>
            <w:pPr>
              <w:ind w:left="20"/>
              <w:spacing w:after="0" w:line="181" w:lineRule="exact"/>
              <w:rPr>
                <w:sz w:val="20"/>
                <w:szCs w:val="20"/>
                <w:color w:val="auto"/>
              </w:rPr>
            </w:pPr>
            <w:r>
              <w:rPr>
                <w:rFonts w:ascii="Times New Roman" w:cs="Times New Roman" w:eastAsia="Times New Roman" w:hAnsi="Times New Roman"/>
                <w:sz w:val="16"/>
                <w:szCs w:val="16"/>
                <w:color w:val="auto"/>
              </w:rPr>
              <w:t>operating activities was $27,124 driven by a net loss for the period operating activities was $80,187 driven by a net loss for the period</w:t>
            </w:r>
          </w:p>
        </w:tc>
        <w:tc>
          <w:tcPr>
            <w:tcW w:w="0" w:type="dxa"/>
            <w:vAlign w:val="bottom"/>
          </w:tcPr>
          <w:p>
            <w:pPr>
              <w:spacing w:after="0"/>
              <w:rPr>
                <w:sz w:val="1"/>
                <w:szCs w:val="1"/>
                <w:color w:val="auto"/>
              </w:rPr>
            </w:pPr>
          </w:p>
        </w:tc>
      </w:tr>
      <w:tr>
        <w:trPr>
          <w:trHeight w:val="169"/>
        </w:trPr>
        <w:tc>
          <w:tcPr>
            <w:tcW w:w="2400" w:type="dxa"/>
            <w:vAlign w:val="bottom"/>
            <w:shd w:val="clear" w:color="auto" w:fill="DBDBDB"/>
          </w:tcPr>
          <w:p>
            <w:pPr>
              <w:spacing w:after="0"/>
              <w:rPr>
                <w:sz w:val="14"/>
                <w:szCs w:val="14"/>
                <w:color w:val="auto"/>
              </w:rPr>
            </w:pPr>
          </w:p>
        </w:tc>
        <w:tc>
          <w:tcPr>
            <w:tcW w:w="8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of  $10,542,</w:t>
            </w:r>
          </w:p>
        </w:tc>
        <w:tc>
          <w:tcPr>
            <w:tcW w:w="220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6"/>
                <w:szCs w:val="16"/>
                <w:color w:val="auto"/>
              </w:rPr>
              <w:t>a  non-cash  unrealized  foreign</w:t>
            </w:r>
          </w:p>
        </w:tc>
        <w:tc>
          <w:tcPr>
            <w:tcW w:w="11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6"/>
                <w:szCs w:val="16"/>
                <w:color w:val="auto"/>
              </w:rPr>
              <w:t>exchange  gain</w:t>
            </w:r>
          </w:p>
        </w:tc>
        <w:tc>
          <w:tcPr>
            <w:tcW w:w="4080" w:type="dxa"/>
            <w:vAlign w:val="bottom"/>
            <w:gridSpan w:val="6"/>
          </w:tcPr>
          <w:p>
            <w:pPr>
              <w:ind w:left="80"/>
              <w:spacing w:after="0" w:line="169" w:lineRule="exact"/>
              <w:rPr>
                <w:sz w:val="20"/>
                <w:szCs w:val="20"/>
                <w:color w:val="auto"/>
              </w:rPr>
            </w:pPr>
            <w:r>
              <w:rPr>
                <w:rFonts w:ascii="Times New Roman" w:cs="Times New Roman" w:eastAsia="Times New Roman" w:hAnsi="Times New Roman"/>
                <w:sz w:val="16"/>
                <w:szCs w:val="16"/>
                <w:color w:val="auto"/>
              </w:rPr>
              <w:t>of of $82,558, a non-cash unrealized foreign exchange gain of</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00" w:type="dxa"/>
            <w:vAlign w:val="bottom"/>
            <w:shd w:val="clear" w:color="auto" w:fill="DBDBDB"/>
          </w:tcPr>
          <w:p>
            <w:pPr>
              <w:spacing w:after="0"/>
              <w:rPr>
                <w:sz w:val="15"/>
                <w:szCs w:val="15"/>
                <w:color w:val="auto"/>
              </w:rPr>
            </w:pPr>
          </w:p>
        </w:tc>
        <w:tc>
          <w:tcPr>
            <w:tcW w:w="8820" w:type="dxa"/>
            <w:vAlign w:val="bottom"/>
            <w:gridSpan w:val="14"/>
          </w:tcPr>
          <w:p>
            <w:pPr>
              <w:ind w:left="20"/>
              <w:spacing w:after="0" w:line="182" w:lineRule="exact"/>
              <w:rPr>
                <w:sz w:val="20"/>
                <w:szCs w:val="20"/>
                <w:color w:val="auto"/>
              </w:rPr>
            </w:pPr>
            <w:r>
              <w:rPr>
                <w:rFonts w:ascii="Times New Roman" w:cs="Times New Roman" w:eastAsia="Times New Roman" w:hAnsi="Times New Roman"/>
                <w:sz w:val="12"/>
                <w:szCs w:val="12"/>
                <w:color w:val="auto"/>
              </w:rPr>
              <w:t xml:space="preserve">$19,161, and an increase in working capital of $924, partially offset </w:t>
            </w:r>
            <w:r>
              <w:rPr>
                <w:rFonts w:ascii="Times New Roman" w:cs="Times New Roman" w:eastAsia="Times New Roman" w:hAnsi="Times New Roman"/>
                <w:sz w:val="21"/>
                <w:szCs w:val="21"/>
                <w:color w:val="auto"/>
                <w:vertAlign w:val="superscript"/>
              </w:rPr>
              <w:t>$20,497, and an increase in working capital of $18,356, partially</w:t>
            </w:r>
          </w:p>
        </w:tc>
        <w:tc>
          <w:tcPr>
            <w:tcW w:w="0" w:type="dxa"/>
            <w:vAlign w:val="bottom"/>
          </w:tcPr>
          <w:p>
            <w:pPr>
              <w:spacing w:after="0"/>
              <w:rPr>
                <w:sz w:val="1"/>
                <w:szCs w:val="1"/>
                <w:color w:val="auto"/>
              </w:rPr>
            </w:pPr>
          </w:p>
        </w:tc>
      </w:tr>
      <w:tr>
        <w:trPr>
          <w:trHeight w:val="181"/>
        </w:trPr>
        <w:tc>
          <w:tcPr>
            <w:tcW w:w="2400" w:type="dxa"/>
            <w:vAlign w:val="bottom"/>
            <w:shd w:val="clear" w:color="auto" w:fill="DBDBDB"/>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by the following non-cash</w:t>
            </w:r>
          </w:p>
        </w:tc>
        <w:tc>
          <w:tcPr>
            <w:tcW w:w="2280" w:type="dxa"/>
            <w:vAlign w:val="bottom"/>
            <w:gridSpan w:val="4"/>
          </w:tcPr>
          <w:p>
            <w:pPr>
              <w:ind w:left="40"/>
              <w:spacing w:after="0" w:line="181" w:lineRule="exact"/>
              <w:rPr>
                <w:sz w:val="20"/>
                <w:szCs w:val="20"/>
                <w:color w:val="auto"/>
              </w:rPr>
            </w:pPr>
            <w:r>
              <w:rPr>
                <w:rFonts w:ascii="Times New Roman" w:cs="Times New Roman" w:eastAsia="Times New Roman" w:hAnsi="Times New Roman"/>
                <w:sz w:val="16"/>
                <w:szCs w:val="16"/>
                <w:color w:val="auto"/>
              </w:rPr>
              <w:t>items: share-based compensation</w:t>
            </w:r>
          </w:p>
        </w:tc>
        <w:tc>
          <w:tcPr>
            <w:tcW w:w="4640" w:type="dxa"/>
            <w:vAlign w:val="bottom"/>
            <w:gridSpan w:val="8"/>
          </w:tcPr>
          <w:p>
            <w:pPr>
              <w:ind w:left="80"/>
              <w:spacing w:after="0" w:line="182" w:lineRule="exact"/>
              <w:rPr>
                <w:sz w:val="20"/>
                <w:szCs w:val="20"/>
                <w:color w:val="auto"/>
              </w:rPr>
            </w:pPr>
            <w:r>
              <w:rPr>
                <w:rFonts w:ascii="Times New Roman" w:cs="Times New Roman" w:eastAsia="Times New Roman" w:hAnsi="Times New Roman"/>
                <w:sz w:val="21"/>
                <w:szCs w:val="21"/>
                <w:color w:val="auto"/>
                <w:vertAlign w:val="subscript"/>
              </w:rPr>
              <w:t>of</w:t>
            </w:r>
            <w:r>
              <w:rPr>
                <w:rFonts w:ascii="Times New Roman" w:cs="Times New Roman" w:eastAsia="Times New Roman" w:hAnsi="Times New Roman"/>
                <w:sz w:val="12"/>
                <w:szCs w:val="12"/>
                <w:color w:val="auto"/>
              </w:rPr>
              <w:t xml:space="preserve"> offset by the following non-cash items: share-based compensation</w:t>
            </w:r>
          </w:p>
        </w:tc>
        <w:tc>
          <w:tcPr>
            <w:tcW w:w="0" w:type="dxa"/>
            <w:vAlign w:val="bottom"/>
          </w:tcPr>
          <w:p>
            <w:pPr>
              <w:spacing w:after="0"/>
              <w:rPr>
                <w:sz w:val="1"/>
                <w:szCs w:val="1"/>
                <w:color w:val="auto"/>
              </w:rPr>
            </w:pPr>
          </w:p>
        </w:tc>
      </w:tr>
      <w:tr>
        <w:trPr>
          <w:trHeight w:val="169"/>
        </w:trPr>
        <w:tc>
          <w:tcPr>
            <w:tcW w:w="2400" w:type="dxa"/>
            <w:vAlign w:val="bottom"/>
            <w:shd w:val="clear" w:color="auto" w:fill="DBDBDB"/>
          </w:tcPr>
          <w:p>
            <w:pPr>
              <w:spacing w:after="0"/>
              <w:rPr>
                <w:sz w:val="14"/>
                <w:szCs w:val="14"/>
                <w:color w:val="auto"/>
              </w:rPr>
            </w:pPr>
          </w:p>
        </w:tc>
        <w:tc>
          <w:tcPr>
            <w:tcW w:w="8820" w:type="dxa"/>
            <w:vAlign w:val="bottom"/>
            <w:gridSpan w:val="14"/>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$3,342, depreciation and amortization of $132, other loss of $28 </w:t>
            </w:r>
            <w:r>
              <w:rPr>
                <w:rFonts w:ascii="Times New Roman" w:cs="Times New Roman" w:eastAsia="Times New Roman" w:hAnsi="Times New Roman"/>
                <w:sz w:val="19"/>
                <w:szCs w:val="19"/>
                <w:color w:val="auto"/>
                <w:vertAlign w:val="superscript"/>
              </w:rPr>
              <w:t>of $40,776, depreciation and amortization of $413, other loss of</w:t>
            </w:r>
          </w:p>
        </w:tc>
        <w:tc>
          <w:tcPr>
            <w:tcW w:w="0" w:type="dxa"/>
            <w:vAlign w:val="bottom"/>
          </w:tcPr>
          <w:p>
            <w:pPr>
              <w:spacing w:after="0"/>
              <w:rPr>
                <w:sz w:val="1"/>
                <w:szCs w:val="1"/>
                <w:color w:val="auto"/>
              </w:rPr>
            </w:pPr>
          </w:p>
        </w:tc>
      </w:tr>
      <w:tr>
        <w:trPr>
          <w:trHeight w:val="181"/>
        </w:trPr>
        <w:tc>
          <w:tcPr>
            <w:tcW w:w="2400" w:type="dxa"/>
            <w:vAlign w:val="bottom"/>
            <w:shd w:val="clear" w:color="auto" w:fill="DBDBDB"/>
          </w:tcPr>
          <w:p>
            <w:pPr>
              <w:spacing w:after="0"/>
              <w:rPr>
                <w:sz w:val="15"/>
                <w:szCs w:val="15"/>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and lease interest of $1.</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gridSpan w:val="3"/>
          </w:tcPr>
          <w:p>
            <w:pPr>
              <w:ind w:left="260"/>
              <w:spacing w:after="0" w:line="181" w:lineRule="exact"/>
              <w:rPr>
                <w:sz w:val="20"/>
                <w:szCs w:val="20"/>
                <w:color w:val="auto"/>
              </w:rPr>
            </w:pPr>
            <w:r>
              <w:rPr>
                <w:rFonts w:ascii="Times New Roman" w:cs="Times New Roman" w:eastAsia="Times New Roman" w:hAnsi="Times New Roman"/>
                <w:sz w:val="16"/>
                <w:szCs w:val="16"/>
                <w:color w:val="auto"/>
              </w:rPr>
              <w:t>$28 and lease interest of $7.</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DBDBDB"/>
            </w:tcBorders>
            <w:shd w:val="clear" w:color="auto" w:fill="DBDBDB"/>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400" w:type="dxa"/>
            <w:vAlign w:val="bottom"/>
            <w:tcBorders>
              <w:top w:val="single" w:sz="8" w:color="auto"/>
            </w:tcBorders>
            <w:shd w:val="clear" w:color="auto" w:fill="DBDBDB"/>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Net cash used in investing</w:t>
            </w:r>
          </w:p>
        </w:tc>
        <w:tc>
          <w:tcPr>
            <w:tcW w:w="3060" w:type="dxa"/>
            <w:vAlign w:val="bottom"/>
            <w:tcBorders>
              <w:top w:val="single" w:sz="8" w:color="auto"/>
            </w:tcBorders>
            <w:gridSpan w:val="4"/>
          </w:tcPr>
          <w:p>
            <w:pPr>
              <w:ind w:left="20"/>
              <w:spacing w:after="0" w:line="149" w:lineRule="exact"/>
              <w:rPr>
                <w:sz w:val="20"/>
                <w:szCs w:val="20"/>
                <w:color w:val="auto"/>
              </w:rPr>
            </w:pPr>
            <w:r>
              <w:rPr>
                <w:rFonts w:ascii="Times New Roman" w:cs="Times New Roman" w:eastAsia="Times New Roman" w:hAnsi="Times New Roman"/>
                <w:sz w:val="16"/>
                <w:szCs w:val="16"/>
                <w:color w:val="auto"/>
              </w:rPr>
              <w:t>For the three months ended December 31,</w:t>
            </w:r>
          </w:p>
        </w:tc>
        <w:tc>
          <w:tcPr>
            <w:tcW w:w="112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6"/>
                <w:szCs w:val="16"/>
                <w:color w:val="auto"/>
              </w:rPr>
              <w:t>2024, cash used</w:t>
            </w:r>
          </w:p>
        </w:tc>
        <w:tc>
          <w:tcPr>
            <w:tcW w:w="4640" w:type="dxa"/>
            <w:vAlign w:val="bottom"/>
            <w:tcBorders>
              <w:top w:val="single" w:sz="8" w:color="auto"/>
            </w:tcBorders>
            <w:gridSpan w:val="8"/>
          </w:tcPr>
          <w:p>
            <w:pPr>
              <w:ind w:left="80"/>
              <w:spacing w:after="0" w:line="149" w:lineRule="exact"/>
              <w:rPr>
                <w:sz w:val="20"/>
                <w:szCs w:val="20"/>
                <w:color w:val="auto"/>
              </w:rPr>
            </w:pPr>
            <w:r>
              <w:rPr>
                <w:rFonts w:ascii="Times New Roman" w:cs="Times New Roman" w:eastAsia="Times New Roman" w:hAnsi="Times New Roman"/>
                <w:sz w:val="16"/>
                <w:szCs w:val="16"/>
                <w:color w:val="auto"/>
              </w:rPr>
              <w:t>in For the nine months ended December 31, 2024, cash used in</w:t>
            </w:r>
          </w:p>
        </w:tc>
        <w:tc>
          <w:tcPr>
            <w:tcW w:w="0" w:type="dxa"/>
            <w:vAlign w:val="bottom"/>
          </w:tcPr>
          <w:p>
            <w:pPr>
              <w:spacing w:after="0"/>
              <w:rPr>
                <w:sz w:val="1"/>
                <w:szCs w:val="1"/>
                <w:color w:val="auto"/>
              </w:rPr>
            </w:pPr>
          </w:p>
        </w:tc>
      </w:tr>
      <w:tr>
        <w:trPr>
          <w:trHeight w:val="189"/>
        </w:trPr>
        <w:tc>
          <w:tcPr>
            <w:tcW w:w="2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882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investing activities were driven by the purchase of intangible assets investing activities were driven by the purchase of intangible assets</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DBDBDB"/>
            </w:tcBorders>
            <w:shd w:val="clear" w:color="auto" w:fill="DBDBDB"/>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equipment of $303</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and equipment of $882</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00" w:type="dxa"/>
            <w:vAlign w:val="bottom"/>
            <w:tcBorders>
              <w:top w:val="single" w:sz="8" w:color="auto"/>
            </w:tcBorders>
            <w:shd w:val="clear" w:color="auto" w:fill="DBDBDB"/>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Net cash from (used in) financing</w:t>
            </w:r>
          </w:p>
        </w:tc>
        <w:tc>
          <w:tcPr>
            <w:tcW w:w="3060" w:type="dxa"/>
            <w:vAlign w:val="bottom"/>
            <w:tcBorders>
              <w:top w:val="single" w:sz="8" w:color="auto"/>
            </w:tcBorders>
            <w:gridSpan w:val="4"/>
          </w:tcPr>
          <w:p>
            <w:pPr>
              <w:ind w:left="20"/>
              <w:spacing w:after="0" w:line="149" w:lineRule="exact"/>
              <w:rPr>
                <w:sz w:val="20"/>
                <w:szCs w:val="20"/>
                <w:color w:val="auto"/>
              </w:rPr>
            </w:pPr>
            <w:r>
              <w:rPr>
                <w:rFonts w:ascii="Times New Roman" w:cs="Times New Roman" w:eastAsia="Times New Roman" w:hAnsi="Times New Roman"/>
                <w:sz w:val="16"/>
                <w:szCs w:val="16"/>
                <w:color w:val="auto"/>
              </w:rPr>
              <w:t>For the three months ended December 31,</w:t>
            </w:r>
          </w:p>
        </w:tc>
        <w:tc>
          <w:tcPr>
            <w:tcW w:w="112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6"/>
                <w:szCs w:val="16"/>
                <w:color w:val="auto"/>
              </w:rPr>
              <w:t>2024, cash used</w:t>
            </w:r>
          </w:p>
        </w:tc>
        <w:tc>
          <w:tcPr>
            <w:tcW w:w="4640" w:type="dxa"/>
            <w:vAlign w:val="bottom"/>
            <w:tcBorders>
              <w:top w:val="single" w:sz="8" w:color="auto"/>
            </w:tcBorders>
            <w:gridSpan w:val="8"/>
          </w:tcPr>
          <w:p>
            <w:pPr>
              <w:ind w:left="80"/>
              <w:spacing w:after="0" w:line="149" w:lineRule="exact"/>
              <w:rPr>
                <w:sz w:val="20"/>
                <w:szCs w:val="20"/>
                <w:color w:val="auto"/>
              </w:rPr>
            </w:pPr>
            <w:r>
              <w:rPr>
                <w:rFonts w:ascii="Times New Roman" w:cs="Times New Roman" w:eastAsia="Times New Roman" w:hAnsi="Times New Roman"/>
                <w:sz w:val="16"/>
                <w:szCs w:val="16"/>
                <w:color w:val="auto"/>
              </w:rPr>
              <w:t>in For the nine months ended December 31, 2024, cash used in</w:t>
            </w:r>
          </w:p>
        </w:tc>
        <w:tc>
          <w:tcPr>
            <w:tcW w:w="0" w:type="dxa"/>
            <w:vAlign w:val="bottom"/>
          </w:tcPr>
          <w:p>
            <w:pPr>
              <w:spacing w:after="0"/>
              <w:rPr>
                <w:sz w:val="1"/>
                <w:szCs w:val="1"/>
                <w:color w:val="auto"/>
              </w:rPr>
            </w:pPr>
          </w:p>
        </w:tc>
      </w:tr>
      <w:tr>
        <w:trPr>
          <w:trHeight w:val="189"/>
        </w:trPr>
        <w:tc>
          <w:tcPr>
            <w:tcW w:w="2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882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financing activities were driven by share issuance costs of $65 and financing activities were driven by share issuance costs of $494 and</w:t>
            </w:r>
          </w:p>
        </w:tc>
        <w:tc>
          <w:tcPr>
            <w:tcW w:w="0" w:type="dxa"/>
            <w:vAlign w:val="bottom"/>
          </w:tcPr>
          <w:p>
            <w:pPr>
              <w:spacing w:after="0"/>
              <w:rPr>
                <w:sz w:val="1"/>
                <w:szCs w:val="1"/>
                <w:color w:val="auto"/>
              </w:rPr>
            </w:pPr>
          </w:p>
        </w:tc>
      </w:tr>
      <w:tr>
        <w:trPr>
          <w:trHeight w:val="214"/>
        </w:trPr>
        <w:tc>
          <w:tcPr>
            <w:tcW w:w="2400" w:type="dxa"/>
            <w:vAlign w:val="bottom"/>
            <w:tcBorders>
              <w:bottom w:val="single" w:sz="8" w:color="DBDBDB"/>
            </w:tcBorders>
            <w:shd w:val="clear" w:color="auto" w:fill="DBDBDB"/>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payments of $114.</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lease payments of $290.</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-3046730</wp:posOffset>
            </wp:positionV>
            <wp:extent cx="629285" cy="629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85" cy="629285"/>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-3046730</wp:posOffset>
            </wp:positionV>
            <wp:extent cx="629285" cy="629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85" cy="6292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2022 ATM Program</w:t>
      </w:r>
    </w:p>
    <w:p>
      <w:pPr>
        <w:spacing w:after="0" w:line="2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August 8, 2022, the Company established an at-the-market program (“</w:t>
      </w:r>
      <w:r>
        <w:rPr>
          <w:rFonts w:ascii="Times New Roman" w:cs="Times New Roman" w:eastAsia="Times New Roman" w:hAnsi="Times New Roman"/>
          <w:sz w:val="18"/>
          <w:szCs w:val="18"/>
          <w:b w:val="1"/>
          <w:bCs w:val="1"/>
          <w:color w:val="auto"/>
        </w:rPr>
        <w:t>2022 ATM Program</w:t>
      </w:r>
      <w:r>
        <w:rPr>
          <w:rFonts w:ascii="Times New Roman" w:cs="Times New Roman" w:eastAsia="Times New Roman" w:hAnsi="Times New Roman"/>
          <w:sz w:val="18"/>
          <w:szCs w:val="18"/>
          <w:color w:val="auto"/>
        </w:rPr>
        <w:t>”) that allowed the Company to issue and sell up to US$35,000 of Common Shares in the capital of the Company from treasury to the public, from time to time, which was qualified by way of a prospectus supplement dated August 8, 2022, to the Company's short form base shelf prospectus dated July 5, 2021 (the "</w:t>
      </w:r>
      <w:r>
        <w:rPr>
          <w:rFonts w:ascii="Times New Roman" w:cs="Times New Roman" w:eastAsia="Times New Roman" w:hAnsi="Times New Roman"/>
          <w:sz w:val="18"/>
          <w:szCs w:val="18"/>
          <w:b w:val="1"/>
          <w:bCs w:val="1"/>
          <w:color w:val="auto"/>
        </w:rPr>
        <w:t>2021 Base Shelf Prospectus</w:t>
      </w:r>
      <w:r>
        <w:rPr>
          <w:rFonts w:ascii="Times New Roman" w:cs="Times New Roman" w:eastAsia="Times New Roman" w:hAnsi="Times New Roman"/>
          <w:sz w:val="18"/>
          <w:szCs w:val="18"/>
          <w:color w:val="auto"/>
        </w:rPr>
        <w:t>"). The 2021 Base Shelf Prospectus was effective for a period of 25 months, ending on August 5, 2023 (the “</w:t>
      </w:r>
      <w:r>
        <w:rPr>
          <w:rFonts w:ascii="Times New Roman" w:cs="Times New Roman" w:eastAsia="Times New Roman" w:hAnsi="Times New Roman"/>
          <w:sz w:val="18"/>
          <w:szCs w:val="18"/>
          <w:b w:val="1"/>
          <w:bCs w:val="1"/>
          <w:color w:val="auto"/>
        </w:rPr>
        <w:t>Lapse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1440" w:right="319" w:bottom="1440" w:gutter="0" w:footer="0" w:header="0"/>
        </w:sectPr>
      </w:pPr>
    </w:p>
    <w:bookmarkStart w:id="88" w:name="page89"/>
    <w:bookmarkEnd w:id="88"/>
    <w:p>
      <w:pPr>
        <w:jc w:val="both"/>
        <w:spacing w:after="0" w:line="289" w:lineRule="auto"/>
        <w:rPr>
          <w:sz w:val="20"/>
          <w:szCs w:val="20"/>
          <w:color w:val="auto"/>
        </w:rPr>
      </w:pPr>
      <w:r>
        <w:rPr>
          <w:rFonts w:ascii="Times New Roman" w:cs="Times New Roman" w:eastAsia="Times New Roman" w:hAnsi="Times New Roman"/>
          <w:sz w:val="18"/>
          <w:szCs w:val="18"/>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The Company sold 279,630 Common Shares under the 2022 ATM Program at an average price of $16.34 (US$12.19) per Common Share, for aggregate gross proceeds of $4,571 (US$3,409).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LPC Agreement</w:t>
      </w:r>
    </w:p>
    <w:p>
      <w:pPr>
        <w:spacing w:after="0" w:line="2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On May 30, 2023, the Company entered into a Common Share purchase agreement (the “</w:t>
      </w:r>
      <w:r>
        <w:rPr>
          <w:rFonts w:ascii="Times New Roman" w:cs="Times New Roman" w:eastAsia="Times New Roman" w:hAnsi="Times New Roman"/>
          <w:sz w:val="18"/>
          <w:szCs w:val="18"/>
          <w:b w:val="1"/>
          <w:bCs w:val="1"/>
          <w:color w:val="auto"/>
        </w:rPr>
        <w:t>LPC Purchase Agreement</w:t>
      </w:r>
      <w:r>
        <w:rPr>
          <w:rFonts w:ascii="Times New Roman" w:cs="Times New Roman" w:eastAsia="Times New Roman" w:hAnsi="Times New Roman"/>
          <w:sz w:val="18"/>
          <w:szCs w:val="18"/>
          <w:color w:val="auto"/>
        </w:rPr>
        <w:t>”) with Lincoln Park Capital Fund, LLC (“</w:t>
      </w:r>
      <w:r>
        <w:rPr>
          <w:rFonts w:ascii="Times New Roman" w:cs="Times New Roman" w:eastAsia="Times New Roman" w:hAnsi="Times New Roman"/>
          <w:sz w:val="18"/>
          <w:szCs w:val="18"/>
          <w:b w:val="1"/>
          <w:bCs w:val="1"/>
          <w:color w:val="auto"/>
        </w:rPr>
        <w:t>LPC</w:t>
      </w:r>
      <w:r>
        <w:rPr>
          <w:rFonts w:ascii="Times New Roman" w:cs="Times New Roman" w:eastAsia="Times New Roman" w:hAnsi="Times New Roman"/>
          <w:sz w:val="18"/>
          <w:szCs w:val="18"/>
          <w:color w:val="auto"/>
        </w:rPr>
        <w:t>”).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 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66,812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 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w:t>
      </w:r>
    </w:p>
    <w:p>
      <w:pPr>
        <w:spacing w:after="0" w:line="20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During the nine months ended December 31, 2024, no Common Shares were issued under the LPC Purchase Agreement. As at December 31, 2024 Company has sold 50,658 Common Shares, at an average price of $12.30 (US$9.18) per Common Share, for aggregate gross proceeds of $623 (US$465) pursuant to the LPC Purchase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2023 ATM Program</w:t>
      </w:r>
    </w:p>
    <w:p>
      <w:pPr>
        <w:spacing w:after="0" w:line="3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On August 23, 2023, the Company announced the filing of a prospectus supplement (the “</w:t>
      </w:r>
      <w:r>
        <w:rPr>
          <w:rFonts w:ascii="Times New Roman" w:cs="Times New Roman" w:eastAsia="Times New Roman" w:hAnsi="Times New Roman"/>
          <w:sz w:val="18"/>
          <w:szCs w:val="18"/>
          <w:b w:val="1"/>
          <w:bCs w:val="1"/>
          <w:color w:val="auto"/>
        </w:rPr>
        <w:t>ATM Prospectus Supplement</w:t>
      </w:r>
      <w:r>
        <w:rPr>
          <w:rFonts w:ascii="Times New Roman" w:cs="Times New Roman" w:eastAsia="Times New Roman" w:hAnsi="Times New Roman"/>
          <w:sz w:val="18"/>
          <w:szCs w:val="18"/>
          <w:color w:val="auto"/>
        </w:rPr>
        <w:t>”) under the 2023 Base Shelf Prospectus to renew its previously established at-the-market equity program (the “2023 ATM Program”) that allows the Company to issue and sell up to US$35,000 of Common Shares from treasury to the public, from time to time. Distributions of Common Shares under the 2023 ATM Program will be made pursuant to the terms and conditions of an at-the-market equity distribution agreement dated August 23, 2023 among the Company, 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1303" w:right="319" w:bottom="1440" w:gutter="0" w:footer="0" w:header="0"/>
        </w:sectPr>
      </w:pPr>
    </w:p>
    <w:bookmarkStart w:id="89" w:name="page90"/>
    <w:bookmarkEnd w:id="89"/>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Fitzgerald Canada Corporation and Cantor Fitzgerald &amp; Co. (the "</w:t>
      </w:r>
      <w:r>
        <w:rPr>
          <w:rFonts w:ascii="Times New Roman" w:cs="Times New Roman" w:eastAsia="Times New Roman" w:hAnsi="Times New Roman"/>
          <w:sz w:val="18"/>
          <w:szCs w:val="18"/>
          <w:b w:val="1"/>
          <w:bCs w:val="1"/>
          <w:color w:val="auto"/>
        </w:rPr>
        <w:t>2023 Distribution Agreement</w:t>
      </w:r>
      <w:r>
        <w:rPr>
          <w:rFonts w:ascii="Times New Roman" w:cs="Times New Roman" w:eastAsia="Times New Roman" w:hAnsi="Times New Roman"/>
          <w:sz w:val="18"/>
          <w:szCs w:val="18"/>
          <w:color w:val="auto"/>
        </w:rPr>
        <w:t>")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7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From August 23, 2023, being the date of the launch of the 2023 ATM Program to December 31, 2024 the Company sold 618,804 Common Shares under the 2023 ATM Program, at an average price of $17.72 (US$13.11) per Common Share, for aggregate gross proceeds of $10,962 (US$8,109). Share issuance costs related to the 2023 ATM Program were $329 (US$243). No Common Shares were sold under the 2023 ATM Program during the nine month period ended December 31, 2024. See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Offerings</w:t>
      </w:r>
    </w:p>
    <w:p>
      <w:pPr>
        <w:spacing w:after="0" w:line="2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August 4, 2023, the Company completed a public offering (the “</w:t>
      </w:r>
      <w:r>
        <w:rPr>
          <w:rFonts w:ascii="Times New Roman" w:cs="Times New Roman" w:eastAsia="Times New Roman" w:hAnsi="Times New Roman"/>
          <w:sz w:val="18"/>
          <w:szCs w:val="18"/>
          <w:b w:val="1"/>
          <w:bCs w:val="1"/>
          <w:color w:val="auto"/>
        </w:rPr>
        <w:t>August 2023 Offering</w:t>
      </w:r>
      <w:r>
        <w:rPr>
          <w:rFonts w:ascii="Times New Roman" w:cs="Times New Roman" w:eastAsia="Times New Roman" w:hAnsi="Times New Roman"/>
          <w:sz w:val="18"/>
          <w:szCs w:val="18"/>
          <w:color w:val="auto"/>
        </w:rPr>
        <w:t>”) of 638,545 units of the Company (the “</w:t>
      </w:r>
      <w:r>
        <w:rPr>
          <w:rFonts w:ascii="Times New Roman" w:cs="Times New Roman" w:eastAsia="Times New Roman" w:hAnsi="Times New Roman"/>
          <w:sz w:val="18"/>
          <w:szCs w:val="18"/>
          <w:b w:val="1"/>
          <w:bCs w:val="1"/>
          <w:color w:val="auto"/>
        </w:rPr>
        <w:t>August 2023 Units</w:t>
      </w:r>
      <w:r>
        <w:rPr>
          <w:rFonts w:ascii="Times New Roman" w:cs="Times New Roman" w:eastAsia="Times New Roman" w:hAnsi="Times New Roman"/>
          <w:sz w:val="18"/>
          <w:szCs w:val="18"/>
          <w:color w:val="auto"/>
        </w:rPr>
        <w:t xml:space="preserve">”) at a price of US$12.92 per August 2023 Unit for gross proceeds of US$8,250 pursuant to the Company’s prospectus supplement dated August 1, 2023, to the 2021 Base Shelf Prospectus . Each August 2023 Unit is comprised of one Common Share and one Common Share purchase warrant (the </w:t>
      </w:r>
      <w:r>
        <w:rPr>
          <w:rFonts w:ascii="Times New Roman" w:cs="Times New Roman" w:eastAsia="Times New Roman" w:hAnsi="Times New Roman"/>
          <w:sz w:val="18"/>
          <w:szCs w:val="18"/>
          <w:b w:val="1"/>
          <w:bCs w:val="1"/>
          <w:color w:val="auto"/>
        </w:rPr>
        <w:t>“August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August 2023 Warrant is exercisable to acquire one Common Share at a price of US$15.20 per Common Share for a period of 60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issuance, subject to acceleration in certain circumstances. In connection with the August 2023 Offering, Cybin paid the underwriters a cash commission of US$379 and incurred additional share issuance costs related to professional fees of US$465.</w:t>
      </w:r>
    </w:p>
    <w:p>
      <w:pPr>
        <w:spacing w:after="0" w:line="15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November 14, 2023, the Company completed a public offering (the “</w:t>
      </w:r>
      <w:r>
        <w:rPr>
          <w:rFonts w:ascii="Times New Roman" w:cs="Times New Roman" w:eastAsia="Times New Roman" w:hAnsi="Times New Roman"/>
          <w:sz w:val="17"/>
          <w:szCs w:val="17"/>
          <w:b w:val="1"/>
          <w:bCs w:val="1"/>
          <w:color w:val="auto"/>
        </w:rPr>
        <w:t>November 2023 Offering</w:t>
      </w:r>
      <w:r>
        <w:rPr>
          <w:rFonts w:ascii="Times New Roman" w:cs="Times New Roman" w:eastAsia="Times New Roman" w:hAnsi="Times New Roman"/>
          <w:sz w:val="17"/>
          <w:szCs w:val="17"/>
          <w:color w:val="auto"/>
        </w:rPr>
        <w:t>”) of 1,754,386 units of the Company (the “</w:t>
      </w:r>
      <w:r>
        <w:rPr>
          <w:rFonts w:ascii="Times New Roman" w:cs="Times New Roman" w:eastAsia="Times New Roman" w:hAnsi="Times New Roman"/>
          <w:sz w:val="17"/>
          <w:szCs w:val="17"/>
          <w:b w:val="1"/>
          <w:bCs w:val="1"/>
          <w:color w:val="auto"/>
        </w:rPr>
        <w:t>November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 Units</w:t>
      </w:r>
      <w:r>
        <w:rPr>
          <w:rFonts w:ascii="Times New Roman" w:cs="Times New Roman" w:eastAsia="Times New Roman" w:hAnsi="Times New Roman"/>
          <w:sz w:val="17"/>
          <w:szCs w:val="17"/>
          <w:color w:val="auto"/>
        </w:rPr>
        <w:t>”) at a price of US$17.10 per November 2023 Unit for gross proceeds of $41,107 (US$30,000) pursuant to the November Prospectus Supplement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2023 Base Shelf Prospectus. Each November 2023 Unit is comprised of one Common Share and one Common Share purchase warrant (the “</w:t>
      </w:r>
      <w:r>
        <w:rPr>
          <w:rFonts w:ascii="Times New Roman" w:cs="Times New Roman" w:eastAsia="Times New Roman" w:hAnsi="Times New Roman"/>
          <w:sz w:val="17"/>
          <w:szCs w:val="17"/>
          <w:b w:val="1"/>
          <w:bCs w:val="1"/>
          <w:color w:val="auto"/>
        </w:rPr>
        <w:t>November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 Warrants</w:t>
      </w:r>
      <w:r>
        <w:rPr>
          <w:rFonts w:ascii="Times New Roman" w:cs="Times New Roman" w:eastAsia="Times New Roman" w:hAnsi="Times New Roman"/>
          <w:sz w:val="17"/>
          <w:szCs w:val="17"/>
          <w:color w:val="auto"/>
        </w:rPr>
        <w:t>”). Each November 2023 Warrant is exercisable to acquire one Common Share at a price of $26.16 (US$19.38) per Common Share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14, 2024 and May 14, 2029, subject to acceleration in certain circumstances. In connection with the November 2023 Offering, Cybin paid the underwriters a cash commission of $2,096 (US$1,530) and incurred additional share issuance costs related to professional fees of $339 (US$247).</w:t>
      </w:r>
    </w:p>
    <w:p>
      <w:pPr>
        <w:spacing w:after="0" w:line="1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On March 19, 2024, the Company completed a private placement (the “</w:t>
      </w:r>
      <w:r>
        <w:rPr>
          <w:rFonts w:ascii="Times New Roman" w:cs="Times New Roman" w:eastAsia="Times New Roman" w:hAnsi="Times New Roman"/>
          <w:sz w:val="18"/>
          <w:szCs w:val="18"/>
          <w:b w:val="1"/>
          <w:bCs w:val="1"/>
          <w:color w:val="auto"/>
        </w:rPr>
        <w:t>March 2024 Offering</w:t>
      </w:r>
      <w:r>
        <w:rPr>
          <w:rFonts w:ascii="Times New Roman" w:cs="Times New Roman" w:eastAsia="Times New Roman" w:hAnsi="Times New Roman"/>
          <w:sz w:val="18"/>
          <w:szCs w:val="18"/>
          <w:color w:val="auto"/>
        </w:rPr>
        <w:t>”) of 9,179,927 Common Shares at a price of US$16.34 per Common Share for gross proceeds of $202,995 (US$150,000). Pursuant to the terms of the March 2024 Offering, on April 8, 2024, the Company amended the 2023 Base Shelf Prospectus to provide that the securities that may be offered and issued thereunder will include distributions by various selling security holders. Further, on April 17, 2024, the Company filed a prospectus supplement to the 2023 Base Shelf Prospectus, in order to qualify the periodic resale of 8,763,941 Common Shares issued to certain non-Canadian investors pursuant to the March 2024 Offering. In connection with the March 2024 Offering, Cybin paid the agents a cash commission of $11,726 (US$8,665) and incurred additional share issuance costs being professional fees of $504.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130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3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As at December 31, 2024 the Company had working capital of $154,385.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7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 xml:space="preserve">The Company’s current expenditure obligations include commitments for those projects described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December 31, 2024, the Company had a cash balance of $136,290 and current liabilities of $13,306. The Company’s current resources are sufficient to settle its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126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4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6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4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As at December 31, 2024, the Company had also entered into agreements for various studies which may require the Company to spend up to an additional $62,819.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Exchange. There is no assurance that the aforementioned milestones will be met.</w:t>
      </w:r>
    </w:p>
    <w:p>
      <w:pPr>
        <w:spacing w:after="0" w:line="19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is party to certain employee and management contracts that contain severance obligations. These contracts contain clauses requiring additional payments to be made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1303" w:right="319" w:bottom="1440" w:gutter="0" w:footer="0" w:header="0"/>
        </w:sectPr>
      </w:pPr>
    </w:p>
    <w:bookmarkStart w:id="92" w:name="page93"/>
    <w:bookmarkEnd w:id="92"/>
    <w:p>
      <w:pPr>
        <w:ind w:right="20"/>
        <w:spacing w:after="0" w:line="323" w:lineRule="auto"/>
        <w:rPr>
          <w:sz w:val="20"/>
          <w:szCs w:val="20"/>
          <w:color w:val="auto"/>
        </w:rPr>
      </w:pPr>
      <w:r>
        <w:rPr>
          <w:rFonts w:ascii="Times New Roman" w:cs="Times New Roman" w:eastAsia="Times New Roman" w:hAnsi="Times New Roman"/>
          <w:sz w:val="18"/>
          <w:szCs w:val="18"/>
          <w:color w:val="auto"/>
        </w:rPr>
        <w:t>occurrence of involuntary termination. As the likelihood of these events taking place is not determinable, no contingent liabilities have been recorded in the consolidated financial statements.</w:t>
      </w:r>
    </w:p>
    <w:p>
      <w:pPr>
        <w:spacing w:after="0" w:line="156" w:lineRule="exact"/>
        <w:rPr>
          <w:sz w:val="20"/>
          <w:szCs w:val="20"/>
          <w:color w:val="auto"/>
        </w:rPr>
      </w:pPr>
    </w:p>
    <w:p>
      <w:pPr>
        <w:ind w:right="20"/>
        <w:spacing w:after="0" w:line="323"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legal proceedings and claims. As at December 31, 2024, there was no ongoing litigation and therefore no contingent liabilities have been recorded.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Share Data</w:t>
      </w:r>
    </w:p>
    <w:p>
      <w:pPr>
        <w:spacing w:after="0" w:line="254" w:lineRule="exact"/>
        <w:rPr>
          <w:sz w:val="20"/>
          <w:szCs w:val="20"/>
          <w:color w:val="auto"/>
        </w:rPr>
      </w:pPr>
    </w:p>
    <w:p>
      <w:pPr>
        <w:spacing w:after="0" w:line="323" w:lineRule="auto"/>
        <w:rPr>
          <w:sz w:val="20"/>
          <w:szCs w:val="20"/>
          <w:color w:val="auto"/>
        </w:rPr>
      </w:pPr>
      <w:r>
        <w:rPr>
          <w:rFonts w:ascii="Times New Roman" w:cs="Times New Roman" w:eastAsia="Times New Roman" w:hAnsi="Times New Roman"/>
          <w:sz w:val="18"/>
          <w:szCs w:val="18"/>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December 31, 2024, and as of the date of this MD&amp;A:</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320" w:type="dxa"/>
            <w:vAlign w:val="bottom"/>
            <w:tcBorders>
              <w:top w:val="single" w:sz="8" w:color="auto"/>
              <w:left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Class of Security</w:t>
            </w:r>
          </w:p>
        </w:tc>
        <w:tc>
          <w:tcPr>
            <w:tcW w:w="3260" w:type="dxa"/>
            <w:vAlign w:val="bottom"/>
            <w:tcBorders>
              <w:top w:val="single" w:sz="8" w:color="auto"/>
              <w:right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3700" w:type="dxa"/>
            <w:vAlign w:val="bottom"/>
            <w:tcBorders>
              <w:top w:val="single" w:sz="8" w:color="auto"/>
              <w:right w:val="single" w:sz="8" w:color="auto"/>
            </w:tcBorders>
            <w:shd w:val="clear" w:color="auto" w:fill="DBDBDB"/>
          </w:tcPr>
          <w:p>
            <w:pPr>
              <w:ind w:left="940"/>
              <w:spacing w:after="0"/>
              <w:rPr>
                <w:sz w:val="20"/>
                <w:szCs w:val="20"/>
                <w:color w:val="auto"/>
              </w:rPr>
            </w:pPr>
            <w:r>
              <w:rPr>
                <w:rFonts w:ascii="Times New Roman" w:cs="Times New Roman" w:eastAsia="Times New Roman" w:hAnsi="Times New Roman"/>
                <w:sz w:val="15"/>
                <w:szCs w:val="15"/>
                <w:b w:val="1"/>
                <w:bCs w:val="1"/>
                <w:color w:val="auto"/>
              </w:rPr>
              <w:t>As of the date of this MD&amp;A</w:t>
            </w:r>
          </w:p>
        </w:tc>
        <w:tc>
          <w:tcPr>
            <w:tcW w:w="0" w:type="dxa"/>
            <w:vAlign w:val="bottom"/>
          </w:tcPr>
          <w:p>
            <w:pPr>
              <w:spacing w:after="0"/>
              <w:rPr>
                <w:sz w:val="1"/>
                <w:szCs w:val="1"/>
                <w:color w:val="auto"/>
              </w:rPr>
            </w:pPr>
          </w:p>
        </w:tc>
      </w:tr>
      <w:tr>
        <w:trPr>
          <w:trHeight w:val="220"/>
        </w:trPr>
        <w:tc>
          <w:tcPr>
            <w:tcW w:w="4320" w:type="dxa"/>
            <w:vAlign w:val="bottom"/>
            <w:tcBorders>
              <w:left w:val="single" w:sz="8" w:color="auto"/>
              <w:bottom w:val="single" w:sz="8" w:color="auto"/>
              <w:right w:val="single" w:sz="8" w:color="auto"/>
            </w:tcBorders>
            <w:shd w:val="clear" w:color="auto" w:fill="DBDBDB"/>
          </w:tcPr>
          <w:p>
            <w:pPr>
              <w:spacing w:after="0"/>
              <w:rPr>
                <w:sz w:val="19"/>
                <w:szCs w:val="19"/>
                <w:color w:val="auto"/>
              </w:rPr>
            </w:pPr>
          </w:p>
        </w:tc>
        <w:tc>
          <w:tcPr>
            <w:tcW w:w="3260" w:type="dxa"/>
            <w:vAlign w:val="bottom"/>
            <w:tcBorders>
              <w:bottom w:val="single" w:sz="8" w:color="auto"/>
              <w:right w:val="single" w:sz="8" w:color="auto"/>
            </w:tcBorders>
            <w:shd w:val="clear" w:color="auto" w:fill="DBDBDB"/>
          </w:tcPr>
          <w:p>
            <w:pPr>
              <w:spacing w:after="0"/>
              <w:rPr>
                <w:sz w:val="19"/>
                <w:szCs w:val="19"/>
                <w:color w:val="auto"/>
              </w:rPr>
            </w:pPr>
          </w:p>
        </w:tc>
        <w:tc>
          <w:tcPr>
            <w:tcW w:w="370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Shares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19,991,910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21,026,426</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Stock options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3,981,006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3,978,477</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Share purchase warrants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2,796,197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2,796,197</w:t>
            </w:r>
          </w:p>
        </w:tc>
        <w:tc>
          <w:tcPr>
            <w:tcW w:w="0" w:type="dxa"/>
            <w:vAlign w:val="bottom"/>
          </w:tcPr>
          <w:p>
            <w:pPr>
              <w:spacing w:after="0"/>
              <w:rPr>
                <w:sz w:val="1"/>
                <w:szCs w:val="1"/>
                <w:color w:val="auto"/>
              </w:rPr>
            </w:pPr>
          </w:p>
        </w:tc>
      </w:tr>
      <w:tr>
        <w:trPr>
          <w:trHeight w:val="236"/>
        </w:trPr>
        <w:tc>
          <w:tcPr>
            <w:tcW w:w="4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 xml:space="preserve">Class B Shares (as defined below) </w:t>
            </w:r>
            <w:r>
              <w:rPr>
                <w:rFonts w:ascii="Times New Roman" w:cs="Times New Roman" w:eastAsia="Times New Roman" w:hAnsi="Times New Roman"/>
                <w:sz w:val="18"/>
                <w:szCs w:val="18"/>
                <w:color w:val="auto"/>
                <w:w w:val="94"/>
                <w:vertAlign w:val="superscript"/>
              </w:rPr>
              <w:t>(1)</w:t>
            </w:r>
          </w:p>
        </w:tc>
        <w:tc>
          <w:tcPr>
            <w:tcW w:w="3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36,084.7</w:t>
            </w: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36,084.7</w:t>
            </w:r>
          </w:p>
        </w:tc>
        <w:tc>
          <w:tcPr>
            <w:tcW w:w="0" w:type="dxa"/>
            <w:vAlign w:val="bottom"/>
          </w:tcPr>
          <w:p>
            <w:pPr>
              <w:spacing w:after="0"/>
              <w:rPr>
                <w:sz w:val="1"/>
                <w:szCs w:val="1"/>
                <w:color w:val="auto"/>
              </w:rPr>
            </w:pPr>
          </w:p>
        </w:tc>
      </w:tr>
      <w:tr>
        <w:trPr>
          <w:trHeight w:val="46"/>
        </w:trPr>
        <w:tc>
          <w:tcPr>
            <w:tcW w:w="4320" w:type="dxa"/>
            <w:vAlign w:val="bottom"/>
            <w:tcBorders>
              <w:left w:val="single" w:sz="8" w:color="auto"/>
              <w:bottom w:val="single" w:sz="8" w:color="auto"/>
              <w:right w:val="single" w:sz="8" w:color="auto"/>
            </w:tcBorders>
          </w:tcPr>
          <w:p>
            <w:pPr>
              <w:spacing w:after="0"/>
              <w:rPr>
                <w:sz w:val="4"/>
                <w:szCs w:val="4"/>
                <w:color w:val="auto"/>
              </w:rPr>
            </w:pPr>
          </w:p>
        </w:tc>
        <w:tc>
          <w:tcPr>
            <w:tcW w:w="3260" w:type="dxa"/>
            <w:vAlign w:val="bottom"/>
            <w:tcBorders>
              <w:bottom w:val="single" w:sz="8" w:color="auto"/>
              <w:right w:val="single" w:sz="8" w:color="auto"/>
            </w:tcBorders>
            <w:vMerge w:val="continue"/>
          </w:tcPr>
          <w:p>
            <w:pPr>
              <w:spacing w:after="0"/>
              <w:rPr>
                <w:sz w:val="4"/>
                <w:szCs w:val="4"/>
                <w:color w:val="auto"/>
              </w:rPr>
            </w:pPr>
          </w:p>
        </w:tc>
        <w:tc>
          <w:tcPr>
            <w:tcW w:w="37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Note:</w:t>
      </w:r>
    </w:p>
    <w:p>
      <w:pPr>
        <w:spacing w:after="0" w:line="83" w:lineRule="exact"/>
        <w:rPr>
          <w:sz w:val="20"/>
          <w:szCs w:val="20"/>
          <w:color w:val="auto"/>
        </w:rPr>
      </w:pPr>
    </w:p>
    <w:p>
      <w:pPr>
        <w:ind w:left="580" w:right="20" w:hanging="3"/>
        <w:spacing w:after="0" w:line="326" w:lineRule="auto"/>
        <w:tabs>
          <w:tab w:leader="none" w:pos="80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0.26316 Common Shares for each Class B Share, at the option of the holder thereof, subject to customary adjustments.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32"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As of December 31, 2024, 19,991,910 Common Shares were outstanding and no preferred shares were issued and outstanding. As of the date of this MD&amp;A 21,026,426 Common Shares were outstanding and no preferred shares were issued and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3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As of December 31, 2024 options to purchase up to 3,981,006 Common Shares were outstanding under Cybin’s equity incentive plan. As of the date of this MD&amp;A options to purchase up to 3,978,477 Common Shares were outstanding under Cybin’s equity incentive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Purchase Warrants</w:t>
      </w:r>
    </w:p>
    <w:p>
      <w:pPr>
        <w:spacing w:after="0" w:line="2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As of December 31, 2024, and the date of this MD&amp;A, warrants to purchase up to 2,796,197 Common Shares were outstanding, exercisable at weighted average exercise price of $24.06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130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Shares</w:t>
      </w:r>
    </w:p>
    <w:p>
      <w:pPr>
        <w:spacing w:after="0" w:line="26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connection with the Adelia Transaction (see “</w:t>
      </w: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 Cybin U.S. (a subsidiary of the Company) has issued 1,591,625.3 Class B Shares. The Class B Shares are exchangeable at the holder’s option for Common Shares on the basis of 0.26316 Common Shares for 1 Class B Share, subject to customary adjustments. As of December 31, 2024, and the date of this MD&amp;A, 36,084.7 Class B Shares were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Adelia Acquisition</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 w:cs="Times New Roman" w:eastAsia="Times New Roman" w:hAnsi="Times New Roman"/>
          <w:sz w:val="19"/>
          <w:szCs w:val="19"/>
          <w:color w:val="auto"/>
        </w:rPr>
        <w:t>228,640</w:t>
      </w:r>
      <w:r>
        <w:rPr>
          <w:rFonts w:ascii="Times New Roman" w:cs="Times New Roman" w:eastAsia="Times New Roman" w:hAnsi="Times New Roman"/>
          <w:sz w:val="18"/>
          <w:szCs w:val="18"/>
          <w:color w:val="auto"/>
        </w:rPr>
        <w:t xml:space="preserve"> Common Shares, resulting in an effective issue price of </w:t>
      </w:r>
      <w:r>
        <w:rPr>
          <w:rFonts w:ascii="Times New Roman" w:cs="Times New Roman" w:eastAsia="Times New Roman" w:hAnsi="Times New Roman"/>
          <w:sz w:val="19"/>
          <w:szCs w:val="19"/>
          <w:color w:val="auto"/>
        </w:rPr>
        <w:t>$47.12</w:t>
      </w:r>
      <w:r>
        <w:rPr>
          <w:rFonts w:ascii="Times New Roman" w:cs="Times New Roman" w:eastAsia="Times New Roman" w:hAnsi="Times New Roman"/>
          <w:sz w:val="18"/>
          <w:szCs w:val="18"/>
          <w:color w:val="auto"/>
        </w:rPr>
        <w:t xml:space="preserve"> per Cybin Share.</w:t>
      </w:r>
    </w:p>
    <w:p>
      <w:pPr>
        <w:spacing w:after="0" w:line="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9"/>
          <w:szCs w:val="19"/>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9"/>
          <w:szCs w:val="19"/>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1299" w:right="319" w:bottom="1440" w:gutter="0" w:footer="0" w:header="0"/>
        </w:sectPr>
      </w:pPr>
    </w:p>
    <w:bookmarkStart w:id="94" w:name="page95"/>
    <w:bookmarkEnd w:id="94"/>
    <w:p>
      <w:pPr>
        <w:jc w:val="both"/>
        <w:spacing w:after="0" w:line="288" w:lineRule="auto"/>
        <w:rPr>
          <w:sz w:val="20"/>
          <w:szCs w:val="20"/>
          <w:color w:val="auto"/>
        </w:rPr>
      </w:pPr>
      <w:r>
        <w:rPr>
          <w:rFonts w:ascii="Times New Roman" w:cs="Times New Roman" w:eastAsia="Times New Roman" w:hAnsi="Times New Roman"/>
          <w:sz w:val="18"/>
          <w:szCs w:val="18"/>
          <w:color w:val="auto"/>
        </w:rPr>
        <w:t>quarter are achieved, such lesser potion of such milestone consideration) as is determined in accordance with applicable Milestone, by the greater of: (i) $28.50;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1,555,540.6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9"/>
          <w:szCs w:val="19"/>
          <w:b w:val="1"/>
          <w:bCs w:val="1"/>
          <w:color w:val="auto"/>
        </w:rPr>
        <w:t>Support 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9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9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1303" w:right="319" w:bottom="1440" w:gutter="0" w:footer="0" w:header="0"/>
        </w:sectPr>
      </w:pPr>
    </w:p>
    <w:bookmarkStart w:id="95" w:name="page96"/>
    <w:bookmarkEnd w:id="95"/>
    <w:p>
      <w:pPr>
        <w:jc w:val="both"/>
        <w:spacing w:after="0" w:line="309" w:lineRule="auto"/>
        <w:rPr>
          <w:sz w:val="20"/>
          <w:szCs w:val="20"/>
          <w:color w:val="auto"/>
        </w:rPr>
      </w:pPr>
      <w:r>
        <w:rPr>
          <w:rFonts w:ascii="Times New Roman" w:cs="Times New Roman" w:eastAsia="Times New Roman" w:hAnsi="Times New Roman"/>
          <w:sz w:val="18"/>
          <w:szCs w:val="18"/>
          <w:color w:val="auto"/>
        </w:rPr>
        <w:t xml:space="preserve">On June 28, 2021, Adelia completed the remaining requirements of the second Milestone as listed in the Contribution Agreement. Accordingly, 15,777.1 Class B Shares were issued to the Adelia Shareholders, amounting to $458. The Class B Shares are exchangeable for a total of </w:t>
      </w:r>
      <w:r>
        <w:rPr>
          <w:rFonts w:ascii="Times New Roman" w:cs="Times New Roman" w:eastAsia="Times New Roman" w:hAnsi="Times New Roman"/>
          <w:sz w:val="19"/>
          <w:szCs w:val="19"/>
          <w:color w:val="auto"/>
        </w:rPr>
        <w:t>4,152</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$110.20</w:t>
      </w:r>
      <w:r>
        <w:rPr>
          <w:rFonts w:ascii="Times New Roman" w:cs="Times New Roman" w:eastAsia="Times New Roman" w:hAnsi="Times New Roman"/>
          <w:sz w:val="18"/>
          <w:szCs w:val="18"/>
          <w:color w:val="auto"/>
        </w:rPr>
        <w:t xml:space="preserve"> per Common Share.</w:t>
      </w:r>
    </w:p>
    <w:p>
      <w:pPr>
        <w:spacing w:after="0" w:line="18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 xml:space="preserve">On August 17, 2021, an additional 18,788.5 Class B Shares were issued to the Adelia Shareholders due to the achievement of certain requirements of the third and fourth Milestones, amounting to $633. The Class B Shares are exchangeable for a total of </w:t>
      </w:r>
      <w:r>
        <w:rPr>
          <w:rFonts w:ascii="Times New Roman" w:cs="Times New Roman" w:eastAsia="Times New Roman" w:hAnsi="Times New Roman"/>
          <w:sz w:val="19"/>
          <w:szCs w:val="19"/>
          <w:color w:val="auto"/>
        </w:rPr>
        <w:t>4,944</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 xml:space="preserve">$128.06 </w:t>
      </w:r>
      <w:r>
        <w:rPr>
          <w:rFonts w:ascii="Times New Roman" w:cs="Times New Roman" w:eastAsia="Times New Roman" w:hAnsi="Times New Roman"/>
          <w:sz w:val="17"/>
          <w:szCs w:val="17"/>
          <w:color w:val="auto"/>
        </w:rPr>
        <w:t>per Common Share.</w:t>
      </w:r>
    </w:p>
    <w:p>
      <w:pPr>
        <w:spacing w:after="0" w:line="18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 xml:space="preserve">On August 31, 2021, the remaining requirements of the third Milestone were achieved. Accordingly, 9,392.6 Class B Shares were issued to the Adelia Shareholders, amounting to $317. The Class B Shares are exchangeable for a total of </w:t>
      </w:r>
      <w:r>
        <w:rPr>
          <w:rFonts w:ascii="Times New Roman" w:cs="Times New Roman" w:eastAsia="Times New Roman" w:hAnsi="Times New Roman"/>
          <w:sz w:val="19"/>
          <w:szCs w:val="19"/>
          <w:color w:val="auto"/>
        </w:rPr>
        <w:t>2,472</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$128.44</w:t>
      </w:r>
      <w:r>
        <w:rPr>
          <w:rFonts w:ascii="Times New Roman" w:cs="Times New Roman" w:eastAsia="Times New Roman" w:hAnsi="Times New Roman"/>
          <w:sz w:val="18"/>
          <w:szCs w:val="18"/>
          <w:color w:val="auto"/>
        </w:rPr>
        <w:t xml:space="preserve"> per Common Share.</w:t>
      </w:r>
    </w:p>
    <w:p>
      <w:pPr>
        <w:spacing w:after="0" w:line="193"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8"/>
          <w:szCs w:val="18"/>
          <w:color w:val="auto"/>
        </w:rPr>
        <w:t xml:space="preserve">On November 18, 2021, an additional 28,903 Class B Shares were issued to the Adelia Shareholders due to the achievement of certain requirements of the fourth and fifth Milestones, amounting to $706. These Class B Shares are exchangeable for a total of </w:t>
      </w:r>
      <w:r>
        <w:rPr>
          <w:rFonts w:ascii="Times New Roman" w:cs="Times New Roman" w:eastAsia="Times New Roman" w:hAnsi="Times New Roman"/>
          <w:sz w:val="19"/>
          <w:szCs w:val="19"/>
          <w:color w:val="auto"/>
        </w:rPr>
        <w:t>7,606</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$92.72</w:t>
      </w:r>
      <w:r>
        <w:rPr>
          <w:rFonts w:ascii="Times New Roman" w:cs="Times New Roman" w:eastAsia="Times New Roman" w:hAnsi="Times New Roman"/>
          <w:sz w:val="18"/>
          <w:szCs w:val="18"/>
          <w:color w:val="auto"/>
        </w:rPr>
        <w:t xml:space="preserve"> per Common Share.</w:t>
      </w:r>
    </w:p>
    <w:p>
      <w:pPr>
        <w:spacing w:after="0" w:line="19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8"/>
          <w:szCs w:val="18"/>
          <w:color w:val="auto"/>
        </w:rPr>
        <w:t xml:space="preserve">On November 29, 2021, an additional 31,721.5 Class B Shares were issued to the Adelia Shareholders due to the achievement of certain requirements of the fourth and fifth Milestones, amounting to $629. These Class B Shares are exchangeable for a total of </w:t>
      </w:r>
      <w:r>
        <w:rPr>
          <w:rFonts w:ascii="Times New Roman" w:cs="Times New Roman" w:eastAsia="Times New Roman" w:hAnsi="Times New Roman"/>
          <w:sz w:val="19"/>
          <w:szCs w:val="19"/>
          <w:color w:val="auto"/>
        </w:rPr>
        <w:t>8,348</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$75.24</w:t>
      </w:r>
      <w:r>
        <w:rPr>
          <w:rFonts w:ascii="Times New Roman" w:cs="Times New Roman" w:eastAsia="Times New Roman" w:hAnsi="Times New Roman"/>
          <w:sz w:val="18"/>
          <w:szCs w:val="18"/>
          <w:color w:val="auto"/>
        </w:rPr>
        <w:t xml:space="preserve"> per Common Share.</w:t>
      </w:r>
    </w:p>
    <w:p>
      <w:pPr>
        <w:spacing w:after="0" w:line="178"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8"/>
          <w:szCs w:val="18"/>
          <w:color w:val="auto"/>
        </w:rPr>
        <w:t xml:space="preserve">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w:t>
      </w:r>
      <w:r>
        <w:rPr>
          <w:rFonts w:ascii="Times New Roman" w:cs="Times New Roman" w:eastAsia="Times New Roman" w:hAnsi="Times New Roman"/>
          <w:sz w:val="19"/>
          <w:szCs w:val="19"/>
          <w:color w:val="auto"/>
        </w:rPr>
        <w:t>4,108</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$57.38</w:t>
      </w:r>
      <w:r>
        <w:rPr>
          <w:rFonts w:ascii="Times New Roman" w:cs="Times New Roman" w:eastAsia="Times New Roman" w:hAnsi="Times New Roman"/>
          <w:sz w:val="18"/>
          <w:szCs w:val="18"/>
          <w:color w:val="auto"/>
        </w:rPr>
        <w:t xml:space="preserve"> per Common Share.</w:t>
      </w:r>
    </w:p>
    <w:p>
      <w:pPr>
        <w:spacing w:after="0" w:line="171"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w:t>
      </w:r>
      <w:r>
        <w:rPr>
          <w:rFonts w:ascii="Times New Roman" w:cs="Times New Roman" w:eastAsia="Times New Roman" w:hAnsi="Times New Roman"/>
          <w:sz w:val="19"/>
          <w:szCs w:val="19"/>
          <w:color w:val="auto"/>
        </w:rPr>
        <w:t>10,797</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$50.92</w:t>
      </w:r>
      <w:r>
        <w:rPr>
          <w:rFonts w:ascii="Times New Roman" w:cs="Times New Roman" w:eastAsia="Times New Roman" w:hAnsi="Times New Roman"/>
          <w:sz w:val="18"/>
          <w:szCs w:val="18"/>
          <w:color w:val="auto"/>
        </w:rPr>
        <w:t xml:space="preserve"> per Common Share.</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w:t>
      </w:r>
      <w:r>
        <w:rPr>
          <w:rFonts w:ascii="Times New Roman" w:cs="Times New Roman" w:eastAsia="Times New Roman" w:hAnsi="Times New Roman"/>
          <w:sz w:val="19"/>
          <w:szCs w:val="19"/>
          <w:color w:val="auto"/>
        </w:rPr>
        <w:t>4,537</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$51.30</w:t>
      </w:r>
      <w:r>
        <w:rPr>
          <w:rFonts w:ascii="Times New Roman" w:cs="Times New Roman" w:eastAsia="Times New Roman" w:hAnsi="Times New Roman"/>
          <w:sz w:val="18"/>
          <w:szCs w:val="18"/>
          <w:color w:val="auto"/>
        </w:rPr>
        <w:t xml:space="preserve"> per Common Share.</w:t>
      </w:r>
    </w:p>
    <w:p>
      <w:pPr>
        <w:spacing w:after="0" w:line="19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1303" w:right="319" w:bottom="1440" w:gutter="0" w:footer="0" w:header="0"/>
        </w:sectPr>
      </w:pPr>
    </w:p>
    <w:bookmarkStart w:id="96" w:name="page97"/>
    <w:bookmarkEnd w:id="96"/>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aggregate value of $905 at a price per Class B Share of $9.994. These Class B Shares are exchangeable for a total of </w:t>
      </w:r>
      <w:r>
        <w:rPr>
          <w:rFonts w:ascii="Times New Roman" w:cs="Times New Roman" w:eastAsia="Times New Roman" w:hAnsi="Times New Roman"/>
          <w:sz w:val="19"/>
          <w:szCs w:val="19"/>
          <w:color w:val="auto"/>
        </w:rPr>
        <w:t>23,828</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$38.00</w:t>
      </w:r>
      <w:r>
        <w:rPr>
          <w:rFonts w:ascii="Times New Roman" w:cs="Times New Roman" w:eastAsia="Times New Roman" w:hAnsi="Times New Roman"/>
          <w:sz w:val="18"/>
          <w:szCs w:val="18"/>
          <w:color w:val="auto"/>
        </w:rPr>
        <w:t xml:space="preserve"> per Common Share.</w:t>
      </w:r>
    </w:p>
    <w:p>
      <w:pPr>
        <w:spacing w:after="0" w:line="179"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17"/>
          <w:szCs w:val="17"/>
          <w:color w:val="auto"/>
        </w:rPr>
        <w:t xml:space="preserve">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w:t>
      </w:r>
      <w:r>
        <w:rPr>
          <w:rFonts w:ascii="Times New Roman" w:cs="Times New Roman" w:eastAsia="Times New Roman" w:hAnsi="Times New Roman"/>
          <w:sz w:val="18"/>
          <w:szCs w:val="18"/>
          <w:color w:val="auto"/>
        </w:rPr>
        <w:t>5,902</w:t>
      </w:r>
      <w:r>
        <w:rPr>
          <w:rFonts w:ascii="Times New Roman" w:cs="Times New Roman" w:eastAsia="Times New Roman" w:hAnsi="Times New Roman"/>
          <w:sz w:val="17"/>
          <w:szCs w:val="17"/>
          <w:color w:val="auto"/>
        </w:rPr>
        <w:t xml:space="preserve"> Common Shares, representing an effective issue price of </w:t>
      </w:r>
      <w:r>
        <w:rPr>
          <w:rFonts w:ascii="Times New Roman" w:cs="Times New Roman" w:eastAsia="Times New Roman" w:hAnsi="Times New Roman"/>
          <w:sz w:val="18"/>
          <w:szCs w:val="18"/>
          <w:color w:val="auto"/>
        </w:rPr>
        <w:t>$38.76</w:t>
      </w:r>
      <w:r>
        <w:rPr>
          <w:rFonts w:ascii="Times New Roman" w:cs="Times New Roman" w:eastAsia="Times New Roman" w:hAnsi="Times New Roman"/>
          <w:sz w:val="17"/>
          <w:szCs w:val="17"/>
          <w:color w:val="auto"/>
        </w:rPr>
        <w:t xml:space="preserve"> per Common Share. In consideration for the Milestone achieved, on June 22, 2022, an additional 456.5 Class B shares having an aggregate value of $5 were issued to Former Adelia Shareholders.</w:t>
      </w:r>
    </w:p>
    <w:p>
      <w:pPr>
        <w:spacing w:after="0" w:line="18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 xml:space="preserve">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w:t>
      </w:r>
      <w:r>
        <w:rPr>
          <w:rFonts w:ascii="Times New Roman" w:cs="Times New Roman" w:eastAsia="Times New Roman" w:hAnsi="Times New Roman"/>
          <w:sz w:val="19"/>
          <w:szCs w:val="19"/>
          <w:color w:val="auto"/>
        </w:rPr>
        <w:t>70,246</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$28.96</w:t>
      </w:r>
      <w:r>
        <w:rPr>
          <w:rFonts w:ascii="Times New Roman" w:cs="Times New Roman" w:eastAsia="Times New Roman" w:hAnsi="Times New Roman"/>
          <w:sz w:val="18"/>
          <w:szCs w:val="18"/>
          <w:color w:val="auto"/>
        </w:rPr>
        <w:t xml:space="preserve"> per Common Share.</w:t>
      </w:r>
    </w:p>
    <w:p>
      <w:pPr>
        <w:spacing w:after="0" w:line="19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 xml:space="preserve">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w:t>
      </w:r>
      <w:r>
        <w:rPr>
          <w:rFonts w:ascii="Times New Roman" w:cs="Times New Roman" w:eastAsia="Times New Roman" w:hAnsi="Times New Roman"/>
          <w:sz w:val="19"/>
          <w:szCs w:val="19"/>
          <w:color w:val="auto"/>
        </w:rPr>
        <w:t>9,833</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28.50</w:t>
      </w:r>
      <w:r>
        <w:rPr>
          <w:rFonts w:ascii="Times New Roman" w:cs="Times New Roman" w:eastAsia="Times New Roman" w:hAnsi="Times New Roman"/>
          <w:sz w:val="18"/>
          <w:szCs w:val="18"/>
          <w:color w:val="auto"/>
        </w:rPr>
        <w:t xml:space="preserve"> per Common Share.</w:t>
      </w:r>
    </w:p>
    <w:p>
      <w:pPr>
        <w:spacing w:after="0" w:line="17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 xml:space="preserve">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w:t>
      </w:r>
      <w:r>
        <w:rPr>
          <w:rFonts w:ascii="Times New Roman" w:cs="Times New Roman" w:eastAsia="Times New Roman" w:hAnsi="Times New Roman"/>
          <w:sz w:val="19"/>
          <w:szCs w:val="19"/>
          <w:color w:val="auto"/>
        </w:rPr>
        <w:t>8,734</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53.58</w:t>
      </w:r>
      <w:r>
        <w:rPr>
          <w:rFonts w:ascii="Times New Roman" w:cs="Times New Roman" w:eastAsia="Times New Roman" w:hAnsi="Times New Roman"/>
          <w:sz w:val="18"/>
          <w:szCs w:val="18"/>
          <w:color w:val="auto"/>
        </w:rPr>
        <w:t xml:space="preserve"> per Common Share.</w:t>
      </w:r>
    </w:p>
    <w:p>
      <w:pPr>
        <w:spacing w:after="0" w:line="20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6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8"/>
          <w:szCs w:val="18"/>
          <w:color w:val="auto"/>
        </w:rPr>
        <w:t xml:space="preserve">Pursuant to the Contribution Agreement certain members of Adelia entered into advisory and/or executive employment arrangements with Cybin upon the Closing and, in such capacity, received, in the aggregate, a grant of options to purchase up to </w:t>
      </w:r>
      <w:r>
        <w:rPr>
          <w:rFonts w:ascii="Times New Roman" w:cs="Times New Roman" w:eastAsia="Times New Roman" w:hAnsi="Times New Roman"/>
          <w:sz w:val="19"/>
          <w:szCs w:val="19"/>
          <w:color w:val="auto"/>
        </w:rPr>
        <w:t>59,055</w:t>
      </w:r>
      <w:r>
        <w:rPr>
          <w:rFonts w:ascii="Times New Roman" w:cs="Times New Roman" w:eastAsia="Times New Roman" w:hAnsi="Times New Roman"/>
          <w:sz w:val="18"/>
          <w:szCs w:val="18"/>
          <w:color w:val="auto"/>
        </w:rPr>
        <w:t xml:space="preserve"> to acquire Common Shares, pursuant to Cybin’s equity incentive plan, exercisable for a period of five (5) years and subject to vesting, at an exercise price of $</w:t>
      </w:r>
      <w:r>
        <w:rPr>
          <w:rFonts w:ascii="Times New Roman" w:cs="Times New Roman" w:eastAsia="Times New Roman" w:hAnsi="Times New Roman"/>
          <w:sz w:val="19"/>
          <w:szCs w:val="19"/>
          <w:color w:val="auto"/>
        </w:rPr>
        <w:t>66.12</w:t>
      </w:r>
      <w:r>
        <w:rPr>
          <w:rFonts w:ascii="Times New Roman" w:cs="Times New Roman" w:eastAsia="Times New Roman" w:hAnsi="Times New Roman"/>
          <w:sz w:val="18"/>
          <w:szCs w:val="18"/>
          <w:color w:val="auto"/>
        </w:rPr>
        <w:t xml:space="preserve"> per Cybin Share. An additional </w:t>
      </w:r>
      <w:r>
        <w:rPr>
          <w:rFonts w:ascii="Times New Roman" w:cs="Times New Roman" w:eastAsia="Times New Roman" w:hAnsi="Times New Roman"/>
          <w:sz w:val="19"/>
          <w:szCs w:val="19"/>
          <w:color w:val="auto"/>
        </w:rPr>
        <w:t>14,629</w:t>
      </w:r>
      <w:r>
        <w:rPr>
          <w:rFonts w:ascii="Times New Roman" w:cs="Times New Roman" w:eastAsia="Times New Roman" w:hAnsi="Times New Roman"/>
          <w:sz w:val="18"/>
          <w:szCs w:val="18"/>
          <w:color w:val="auto"/>
        </w:rPr>
        <w:t xml:space="preserve"> options to acquire Common Shares were issued to eligible participants at the direction of the Adelia Shareholders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320" w:top="1299" w:right="319" w:bottom="1440" w:gutter="0" w:footer="0" w:header="0"/>
        </w:sectPr>
      </w:pPr>
    </w:p>
    <w:bookmarkStart w:id="97" w:name="page98"/>
    <w:bookmarkEnd w:id="97"/>
    <w:p>
      <w:pPr>
        <w:spacing w:after="0" w:line="8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7"/>
          <w:szCs w:val="17"/>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Pharma Acquisition</w:t>
      </w:r>
    </w:p>
    <w:p>
      <w:pPr>
        <w:spacing w:after="0" w:line="24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18"/>
          <w:szCs w:val="18"/>
          <w:b w:val="1"/>
          <w:bCs w:val="1"/>
          <w:color w:val="auto"/>
        </w:rPr>
        <w:t>Small Pharma Share</w:t>
      </w:r>
      <w:r>
        <w:rPr>
          <w:rFonts w:ascii="Times New Roman" w:cs="Times New Roman" w:eastAsia="Times New Roman" w:hAnsi="Times New Roman"/>
          <w:sz w:val="18"/>
          <w:szCs w:val="18"/>
          <w:color w:val="auto"/>
        </w:rPr>
        <w:t>”) in an all-equity business combination transaction to be completed by way the Arrangement.</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September 13, 2023, Small Pharma was granted an interim order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by the Supreme Court of British Columbia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9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October 12, 2023, the Company held an annual and special meeting of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0.00634 Common Shares for every one Small Pharma Share outstanding, resulting in a total of 2,130,138 Common Shares being issued to Small Pharma shareholders. As a result of the Arrangement, Small Pharma is now a wholly-owned subsidiary of Cybin.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at December 31, 2024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1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8"/>
          <w:szCs w:val="18"/>
          <w:color w:val="auto"/>
        </w:rPr>
        <w:t>Key management personnel of the Company are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President, Chief Executive Officer, Chief Financial Officer, Chief Operating Officer, Chief Growth Officer, Chief Legal Officer, and Chief Business Officer.</w:t>
      </w:r>
    </w:p>
    <w:p>
      <w:pPr>
        <w:spacing w:after="0" w:line="17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and nine month periods ended December 31, 2024 consisted of consulting fees, short term benefits and other compensation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$2,911 and $30,888, respectively (three and nine-month periods ended December 31, 2023 - $8,893 and $11,511).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 xml:space="preserve">The preparation of the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Company's annual consolidated financial statements for the year ended March 31, 2024, found on SEDAR+ at </w:t>
      </w:r>
      <w:r>
        <w:rPr>
          <w:rFonts w:ascii="Times New Roman" w:cs="Times New Roman" w:eastAsia="Times New Roman" w:hAnsi="Times New Roman"/>
          <w:sz w:val="18"/>
          <w:szCs w:val="18"/>
          <w:i w:val="1"/>
          <w:iCs w:val="1"/>
          <w:color w:val="auto"/>
        </w:rPr>
        <w:t>www.sedarplus.ca.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Company's annual consolidated financial statements for the year ended March 31, 2024, found on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color w:val="auto"/>
        </w:rPr>
        <w:t>Management maintains appropriate information systems, procedures and controls to provide reasonable assurance that information that is publicly disclosed is complete, reliable and timely. The Chief Executive Officer (the “CEO”) and Chief Financial Officer (the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1303" w:right="319" w:bottom="1440" w:gutter="0" w:footer="0" w:header="0"/>
        </w:sectPr>
      </w:pPr>
    </w:p>
    <w:bookmarkStart w:id="99" w:name="page100"/>
    <w:bookmarkEnd w:id="99"/>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46" w:lineRule="exact"/>
        <w:rPr>
          <w:rFonts w:ascii="Calibri" w:cs="Calibri" w:eastAsia="Calibri" w:hAnsi="Calibri"/>
          <w:sz w:val="18"/>
          <w:szCs w:val="18"/>
          <w:color w:val="auto"/>
        </w:rPr>
      </w:pPr>
    </w:p>
    <w:p>
      <w:pPr>
        <w:ind w:left="580" w:right="20" w:hanging="296"/>
        <w:spacing w:after="0" w:line="336" w:lineRule="auto"/>
        <w:tabs>
          <w:tab w:leader="none" w:pos="576"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2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During the period ended December 31, 2024, the Company did not make any significant changes to its internal controls over financial reporting that would have materially affected, or reasonably likely to materially affect, its internal controls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 number of new standards, amendments to standards and interpretations are not yet effective at December 31, 2024, and have not been applied in preparing the condensed interim consolidated financial statements. Management has determined that none of these will have a significant effect on the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Risk Management</w:t>
      </w:r>
    </w:p>
    <w:p>
      <w:pPr>
        <w:spacing w:after="0" w:line="25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60"/>
          </w:cols>
          <w:pgMar w:left="320" w:top="130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5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5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During the period from January 1, 2025 to February 10, 2025 the Company sold 1,034,516 Common Shares under the 2023 ATM Program, at an average price of US$9.82 per Common Share, for aggregate gross proceeds of US$10,156. On February 10, 2025, the Company, Cantor Fitzgerald Canada Corporation and Cantor Fitzgerald &amp; Co terminated the 2023 Distribution Agreement and ended its 2023 ATM Program.</w:t>
      </w:r>
    </w:p>
    <w:p>
      <w:pPr>
        <w:spacing w:after="0" w:line="17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On January 6, 2025, the Company filed amendment No. 3 to the 2023 Base Shelf Prospectus to increase the aggregate amount of securities that may be offered from time to time under the 2023 Base Shelf Prospectus from $400,000 to $650,000.</w:t>
      </w:r>
    </w:p>
    <w:p>
      <w:pPr>
        <w:spacing w:after="0" w:line="1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On January 15, 2025, the Company announced the launch of its first strategic partnership agreement with Segal Trials in furtherance of the Company’s multinational pivotal Phase 3 program evaluating CYB003 for the adjunctive treatment of MDD.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303" w:right="339" w:bottom="1440" w:gutter="0" w:footer="0" w:header="0"/>
        </w:sectPr>
      </w:pPr>
    </w:p>
    <w:bookmarkStart w:id="101" w:name="page102"/>
    <w:bookmarkEnd w:id="101"/>
    <w:p>
      <w:pPr>
        <w:spacing w:after="0" w:line="80"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color w:val="auto"/>
        </w:rPr>
        <w:t>On February 10, 2025, the Company launched a new at-the-market equity program (the “</w:t>
      </w:r>
      <w:r>
        <w:rPr>
          <w:rFonts w:ascii="Times New Roman" w:cs="Times New Roman" w:eastAsia="Times New Roman" w:hAnsi="Times New Roman"/>
          <w:sz w:val="17"/>
          <w:szCs w:val="17"/>
          <w:b w:val="1"/>
          <w:bCs w:val="1"/>
          <w:color w:val="auto"/>
        </w:rPr>
        <w:t>2025 ATM Program</w:t>
      </w:r>
      <w:r>
        <w:rPr>
          <w:rFonts w:ascii="Times New Roman" w:cs="Times New Roman" w:eastAsia="Times New Roman" w:hAnsi="Times New Roman"/>
          <w:sz w:val="17"/>
          <w:szCs w:val="17"/>
          <w:color w:val="auto"/>
        </w:rPr>
        <w:t>”) to allow the Company to issue and sell up to US$100,000 of Common Shares from treasury to the public. In connection with the 2025 ATM Program, the Company entered into an at-the-market equity distribution agreement (the “</w:t>
      </w:r>
      <w:r>
        <w:rPr>
          <w:rFonts w:ascii="Times New Roman" w:cs="Times New Roman" w:eastAsia="Times New Roman" w:hAnsi="Times New Roman"/>
          <w:sz w:val="18"/>
          <w:szCs w:val="18"/>
          <w:b w:val="1"/>
          <w:bCs w:val="1"/>
          <w:color w:val="auto"/>
        </w:rPr>
        <w:t>2025 Distribution Agreement</w:t>
      </w:r>
      <w:r>
        <w:rPr>
          <w:rFonts w:ascii="Times New Roman" w:cs="Times New Roman" w:eastAsia="Times New Roman" w:hAnsi="Times New Roman"/>
          <w:sz w:val="17"/>
          <w:szCs w:val="17"/>
          <w:color w:val="auto"/>
        </w:rPr>
        <w:t>”) dated February 10, 2025, among the Company, Cantor Fitzgerald Canada Corporation and Cantor Fitzgerald &amp; Co. The 2025 ATM Program is to be effective until the earlier of the issuance and sale of all of the Common Shares issuable pursuant to the 2025 ATM Program and September 17, 2025, unless earlier terminated in accordance with the terms of the 2025 Distribution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Company’s Business and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320" w:top="1440"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the Company’s products and services are not accepted by new customers, the Company’s operating results may be materially and adversely affected.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20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5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87"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320" w:top="1303" w:right="319" w:bottom="1440" w:gutter="0" w:footer="0" w:header="0"/>
        </w:sectPr>
      </w:pPr>
    </w:p>
    <w:bookmarkStart w:id="103" w:name="page104"/>
    <w:bookmarkEnd w:id="103"/>
    <w:p>
      <w:pPr>
        <w:jc w:val="both"/>
        <w:spacing w:after="0" w:line="294" w:lineRule="auto"/>
        <w:rPr>
          <w:sz w:val="20"/>
          <w:szCs w:val="20"/>
          <w:color w:val="auto"/>
        </w:rPr>
      </w:pPr>
      <w:r>
        <w:rPr>
          <w:rFonts w:ascii="Times New Roman" w:cs="Times New Roman" w:eastAsia="Times New Roman" w:hAnsi="Times New Roman"/>
          <w:sz w:val="18"/>
          <w:szCs w:val="18"/>
          <w:color w:val="auto"/>
        </w:rPr>
        <w:t>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8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1303" w:right="319" w:bottom="1440" w:gutter="0" w:footer="0" w:header="0"/>
        </w:sectPr>
      </w:pPr>
    </w:p>
    <w:bookmarkStart w:id="104" w:name="page105"/>
    <w:bookmarkEnd w:id="104"/>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The Company’s business relies on its ability to access, develop, and sell psilocybin, psilocin, DMT-based compounds and other psychedelic compounds. Psilocybin, psilocin, DMT-based compounds and other psychedelic compounds are controlled substances in many jurisdictions, including in Canada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and in the United States.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20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1303" w:right="319" w:bottom="1440" w:gutter="0" w:footer="0" w:header="0"/>
        </w:sectPr>
      </w:pPr>
    </w:p>
    <w:bookmarkStart w:id="105" w:name="page106"/>
    <w:bookmarkEnd w:id="105"/>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sanctions, convictions or settlements arising from civil proceedings initiated by either government entities in the jurisdictions in which the Company operates, or private citizens or criminal charges.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7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1303"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raw material supply or manufacturing capabilities abroad; and (xii) business interruptions resulting from geo-political actions, including war and terrorism.</w:t>
      </w:r>
    </w:p>
    <w:p>
      <w:pPr>
        <w:spacing w:after="0" w:line="2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 Status Under the U.S. Securities Laws</w:t>
      </w:r>
    </w:p>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1303"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9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129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6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1299" w:right="319" w:bottom="1440" w:gutter="0" w:footer="0" w:header="0"/>
        </w:sectPr>
      </w:pPr>
    </w:p>
    <w:bookmarkStart w:id="109" w:name="page110"/>
    <w:bookmarkEnd w:id="109"/>
    <w:p>
      <w:pPr>
        <w:jc w:val="both"/>
        <w:spacing w:after="0" w:line="301" w:lineRule="auto"/>
        <w:rPr>
          <w:sz w:val="20"/>
          <w:szCs w:val="20"/>
          <w:color w:val="auto"/>
        </w:rPr>
      </w:pPr>
      <w:r>
        <w:rPr>
          <w:rFonts w:ascii="Times New Roman" w:cs="Times New Roman" w:eastAsia="Times New Roman" w:hAnsi="Times New Roman"/>
          <w:sz w:val="18"/>
          <w:szCs w:val="18"/>
          <w:color w:val="auto"/>
        </w:rPr>
        <w:t>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6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130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Company being unable to derive any commercial revenue from them after investing significant amounts of capital in their development.</w:t>
      </w:r>
    </w:p>
    <w:p>
      <w:pPr>
        <w:spacing w:after="0" w:line="26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1303" w:right="319" w:bottom="1440" w:gutter="0" w:footer="0" w:header="0"/>
        </w:sectPr>
      </w:pPr>
    </w:p>
    <w:bookmarkStart w:id="111" w:name="page112"/>
    <w:bookmarkEnd w:id="111"/>
    <w:p>
      <w:pPr>
        <w:ind w:right="20"/>
        <w:spacing w:after="0" w:line="323" w:lineRule="auto"/>
        <w:rPr>
          <w:sz w:val="20"/>
          <w:szCs w:val="20"/>
          <w:color w:val="auto"/>
        </w:rPr>
      </w:pPr>
      <w:r>
        <w:rPr>
          <w:rFonts w:ascii="Times New Roman" w:cs="Times New Roman" w:eastAsia="Times New Roman" w:hAnsi="Times New Roman"/>
          <w:sz w:val="18"/>
          <w:szCs w:val="18"/>
          <w:color w:val="auto"/>
        </w:rPr>
        <w:t>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56"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80" w:lineRule="exact"/>
        <w:rPr>
          <w:sz w:val="20"/>
          <w:szCs w:val="20"/>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ind w:left="580" w:right="20" w:hanging="296"/>
        <w:spacing w:after="0" w:line="285"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w:t>
      </w:r>
    </w:p>
    <w:p>
      <w:pPr>
        <w:spacing w:after="0" w:line="58" w:lineRule="exact"/>
        <w:rPr>
          <w:rFonts w:ascii="Calibri" w:cs="Calibri" w:eastAsia="Calibri" w:hAnsi="Calibri"/>
          <w:sz w:val="18"/>
          <w:szCs w:val="18"/>
          <w:color w:val="auto"/>
        </w:rPr>
      </w:pPr>
    </w:p>
    <w:p>
      <w:pPr>
        <w:ind w:left="580"/>
        <w:spacing w:after="0" w:line="280"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consistent with the clinical trial protocol, regulatory requirements or other third parties not performing data collection and analysis in a timely or accurate manner;</w:t>
      </w: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320" w:top="1303" w:right="319" w:bottom="1440" w:gutter="0" w:footer="0" w:header="0"/>
        </w:sectPr>
      </w:pPr>
    </w:p>
    <w:bookmarkStart w:id="112" w:name="page113"/>
    <w:bookmarkEnd w:id="112"/>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60"/>
          </w:cols>
          <w:pgMar w:left="320" w:top="130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20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8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60"/>
          </w:cols>
          <w:pgMar w:left="320" w:top="1299" w:right="319" w:bottom="1440" w:gutter="0" w:footer="0" w:header="0"/>
        </w:sectPr>
      </w:pPr>
    </w:p>
    <w:bookmarkStart w:id="114" w:name="page115"/>
    <w:bookmarkEnd w:id="114"/>
    <w:p>
      <w:pPr>
        <w:jc w:val="both"/>
        <w:spacing w:after="0" w:line="289"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Access and Acceptance</w:t>
      </w:r>
    </w:p>
    <w:p>
      <w:pPr>
        <w:spacing w:after="0" w:line="25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91" w:lineRule="exact"/>
        <w:rPr>
          <w:sz w:val="20"/>
          <w:szCs w:val="20"/>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potential product liability claims;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58"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60"/>
          </w:cols>
          <w:pgMar w:left="320" w:top="1303" w:right="319" w:bottom="1440" w:gutter="0" w:footer="0" w:header="0"/>
        </w:sectPr>
      </w:pPr>
    </w:p>
    <w:bookmarkStart w:id="115" w:name="page116"/>
    <w:bookmarkEnd w:id="115"/>
    <w:p>
      <w:pPr>
        <w:ind w:left="580" w:hanging="296"/>
        <w:spacing w:after="0" w:line="292" w:lineRule="auto"/>
        <w:tabs>
          <w:tab w:leader="none" w:pos="576"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psilocin, DMT-based compounds and other psychedelic compounds; and</w:t>
      </w: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2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9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60"/>
          </w:cols>
          <w:pgMar w:left="320" w:top="1303" w:right="319" w:bottom="1440" w:gutter="0" w:footer="0" w:header="0"/>
        </w:sectPr>
      </w:pPr>
    </w:p>
    <w:bookmarkStart w:id="116" w:name="page117"/>
    <w:bookmarkEnd w:id="116"/>
    <w:p>
      <w:pPr>
        <w:spacing w:after="0" w:line="81"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7"/>
          <w:szCs w:val="17"/>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psilocin, DMT or isolated constituents, regulatory proceedings, litigation, media attention or other research findings or publicity will be favourable to the industry or the Company or any particular product, or consistent with earlier publicity.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3" w:lineRule="exact"/>
        <w:rPr>
          <w:sz w:val="20"/>
          <w:szCs w:val="20"/>
          <w:color w:val="auto"/>
        </w:rPr>
      </w:pPr>
    </w:p>
    <w:p>
      <w:pPr>
        <w:ind w:left="580" w:right="20" w:hanging="296"/>
        <w:spacing w:after="0" w:line="292" w:lineRule="auto"/>
        <w:tabs>
          <w:tab w:leader="none" w:pos="576"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60"/>
          </w:cols>
          <w:pgMar w:left="320" w:top="1440" w:right="319" w:bottom="1440" w:gutter="0" w:footer="0" w:header="0"/>
        </w:sectPr>
      </w:pPr>
    </w:p>
    <w:bookmarkStart w:id="117" w:name="page118"/>
    <w:bookmarkEnd w:id="117"/>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46" w:lineRule="exact"/>
        <w:rPr>
          <w:rFonts w:ascii="Calibri" w:cs="Calibri" w:eastAsia="Calibri" w:hAnsi="Calibri"/>
          <w:sz w:val="18"/>
          <w:szCs w:val="18"/>
          <w:color w:val="auto"/>
        </w:rPr>
      </w:pPr>
    </w:p>
    <w:p>
      <w:pPr>
        <w:ind w:left="580" w:hanging="296"/>
        <w:spacing w:after="0" w:line="322" w:lineRule="auto"/>
        <w:tabs>
          <w:tab w:leader="none" w:pos="576"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18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03" w:right="339" w:bottom="1440" w:gutter="0" w:footer="0" w:header="0"/>
        </w:sectPr>
      </w:pPr>
    </w:p>
    <w:bookmarkStart w:id="118" w:name="page119"/>
    <w:bookmarkEnd w:id="118"/>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9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60"/>
          </w:cols>
          <w:pgMar w:left="320" w:top="1303" w:right="319" w:bottom="1440" w:gutter="0" w:footer="0" w:header="0"/>
        </w:sectPr>
      </w:pPr>
    </w:p>
    <w:bookmarkStart w:id="119" w:name="page120"/>
    <w:bookmarkEnd w:id="119"/>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8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psilocybin/psilocin, the use of which is not legal under Canadian or U.S. federal law and in certain other jurisdictions, the Company may face difficulties in enforcing its contracts in Canadian 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60"/>
          </w:cols>
          <w:pgMar w:left="320" w:top="1303" w:right="319" w:bottom="1440" w:gutter="0" w:footer="0" w:header="0"/>
        </w:sectPr>
      </w:pPr>
    </w:p>
    <w:bookmarkStart w:id="120" w:name="page121"/>
    <w:bookmarkEnd w:id="120"/>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federal and state courts. The inability to enforce any of its contracts could have a material adverse effect on its business, operating results, financial condition or prospects.</w:t>
      </w:r>
    </w:p>
    <w:p>
      <w:pPr>
        <w:spacing w:after="0" w:line="156"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Material Recalls</w:t>
      </w:r>
    </w:p>
    <w:p>
      <w:pPr>
        <w:spacing w:after="0" w:line="25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60"/>
          </w:cols>
          <w:pgMar w:left="320" w:top="1303"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5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60"/>
          </w:cols>
          <w:pgMar w:left="320" w:top="1299" w:right="319" w:bottom="1440" w:gutter="0" w:footer="0" w:header="0"/>
        </w:sectPr>
      </w:pPr>
    </w:p>
    <w:bookmarkStart w:id="122" w:name="page123"/>
    <w:bookmarkEnd w:id="122"/>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and services or to do so on appropriate terms could have a materially adverse impact on the business, financial condition and operating results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9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60"/>
          </w:cols>
          <w:pgMar w:left="320" w:top="1303"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8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60"/>
          </w:cols>
          <w:pgMar w:left="320" w:top="1299"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94" w:lineRule="exact"/>
        <w:rPr>
          <w:sz w:val="20"/>
          <w:szCs w:val="20"/>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2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9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60"/>
          </w:cols>
          <w:pgMar w:left="320" w:top="1299" w:right="319" w:bottom="1440" w:gutter="0" w:footer="0" w:header="0"/>
        </w:sectPr>
      </w:pPr>
    </w:p>
    <w:bookmarkStart w:id="125" w:name="page126"/>
    <w:bookmarkEnd w:id="125"/>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0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60"/>
          </w:cols>
          <w:pgMar w:left="320" w:top="1440" w:right="319" w:bottom="1440" w:gutter="0" w:footer="0" w:header="0"/>
        </w:sectPr>
      </w:pPr>
    </w:p>
    <w:bookmarkStart w:id="126" w:name="page127"/>
    <w:bookmarkEnd w:id="126"/>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9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Decriminalization of Psychedelics</w:t>
      </w:r>
    </w:p>
    <w:p>
      <w:pPr>
        <w:spacing w:after="0" w:line="2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psilocin, DMT,and potentially other psychotropic compounds in the future may also impact commercial sales for the Company due to a reduced barrier to entry leading to a risk of increasing competition.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60"/>
          </w:cols>
          <w:pgMar w:left="320" w:top="1303"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6" w:lineRule="exact"/>
        <w:rPr>
          <w:sz w:val="20"/>
          <w:szCs w:val="20"/>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inflation;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fluctuations in exchange rates;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interest rates and monetary policies;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import and export controls;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fiscal policies;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6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7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60"/>
          </w:cols>
          <w:pgMar w:left="320" w:top="1299" w:right="319" w:bottom="1440" w:gutter="0" w:footer="0" w:header="0"/>
        </w:sectPr>
      </w:pPr>
    </w:p>
    <w:bookmarkStart w:id="128" w:name="page129"/>
    <w:bookmarkEnd w:id="128"/>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68"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15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60"/>
          </w:cols>
          <w:pgMar w:left="320" w:top="1303"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and Other Health Risks</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Pandemics, epidemics and other health risks could have an adverse effect on the economy and financial markets, resulting in a decline of commercial activity.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have an adverse effect on the Company’s business and financial performance.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3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60"/>
          </w:cols>
          <w:pgMar w:left="320" w:top="1299" w:right="319" w:bottom="1440" w:gutter="0" w:footer="0" w:header="0"/>
        </w:sectPr>
      </w:pPr>
    </w:p>
    <w:bookmarkStart w:id="130" w:name="page131"/>
    <w:bookmarkEnd w:id="130"/>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maintain its proprietary and intellectual property position. Any failure to protect its trade secrets and know-how could adversely affect the Company’s operations and prospects.</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18"/>
          <w:szCs w:val="18"/>
          <w:b w:val="1"/>
          <w:bCs w:val="1"/>
          <w:color w:val="auto"/>
        </w:rPr>
        <w:t>CIPO</w:t>
      </w:r>
      <w:r>
        <w:rPr>
          <w:rFonts w:ascii="Times New Roman" w:cs="Times New Roman" w:eastAsia="Times New Roman" w:hAnsi="Times New Roman"/>
          <w:sz w:val="18"/>
          <w:szCs w:val="18"/>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0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1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60"/>
          </w:cols>
          <w:pgMar w:left="320" w:top="1291" w:right="319" w:bottom="1440" w:gutter="0" w:footer="0" w:header="0"/>
        </w:sectPr>
      </w:pPr>
    </w:p>
    <w:bookmarkStart w:id="131" w:name="page132"/>
    <w:bookmarkEnd w:id="131"/>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fully cooperative or disagree with the Company as to the prosecution, maintenance or enforcement of any patent rights, such patent rights could be compromised.</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20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7"/>
          <w:szCs w:val="17"/>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60"/>
          </w:cols>
          <w:pgMar w:left="320" w:top="1291" w:right="319" w:bottom="1440" w:gutter="0" w:footer="0" w:header="0"/>
        </w:sectPr>
      </w:pPr>
    </w:p>
    <w:bookmarkStart w:id="132" w:name="page133"/>
    <w:bookmarkEnd w:id="132"/>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24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60"/>
          </w:cols>
          <w:pgMar w:left="320" w:top="1440" w:right="319" w:bottom="1440" w:gutter="0" w:footer="0" w:header="0"/>
        </w:sectPr>
      </w:pPr>
    </w:p>
    <w:bookmarkStart w:id="133" w:name="page134"/>
    <w:bookmarkEnd w:id="133"/>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6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23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18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60"/>
          </w:cols>
          <w:pgMar w:left="320" w:top="1303"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the Company’s therapies, and then compete directly with the Company, without payment to the Company.</w:t>
      </w:r>
    </w:p>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4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6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60"/>
          </w:cols>
          <w:pgMar w:left="320" w:top="1291" w:right="319" w:bottom="1440" w:gutter="0" w:footer="0" w:header="0"/>
        </w:sectPr>
      </w:pPr>
    </w:p>
    <w:bookmarkStart w:id="135" w:name="page136"/>
    <w:bookmarkEnd w:id="135"/>
    <w:p>
      <w:pPr>
        <w:jc w:val="both"/>
        <w:spacing w:after="0" w:line="270"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Accounting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6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60"/>
          </w:cols>
          <w:pgMar w:left="320" w:top="1291"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w:t>
      </w:r>
    </w:p>
    <w:p>
      <w:pPr>
        <w:spacing w:after="0" w:line="2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8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5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60"/>
          </w:cols>
          <w:pgMar w:left="320" w:top="1299" w:right="319" w:bottom="1440" w:gutter="0" w:footer="0" w:header="0"/>
        </w:sectPr>
      </w:pPr>
    </w:p>
    <w:bookmarkStart w:id="137" w:name="page138"/>
    <w:bookmarkEnd w:id="137"/>
    <w:p>
      <w:pPr>
        <w:jc w:val="both"/>
        <w:spacing w:after="0" w:line="294" w:lineRule="auto"/>
        <w:rPr>
          <w:sz w:val="20"/>
          <w:szCs w:val="20"/>
          <w:color w:val="auto"/>
        </w:rPr>
      </w:pPr>
      <w:r>
        <w:rPr>
          <w:rFonts w:ascii="Times New Roman" w:cs="Times New Roman" w:eastAsia="Times New Roman" w:hAnsi="Times New Roman"/>
          <w:sz w:val="18"/>
          <w:szCs w:val="18"/>
          <w:color w:val="auto"/>
        </w:rPr>
        <w:t>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Common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60"/>
          </w:cols>
          <w:pgMar w:left="320" w:top="1303" w:right="319" w:bottom="1440" w:gutter="0" w:footer="0" w:header="0"/>
        </w:sectPr>
      </w:pPr>
    </w:p>
    <w:bookmarkStart w:id="138" w:name="page139"/>
    <w:bookmarkEnd w:id="138"/>
    <w:p>
      <w:pPr>
        <w:jc w:val="both"/>
        <w:ind w:left="3" w:right="20"/>
        <w:spacing w:after="0" w:line="304" w:lineRule="auto"/>
        <w:rPr>
          <w:sz w:val="20"/>
          <w:szCs w:val="20"/>
          <w:color w:val="auto"/>
        </w:rPr>
      </w:pPr>
      <w:r>
        <w:rPr>
          <w:rFonts w:ascii="Times New Roman" w:cs="Times New Roman" w:eastAsia="Times New Roman" w:hAnsi="Times New Roman"/>
          <w:sz w:val="17"/>
          <w:szCs w:val="17"/>
          <w:color w:val="auto"/>
        </w:rPr>
        <w:t>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jc w:val="both"/>
        <w:ind w:left="3" w:right="20" w:hanging="3"/>
        <w:spacing w:after="0" w:line="301" w:lineRule="auto"/>
        <w:tabs>
          <w:tab w:leader="none" w:pos="4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4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32" w:lineRule="exact"/>
        <w:rPr>
          <w:sz w:val="20"/>
          <w:szCs w:val="20"/>
          <w:color w:val="auto"/>
        </w:rPr>
      </w:pPr>
    </w:p>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244" w:lineRule="exact"/>
        <w:rPr>
          <w:sz w:val="20"/>
          <w:szCs w:val="20"/>
          <w:color w:val="auto"/>
        </w:rPr>
      </w:pPr>
    </w:p>
    <w:p>
      <w:pPr>
        <w:jc w:val="both"/>
        <w:ind w:left="3" w:right="20"/>
        <w:spacing w:after="0" w:line="291" w:lineRule="auto"/>
        <w:rPr>
          <w:sz w:val="20"/>
          <w:szCs w:val="20"/>
          <w:color w:val="auto"/>
        </w:rPr>
      </w:pPr>
      <w:r>
        <w:rPr>
          <w:rFonts w:ascii="Times New Roman" w:cs="Times New Roman" w:eastAsia="Times New Roman" w:hAnsi="Times New Roman"/>
          <w:sz w:val="18"/>
          <w:szCs w:val="18"/>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2" w:lineRule="exact"/>
        <w:rPr>
          <w:sz w:val="20"/>
          <w:szCs w:val="20"/>
          <w:color w:val="auto"/>
        </w:rPr>
      </w:pPr>
    </w:p>
    <w:p>
      <w:pPr>
        <w:jc w:val="both"/>
        <w:ind w:left="3" w:right="20"/>
        <w:spacing w:after="0" w:line="289"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2"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63"/>
          </w:cols>
          <w:pgMar w:left="317" w:top="1303" w:right="319" w:bottom="1440" w:gutter="0" w:footer="0" w:header="0"/>
        </w:sectPr>
      </w:pPr>
    </w:p>
    <w:bookmarkStart w:id="139" w:name="page140"/>
    <w:bookmarkEnd w:id="139"/>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3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23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60"/>
          </w:cols>
          <w:pgMar w:left="320" w:top="1303"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Douglas Drysdale, as Chief Executive Officer of Cybin Inc., certify the following:</w:t>
      </w:r>
    </w:p>
    <w:p>
      <w:pPr>
        <w:spacing w:after="0" w:line="223" w:lineRule="exact"/>
        <w:rPr>
          <w:sz w:val="20"/>
          <w:szCs w:val="20"/>
          <w:color w:val="auto"/>
        </w:rPr>
      </w:pPr>
    </w:p>
    <w:p>
      <w:pPr>
        <w:ind w:left="580" w:hanging="293"/>
        <w:spacing w:after="0" w:line="290"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2024.</w:t>
      </w:r>
    </w:p>
    <w:p>
      <w:pPr>
        <w:spacing w:after="0" w:line="159"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over financial reporting (ICFR), as those terms are defined in National Instrument 52-109 Certification of Disclosure in Issuers’ Annual and Interim Filings, for the issuer.</w:t>
      </w:r>
    </w:p>
    <w:p>
      <w:pPr>
        <w:spacing w:after="0" w:line="174" w:lineRule="exact"/>
        <w:rPr>
          <w:rFonts w:ascii="Times New Roman" w:cs="Times New Roman" w:eastAsia="Times New Roman" w:hAnsi="Times New Roman"/>
          <w:sz w:val="16"/>
          <w:szCs w:val="16"/>
          <w:color w:val="auto"/>
        </w:rPr>
      </w:pPr>
    </w:p>
    <w:p>
      <w:pPr>
        <w:ind w:left="580" w:hanging="293"/>
        <w:spacing w:after="0" w:line="290"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interim filings</w:t>
      </w:r>
    </w:p>
    <w:p>
      <w:pPr>
        <w:spacing w:after="0" w:line="16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2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6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3"/>
        <w:spacing w:after="0" w:line="285"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3" w:lineRule="exact"/>
        <w:rPr>
          <w:sz w:val="20"/>
          <w:szCs w:val="20"/>
          <w:color w:val="auto"/>
        </w:rPr>
      </w:pPr>
    </w:p>
    <w:p>
      <w:pPr>
        <w:ind w:left="580" w:hanging="289"/>
        <w:spacing w:after="0" w:line="290"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60"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580" w:hanging="293"/>
        <w:spacing w:after="0" w:line="290"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December 31, 2024 that has materially affected, or is reasonably likely to materially affect, the issuer’s ICFR.</w:t>
      </w:r>
    </w:p>
    <w:p>
      <w:pPr>
        <w:sectPr>
          <w:pgSz w:w="11900" w:h="16838" w:orient="portrait"/>
          <w:cols w:equalWidth="0" w:num="1">
            <w:col w:w="11240"/>
          </w:cols>
          <w:pgMar w:left="320" w:top="1281" w:right="339" w:bottom="1440" w:gutter="0" w:footer="0" w:header="0"/>
        </w:sectPr>
      </w:pPr>
    </w:p>
    <w:bookmarkStart w:id="141" w:name="page142"/>
    <w:bookmarkEnd w:id="141"/>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10, 2025.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(signed)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19577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957705" cy="7620"/>
                    </a:xfrm>
                    <a:prstGeom prst="rect">
                      <a:avLst/>
                    </a:prstGeom>
                    <a:noFill/>
                  </pic:spPr>
                </pic:pic>
              </a:graphicData>
            </a:graphic>
          </wp:anchor>
        </w:drawing>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Douglas Drysdale</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0139"/>
          </w:cols>
          <w:pgMar w:left="320" w:top="1440"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Greg Cavers, as Chief Financial Officer of Cybin Inc., certify the following:</w:t>
      </w:r>
    </w:p>
    <w:p>
      <w:pPr>
        <w:spacing w:after="0" w:line="199" w:lineRule="exact"/>
        <w:rPr>
          <w:sz w:val="20"/>
          <w:szCs w:val="20"/>
          <w:color w:val="auto"/>
        </w:rPr>
      </w:pPr>
    </w:p>
    <w:p>
      <w:pPr>
        <w:ind w:left="580" w:hanging="293"/>
        <w:spacing w:after="0" w:line="290"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2024.</w:t>
      </w:r>
    </w:p>
    <w:p>
      <w:pPr>
        <w:spacing w:after="0" w:line="159"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over financial reporting (ICFR), as those terms are defined in National Instrument 52-109 Certification of Disclosure in Issuers’ Annual and Interim Filings, for the issuer.</w:t>
      </w:r>
    </w:p>
    <w:p>
      <w:pPr>
        <w:spacing w:after="0" w:line="174" w:lineRule="exact"/>
        <w:rPr>
          <w:rFonts w:ascii="Times New Roman" w:cs="Times New Roman" w:eastAsia="Times New Roman" w:hAnsi="Times New Roman"/>
          <w:sz w:val="16"/>
          <w:szCs w:val="16"/>
          <w:color w:val="auto"/>
        </w:rPr>
      </w:pPr>
    </w:p>
    <w:p>
      <w:pPr>
        <w:ind w:left="580" w:hanging="293"/>
        <w:spacing w:after="0" w:line="290"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interim filings</w:t>
      </w:r>
    </w:p>
    <w:p>
      <w:pPr>
        <w:spacing w:after="0" w:line="16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2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6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3"/>
        <w:spacing w:after="0" w:line="285" w:lineRule="auto"/>
        <w:tabs>
          <w:tab w:leader="none" w:pos="11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3" w:lineRule="exact"/>
        <w:rPr>
          <w:sz w:val="20"/>
          <w:szCs w:val="20"/>
          <w:color w:val="auto"/>
        </w:rPr>
      </w:pPr>
    </w:p>
    <w:p>
      <w:pPr>
        <w:ind w:left="580" w:hanging="289"/>
        <w:spacing w:after="0" w:line="290"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60"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580" w:hanging="293"/>
        <w:spacing w:after="0" w:line="29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December 31, 2024 that has materially affected, or is reasonably likely to materially affect, the issuer’s ICFR.</w:t>
      </w:r>
    </w:p>
    <w:p>
      <w:pPr>
        <w:sectPr>
          <w:pgSz w:w="11900" w:h="16838" w:orient="portrait"/>
          <w:cols w:equalWidth="0" w:num="1">
            <w:col w:w="11240"/>
          </w:cols>
          <w:pgMar w:left="320" w:top="128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color w:val="auto"/>
        </w:rPr>
        <w:t>Date February 10,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(signed) "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19577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957705" cy="762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Greg Cavers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0139"/>
          </w:cols>
          <w:pgMar w:left="320" w:top="1283" w:right="1440"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2987675</wp:posOffset>
            </wp:positionH>
            <wp:positionV relativeFrom="page">
              <wp:posOffset>963930</wp:posOffset>
            </wp:positionV>
            <wp:extent cx="1581150" cy="921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581150" cy="92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Cybin Reports Third Quarter Fiscal Year 2025 Financial Results and Recent Business Highlights</w:t>
      </w:r>
    </w:p>
    <w:p>
      <w:pPr>
        <w:spacing w:after="0" w:line="245" w:lineRule="exact"/>
        <w:rPr>
          <w:sz w:val="20"/>
          <w:szCs w:val="20"/>
          <w:color w:val="auto"/>
        </w:rPr>
      </w:pPr>
    </w:p>
    <w:p>
      <w:pPr>
        <w:ind w:left="280" w:hanging="110"/>
        <w:spacing w:after="0"/>
        <w:tabs>
          <w:tab w:leader="none" w:pos="280" w:val="left"/>
        </w:tabs>
        <w:numPr>
          <w:ilvl w:val="2"/>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Launched strategic clinical site partnerships to accelerate PARADIGM, a multinational pivotal Phase 3 program evaluating CYB003 for the</w:t>
      </w:r>
    </w:p>
    <w:p>
      <w:pPr>
        <w:spacing w:after="0" w:line="46" w:lineRule="exact"/>
        <w:rPr>
          <w:rFonts w:ascii="Arial" w:cs="Arial" w:eastAsia="Arial" w:hAnsi="Arial"/>
          <w:sz w:val="17"/>
          <w:szCs w:val="17"/>
          <w:i w:val="1"/>
          <w:iCs w:val="1"/>
          <w:color w:val="auto"/>
        </w:rPr>
      </w:pPr>
    </w:p>
    <w:p>
      <w:pPr>
        <w:ind w:left="328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adjunctive treatment of major depressive disorder (“MDD”) -</w:t>
      </w:r>
    </w:p>
    <w:p>
      <w:pPr>
        <w:spacing w:after="0" w:line="240" w:lineRule="exact"/>
        <w:rPr>
          <w:rFonts w:ascii="Arial" w:cs="Arial" w:eastAsia="Arial" w:hAnsi="Arial"/>
          <w:sz w:val="17"/>
          <w:szCs w:val="17"/>
          <w:i w:val="1"/>
          <w:iCs w:val="1"/>
          <w:color w:val="auto"/>
        </w:rPr>
      </w:pPr>
    </w:p>
    <w:p>
      <w:pPr>
        <w:jc w:val="center"/>
        <w:ind w:left="1820" w:right="20" w:hanging="1802"/>
        <w:spacing w:after="0" w:line="309" w:lineRule="auto"/>
        <w:tabs>
          <w:tab w:leader="none" w:pos="123"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PARADIGM comprises two 12-week randomized, double-blind, placebo-controlled studies (APPROACH™ and EMBRACE™) and a long-term extension study (EXTEND), with anticipated combined enrollment of approximately 550 patients -</w:t>
      </w:r>
    </w:p>
    <w:p>
      <w:pPr>
        <w:spacing w:after="0" w:line="156" w:lineRule="exact"/>
        <w:rPr>
          <w:rFonts w:ascii="Arial" w:cs="Arial" w:eastAsia="Arial" w:hAnsi="Arial"/>
          <w:sz w:val="18"/>
          <w:szCs w:val="18"/>
          <w:i w:val="1"/>
          <w:iCs w:val="1"/>
          <w:color w:val="auto"/>
        </w:rPr>
      </w:pPr>
    </w:p>
    <w:p>
      <w:pPr>
        <w:ind w:left="780" w:hanging="112"/>
        <w:spacing w:after="0"/>
        <w:tabs>
          <w:tab w:leader="none" w:pos="780" w:val="left"/>
        </w:tabs>
        <w:numPr>
          <w:ilvl w:val="3"/>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APPROACH has been initiated and will enroll 220 participants at more than 40 clinical sites in the United States and Europe -</w:t>
      </w:r>
    </w:p>
    <w:p>
      <w:pPr>
        <w:spacing w:after="0" w:line="252" w:lineRule="exact"/>
        <w:rPr>
          <w:rFonts w:ascii="Arial" w:cs="Arial" w:eastAsia="Arial" w:hAnsi="Arial"/>
          <w:sz w:val="18"/>
          <w:szCs w:val="18"/>
          <w:i w:val="1"/>
          <w:iCs w:val="1"/>
          <w:color w:val="auto"/>
        </w:rPr>
      </w:pPr>
    </w:p>
    <w:p>
      <w:pPr>
        <w:ind w:left="180" w:hanging="105"/>
        <w:spacing w:after="0"/>
        <w:tabs>
          <w:tab w:leader="none" w:pos="180" w:val="left"/>
        </w:tabs>
        <w:numPr>
          <w:ilvl w:val="1"/>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Upcoming milestones include topline efficacy data readout from CYB004 Phase 2 study in general anxiety disorder and initiation of EXTEND</w:t>
      </w:r>
    </w:p>
    <w:p>
      <w:pPr>
        <w:spacing w:after="0" w:line="36" w:lineRule="exact"/>
        <w:rPr>
          <w:rFonts w:ascii="Arial" w:cs="Arial" w:eastAsia="Arial" w:hAnsi="Arial"/>
          <w:sz w:val="17"/>
          <w:szCs w:val="17"/>
          <w:i w:val="1"/>
          <w:iCs w:val="1"/>
          <w:color w:val="auto"/>
        </w:rPr>
      </w:pPr>
    </w:p>
    <w:p>
      <w:pPr>
        <w:ind w:left="302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and EMBRACE pivotal studies of CYB003 around mid-year 2025 -</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CYB003 in development for MDD has a total addressable market of &gt;300 million people worldwide</w:t>
      </w:r>
      <w:r>
        <w:rPr>
          <w:rFonts w:ascii="Arial" w:cs="Arial" w:eastAsia="Arial" w:hAnsi="Arial"/>
          <w:sz w:val="23"/>
          <w:szCs w:val="23"/>
          <w:color w:val="auto"/>
          <w:vertAlign w:val="superscript"/>
        </w:rPr>
        <w:t>2</w:t>
      </w:r>
      <w:r>
        <w:rPr>
          <w:rFonts w:ascii="Arial" w:cs="Arial" w:eastAsia="Arial" w:hAnsi="Arial"/>
          <w:sz w:val="18"/>
          <w:szCs w:val="18"/>
          <w:i w:val="1"/>
          <w:iCs w:val="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Cash totaled C$136.3 million as of December 31, 2024 -</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i w:val="1"/>
          <w:iCs w:val="1"/>
          <w:color w:val="auto"/>
        </w:rPr>
        <w:t>This news release constitutes a “designated news release” for the purposes of Cybin’s prospectus supplement dated February 10, 2025, to its short form base shelf prospectus dated August 17, 2023, as amended December 22, 2023, April 8, 2024 and January 6, 2025.</w:t>
      </w:r>
    </w:p>
    <w:p>
      <w:pPr>
        <w:spacing w:after="0" w:line="17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February 10, 2025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American:CYBN) (Cboe Canada CA:CYBN)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breakthrough neuropsychiatry company committed to revolutionizing mental healthcare by developing new and innovative next-generation treatment options, today reported unaudited financial results for its third quarter ended December 31, 2024, and recent business highlights.</w:t>
      </w:r>
    </w:p>
    <w:p>
      <w:pPr>
        <w:sectPr>
          <w:pgSz w:w="11900" w:h="16838" w:orient="portrait"/>
          <w:cols w:equalWidth="0" w:num="1">
            <w:col w:w="11260"/>
          </w:cols>
          <w:pgMar w:left="320" w:top="1440" w:right="319" w:bottom="1440" w:gutter="0" w:footer="0" w:header="0"/>
        </w:sectPr>
      </w:pPr>
    </w:p>
    <w:bookmarkStart w:id="145" w:name="page146"/>
    <w:bookmarkEnd w:id="145"/>
    <w:p>
      <w:pPr>
        <w:jc w:val="both"/>
        <w:ind w:right="20"/>
        <w:spacing w:after="0" w:line="280" w:lineRule="auto"/>
        <w:rPr>
          <w:sz w:val="20"/>
          <w:szCs w:val="20"/>
          <w:color w:val="auto"/>
        </w:rPr>
      </w:pPr>
      <w:r>
        <w:rPr>
          <w:rFonts w:ascii="Arial" w:cs="Arial" w:eastAsia="Arial" w:hAnsi="Arial"/>
          <w:sz w:val="18"/>
          <w:szCs w:val="18"/>
          <w:color w:val="auto"/>
        </w:rPr>
        <w:t>“As we advance our lead clinical programs, CYB003 and CYB004, our focus in 2025 remains on continued successful execution,” said Doug Drysdale, Chief Executive Officer of Cybin. “With the initiation of PARADIGM, our multinational pivotal Phase 3 program evaluating CYB003 for the adjunctive treatment of MDD, we look forward to a rigorous investigation and to confirming the data from our Phase 2 study in a larger patient population. We anticipate total enrollment of roughly 550 patients across over 40 sites in the United States and Europe. In addition, given CYB003’s Breakthrough Therapy Designation by the U.S. Food and Drug Administration, we see an opportunity to validate our results to-date and to potentially change the treatment landscape in depression away from daily dosing and toward more intermittent treatments”.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expanded drug development team has decades of experience overseeing therapeutics through the regulatory process through to launch and are well-versed in the complexities of this type of research. Energized by the potential of these new treatments, we aim to carry forward the momentum from last year’s clinical achievements as we plan for the next set of milestones,” concluded Drysdale.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40"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 xml:space="preserve">Launched strategic clinical site partnerships to support PARADIGM. </w:t>
      </w:r>
      <w:r>
        <w:rPr>
          <w:rFonts w:ascii="Arial" w:cs="Arial" w:eastAsia="Arial" w:hAnsi="Arial"/>
          <w:sz w:val="18"/>
          <w:szCs w:val="18"/>
          <w:color w:val="auto"/>
        </w:rPr>
        <w:t>Strategic partnership agreements are expected to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among sites, cultivate long-term partnerships, enhance efficiency in trial operations, and improve overall site performance. Segal Trials, a privately held company with a network of six research sites throughout South Florida, has been named as the first program member. Segal Trials has extensive experience conducting research trials with an emphasis on psychiatry, neurology, addiction and psychedelics research.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CYB003: Summary of Phase 2 12-Month Efficacy Data in MDD Patients</w:t>
      </w:r>
    </w:p>
    <w:p>
      <w:pPr>
        <w:spacing w:after="0" w:line="230" w:lineRule="exact"/>
        <w:rPr>
          <w:sz w:val="20"/>
          <w:szCs w:val="20"/>
          <w:color w:val="auto"/>
        </w:rPr>
      </w:pPr>
    </w:p>
    <w:p>
      <w:pPr>
        <w:ind w:left="560" w:hanging="273"/>
        <w:spacing w:after="0"/>
        <w:tabs>
          <w:tab w:leader="none" w:pos="5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100% of participants receiving two doses of 16 mg were responders.</w:t>
      </w:r>
    </w:p>
    <w:p>
      <w:pPr>
        <w:spacing w:after="0" w:line="24"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71% of participants receiving two doses of 16 mg were in remission.</w:t>
      </w:r>
    </w:p>
    <w:p>
      <w:pPr>
        <w:spacing w:after="0" w:line="31"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Mean change from baseline in MADRS was approximately -23 points after two doses of 16 mg.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CYB004: Phase 2 proof-of-concept study in generalized anxiety disorder (“GAD”) is underway</w:t>
      </w:r>
    </w:p>
    <w:p>
      <w:pPr>
        <w:spacing w:after="0" w:line="37" w:lineRule="exact"/>
        <w:rPr>
          <w:sz w:val="20"/>
          <w:szCs w:val="20"/>
          <w:color w:val="auto"/>
        </w:rPr>
      </w:pPr>
    </w:p>
    <w:p>
      <w:pPr>
        <w:ind w:left="580" w:right="20" w:hanging="293"/>
        <w:spacing w:after="0" w:line="271" w:lineRule="auto"/>
        <w:tabs>
          <w:tab w:leader="none" w:pos="569"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Phase 2 study is a randomized, double-blind study evaluating the safety and efficacy of CYB004 in participants with GAD, with concomitant antidepressant/anxiolytic treatment and co-morbid depression allowed.</w:t>
      </w:r>
    </w:p>
    <w:p>
      <w:pPr>
        <w:spacing w:after="0" w:line="2"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Phase 2 study is being conducted at sites in the U.S., with topline safety and efficacy results expected in the first half of 2025.</w:t>
      </w:r>
    </w:p>
    <w:p>
      <w:pPr>
        <w:sectPr>
          <w:pgSz w:w="11900" w:h="16838" w:orient="portrait"/>
          <w:cols w:equalWidth="0" w:num="1">
            <w:col w:w="11260"/>
          </w:cols>
          <w:pgMar w:left="320" w:top="1293"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CYB005</w:t>
      </w:r>
    </w:p>
    <w:p>
      <w:pPr>
        <w:spacing w:after="0" w:line="37" w:lineRule="exact"/>
        <w:rPr>
          <w:sz w:val="20"/>
          <w:szCs w:val="20"/>
          <w:color w:val="auto"/>
        </w:rPr>
      </w:pPr>
    </w:p>
    <w:p>
      <w:pPr>
        <w:jc w:val="both"/>
        <w:ind w:left="580" w:right="20" w:hanging="293"/>
        <w:spacing w:after="0" w:line="287" w:lineRule="auto"/>
        <w:tabs>
          <w:tab w:leader="none" w:pos="569"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grant of first U.S. Composition of Matter patent in support of its CYB005 phenethylamines program. Cybin is investigating novel molecules within the CYB005 program at non-hallucinogenic doses for a range of Central Nervous System disorders and continues to explore non-hallucinogenic neuroplastogens within its broader discovery pipeline.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Clinical Milestones and Future Studies:</w:t>
      </w:r>
      <w:r>
        <w:rPr>
          <w:rFonts w:ascii="Arial" w:cs="Arial" w:eastAsia="Arial" w:hAnsi="Arial"/>
          <w:sz w:val="23"/>
          <w:szCs w:val="23"/>
          <w:b w:val="1"/>
          <w:bCs w:val="1"/>
          <w:color w:val="auto"/>
          <w:vertAlign w:val="superscript"/>
        </w:rPr>
        <w:t>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CYB003 - Deuterated Psilocin Program</w:t>
      </w:r>
    </w:p>
    <w:p>
      <w:pPr>
        <w:spacing w:after="0" w:line="37" w:lineRule="exact"/>
        <w:rPr>
          <w:sz w:val="20"/>
          <w:szCs w:val="20"/>
          <w:color w:val="auto"/>
        </w:rPr>
      </w:pPr>
    </w:p>
    <w:p>
      <w:pPr>
        <w:ind w:left="580" w:hanging="293"/>
        <w:spacing w:after="0"/>
        <w:tabs>
          <w:tab w:leader="none" w:pos="58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8"/>
          <w:szCs w:val="18"/>
          <w:color w:val="auto"/>
        </w:rPr>
        <w:t>Initiate second pivotal study, EMBRACE, around mid-2025.</w:t>
      </w:r>
    </w:p>
    <w:p>
      <w:pPr>
        <w:spacing w:after="0" w:line="22" w:lineRule="exact"/>
        <w:rPr>
          <w:rFonts w:ascii="Times New Roman" w:cs="Times New Roman" w:eastAsia="Times New Roman" w:hAnsi="Times New Roman"/>
          <w:sz w:val="16"/>
          <w:szCs w:val="16"/>
          <w:color w:val="auto"/>
        </w:rPr>
      </w:pPr>
    </w:p>
    <w:p>
      <w:pPr>
        <w:ind w:left="580" w:right="40" w:hanging="293"/>
        <w:spacing w:after="0" w:line="295" w:lineRule="auto"/>
        <w:tabs>
          <w:tab w:leader="none" w:pos="576"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8"/>
          <w:szCs w:val="18"/>
          <w:color w:val="auto"/>
        </w:rPr>
        <w:t>Initiate long-term extension study, EXTEND, which is expected to begin 12 weeks after commencement of APPROACH and EMBRACE,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CYB004 – Deuterated DMT Program</w:t>
      </w:r>
    </w:p>
    <w:p>
      <w:pPr>
        <w:spacing w:after="0" w:line="37" w:lineRule="exact"/>
        <w:rPr>
          <w:sz w:val="20"/>
          <w:szCs w:val="20"/>
          <w:color w:val="auto"/>
        </w:rPr>
      </w:pPr>
    </w:p>
    <w:p>
      <w:pPr>
        <w:ind w:left="580" w:right="20" w:hanging="293"/>
        <w:spacing w:after="0" w:line="295" w:lineRule="auto"/>
        <w:tabs>
          <w:tab w:leader="none" w:pos="576"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8"/>
          <w:szCs w:val="18"/>
          <w:color w:val="auto"/>
        </w:rPr>
        <w:t>Dosing is underway and topline safety and efficacy readout from Phase 2 GAD study is expected in the first half of 2025. CYB004 is being developed as a novel intramuscular formulation expected to deliver an experience lasting approximately 90 minutes.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Financial Information</w:t>
      </w:r>
    </w:p>
    <w:p>
      <w:pPr>
        <w:spacing w:after="0" w:line="254" w:lineRule="exact"/>
        <w:rPr>
          <w:sz w:val="20"/>
          <w:szCs w:val="20"/>
          <w:color w:val="auto"/>
        </w:rPr>
      </w:pPr>
    </w:p>
    <w:p>
      <w:pPr>
        <w:ind w:left="560" w:hanging="273"/>
        <w:spacing w:after="0"/>
        <w:tabs>
          <w:tab w:leader="none" w:pos="56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Cash totaled C$136.3 million as of December 31, 2024.</w:t>
      </w:r>
    </w:p>
    <w:p>
      <w:pPr>
        <w:spacing w:after="0" w:line="24"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Cash balance excludes prepaid expenses totaling C$22.9 million as of December 31, 2024.</w:t>
      </w:r>
    </w:p>
    <w:p>
      <w:pPr>
        <w:spacing w:after="0" w:line="31" w:lineRule="exact"/>
        <w:rPr>
          <w:rFonts w:ascii="Times New Roman" w:cs="Times New Roman" w:eastAsia="Times New Roman" w:hAnsi="Times New Roman"/>
          <w:sz w:val="18"/>
          <w:szCs w:val="18"/>
          <w:color w:val="auto"/>
        </w:rPr>
      </w:pPr>
    </w:p>
    <w:p>
      <w:pPr>
        <w:jc w:val="both"/>
        <w:ind w:left="580" w:right="100" w:hanging="293"/>
        <w:spacing w:after="0" w:line="271" w:lineRule="auto"/>
        <w:tabs>
          <w:tab w:leader="none" w:pos="569"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With the previously completed public offerings of units of the Company (the “Units”) and a combination of the Company's current cash position, and assuming the exercise in full of the warrants issued as part of the Units, the Company has access to over C$203.6 million.</w:t>
      </w:r>
    </w:p>
    <w:p>
      <w:pPr>
        <w:spacing w:after="0" w:line="1" w:lineRule="exact"/>
        <w:rPr>
          <w:rFonts w:ascii="Times New Roman" w:cs="Times New Roman" w:eastAsia="Times New Roman" w:hAnsi="Times New Roman"/>
          <w:sz w:val="18"/>
          <w:szCs w:val="18"/>
          <w:color w:val="auto"/>
        </w:rPr>
      </w:pPr>
    </w:p>
    <w:p>
      <w:pPr>
        <w:ind w:left="580" w:right="100" w:hanging="293"/>
        <w:spacing w:after="0" w:line="272" w:lineRule="auto"/>
        <w:tabs>
          <w:tab w:leader="none" w:pos="569"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C$10.5 million for the quarter ended December 31, 2024, compared to a net loss of C$30.3 million in the same period last year.</w:t>
      </w:r>
    </w:p>
    <w:p>
      <w:pPr>
        <w:spacing w:after="0" w:line="1" w:lineRule="exact"/>
        <w:rPr>
          <w:rFonts w:ascii="Times New Roman" w:cs="Times New Roman" w:eastAsia="Times New Roman" w:hAnsi="Times New Roman"/>
          <w:sz w:val="18"/>
          <w:szCs w:val="18"/>
          <w:color w:val="auto"/>
        </w:rPr>
      </w:pPr>
    </w:p>
    <w:p>
      <w:pPr>
        <w:ind w:left="580" w:right="100" w:hanging="293"/>
        <w:spacing w:after="0" w:line="272" w:lineRule="auto"/>
        <w:tabs>
          <w:tab w:leader="none" w:pos="569"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Cash-based operating expenses consisting of research, general and administrative costs totaled C$28.0 million for the quarter ended December 31, 2024, compared to C$17.1 million in the same period last year.</w:t>
      </w:r>
    </w:p>
    <w:p>
      <w:pPr>
        <w:spacing w:after="0" w:line="1" w:lineRule="exact"/>
        <w:rPr>
          <w:rFonts w:ascii="Times New Roman" w:cs="Times New Roman" w:eastAsia="Times New Roman" w:hAnsi="Times New Roman"/>
          <w:sz w:val="18"/>
          <w:szCs w:val="18"/>
          <w:color w:val="auto"/>
        </w:rPr>
      </w:pPr>
    </w:p>
    <w:p>
      <w:pPr>
        <w:ind w:left="580" w:right="100" w:hanging="293"/>
        <w:spacing w:after="0" w:line="305" w:lineRule="auto"/>
        <w:tabs>
          <w:tab w:leader="none" w:pos="569"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Cash flows used in operating activities were C$27.1 million for the quarter ended December 31, 2024, compared to C$26.0 million in the same period last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At-The-Market Equity Program of up to US$100 Million</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 also announced that it has launched a new at-the-market equity program (the “</w:t>
      </w:r>
      <w:r>
        <w:rPr>
          <w:rFonts w:ascii="Arial" w:cs="Arial" w:eastAsia="Arial" w:hAnsi="Arial"/>
          <w:sz w:val="18"/>
          <w:szCs w:val="18"/>
          <w:b w:val="1"/>
          <w:bCs w:val="1"/>
          <w:color w:val="auto"/>
        </w:rPr>
        <w:t>New ATM Program</w:t>
      </w:r>
      <w:r>
        <w:rPr>
          <w:rFonts w:ascii="Arial" w:cs="Arial" w:eastAsia="Arial" w:hAnsi="Arial"/>
          <w:sz w:val="18"/>
          <w:szCs w:val="18"/>
          <w:color w:val="auto"/>
        </w:rPr>
        <w:t>”) to allow Cybin to issue and sell up to US$100,000,000 of common shares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in the capital of the Company from treasury to the public, from time to time, through the Agents (as defined below). All Shares sold under the New ATM Program will be sold in transactions that are deemed to be “at-the-market” distributions as defined in National Instrument 44-102 – </w:t>
      </w:r>
      <w:r>
        <w:rPr>
          <w:rFonts w:ascii="Arial" w:cs="Arial" w:eastAsia="Arial" w:hAnsi="Arial"/>
          <w:sz w:val="18"/>
          <w:szCs w:val="18"/>
          <w:i w:val="1"/>
          <w:iCs w:val="1"/>
          <w:color w:val="auto"/>
        </w:rPr>
        <w:t>Shelf Distributions</w:t>
      </w:r>
      <w:r>
        <w:rPr>
          <w:rFonts w:ascii="Arial" w:cs="Arial" w:eastAsia="Arial" w:hAnsi="Arial"/>
          <w:sz w:val="18"/>
          <w:szCs w:val="18"/>
          <w:color w:val="auto"/>
        </w:rPr>
        <w:t>, directly through Cboe Canada, the NYSE American</w:t>
      </w:r>
    </w:p>
    <w:p>
      <w:pPr>
        <w:sectPr>
          <w:pgSz w:w="11900" w:h="16838" w:orient="portrait"/>
          <w:cols w:equalWidth="0" w:num="1">
            <w:col w:w="11260"/>
          </w:cols>
          <w:pgMar w:left="320" w:top="1291" w:right="319" w:bottom="1440" w:gutter="0" w:footer="0" w:header="0"/>
        </w:sectPr>
      </w:pPr>
    </w:p>
    <w:bookmarkStart w:id="147" w:name="page148"/>
    <w:bookmarkEnd w:id="147"/>
    <w:p>
      <w:pPr>
        <w:jc w:val="both"/>
        <w:ind w:right="20"/>
        <w:spacing w:after="0" w:line="289" w:lineRule="auto"/>
        <w:rPr>
          <w:sz w:val="20"/>
          <w:szCs w:val="20"/>
          <w:color w:val="auto"/>
        </w:rPr>
      </w:pPr>
      <w:r>
        <w:rPr>
          <w:rFonts w:ascii="Arial" w:cs="Arial" w:eastAsia="Arial" w:hAnsi="Arial"/>
          <w:sz w:val="18"/>
          <w:szCs w:val="18"/>
          <w:color w:val="auto"/>
        </w:rPr>
        <w:t>LLC (the “</w:t>
      </w:r>
      <w:r>
        <w:rPr>
          <w:rFonts w:ascii="Arial" w:cs="Arial" w:eastAsia="Arial" w:hAnsi="Arial"/>
          <w:sz w:val="18"/>
          <w:szCs w:val="18"/>
          <w:b w:val="1"/>
          <w:bCs w:val="1"/>
          <w:color w:val="auto"/>
        </w:rPr>
        <w:t>NYSE American</w:t>
      </w:r>
      <w:r>
        <w:rPr>
          <w:rFonts w:ascii="Arial" w:cs="Arial" w:eastAsia="Arial" w:hAnsi="Arial"/>
          <w:sz w:val="18"/>
          <w:szCs w:val="18"/>
          <w:color w:val="auto"/>
        </w:rPr>
        <w:t xml:space="preserve">”) or any other “marketplace” (as defined in National Instrument 21-101 – </w:t>
      </w:r>
      <w:r>
        <w:rPr>
          <w:rFonts w:ascii="Arial" w:cs="Arial" w:eastAsia="Arial" w:hAnsi="Arial"/>
          <w:sz w:val="18"/>
          <w:szCs w:val="18"/>
          <w:i w:val="1"/>
          <w:iCs w:val="1"/>
          <w:color w:val="auto"/>
        </w:rPr>
        <w:t>Marketplace Operation</w:t>
      </w:r>
      <w:r>
        <w:rPr>
          <w:rFonts w:ascii="Arial" w:cs="Arial" w:eastAsia="Arial" w:hAnsi="Arial"/>
          <w:sz w:val="18"/>
          <w:szCs w:val="18"/>
          <w:color w:val="auto"/>
        </w:rPr>
        <w:t>) upon which the Shares are listed, quoted or otherwise traded, at the prevailing market price at the time of sale. Cybin intends to use the net proceeds from sales of Shares under the New ATM Program, if any, for growth opportunities and working capital initiatives.</w:t>
      </w:r>
    </w:p>
    <w:p>
      <w:pPr>
        <w:spacing w:after="0" w:line="18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Distributions of Shares under the New ATM Program, if any, will be made pursuant to the terms and conditions of an “at-the-market equity” distribution agreement (the “</w:t>
      </w:r>
      <w:r>
        <w:rPr>
          <w:rFonts w:ascii="Arial" w:cs="Arial" w:eastAsia="Arial" w:hAnsi="Arial"/>
          <w:sz w:val="18"/>
          <w:szCs w:val="18"/>
          <w:b w:val="1"/>
          <w:bCs w:val="1"/>
          <w:color w:val="auto"/>
        </w:rPr>
        <w:t>New Distribution Agreement</w:t>
      </w:r>
      <w:r>
        <w:rPr>
          <w:rFonts w:ascii="Arial" w:cs="Arial" w:eastAsia="Arial" w:hAnsi="Arial"/>
          <w:sz w:val="18"/>
          <w:szCs w:val="18"/>
          <w:color w:val="auto"/>
        </w:rPr>
        <w:t>”) dated February 10, 2025 that the Company entered into with Cantor Fitzgerald Canada Corporation and Cantor Fitzgerald &amp; Co. (collectively, the “</w:t>
      </w:r>
      <w:r>
        <w:rPr>
          <w:rFonts w:ascii="Arial" w:cs="Arial" w:eastAsia="Arial" w:hAnsi="Arial"/>
          <w:sz w:val="18"/>
          <w:szCs w:val="18"/>
          <w:b w:val="1"/>
          <w:bCs w:val="1"/>
          <w:color w:val="auto"/>
        </w:rPr>
        <w:t>Agents</w:t>
      </w:r>
      <w:r>
        <w:rPr>
          <w:rFonts w:ascii="Arial" w:cs="Arial" w:eastAsia="Arial" w:hAnsi="Arial"/>
          <w:sz w:val="18"/>
          <w:szCs w:val="18"/>
          <w:color w:val="auto"/>
        </w:rPr>
        <w:t>”).</w:t>
      </w:r>
    </w:p>
    <w:p>
      <w:pPr>
        <w:spacing w:after="0" w:line="16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New ATM Program will be effective until the earlier of the issuance and sale of all of the Shares issuable pursuant to the New ATM Program and September 17, 2025 unless earlier terminated in accordance with the terms of the New Distribution Agreement. The Company is not obligated to make any sales of Shares under the New ATM Program and there can be no assurance as to when such sales will be completed, if ever. The volume and timing of distributions under the New ATM Program, if any, will be determined in Cybin’s sole discretion and in accordance with the New Distribution Agreement. As any Shares distributed under the New ATM Program will be issued and sold at the prevailing market price at the time of the applicable sale, prices may vary among purchasers through the duration of the New ATM Program. The completion of sales of Shares under the New ATM Program will be subject to customary closing conditions, including the listing of such Shares on Cboe Canada and the NYSE American, and any required approvals of each exchange.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ATM Program is being established, and the sale of the Shares through the ATM Program will be made pursuant to, and qualified by way of a prospectus supplement dated February 10, 2025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to the Company’s short form base shelf prospectus dated August 17, 2023, as amended on December 22, 2023, April 8, 2024 and January 6, 2025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filed with the securities commissions in each of the provinces and territories of Canada. The Base Shelf Prospectus allows Cybin to qualify offerings of Shares, warrants, subscription receipts, units or debt securities, or a combination thereof, up to an aggregate total of C$650,000,000 during the 25-month period, ending on September 17, 2025, that the Base Shelf Prospectus remains effective. The Prospectus Supplement will be filed with the United States Securities and Exchange Commission as a supplement to the Company’s registration statement on Form F-10 (File No. 333-284173), which was declared effective on January 14, 2025, in accordance with the Multijurisdictional Disclosure System established between Canada and the United States.</w:t>
      </w:r>
    </w:p>
    <w:p>
      <w:pPr>
        <w:spacing w:after="0" w:line="19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The Prospectus Supplement and accompanying Base Shelf Prospectus contain important detailed information about the New ATM Program. The Prospectus Supplement and accompanying Base Shelf Prospectus can be found under the Company’s profile on SEDAR+ at www.sedarplus.ca and on EDGAR at www.sec.gov/edgar. Copies of the Prospectus Supplement and accompanying Base Shelf Prospectus may also be obtained from Cantor Fitzgerald Canada Corporation, Attn: Equity Capital Markets, 181 University Avenue, Suite 1500, Toronto, ON, M5H</w:t>
      </w:r>
    </w:p>
    <w:p>
      <w:pPr>
        <w:sectPr>
          <w:pgSz w:w="11900" w:h="16838" w:orient="portrait"/>
          <w:cols w:equalWidth="0" w:num="1">
            <w:col w:w="11260"/>
          </w:cols>
          <w:pgMar w:left="320" w:top="1291" w:right="3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3M7, Email: ecmcanada@cantor.com, Cantor Fitzgerald &amp; Co., Attn: Capital Markets, 110 East 59th Street, 6th floor, New York, New York</w:t>
      </w:r>
    </w:p>
    <w:p>
      <w:pPr>
        <w:spacing w:after="0" w:line="35"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10022, Email: prospectus@cantor.com. Prospective investors should read the Prospectus Supplement and accompanying Base Shelf Prospectus and the other documents the Company has filed before making an investment decision.</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connection with the launch of the New ATM Program, the Company and the Agents have terminated the Company’s existing “at-the market” equity program (the “</w:t>
      </w:r>
      <w:r>
        <w:rPr>
          <w:rFonts w:ascii="Arial" w:cs="Arial" w:eastAsia="Arial" w:hAnsi="Arial"/>
          <w:sz w:val="18"/>
          <w:szCs w:val="18"/>
          <w:b w:val="1"/>
          <w:bCs w:val="1"/>
          <w:color w:val="auto"/>
        </w:rPr>
        <w:t>2023 ATM Program</w:t>
      </w:r>
      <w:r>
        <w:rPr>
          <w:rFonts w:ascii="Arial" w:cs="Arial" w:eastAsia="Arial" w:hAnsi="Arial"/>
          <w:sz w:val="18"/>
          <w:szCs w:val="18"/>
          <w:color w:val="auto"/>
        </w:rPr>
        <w:t>”), which allowed the Company to issue and sell up to US$35,000,000 of Shares from treasury to the public pursuant to a distribution agreement, dated August 23, 2023, among the Company and the Agents.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Company sold a total of 1,653,320 Shares under the 2023 ATM Program at an average price of US$11.05 per Share for gross proceeds of approximately US$18,264,982. The 2023 ATM Program was qualified by way of a prospectus supplement dated August 23, 2023 (the “</w:t>
      </w:r>
      <w:r>
        <w:rPr>
          <w:rFonts w:ascii="Arial" w:cs="Arial" w:eastAsia="Arial" w:hAnsi="Arial"/>
          <w:sz w:val="18"/>
          <w:szCs w:val="18"/>
          <w:b w:val="1"/>
          <w:bCs w:val="1"/>
          <w:color w:val="auto"/>
        </w:rPr>
        <w:t>2023</w:t>
      </w:r>
      <w:r>
        <w:rPr>
          <w:rFonts w:ascii="Arial" w:cs="Arial" w:eastAsia="Arial" w:hAnsi="Arial"/>
          <w:sz w:val="18"/>
          <w:szCs w:val="18"/>
          <w:color w:val="auto"/>
        </w:rPr>
        <w:t xml:space="preserve"> </w:t>
      </w:r>
      <w:r>
        <w:rPr>
          <w:rFonts w:ascii="Arial" w:cs="Arial" w:eastAsia="Arial" w:hAnsi="Arial"/>
          <w:sz w:val="18"/>
          <w:szCs w:val="18"/>
          <w:b w:val="1"/>
          <w:bCs w:val="1"/>
          <w:color w:val="auto"/>
        </w:rPr>
        <w:t>ATM Supplement</w:t>
      </w:r>
      <w:r>
        <w:rPr>
          <w:rFonts w:ascii="Arial" w:cs="Arial" w:eastAsia="Arial" w:hAnsi="Arial"/>
          <w:sz w:val="18"/>
          <w:szCs w:val="18"/>
          <w:color w:val="auto"/>
        </w:rPr>
        <w:t>”) to the Base Shelf Prospectus. The 2023 ATM Supplement was also filed with the SEC as part of a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on Form F-10 (File No. 333-272706), as amended, which became effective on August 17, 2023 upon filing with the SEC.</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This news release does not constitute an offer to sell or the solicitation of an offer to buy the Shares, nor will there be any sale of the Shares,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42"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195"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60"/>
          </w:cols>
          <w:pgMar w:left="320" w:top="1293" w:right="319" w:bottom="1440" w:gutter="0" w:footer="0" w:header="0"/>
        </w:sectPr>
      </w:pPr>
    </w:p>
    <w:bookmarkStart w:id="149" w:name="page150"/>
    <w:bookmarkEnd w:id="149"/>
    <w:p>
      <w:pPr>
        <w:ind w:left="3"/>
        <w:spacing w:after="0"/>
        <w:rPr>
          <w:sz w:val="20"/>
          <w:szCs w:val="20"/>
          <w:color w:val="auto"/>
        </w:rPr>
      </w:pPr>
      <w:r>
        <w:rPr>
          <w:rFonts w:ascii="Arial" w:cs="Arial" w:eastAsia="Arial" w:hAnsi="Arial"/>
          <w:sz w:val="18"/>
          <w:szCs w:val="18"/>
          <w:b w:val="1"/>
          <w:bCs w:val="1"/>
          <w:color w:val="auto"/>
        </w:rPr>
        <w:t>Notes</w:t>
      </w:r>
    </w:p>
    <w:p>
      <w:pPr>
        <w:spacing w:after="0" w:line="254" w:lineRule="exact"/>
        <w:rPr>
          <w:sz w:val="20"/>
          <w:szCs w:val="20"/>
          <w:color w:val="auto"/>
        </w:rPr>
      </w:pPr>
    </w:p>
    <w:p>
      <w:pPr>
        <w:jc w:val="both"/>
        <w:ind w:left="3" w:right="20" w:hanging="3"/>
        <w:spacing w:after="0" w:line="272" w:lineRule="auto"/>
        <w:tabs>
          <w:tab w:leader="none" w:pos="2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ind w:left="3" w:right="20" w:hanging="3"/>
        <w:spacing w:after="0" w:line="306" w:lineRule="auto"/>
        <w:tabs>
          <w:tab w:leader="none" w:pos="2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World Health Organization. (2017). Depression and other common mental disorders: global health estimates. World Health Organization. https://iris.who.int/handle/10665/254610.</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4"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8"/>
          <w:szCs w:val="18"/>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report Phase 2 topline results for CYB004 in H1 2025; initiation of EMBRACE study around mid-year 2025; initiation of EXTEND study 12 weeks following commencement of APPROACH and EMBRACE studies, respectfully; timing of the initiation and ability of the Company to enroll participants for the PARADIGM program; the Company’s ability to potentially transform the treatment landscape in depression; the exercise in full of the warrants issued as part of the Units, the sale of Shares from time to time under the New ATM Program; the Company’s intended use of the net proceeds from sales of Shares, if any, under the New ATM Program; the receipt of applicable regulatory approvals, including the acceptance of Cboe Canada and authorization by NYSE American, and the Company’s plans to engineer proprietary drug discovery platforms, innovative drug delivery systems, novel formulation approaches and treatment regimens for mental health conditions.</w:t>
      </w:r>
    </w:p>
    <w:p>
      <w:pPr>
        <w:spacing w:after="0" w:line="197" w:lineRule="exact"/>
        <w:rPr>
          <w:sz w:val="20"/>
          <w:szCs w:val="20"/>
          <w:color w:val="auto"/>
        </w:rPr>
      </w:pPr>
    </w:p>
    <w:p>
      <w:pPr>
        <w:jc w:val="both"/>
        <w:ind w:left="3"/>
        <w:spacing w:after="0" w:line="276"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w:t>
      </w:r>
    </w:p>
    <w:p>
      <w:pPr>
        <w:sectPr>
          <w:pgSz w:w="11900" w:h="16838" w:orient="portrait"/>
          <w:cols w:equalWidth="0" w:num="1">
            <w:col w:w="11263"/>
          </w:cols>
          <w:pgMar w:left="317" w:top="1291" w:right="319" w:bottom="1440" w:gutter="0" w:footer="0" w:header="0"/>
        </w:sectPr>
      </w:pPr>
    </w:p>
    <w:bookmarkStart w:id="150" w:name="page151"/>
    <w:bookmarkEnd w:id="150"/>
    <w:p>
      <w:pPr>
        <w:jc w:val="both"/>
        <w:spacing w:after="0" w:line="277" w:lineRule="auto"/>
        <w:rPr>
          <w:sz w:val="20"/>
          <w:szCs w:val="20"/>
          <w:color w:val="auto"/>
        </w:rPr>
      </w:pPr>
      <w:r>
        <w:rPr>
          <w:rFonts w:ascii="Arial" w:cs="Arial" w:eastAsia="Arial" w:hAnsi="Arial"/>
          <w:sz w:val="18"/>
          <w:szCs w:val="18"/>
          <w:color w:val="auto"/>
        </w:rPr>
        <w:t xml:space="preserve">the Company's operations; and the risk factors set out in each of the Company's management's discussion and analysis for the three and nine month periods ended December 31, 2024 and the Company’s annual information form for the year ended March 31, 2024, which are available under the Company's profile on SEDAR+ at </w:t>
      </w:r>
      <w:r>
        <w:rPr>
          <w:rFonts w:ascii="Arial" w:cs="Arial" w:eastAsia="Arial" w:hAnsi="Arial"/>
          <w:sz w:val="18"/>
          <w:szCs w:val="18"/>
          <w:u w:val="single" w:color="auto"/>
          <w:color w:val="0000FF"/>
        </w:rPr>
        <w:t>www.sedarplus.ca</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0000FF"/>
        </w:rPr>
        <w:t>www.sec.gov/edgar</w:t>
      </w:r>
      <w:r>
        <w:rPr>
          <w:rFonts w:ascii="Arial" w:cs="Arial" w:eastAsia="Arial" w:hAnsi="Arial"/>
          <w:sz w:val="18"/>
          <w:szCs w:val="18"/>
          <w:color w:val="000000"/>
        </w:rPr>
        <w:t>. Although the forward-looking statements contained in this news release are based upon what management of the</w:t>
      </w:r>
      <w:r>
        <w:rPr>
          <w:rFonts w:ascii="Arial" w:cs="Arial" w:eastAsia="Arial" w:hAnsi="Arial"/>
          <w:sz w:val="18"/>
          <w:szCs w:val="18"/>
          <w:color w:val="0000FF"/>
        </w:rPr>
        <w:t xml:space="preserve"> </w:t>
      </w:r>
      <w:r>
        <w:rPr>
          <w:rFonts w:ascii="Arial" w:cs="Arial" w:eastAsia="Arial" w:hAnsi="Arial"/>
          <w:sz w:val="18"/>
          <w:szCs w:val="18"/>
          <w:color w:val="000000"/>
        </w:rPr>
        <w:t>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99"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irteam@cybin.com</w:t>
      </w:r>
      <w:r>
        <w:rPr>
          <w:rFonts w:ascii="Arial" w:cs="Arial" w:eastAsia="Arial" w:hAnsi="Arial"/>
          <w:sz w:val="18"/>
          <w:szCs w:val="18"/>
          <w:color w:val="0000FF"/>
        </w:rPr>
        <w:t xml:space="preserve"> </w:t>
      </w:r>
      <w:r>
        <w:rPr>
          <w:rFonts w:ascii="Arial" w:cs="Arial" w:eastAsia="Arial" w:hAnsi="Arial"/>
          <w:sz w:val="18"/>
          <w:szCs w:val="18"/>
          <w:color w:val="000000"/>
        </w:rPr>
        <w:t>– or –</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media@cybin.com</w:t>
      </w:r>
    </w:p>
    <w:sectPr>
      <w:pgSz w:w="11900" w:h="16838" w:orient="portrait"/>
      <w:cols w:equalWidth="0" w:num="1">
        <w:col w:w="11260"/>
      </w:cols>
      <w:pgMar w:left="320" w:top="129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bullet"/>
      <w:start w:val="1"/>
    </w:lvl>
  </w:abstractNum>
  <w:abstractNum w:abstractNumId="1">
    <w:nsid w:val="3006C83E"/>
    <w:multiLevelType w:val="hybridMultilevel"/>
    <w:lvl w:ilvl="0">
      <w:lvlJc w:val="left"/>
      <w:lvlText w:val="%1)"/>
      <w:numFmt w:val="lowerLetter"/>
      <w:start w:val="1"/>
    </w:lvl>
  </w:abstractNum>
  <w:abstractNum w:abstractNumId="2">
    <w:nsid w:val="614FD4A1"/>
    <w:multiLevelType w:val="hybridMultilevel"/>
    <w:lvl w:ilvl="0">
      <w:lvlJc w:val="left"/>
      <w:lvlText w:val="%1)"/>
      <w:numFmt w:val="lowerLetter"/>
      <w:start w:val="2"/>
    </w:lvl>
  </w:abstractNum>
  <w:abstractNum w:abstractNumId="3">
    <w:nsid w:val="419AC241"/>
    <w:multiLevelType w:val="hybridMultilevel"/>
    <w:lvl w:ilvl="0">
      <w:lvlJc w:val="left"/>
      <w:lvlText w:val="%1"/>
      <w:numFmt w:val="decimal"/>
      <w:start w:val="1"/>
    </w:lvl>
    <w:lvl w:ilvl="1">
      <w:lvlJc w:val="left"/>
      <w:lvlText w:val="(%2)"/>
      <w:numFmt w:val="decimal"/>
      <w:start w:val="1"/>
    </w:lvl>
  </w:abstractNum>
  <w:abstractNum w:abstractNumId="4">
    <w:nsid w:val="5577F8E1"/>
    <w:multiLevelType w:val="hybridMultilevel"/>
    <w:lvl w:ilvl="0">
      <w:lvlJc w:val="left"/>
      <w:lvlText w:val="%1."/>
      <w:numFmt w:val="decimal"/>
      <w:start w:val="9"/>
    </w:lvl>
    <w:lvl w:ilvl="1">
      <w:lvlJc w:val="left"/>
      <w:lvlText w:val="%2"/>
      <w:numFmt w:val="decimal"/>
      <w:start w:val="1"/>
    </w:lvl>
  </w:abstractNum>
  <w:abstractNum w:abstractNumId="5">
    <w:nsid w:val="440BADFC"/>
    <w:multiLevelType w:val="hybridMultilevel"/>
    <w:lvl w:ilvl="0">
      <w:lvlJc w:val="left"/>
      <w:lvlText w:val="%1."/>
      <w:numFmt w:val="decimal"/>
      <w:start w:val="15"/>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2"/>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7"/>
      <w:numFmt w:val="bullet"/>
      <w:start w:val="1"/>
    </w:lvl>
  </w:abstractNum>
  <w:abstractNum w:abstractNumId="16">
    <w:nsid w:val="153EA438"/>
    <w:multiLevelType w:val="hybridMultilevel"/>
    <w:lvl w:ilvl="0">
      <w:lvlJc w:val="left"/>
      <w:lvlText w:val="%1."/>
      <w:numFmt w:val="decimal"/>
      <w:start w:val="3"/>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9"/>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0"/>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8"/>
    </w:lvl>
  </w:abstractNum>
  <w:abstractNum w:abstractNumId="30">
    <w:nsid w:val="7644A45C"/>
    <w:multiLevelType w:val="hybridMultilevel"/>
    <w:lvl w:ilvl="0">
      <w:lvlJc w:val="left"/>
      <w:lvlText w:val="%1"/>
      <w:numFmt w:val="decimal"/>
      <w:start w:val="21"/>
    </w:lvl>
  </w:abstractNum>
  <w:abstractNum w:abstractNumId="31">
    <w:nsid w:val="32FFF902"/>
    <w:multiLevelType w:val="hybridMultilevel"/>
    <w:lvl w:ilvl="0">
      <w:lvlJc w:val="left"/>
      <w:lvlText w:val="%1"/>
      <w:numFmt w:val="decimal"/>
      <w:start w:val="23"/>
    </w:lvl>
  </w:abstractNum>
  <w:abstractNum w:abstractNumId="32">
    <w:nsid w:val="684A481A"/>
    <w:multiLevelType w:val="hybridMultilevel"/>
    <w:lvl w:ilvl="0">
      <w:lvlJc w:val="left"/>
      <w:lvlText w:val="%1"/>
      <w:numFmt w:val="decimal"/>
      <w:start w:val="26"/>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27"/>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28"/>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upperLetter"/>
      <w:start w:val="35"/>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lowerRoman"/>
      <w:start w:val="8"/>
    </w:lvl>
  </w:abstractNum>
  <w:abstractNum w:abstractNumId="53">
    <w:nsid w:val="15B5AF5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4">
    <w:nsid w:val="741226BB"/>
    <w:multiLevelType w:val="hybridMultilevel"/>
    <w:lvl w:ilvl="0">
      <w:lvlJc w:val="left"/>
      <w:lvlText w:val="%1."/>
      <w:numFmt w:val="decimal"/>
      <w:start w:val="6"/>
    </w:lvl>
  </w:abstractNum>
  <w:abstractNum w:abstractNumId="55">
    <w:nsid w:val="D34B6A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6">
    <w:nsid w:val="10233C99"/>
    <w:multiLevelType w:val="hybridMultilevel"/>
    <w:lvl w:ilvl="0">
      <w:lvlJc w:val="left"/>
      <w:lvlText w:val="%1."/>
      <w:numFmt w:val="decimal"/>
      <w:start w:val="6"/>
    </w:lvl>
  </w:abstractNum>
  <w:abstractNum w:abstractNumId="57">
    <w:nsid w:val="3F6AB60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8" Type="http://schemas.openxmlformats.org/officeDocument/2006/relationships/hyperlink" Target="https://www.sec.gov/Archives/edgar/data/1833141/000106299325000510/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2025-02-11T05:17:41Z</dcterms:created>
  <dcterms:modified xsi:type="dcterms:W3CDTF">2025-02-11T05:17:41Z</dcterms:modified>
</cp:coreProperties>
</file>