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August,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August 7,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Participate in the Canaccord Genuity 44</w:t>
      </w:r>
      <w:r>
        <w:rPr>
          <w:rFonts w:ascii="Arial" w:cs="Arial" w:eastAsia="Arial" w:hAnsi="Arial"/>
          <w:sz w:val="32"/>
          <w:szCs w:val="32"/>
          <w:b w:val="1"/>
          <w:bCs w:val="1"/>
          <w:color w:val="auto"/>
          <w:vertAlign w:val="superscript"/>
        </w:rPr>
        <w:t>th</w:t>
      </w:r>
      <w:r>
        <w:rPr>
          <w:rFonts w:ascii="Arial" w:cs="Arial" w:eastAsia="Arial" w:hAnsi="Arial"/>
          <w:sz w:val="25"/>
          <w:szCs w:val="25"/>
          <w:b w:val="1"/>
          <w:bCs w:val="1"/>
          <w:color w:val="auto"/>
        </w:rPr>
        <w:t xml:space="preserve"> Annual Growth Conference</w:t>
      </w:r>
    </w:p>
    <w:p>
      <w:pPr>
        <w:spacing w:after="0" w:line="245"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August 7,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breakthrough neuropsychiatry company committed to revolutionizing mental healthcare by developing new and innovative next-generation treatment options, is pleased to announce that Doug Drysdale, Cybin’s Chief Executive Officer, will participate in a fireside chat at the Canaccord Genuity 44th Annual Growth Conference, taking place August 13-14, 2024 in Boston, MA.</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 xml:space="preserve">Mr. Drysdale’s fireside chat will be webcast live on Tuesday, August 13, 2024, at 2:00 p.m. ET. To listen to the event, please </w:t>
      </w:r>
      <w:r>
        <w:rPr>
          <w:rFonts w:ascii="Arial" w:cs="Arial" w:eastAsia="Arial" w:hAnsi="Arial"/>
          <w:sz w:val="20"/>
          <w:szCs w:val="20"/>
          <w:u w:val="single" w:color="auto"/>
          <w:color w:val="0000FF"/>
        </w:rPr>
        <w:t>click</w:t>
      </w:r>
      <w:r>
        <w:rPr>
          <w:rFonts w:ascii="Arial" w:cs="Arial" w:eastAsia="Arial" w:hAnsi="Arial"/>
          <w:sz w:val="20"/>
          <w:szCs w:val="20"/>
          <w:color w:val="auto"/>
        </w:rPr>
        <w:t xml:space="preserve"> </w:t>
      </w:r>
      <w:r>
        <w:rPr>
          <w:rFonts w:ascii="Arial" w:cs="Arial" w:eastAsia="Arial" w:hAnsi="Arial"/>
          <w:sz w:val="20"/>
          <w:szCs w:val="20"/>
          <w:u w:val="single" w:color="auto"/>
          <w:color w:val="0000FF"/>
        </w:rPr>
        <w:t>here</w:t>
      </w:r>
      <w:r>
        <w:rPr>
          <w:rFonts w:ascii="Arial" w:cs="Arial" w:eastAsia="Arial" w:hAnsi="Arial"/>
          <w:sz w:val="20"/>
          <w:szCs w:val="20"/>
          <w:color w:val="0000FF"/>
        </w:rPr>
        <w:t xml:space="preserve"> </w:t>
      </w:r>
      <w:r>
        <w:rPr>
          <w:rFonts w:ascii="Arial" w:cs="Arial" w:eastAsia="Arial" w:hAnsi="Arial"/>
          <w:sz w:val="20"/>
          <w:szCs w:val="20"/>
          <w:color w:val="000000"/>
        </w:rPr>
        <w:t>to access the webcast. The archived webcast will also be available on the Company’s investor relations website on the</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Events &amp; Presentations</w:t>
      </w:r>
      <w:r>
        <w:rPr>
          <w:rFonts w:ascii="Arial" w:cs="Arial" w:eastAsia="Arial" w:hAnsi="Arial"/>
          <w:sz w:val="20"/>
          <w:szCs w:val="20"/>
          <w:color w:val="0000FF"/>
        </w:rPr>
        <w:t xml:space="preserve"> </w:t>
      </w:r>
      <w:r>
        <w:rPr>
          <w:rFonts w:ascii="Arial" w:cs="Arial" w:eastAsia="Arial" w:hAnsi="Arial"/>
          <w:sz w:val="20"/>
          <w:szCs w:val="20"/>
          <w:color w:val="000000"/>
        </w:rPr>
        <w:t>page.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clinical-sta</w:t>
      </w:r>
      <w:r>
        <w:rPr>
          <w:rFonts w:ascii="Arial" w:cs="Arial" w:eastAsia="Arial" w:hAnsi="Arial"/>
          <w:sz w:val="20"/>
          <w:szCs w:val="20"/>
          <w:u w:val="single" w:color="auto"/>
          <w:color w:val="auto"/>
        </w:rPr>
        <w:t>g</w:t>
      </w:r>
      <w:r>
        <w:rPr>
          <w:rFonts w:ascii="Arial" w:cs="Arial" w:eastAsia="Arial" w:hAnsi="Arial"/>
          <w:sz w:val="20"/>
          <w:szCs w:val="20"/>
          <w:color w:val="auto"/>
        </w:rPr>
        <w:t>e breakthrough neuropsychiatry company on a mission to create safe and effective next-generation therapeutics to address the large unmet need for new and innovative treatment options for people who suffer from mental health conditions.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15"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2024-08-07T16:52:59Z</dcterms:created>
  <dcterms:modified xsi:type="dcterms:W3CDTF">2024-08-07T16:52:59Z</dcterms:modified>
</cp:coreProperties>
</file>