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File No. 333-289139</w:t>
      </w:r>
    </w:p>
    <w:p>
      <w:pPr>
        <w:spacing w:after="0" w:line="149"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This prospectus supplement (the "</w:t>
      </w:r>
      <w:r>
        <w:rPr>
          <w:rFonts w:ascii="Times New Roman" w:cs="Times New Roman" w:eastAsia="Times New Roman" w:hAnsi="Times New Roman"/>
          <w:sz w:val="22"/>
          <w:szCs w:val="22"/>
          <w:b w:val="1"/>
          <w:bCs w:val="1"/>
          <w:i w:val="1"/>
          <w:iCs w:val="1"/>
          <w:color w:val="auto"/>
        </w:rPr>
        <w:t>Prospectus Supplement</w:t>
      </w:r>
      <w:r>
        <w:rPr>
          <w:rFonts w:ascii="Times New Roman" w:cs="Times New Roman" w:eastAsia="Times New Roman" w:hAnsi="Times New Roman"/>
          <w:sz w:val="22"/>
          <w:szCs w:val="22"/>
          <w:i w:val="1"/>
          <w:iCs w:val="1"/>
          <w:color w:val="auto"/>
        </w:rPr>
        <w:t>"), together with the short form base shelf prospectus dated September 17, 2025 to which it relates, as amended or supplemented (the "</w:t>
      </w:r>
      <w:r>
        <w:rPr>
          <w:rFonts w:ascii="Times New Roman" w:cs="Times New Roman" w:eastAsia="Times New Roman" w:hAnsi="Times New Roman"/>
          <w:sz w:val="22"/>
          <w:szCs w:val="22"/>
          <w:b w:val="1"/>
          <w:bCs w:val="1"/>
          <w:i w:val="1"/>
          <w:iCs w:val="1"/>
          <w:color w:val="auto"/>
        </w:rPr>
        <w:t>Base Shelf Prospectus</w:t>
      </w:r>
      <w:r>
        <w:rPr>
          <w:rFonts w:ascii="Times New Roman" w:cs="Times New Roman" w:eastAsia="Times New Roman" w:hAnsi="Times New Roman"/>
          <w:sz w:val="22"/>
          <w:szCs w:val="22"/>
          <w:i w:val="1"/>
          <w:iCs w:val="1"/>
          <w:color w:val="auto"/>
        </w:rPr>
        <w:t>"), and each document deemed to be incorporated by reference into this Prospectus Supplement and the Base Shelf Prospectus, as amended or supplemented (collectively,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22"/>
          <w:szCs w:val="22"/>
          <w:b w:val="1"/>
          <w:bCs w:val="1"/>
          <w:i w:val="1"/>
          <w:iCs w:val="1"/>
          <w:color w:val="auto"/>
        </w:rPr>
        <w:t>No securities regulatory authority has expressed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an opinion about these securities and it is an offence to claim otherwise.</w:t>
      </w:r>
    </w:p>
    <w:p>
      <w:pPr>
        <w:spacing w:after="0" w:line="135"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 and www.sec.gov/edgar.</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SHORT FORM BASE SHELF PROSPECTUS DATED SEPTEMBER 17, 2025</w:t>
      </w:r>
    </w:p>
    <w:p>
      <w:pPr>
        <w:spacing w:after="0" w:line="162" w:lineRule="exact"/>
        <w:rPr>
          <w:sz w:val="24"/>
          <w:szCs w:val="24"/>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i w:val="1"/>
          <w:iCs w:val="1"/>
          <w:u w:val="single" w:color="auto"/>
          <w:color w:val="auto"/>
        </w:rPr>
        <w:t>New Issue</w:t>
      </w:r>
      <w:r>
        <w:rPr>
          <w:sz w:val="20"/>
          <w:szCs w:val="20"/>
          <w:color w:val="auto"/>
        </w:rPr>
        <w:tab/>
      </w:r>
      <w:r>
        <w:rPr>
          <w:rFonts w:ascii="Times New Roman" w:cs="Times New Roman" w:eastAsia="Times New Roman" w:hAnsi="Times New Roman"/>
          <w:sz w:val="17"/>
          <w:szCs w:val="17"/>
          <w:color w:val="auto"/>
        </w:rPr>
        <w:t>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284480</wp:posOffset>
            </wp:positionV>
            <wp:extent cx="1774190"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1,754,385 Common Shares</w:t>
      </w:r>
    </w:p>
    <w:p>
      <w:pPr>
        <w:spacing w:after="0" w:line="166"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This Prospectus Supplement to the Base Shelf Prospectus of Cybin Inc.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relates to: (i) up to 1,754,385 common shares of Cybin (the "</w:t>
      </w:r>
      <w:r>
        <w:rPr>
          <w:rFonts w:ascii="Times New Roman" w:cs="Times New Roman" w:eastAsia="Times New Roman" w:hAnsi="Times New Roman"/>
          <w:sz w:val="21"/>
          <w:szCs w:val="21"/>
          <w:b w:val="1"/>
          <w:bCs w:val="1"/>
          <w:color w:val="auto"/>
        </w:rPr>
        <w:t>Warrant Shares</w:t>
      </w:r>
      <w:r>
        <w:rPr>
          <w:rFonts w:ascii="Times New Roman" w:cs="Times New Roman" w:eastAsia="Times New Roman" w:hAnsi="Times New Roman"/>
          <w:sz w:val="21"/>
          <w:szCs w:val="21"/>
          <w:color w:val="auto"/>
        </w:rPr>
        <w:t>"), issuable from time to time upon the exercise of up to 66,666,667 common share purchase warrants (the "</w:t>
      </w:r>
      <w:r>
        <w:rPr>
          <w:rFonts w:ascii="Times New Roman" w:cs="Times New Roman" w:eastAsia="Times New Roman" w:hAnsi="Times New Roman"/>
          <w:sz w:val="21"/>
          <w:szCs w:val="21"/>
          <w:b w:val="1"/>
          <w:bCs w:val="1"/>
          <w:color w:val="auto"/>
        </w:rPr>
        <w:t>Warrants</w:t>
      </w:r>
      <w:r>
        <w:rPr>
          <w:rFonts w:ascii="Times New Roman" w:cs="Times New Roman" w:eastAsia="Times New Roman" w:hAnsi="Times New Roman"/>
          <w:sz w:val="21"/>
          <w:szCs w:val="21"/>
          <w:color w:val="auto"/>
        </w:rPr>
        <w:t>") issued by the Corporation pursuant to the Unit Offering (defined below); and</w:t>
      </w:r>
    </w:p>
    <w:p>
      <w:pPr>
        <w:spacing w:after="0" w:line="2" w:lineRule="exact"/>
        <w:rPr>
          <w:sz w:val="24"/>
          <w:szCs w:val="24"/>
          <w:color w:val="auto"/>
        </w:rPr>
      </w:pPr>
    </w:p>
    <w:p>
      <w:pPr>
        <w:jc w:val="both"/>
        <w:ind w:firstLine="8"/>
        <w:spacing w:after="0" w:line="235" w:lineRule="auto"/>
        <w:tabs>
          <w:tab w:leader="none" w:pos="34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indeterminate number of additional Warrant Shares (the "</w:t>
      </w:r>
      <w:r>
        <w:rPr>
          <w:rFonts w:ascii="Times New Roman" w:cs="Times New Roman" w:eastAsia="Times New Roman" w:hAnsi="Times New Roman"/>
          <w:sz w:val="22"/>
          <w:szCs w:val="22"/>
          <w:b w:val="1"/>
          <w:bCs w:val="1"/>
          <w:color w:val="auto"/>
        </w:rPr>
        <w:t>Anti-Dilution Warrant Shares</w:t>
      </w:r>
      <w:r>
        <w:rPr>
          <w:rFonts w:ascii="Times New Roman" w:cs="Times New Roman" w:eastAsia="Times New Roman" w:hAnsi="Times New Roman"/>
          <w:sz w:val="22"/>
          <w:szCs w:val="22"/>
          <w:color w:val="auto"/>
        </w:rPr>
        <w:t>") that may be issuable by reason of the anti-dilution provisions contained in the Warrant Certificates (as defined herein)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33" w:lineRule="exact"/>
        <w:rPr>
          <w:sz w:val="24"/>
          <w:szCs w:val="24"/>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Warrants were initially qualified for distribution by a prospectus supplement dated November 10, 2023 (the "</w:t>
      </w:r>
      <w:r>
        <w:rPr>
          <w:rFonts w:ascii="Times New Roman" w:cs="Times New Roman" w:eastAsia="Times New Roman" w:hAnsi="Times New Roman"/>
          <w:sz w:val="22"/>
          <w:szCs w:val="22"/>
          <w:b w:val="1"/>
          <w:bCs w:val="1"/>
          <w:color w:val="auto"/>
        </w:rPr>
        <w:t>2023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to the Corporation's base shelf prospectus dated August 17, 2023, as amended on December 22, 2023,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8, 2024 and January 6, 2025 (the "</w:t>
      </w:r>
      <w:r>
        <w:rPr>
          <w:rFonts w:ascii="Times New Roman" w:cs="Times New Roman" w:eastAsia="Times New Roman" w:hAnsi="Times New Roman"/>
          <w:sz w:val="22"/>
          <w:szCs w:val="22"/>
          <w:b w:val="1"/>
          <w:bCs w:val="1"/>
          <w:color w:val="auto"/>
        </w:rPr>
        <w:t>2023 Base Prospectus</w:t>
      </w:r>
      <w:r>
        <w:rPr>
          <w:rFonts w:ascii="Times New Roman" w:cs="Times New Roman" w:eastAsia="Times New Roman" w:hAnsi="Times New Roman"/>
          <w:sz w:val="22"/>
          <w:szCs w:val="22"/>
          <w:color w:val="auto"/>
        </w:rPr>
        <w:t>"), filed with the securities commission or similar regulatory authority in the province of Ontario and, in connection therewith, a prospectus supplement dated November 10, 2023 (the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2023 Prospectus Supplement</w:t>
      </w:r>
      <w:r>
        <w:rPr>
          <w:rFonts w:ascii="Times New Roman" w:cs="Times New Roman" w:eastAsia="Times New Roman" w:hAnsi="Times New Roman"/>
          <w:sz w:val="22"/>
          <w:szCs w:val="22"/>
          <w:color w:val="auto"/>
        </w:rPr>
        <w:t>") to its effective registration statement on Form F-10, as amended, supplemented and/or filed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Rule 429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(the "</w:t>
      </w:r>
      <w:r>
        <w:rPr>
          <w:rFonts w:ascii="Times New Roman" w:cs="Times New Roman" w:eastAsia="Times New Roman" w:hAnsi="Times New Roman"/>
          <w:sz w:val="22"/>
          <w:szCs w:val="22"/>
          <w:b w:val="1"/>
          <w:bCs w:val="1"/>
          <w:color w:val="auto"/>
        </w:rPr>
        <w:t>Unit Offering</w:t>
      </w:r>
      <w:r>
        <w:rPr>
          <w:rFonts w:ascii="Times New Roman" w:cs="Times New Roman" w:eastAsia="Times New Roman" w:hAnsi="Times New Roman"/>
          <w:sz w:val="22"/>
          <w:szCs w:val="22"/>
          <w:color w:val="auto"/>
        </w:rPr>
        <w:t>") by the Corporation to the public in the province of Ontario and the United States of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of the Corporation at a price of US$0.45 per Unit, for aggregate gross proceeds of US$30,000,000.15. Each Unit was comprised of one common share of the Corporation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one Warrant.</w:t>
      </w:r>
    </w:p>
    <w:p>
      <w:pPr>
        <w:spacing w:after="0" w:line="15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2023 Prospectus Supplement in order to maintain the registration of the Offering of the Warrant Shares under the U.S. Securities Act, beyond the expiry date of the 2023 Base Prospectus under Canadian rules.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21"/>
          <w:szCs w:val="21"/>
          <w:color w:val="auto"/>
        </w:rPr>
        <w:t>On September 19, 2024, the outstanding Common Shares were consolidated on the basis of one new Common Share for every 38 existing Common Shares (the "</w:t>
      </w:r>
      <w:r>
        <w:rPr>
          <w:rFonts w:ascii="Times New Roman" w:cs="Times New Roman" w:eastAsia="Times New Roman" w:hAnsi="Times New Roman"/>
          <w:sz w:val="21"/>
          <w:szCs w:val="21"/>
          <w:b w:val="1"/>
          <w:bCs w:val="1"/>
          <w:color w:val="auto"/>
        </w:rPr>
        <w:t>Consolidation</w:t>
      </w:r>
      <w:r>
        <w:rPr>
          <w:rFonts w:ascii="Times New Roman" w:cs="Times New Roman" w:eastAsia="Times New Roman" w:hAnsi="Times New Roman"/>
          <w:sz w:val="21"/>
          <w:szCs w:val="21"/>
          <w:color w:val="auto"/>
        </w:rPr>
        <w:t>"). On a post-Consolidation basis, each Warrant is exercisable to acquire one thirty-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eighth (1/38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of a Warrant Share, subject to adjustment in certain circumstances, at an exercise price of US$19.38 (the "</w:t>
      </w:r>
      <w:r>
        <w:rPr>
          <w:rFonts w:ascii="Times New Roman" w:cs="Times New Roman" w:eastAsia="Times New Roman" w:hAnsi="Times New Roman"/>
          <w:sz w:val="22"/>
          <w:szCs w:val="22"/>
          <w:b w:val="1"/>
          <w:bCs w:val="1"/>
          <w:color w:val="auto"/>
        </w:rPr>
        <w:t>Warrant Exercise Price</w:t>
      </w:r>
      <w:r>
        <w:rPr>
          <w:rFonts w:ascii="Times New Roman" w:cs="Times New Roman" w:eastAsia="Times New Roman" w:hAnsi="Times New Roman"/>
          <w:sz w:val="22"/>
          <w:szCs w:val="22"/>
          <w:color w:val="auto"/>
        </w:rPr>
        <w:t>") at any time until 5:00 p.m. (Toronto time) on May 14, 2029 (the "</w:t>
      </w:r>
      <w:r>
        <w:rPr>
          <w:rFonts w:ascii="Times New Roman" w:cs="Times New Roman" w:eastAsia="Times New Roman" w:hAnsi="Times New Roman"/>
          <w:sz w:val="22"/>
          <w:szCs w:val="22"/>
          <w:b w:val="1"/>
          <w:bCs w:val="1"/>
          <w:color w:val="auto"/>
        </w:rPr>
        <w:t>Warrant Expiry Date</w:t>
      </w:r>
      <w:r>
        <w:rPr>
          <w:rFonts w:ascii="Times New Roman" w:cs="Times New Roman" w:eastAsia="Times New Roman" w:hAnsi="Times New Roman"/>
          <w:sz w:val="22"/>
          <w:szCs w:val="22"/>
          <w:color w:val="auto"/>
        </w:rPr>
        <w:t>"), being the date that is 66 months from the closing of the Unit Offering, subject to acceleration in certain circumstances. The Warrants were not issued under a warrant indenture and, instead, are represented by and subject to the provisions of a stand-alone warrant certificate (each, a "</w:t>
      </w:r>
      <w:r>
        <w:rPr>
          <w:rFonts w:ascii="Times New Roman" w:cs="Times New Roman" w:eastAsia="Times New Roman" w:hAnsi="Times New Roman"/>
          <w:sz w:val="22"/>
          <w:szCs w:val="22"/>
          <w:b w:val="1"/>
          <w:bCs w:val="1"/>
          <w:color w:val="auto"/>
        </w:rPr>
        <w:t>Warrant Certificate</w:t>
      </w:r>
      <w:r>
        <w:rPr>
          <w:rFonts w:ascii="Times New Roman" w:cs="Times New Roman" w:eastAsia="Times New Roman" w:hAnsi="Times New Roman"/>
          <w:sz w:val="22"/>
          <w:szCs w:val="22"/>
          <w:color w:val="auto"/>
        </w:rPr>
        <w:t>"). The Warrant Exercise Price was determined by negotiation between the Corporation and the underwriter for the Unit Offering (the "</w:t>
      </w:r>
      <w:r>
        <w:rPr>
          <w:rFonts w:ascii="Times New Roman" w:cs="Times New Roman" w:eastAsia="Times New Roman" w:hAnsi="Times New Roman"/>
          <w:sz w:val="22"/>
          <w:szCs w:val="22"/>
          <w:b w:val="1"/>
          <w:bCs w:val="1"/>
          <w:color w:val="auto"/>
        </w:rPr>
        <w:t>Underwriter</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Prospectus Supplement is filed pursuant to (i) the Base Shelf Prospectus filed in each of the provinces and territories of Canada, and (ii) the Base Shelf Prospectus as a part of the Corporation's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 The Registration Statement became automatically effective upon filing of the Amendment pursuant to Rule 467(a) of the U.S. Securities Act on September 17, 2025.</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September 16, 2025, the last trading day prior to the filing of this Prospectus Supplement, the closing prices of the Common Shares listed on CBOE Canada and the NYSE American were $8.32 and US$6.04, respectively. The Corporation has listed the Warrant Shares offered by this Prospectus Supplement on Cboe Canada and the NYSE American. The Warrants are not listed on Cboe Canada and the NYSE American. There is currently no market through which the Warrants may be sold and purchasers may not be able to resell the Warrants. This may affect the pricing of the securities in the secondary market, the transparency and availability of trading prices, the liquidity of the securities, and the extent of issuer regulation.</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Prospective investors should be aware that the acquisition of the Warrant Shares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Warrant Shares pursuant to this Offering. Investors should read the tax discussion in this Prospectus Supplement and consult their own tax advisors with respect to their own particular circumstances. See "</w:t>
      </w:r>
      <w:r>
        <w:rPr>
          <w:rFonts w:ascii="Times New Roman" w:cs="Times New Roman" w:eastAsia="Times New Roman" w:hAnsi="Times New Roman"/>
          <w:sz w:val="21"/>
          <w:szCs w:val="21"/>
          <w:b w:val="1"/>
          <w:bCs w:val="1"/>
          <w:i w:val="1"/>
          <w:iCs w:val="1"/>
          <w:color w:val="auto"/>
        </w:rPr>
        <w:t>Certain Canadian Federal Income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Tax Considerations</w:t>
      </w:r>
      <w:r>
        <w:rPr>
          <w:rFonts w:ascii="Times New Roman" w:cs="Times New Roman" w:eastAsia="Times New Roman" w:hAnsi="Times New Roman"/>
          <w:sz w:val="21"/>
          <w:szCs w:val="21"/>
          <w:b w:val="1"/>
          <w:bCs w:val="1"/>
          <w:color w:val="auto"/>
        </w:rPr>
        <w:t>", "</w:t>
      </w:r>
      <w:r>
        <w:rPr>
          <w:rFonts w:ascii="Times New Roman" w:cs="Times New Roman" w:eastAsia="Times New Roman" w:hAnsi="Times New Roman"/>
          <w:sz w:val="21"/>
          <w:szCs w:val="21"/>
          <w:b w:val="1"/>
          <w:bCs w:val="1"/>
          <w:i w:val="1"/>
          <w:iCs w:val="1"/>
          <w:color w:val="auto"/>
        </w:rPr>
        <w:t>Certain United States Federal Income Tax Considerations to U.S. Holders</w:t>
      </w:r>
      <w:r>
        <w:rPr>
          <w:rFonts w:ascii="Times New Roman" w:cs="Times New Roman" w:eastAsia="Times New Roman" w:hAnsi="Times New Roman"/>
          <w:sz w:val="21"/>
          <w:szCs w:val="21"/>
          <w:b w:val="1"/>
          <w:bCs w:val="1"/>
          <w:color w:val="auto"/>
        </w:rPr>
        <w:t>" and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is not making any offer of the Warrant Shares in any jurisdiction where the offer is not permitted by law.</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Warrant Shares is highly speculative and involves significant risks that investors should consider before purchasing such Warrant Shares. Investors should carefully review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section of this Prospectus Supplement, the Base Shelf Prospectus and the documents incorporated by reference herein and therein as well as the information under the heading "</w:t>
      </w:r>
      <w:r>
        <w:rPr>
          <w:rFonts w:ascii="Times New Roman" w:cs="Times New Roman" w:eastAsia="Times New Roman" w:hAnsi="Times New Roman"/>
          <w:sz w:val="22"/>
          <w:szCs w:val="22"/>
          <w:b w:val="1"/>
          <w:bCs w:val="1"/>
          <w:i w:val="1"/>
          <w:iCs w:val="1"/>
          <w:color w:val="auto"/>
        </w:rPr>
        <w:t>Cautionary Note Regarding Forward-Looking Information</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This Prospectus Supplement registers the offering of the securities to which it relates under the U.S. Securities Act in accordance with the MJDS. This Prospectus Supplement does not qualify in any of the provinces or territories of Canada the distribution of the Warrant Shares to which it relates. The Warrant Shares to which this Prospectus Supplement relates will be sold directly by the Corporation to holders of Warrants upon any exercise of such Warrants. No underwriters, dealers or agents have been involved in the preparation of this Prospectus Supplement or the accompanying Base Shelf Prospectus, nor will be involved in these sales.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Warrant Shares.</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Purchasers of Warrant Shares should be aware that the acquisition of Warrant Shares may have tax consequences both in the United States and in Canada. Such consequences for purchasers who are resident in, or citizens of, the United States or who are resident in Canada may not be described fully herein. Purchasers of Warrant Shares should read the tax discussion contained in this Prospectus Supplement and consult their own tax advisors. See </w:t>
      </w:r>
      <w:r>
        <w:rPr>
          <w:rFonts w:ascii="Times New Roman" w:cs="Times New Roman" w:eastAsia="Times New Roman" w:hAnsi="Times New Roman"/>
          <w:sz w:val="22"/>
          <w:szCs w:val="22"/>
          <w:b w:val="1"/>
          <w:bCs w:val="1"/>
          <w:i w:val="1"/>
          <w:iCs w:val="1"/>
          <w:color w:val="auto"/>
        </w:rPr>
        <w:t>"Certain Canadian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Tax Considerations" </w:t>
      </w:r>
      <w:r>
        <w:rPr>
          <w:rFonts w:ascii="Times New Roman" w:cs="Times New Roman" w:eastAsia="Times New Roman" w:hAnsi="Times New Roman"/>
          <w:sz w:val="22"/>
          <w:szCs w:val="22"/>
          <w:b w:val="1"/>
          <w:bCs w:val="1"/>
          <w:color w:val="auto"/>
        </w:rPr>
        <w:t>and</w:t>
      </w:r>
      <w:r>
        <w:rPr>
          <w:rFonts w:ascii="Times New Roman" w:cs="Times New Roman" w:eastAsia="Times New Roman" w:hAnsi="Times New Roman"/>
          <w:sz w:val="22"/>
          <w:szCs w:val="22"/>
          <w:b w:val="1"/>
          <w:bCs w:val="1"/>
          <w:i w:val="1"/>
          <w:iCs w:val="1"/>
          <w:color w:val="auto"/>
        </w:rPr>
        <w:t xml:space="preserve"> "Certain United States Federal Income Tax Considerations to U.S. Holders"</w:t>
      </w:r>
      <w:r>
        <w:rPr>
          <w:rFonts w:ascii="Times New Roman" w:cs="Times New Roman" w:eastAsia="Times New Roman" w:hAnsi="Times New Roman"/>
          <w:sz w:val="22"/>
          <w:szCs w:val="22"/>
          <w:b w:val="1"/>
          <w:bCs w:val="1"/>
          <w:color w:val="auto"/>
        </w:rPr>
        <w:t>.</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and that the majority of its officers and directors are not residents of the United States, that some or all of the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 Investors"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 NOR ANY STATE SECURITIES COMMISSION OR REGULATOR HAS APPROVED OR DISAPPROVED THE WARRANT SHARES NOR PASSED UPON THE ACCURACY OR ADEQUACY OF THE PROSPECTUS. ANY REPRESENTATION TO THE CONTRARY IS A CRIMINAL OFFENCE.</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Warrant Shares.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00" w:type="dxa"/>
            <w:vAlign w:val="bottom"/>
            <w:gridSpan w:val="33"/>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980" w:type="dxa"/>
            <w:vAlign w:val="bottom"/>
            <w:gridSpan w:val="12"/>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CURRENCY AND EXCHANGE RATE INFORMATION</w:t>
            </w:r>
          </w:p>
        </w:tc>
        <w:tc>
          <w:tcPr>
            <w:tcW w:w="6660" w:type="dxa"/>
            <w:vAlign w:val="bottom"/>
            <w:gridSpan w:val="9"/>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660" w:type="dxa"/>
            <w:vAlign w:val="bottom"/>
            <w:gridSpan w:val="9"/>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8800" w:type="dxa"/>
            <w:vAlign w:val="bottom"/>
            <w:tcBorders>
              <w:bottom w:val="single" w:sz="8" w:color="EEEEEE"/>
            </w:tcBorders>
            <w:gridSpan w:val="23"/>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9760" w:type="dxa"/>
            <w:vAlign w:val="bottom"/>
            <w:tcBorders>
              <w:bottom w:val="single" w:sz="8" w:color="EEEEEE"/>
            </w:tcBorders>
            <w:gridSpan w:val="31"/>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 TO U.S. HOLDERS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10120" w:type="dxa"/>
            <w:vAlign w:val="bottom"/>
            <w:tcBorders>
              <w:bottom w:val="single" w:sz="8" w:color="EEEEEE"/>
            </w:tcBorders>
            <w:gridSpan w:val="32"/>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490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22"/>
                <w:szCs w:val="22"/>
                <w:b w:val="1"/>
                <w:bCs w:val="1"/>
                <w:color w:val="auto"/>
              </w:rPr>
              <w:t>Base Shelf Prospectus</w:t>
            </w:r>
          </w:p>
        </w:tc>
        <w:tc>
          <w:tcPr>
            <w:tcW w:w="6000" w:type="dxa"/>
            <w:vAlign w:val="bottom"/>
            <w:tcBorders>
              <w:top w:val="single" w:sz="8" w:color="EEEEEE"/>
            </w:tcBorders>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GENERAL MATTERS</w:t>
            </w:r>
          </w:p>
        </w:tc>
        <w:tc>
          <w:tcPr>
            <w:tcW w:w="9180" w:type="dxa"/>
            <w:vAlign w:val="bottom"/>
            <w:gridSpan w:val="25"/>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7760" w:type="dxa"/>
            <w:vAlign w:val="bottom"/>
            <w:gridSpan w:val="14"/>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gridSpan w:val="1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AND INDUSTRY DATA</w:t>
            </w:r>
          </w:p>
        </w:tc>
        <w:tc>
          <w:tcPr>
            <w:tcW w:w="8200" w:type="dxa"/>
            <w:vAlign w:val="bottom"/>
            <w:gridSpan w:val="16"/>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5380" w:type="dxa"/>
            <w:vAlign w:val="bottom"/>
            <w:gridSpan w:val="4"/>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5380" w:type="dxa"/>
            <w:vAlign w:val="bottom"/>
            <w:gridSpan w:val="4"/>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8720" w:type="dxa"/>
            <w:vAlign w:val="bottom"/>
            <w:gridSpan w:val="20"/>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020" w:type="dxa"/>
            <w:vAlign w:val="bottom"/>
            <w:tcBorders>
              <w:bottom w:val="single" w:sz="8" w:color="EEEEEE"/>
            </w:tcBorders>
            <w:gridSpan w:val="15"/>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8380" w:type="dxa"/>
            <w:vAlign w:val="bottom"/>
            <w:tcBorders>
              <w:bottom w:val="single" w:sz="8" w:color="EEEEEE"/>
            </w:tcBorders>
            <w:gridSpan w:val="18"/>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6560" w:type="dxa"/>
            <w:vAlign w:val="bottom"/>
            <w:tcBorders>
              <w:bottom w:val="single" w:sz="8" w:color="EEEEEE"/>
            </w:tcBorders>
            <w:gridSpan w:val="8"/>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640" w:type="dxa"/>
            <w:vAlign w:val="bottom"/>
            <w:tcBorders>
              <w:bottom w:val="single" w:sz="8" w:color="EEEEEE"/>
            </w:tcBorders>
            <w:gridSpan w:val="30"/>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400" w:type="dxa"/>
            <w:vAlign w:val="bottom"/>
            <w:tcBorders>
              <w:bottom w:val="single" w:sz="8" w:color="EEEEEE"/>
            </w:tcBorders>
            <w:gridSpan w:val="29"/>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0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6800" w:type="dxa"/>
            <w:vAlign w:val="bottom"/>
            <w:gridSpan w:val="10"/>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Warrant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Warrant Shares offered hereunder. Defined terms or abbreviations used in this Prospectus Supplement that are not defined herein have the meanings ascribed thereto in the Base Shelf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Investors should rely only on the information contained or incorporated by reference in this Prospectus Supplement and the Base Shelf Prospectus. The Corporation has not authorized anyone to provide investors with different or additional information. The Warrant Shares are not being offered or sold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September 17, 2025,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Base Shelf Prospectus also forms part of the Registration Statement on Form F-10 (File No. 333-289139), which was initially filed with the SEC, under the U.S. Securities Act on July 31, 2025, as amended on September 17, 2025, utilizing the MJDS. The Registration Statement became automatically effective upon filing of the Amendment pursuant to Rule 467(a) of the U.S. Securities Act on September 17,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Unless otherwise indicated or the context otherwise indicates or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Some of the risks which could affect future results and could cause results to differ materially from those expressed in the forward-looking statements contained herein include: the net proceeds, if any, from sales under this Prospectus Supplement; the Corporation's use of proceeds and business objectives and milestones and the anticipated timing of execution, see </w:t>
      </w:r>
      <w:r>
        <w:rPr>
          <w:rFonts w:ascii="Times New Roman" w:cs="Times New Roman" w:eastAsia="Times New Roman" w:hAnsi="Times New Roman"/>
          <w:sz w:val="21"/>
          <w:szCs w:val="21"/>
          <w:i w:val="1"/>
          <w:iCs w:val="1"/>
          <w:color w:val="auto"/>
        </w:rPr>
        <w:t>"Use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Proceeds"</w:t>
      </w:r>
      <w:r>
        <w:rPr>
          <w:rFonts w:ascii="Times New Roman" w:cs="Times New Roman" w:eastAsia="Times New Roman" w:hAnsi="Times New Roman"/>
          <w:sz w:val="21"/>
          <w:szCs w:val="21"/>
          <w:color w:val="auto"/>
        </w:rPr>
        <w:t>; limited operating history; achieving publicly announced milestones; speculative nature of investment risk; early stage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decriminalization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Warrant Shares is highly speculative; negative operating cash flow; discretion in the use of proceeds; need for additional financing; potential dilution; trading market; significant sales of Common Shares; positive return not guaranteed; application and interpretation of tax laws; enforcement of civil liabilities; and the Corporation's expectation that it will be a "passive foreign investment company"; speculative nature of Warrants.</w:t>
      </w:r>
    </w:p>
    <w:p>
      <w:pPr>
        <w:spacing w:after="0" w:line="3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660" w:hanging="328"/>
        <w:spacing w:after="0" w:line="242" w:lineRule="auto"/>
        <w:tabs>
          <w:tab w:leader="none" w:pos="68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hanging="328"/>
        <w:spacing w:after="0" w:line="230" w:lineRule="auto"/>
        <w:tabs>
          <w:tab w:leader="none" w:pos="68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the United Kingdom, Canada, the Netherlands, Ireland and other jurisdictions in which the Corporation operates.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are incorporated by reference in this Prospectus Supplement:</w:t>
      </w:r>
    </w:p>
    <w:p>
      <w:pPr>
        <w:spacing w:after="0" w:line="138" w:lineRule="exact"/>
        <w:rPr>
          <w:sz w:val="20"/>
          <w:szCs w:val="20"/>
          <w:color w:val="auto"/>
        </w:rPr>
      </w:pPr>
    </w:p>
    <w:p>
      <w:pPr>
        <w:ind w:left="520" w:right="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27"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09" w:lineRule="exact"/>
        <w:rPr>
          <w:rFonts w:ascii="Times New Roman" w:cs="Times New Roman" w:eastAsia="Times New Roman" w:hAnsi="Times New Roman"/>
          <w:sz w:val="22"/>
          <w:szCs w:val="22"/>
          <w:color w:val="auto"/>
        </w:rPr>
      </w:pPr>
    </w:p>
    <w:p>
      <w:pPr>
        <w:jc w:val="both"/>
        <w:ind w:left="520" w:hanging="256"/>
        <w:spacing w:after="0" w:line="241"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(the "</w:t>
      </w:r>
      <w:r>
        <w:rPr>
          <w:rFonts w:ascii="Times New Roman" w:cs="Times New Roman" w:eastAsia="Times New Roman" w:hAnsi="Times New Roman"/>
          <w:sz w:val="22"/>
          <w:szCs w:val="22"/>
          <w:b w:val="1"/>
          <w:bCs w:val="1"/>
          <w:color w:val="auto"/>
        </w:rPr>
        <w:t>June 2025 Private Placement</w:t>
      </w:r>
      <w:r>
        <w:rPr>
          <w:rFonts w:ascii="Times New Roman" w:cs="Times New Roman" w:eastAsia="Times New Roman" w:hAnsi="Times New Roman"/>
          <w:sz w:val="22"/>
          <w:szCs w:val="22"/>
          <w:color w:val="auto"/>
        </w:rPr>
        <w:t>") completed by the Corporation on June 30, 2025, of US$50,000,000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ind w:left="520" w:hanging="256"/>
        <w:spacing w:after="0" w:line="259"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In addition, the Corporation may incorporate by reference into the Registration Statement, of which this Prospectus Supplement and the Base Shelf Prospectus forms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-26670</wp:posOffset>
            </wp:positionV>
            <wp:extent cx="34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from the Corporation's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The Corporation's filings through SEDAR+ and EDGAR are not incorporated by reference in the Prospectus except as specifically set out herein.</w:t>
      </w:r>
    </w:p>
    <w:p>
      <w:pPr>
        <w:spacing w:after="0" w:line="1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The Corporation has not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and (iii) the consent of the Corporation's Canadian counsel, Aird &amp; Berlis LLP.</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23"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360" w:type="dxa"/>
            <w:vAlign w:val="bottom"/>
            <w:tcBorders>
              <w:bottom w:val="single" w:sz="8" w:color="E6EFFF"/>
            </w:tcBorders>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 2025</w:t>
            </w:r>
          </w:p>
        </w:tc>
      </w:tr>
      <w:tr>
        <w:trPr>
          <w:trHeight w:val="210"/>
        </w:trPr>
        <w:tc>
          <w:tcPr>
            <w:tcW w:w="536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25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C$1.4603</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C$1.3460</w:t>
            </w:r>
          </w:p>
        </w:tc>
      </w:tr>
      <w:tr>
        <w:trPr>
          <w:trHeight w:val="216"/>
        </w:trPr>
        <w:tc>
          <w:tcPr>
            <w:tcW w:w="536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25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C$1.3913</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C$1.4376</w:t>
            </w:r>
          </w:p>
        </w:tc>
      </w:tr>
    </w:tbl>
    <w:p>
      <w:pPr>
        <w:spacing w:after="0" w:line="13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On September 16, 2025, the daily average exchange rate posted by the Bank of Canada for conversion of U.S. dollars into Canadian dollars was US$1.00 = C$1.3748 (the “</w:t>
      </w:r>
      <w:r>
        <w:rPr>
          <w:rFonts w:ascii="Times New Roman" w:cs="Times New Roman" w:eastAsia="Times New Roman" w:hAnsi="Times New Roman"/>
          <w:sz w:val="22"/>
          <w:szCs w:val="22"/>
          <w:b w:val="1"/>
          <w:bCs w:val="1"/>
          <w:color w:val="auto"/>
        </w:rPr>
        <w:t>2025 Rate</w:t>
      </w:r>
      <w:r>
        <w:rPr>
          <w:rFonts w:ascii="Times New Roman" w:cs="Times New Roman" w:eastAsia="Times New Roman" w:hAnsi="Times New Roman"/>
          <w:sz w:val="22"/>
          <w:szCs w:val="22"/>
          <w:color w:val="auto"/>
        </w:rPr>
        <w:t>”). Unless otherwise indicated, currency translation in this Prospectus Supplement reflects the 2025 Rate.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Warrant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Warrant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Warrant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and tryptamine derivatives, and an expansive list of preclinical molecules to facilitate future drug development opportunities.</w:t>
      </w:r>
    </w:p>
    <w:p>
      <w:pPr>
        <w:spacing w:after="0" w:line="1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Cybin Corp. being the resulting entity. As a result of this amalgamation, Cybin UK Ltd is now a wholly-owned subsidiary of Cybin Corp.</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100 granted patents and over 250 pending applications.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active pharmaceutical ingredients intended to be delivered through innovative drug delivery systems including via inhalation,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8"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line="200"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491"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and neurological conditions.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Annual Information Form and Interim MD&amp;A incorporated by reference into this Prospectus Supplement.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August 13, 2025, the date of the Corporation's most recently issued Interim Financial Statements and Interim MD&amp;A.</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7</w:t>
      </w:r>
      <w:r>
        <w:rPr>
          <w:rFonts w:ascii="Times New Roman" w:cs="Times New Roman" w:eastAsia="Times New Roman" w:hAnsi="Times New Roman"/>
          <w:sz w:val="22"/>
          <w:szCs w:val="22"/>
          <w:color w:val="auto"/>
        </w:rPr>
        <w:t xml:space="preserve"> There is no assurance that this timeline will be met. See footnote 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1648460</wp:posOffset>
            </wp:positionH>
            <wp:positionV relativeFrom="page">
              <wp:posOffset>88900</wp:posOffset>
            </wp:positionV>
            <wp:extent cx="4251960" cy="2820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251960"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is authorized to issue an unlimited number of Common Shares and an unlimited number of preferred shares. As at September 16, 2025, the Corporation had 25,188,217 Common Shares and nil preferred shares issued and outstanding. On September 19, 2024, the Corporation completed the Consolidation whereby the outstanding Common Shares were consolidated on the basis of one new Common Share for every 38 existing Common Shares.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 Distributed - Common Shares"</w:t>
      </w:r>
      <w:r>
        <w:rPr>
          <w:rFonts w:ascii="Times New Roman" w:cs="Times New Roman" w:eastAsia="Times New Roman" w:hAnsi="Times New Roman"/>
          <w:sz w:val="22"/>
          <w:szCs w:val="22"/>
          <w:color w:val="auto"/>
        </w:rPr>
        <w:t xml:space="preserve"> in the Base Shelf Prospectus.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Warrant Shares are Common Shares and therefore have all of the rights, privileges, restrictions and conditions of other Common Shares of the Corporation. 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will receive all proceeds of the Warrant Exercise Price per whole Warrant Share (after giving effect to the Consolidation) upon issuance of the Warrant Shares upon any exercise of the Warrants from time to time. Assuming that all of the Warrants are exercised prior to the Warrant Expiry Date for cash and that no adjustment based on anti-dilution provisions contained in the Warrant Certificate has taken place, the proceeds to the Corporation will be US$33,999,981.30. There is no assurance as to how many Warrants will be exercised, if any. Accordingly, there is no assurance as to how many Warrant Shares will be issued pursuant to this Prospectus Supplement, if any, or the proceeds of such offering. It is currently anticipated that the net proceeds received from the exercise of Warrants will be used for general corporate and working capital purposes.</w:t>
      </w:r>
    </w:p>
    <w:p>
      <w:pPr>
        <w:spacing w:after="0" w:line="1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use of the net proceeds is subject to change due to the influence of many evolving variables, including those as described under </w:t>
      </w:r>
      <w:r>
        <w:rPr>
          <w:rFonts w:ascii="Times New Roman" w:cs="Times New Roman" w:eastAsia="Times New Roman" w:hAnsi="Times New Roman"/>
          <w:sz w:val="22"/>
          <w:szCs w:val="22"/>
          <w:i w:val="1"/>
          <w:iCs w:val="1"/>
          <w:color w:val="auto"/>
        </w:rPr>
        <w:t>"Stage of Development - Non-Revenue Generating Projects"</w:t>
      </w:r>
      <w:r>
        <w:rPr>
          <w:rFonts w:ascii="Times New Roman" w:cs="Times New Roman" w:eastAsia="Times New Roman" w:hAnsi="Times New Roman"/>
          <w:sz w:val="22"/>
          <w:szCs w:val="22"/>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Times New Roman" w:cs="Times New Roman" w:eastAsia="Times New Roman" w:hAnsi="Times New Roman"/>
          <w:sz w:val="22"/>
          <w:szCs w:val="22"/>
          <w:i w:val="1"/>
          <w:iCs w:val="1"/>
          <w:color w:val="auto"/>
        </w:rPr>
        <w:t>"Cautionary Statement Regarding Forward-Looking Statements"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Times New Roman" w:cs="Times New Roman" w:eastAsia="Times New Roman" w:hAnsi="Times New Roman"/>
          <w:sz w:val="22"/>
          <w:szCs w:val="22"/>
          <w:i w:val="1"/>
          <w:iCs w:val="1"/>
          <w:color w:val="auto"/>
        </w:rPr>
        <w:t>“Risk Factors – Risk Factors Related to the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Discretion in the Use of Proceeds”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 Factors Related to the Offering - Negative Operating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Flow”.</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Interim MD&amp;A, to which there has been no material changes since the date of the applicable document.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ind w:left="80" w:right="20"/>
        <w:spacing w:after="0" w:line="244" w:lineRule="auto"/>
        <w:rPr>
          <w:sz w:val="20"/>
          <w:szCs w:val="20"/>
          <w:color w:val="auto"/>
        </w:rPr>
      </w:pPr>
      <w:r>
        <w:rPr>
          <w:rFonts w:ascii="Times New Roman" w:cs="Times New Roman" w:eastAsia="Times New Roman" w:hAnsi="Times New Roman"/>
          <w:sz w:val="22"/>
          <w:szCs w:val="22"/>
          <w:color w:val="auto"/>
        </w:rPr>
        <w:t xml:space="preserve">As of September 16, 2025, the Corporation had 25,188,217 Common Shares issued and outstanding. There have been no material changes in the Corporation’s share or loan capitalization on a consolidated basis since the date of the Interim Financial Statements, other than as described further below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left="80"/>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Corporation's cash, indebtedness and shareholders' equity as of June 30, 2025: (a) on an actual basis; and (b) after giving effect to the Offering (assuming all Warrants are exercised prior to the Warrant Expiry Date for cash and that no adjustment based on anti-dilution provisions contained in the Warrant Certificates have taken place). This table should be read in conjunction with the Interim Financial Statements and Interim MD&amp;A. All figures in the table below related to securities are 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r>
              <w:rPr>
                <w:rFonts w:ascii="Times New Roman" w:cs="Times New Roman" w:eastAsia="Times New Roman" w:hAnsi="Times New Roman"/>
                <w:sz w:val="29"/>
                <w:szCs w:val="29"/>
                <w:b w:val="1"/>
                <w:bCs w:val="1"/>
                <w:color w:val="auto"/>
                <w:vertAlign w:val="superscript"/>
              </w:rPr>
              <w:t>(1)</w:t>
            </w: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As at June 30, 2025, after</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20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giving effect to the Offering</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E6EFFF"/>
          </w:tcPr>
          <w:p>
            <w:pPr>
              <w:spacing w:after="0"/>
              <w:rPr>
                <w:sz w:val="18"/>
                <w:szCs w:val="18"/>
                <w:color w:val="auto"/>
              </w:rPr>
            </w:pPr>
          </w:p>
        </w:tc>
        <w:tc>
          <w:tcPr>
            <w:tcW w:w="32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E6EFFF"/>
          </w:tcPr>
          <w:p>
            <w:pPr>
              <w:spacing w:after="0"/>
              <w:rPr>
                <w:sz w:val="18"/>
                <w:szCs w:val="18"/>
                <w:color w:val="auto"/>
              </w:rPr>
            </w:pPr>
          </w:p>
        </w:tc>
        <w:tc>
          <w:tcPr>
            <w:tcW w:w="24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US$118,692,000</w:t>
            </w:r>
          </w:p>
        </w:tc>
        <w:tc>
          <w:tcPr>
            <w:tcW w:w="260" w:type="dxa"/>
            <w:vAlign w:val="bottom"/>
            <w:shd w:val="clear" w:color="auto" w:fill="E6EFFF"/>
          </w:tcPr>
          <w:p>
            <w:pPr>
              <w:spacing w:after="0"/>
              <w:rPr>
                <w:sz w:val="18"/>
                <w:szCs w:val="18"/>
                <w:color w:val="auto"/>
              </w:rPr>
            </w:pPr>
          </w:p>
        </w:tc>
        <w:tc>
          <w:tcPr>
            <w:tcW w:w="2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US$152,691,981.30</w:t>
            </w:r>
          </w:p>
        </w:tc>
        <w:tc>
          <w:tcPr>
            <w:tcW w:w="1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6EFFF"/>
          </w:tcPr>
          <w:p>
            <w:pPr>
              <w:spacing w:after="0"/>
              <w:rPr>
                <w:sz w:val="18"/>
                <w:szCs w:val="18"/>
                <w:color w:val="auto"/>
              </w:rPr>
            </w:pPr>
          </w:p>
        </w:tc>
        <w:tc>
          <w:tcPr>
            <w:tcW w:w="32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700" w:type="dxa"/>
            <w:vAlign w:val="bottom"/>
            <w:gridSpan w:val="2"/>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23,023,631</w:t>
            </w:r>
          </w:p>
        </w:tc>
        <w:tc>
          <w:tcPr>
            <w:tcW w:w="2800" w:type="dxa"/>
            <w:vAlign w:val="bottom"/>
            <w:gridSpan w:val="2"/>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24,778,016</w:t>
            </w:r>
          </w:p>
        </w:tc>
        <w:tc>
          <w:tcPr>
            <w:tcW w:w="1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7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3,945,916</w:t>
            </w:r>
          </w:p>
        </w:tc>
        <w:tc>
          <w:tcPr>
            <w:tcW w:w="28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3,945,916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E6EFFF"/>
          </w:tcPr>
          <w:p>
            <w:pPr>
              <w:spacing w:after="0"/>
              <w:rPr>
                <w:sz w:val="22"/>
                <w:szCs w:val="22"/>
                <w:color w:val="auto"/>
              </w:rPr>
            </w:pPr>
          </w:p>
        </w:tc>
        <w:tc>
          <w:tcPr>
            <w:tcW w:w="32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2700" w:type="dxa"/>
            <w:vAlign w:val="bottom"/>
            <w:gridSpan w:val="2"/>
            <w:shd w:val="clear" w:color="auto" w:fill="E6EFFF"/>
          </w:tcPr>
          <w:p>
            <w:pPr>
              <w:jc w:val="center"/>
              <w:ind w:left="190"/>
              <w:spacing w:after="0" w:line="256" w:lineRule="exact"/>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(2)</w:t>
            </w:r>
          </w:p>
        </w:tc>
        <w:tc>
          <w:tcPr>
            <w:tcW w:w="2800" w:type="dxa"/>
            <w:vAlign w:val="bottom"/>
            <w:gridSpan w:val="2"/>
            <w:shd w:val="clear" w:color="auto" w:fill="E6EFFF"/>
          </w:tcPr>
          <w:p>
            <w:pPr>
              <w:jc w:val="center"/>
              <w:ind w:left="170"/>
              <w:spacing w:after="0" w:line="256" w:lineRule="exact"/>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(2)</w:t>
            </w:r>
          </w:p>
        </w:tc>
        <w:tc>
          <w:tcPr>
            <w:tcW w:w="180" w:type="dxa"/>
            <w:vAlign w:val="bottom"/>
            <w:shd w:val="clear" w:color="auto" w:fill="E6EFFF"/>
          </w:tcPr>
          <w:p>
            <w:pPr>
              <w:spacing w:after="0"/>
              <w:rPr>
                <w:sz w:val="22"/>
                <w:szCs w:val="2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80" w:hanging="4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table does not give effect to issuances of Common Shares or other securities that occurred after June 30, 2025.</w:t>
      </w:r>
    </w:p>
    <w:p>
      <w:pPr>
        <w:spacing w:after="0" w:line="14" w:lineRule="exact"/>
        <w:rPr>
          <w:rFonts w:ascii="Times New Roman" w:cs="Times New Roman" w:eastAsia="Times New Roman" w:hAnsi="Times New Roman"/>
          <w:sz w:val="22"/>
          <w:szCs w:val="22"/>
          <w:color w:val="auto"/>
        </w:rPr>
      </w:pPr>
    </w:p>
    <w:p>
      <w:pPr>
        <w:jc w:val="both"/>
        <w:ind w:left="940" w:hanging="392"/>
        <w:spacing w:after="0" w:line="234" w:lineRule="auto"/>
        <w:tabs>
          <w:tab w:leader="none" w:pos="9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Prospectus Supplement relates to: (i) up to 1,754,385 Warrant Shares, issuable from time to time upon the exercise of up to 66,666,667 Warrants expected to be issued by the Corporation pursuant to the Offering; and (ii) such indeterminate number of Anti-Dilution Warrant Shares that may be issuable by reason of the anti-dilution provisions contained in the Warrant Certificate.</w:t>
      </w:r>
    </w:p>
    <w:p>
      <w:pPr>
        <w:spacing w:after="0" w:line="1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Warrants will not be issued under a warrant indenture and will be represented and governed by the provisions of the stand-alone Warrant Certificates. The following is a brief summary of the material terms of the Warrants. This summary does not purport to be complete and is qualified in all respects by the provisions contained in the form of certificate representing and governing the Warrants.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Each Warrant will entitle the holder thereof to acquire, subject to adjustment in certain circumstances, one thirty-eighth (1/38</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of a Warrant Share at the Warrant Exercise Price per whole Warrant Share (after giving effect to the Consolidation) until the Warrant Expiry Date. If, at any time prior to the Warrant Expiry Date, upon any consecutive twenty (20) day trading period, the Common Shares on the NYSE American (or such other principal exchange or market on which the Common Shares are listed and posted for trading) trade at a volume-weighted average price that is equal to or greater than US$57.00 per Common Share for each of such trading day with aggregate trading volume during the same period of at least 1,052,632 Common Shares, the Corporation shall have the right, but not the obligation, to accelerate the Warrant Expiry Date of the Warrants to the date that is thirty (30) days following the delivery of a notice to the holders of the Warrants, pursuant to the terms of the Warrant Certificate.</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Unless otherwise specified in the applicable Warrant Certificate, the holder will not have the right to exercise any portion of the Warrant if the holder (together with its affiliates) would beneficially own in excess of 4.99% of the number of Common Shares outstanding immediately after giving effect to the exercise, as such percentage ownership is determined in accordance with the terms of the Warrants. By written notice to the Corporation and subject to certain conditions, the holder may increase or decrease the foregoing percentage to any other percentage not in excess of 9.99%.</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at any time during the exercise period of the Warrant, a prospectus or registration statement covering the Warrant Shares issuable upon exercise of the Warrant that are the subject of such exercise notice is not available for the sale of such Warrant Shares, then in lieu of making the cash payment otherwise contemplated to be made to the Corporation upon such exercise in payment of the aggregate exercise price, the Warrant may be exercised by an election of the holder to receive upon such exercise the "net number" of Warrant Shares determined according to a formula set forth in the Warrant Certificate.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Subject to applicable laws, the Warrants may be transferred at the option of the holders upon surrender of the Warrant Certificate to the Corporation.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The Warrant Certificate provides for certain adjustment in the number of Warrant Shares issuable upon the exercise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Warrants and/or the exercise price per Warrant Share upon the occurrence of certain events, including, but not limited to:</w:t>
      </w:r>
    </w:p>
    <w:p>
      <w:pPr>
        <w:spacing w:after="0" w:line="142" w:lineRule="exact"/>
        <w:rPr>
          <w:sz w:val="20"/>
          <w:szCs w:val="20"/>
          <w:color w:val="auto"/>
        </w:rPr>
      </w:pPr>
    </w:p>
    <w:p>
      <w:pPr>
        <w:jc w:val="both"/>
        <w:ind w:left="660" w:hanging="328"/>
        <w:spacing w:after="0" w:line="244" w:lineRule="auto"/>
        <w:tabs>
          <w:tab w:leader="none" w:pos="6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Shares or securities exchangeable for or convertible into Common Shares to all or substantially all of the holders of the Common Shares as a stock dividend or other distribution (other than a distribution of Common Shares upon the exercise of Warrants);</w:t>
      </w:r>
    </w:p>
    <w:p>
      <w:pPr>
        <w:spacing w:after="0" w:line="146"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subdivision, redivision or change of the Common Shares into a greater number of shares;</w:t>
      </w:r>
    </w:p>
    <w:p>
      <w:pPr>
        <w:spacing w:after="0" w:line="165"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reduction, combination or consolidation of the Common Shares into a lesser number of shares;</w:t>
      </w:r>
    </w:p>
    <w:p>
      <w:pPr>
        <w:spacing w:after="0" w:line="165"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7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issuance or sale to all or substantially all of the holders of the Common Shares of rights, options or warrants under which such holders are entitled to subscribe for or purchase Common Shares, or securities exchangeable for or convertible into Common Shares; and</w:t>
      </w:r>
    </w:p>
    <w:p>
      <w:pPr>
        <w:spacing w:after="0" w:line="146" w:lineRule="exact"/>
        <w:rPr>
          <w:rFonts w:ascii="Times New Roman" w:cs="Times New Roman" w:eastAsia="Times New Roman" w:hAnsi="Times New Roman"/>
          <w:sz w:val="22"/>
          <w:szCs w:val="22"/>
          <w:color w:val="auto"/>
        </w:rPr>
      </w:pPr>
    </w:p>
    <w:p>
      <w:pPr>
        <w:jc w:val="both"/>
        <w:ind w:left="660" w:hanging="328"/>
        <w:spacing w:after="0" w:line="255" w:lineRule="auto"/>
        <w:tabs>
          <w:tab w:leader="none" w:pos="70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or distribution to all or substantially all of the holders of the Common Shares of the Corporation's assets (or rights to acquire its assets) by way of return of capital or otherwise, including, without limitation, any distribution of cash, shares of any class other than the Common Shares, rights, options or warrants to acquire Common Shares or securities exchangeable or convertible into Common Shares, of evidences of indebtedness, or any property or other assets.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Warrant Certificate also provides for adjustments in the class and/or number of securities issuable upon exercise of the Warrants and/or exercise price per security in the event of the following events: (a) the Corporation, directly or indirectly, in one or more related transactions effects any merger or consolidation of the Corporation with or into another corporation or other entity, (b) the Corporation, directly or indirectly, effects any sale, lease, license, assignment, transfer, conveyance or other disposition of all or substantially all of its assets in one or a series of related transactions, (c) any, direct or indirect, purchase offer, tender offer or exchange offer (whether by the Corporation or another corporation or entity) is completed pursuant to which holders of Common Shares are permitted to sell, tender or exchange their shares for other securities, cash or property and has been accepted by the holders of 50% or more of the outstanding Common Shares, (d) the Corporation,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 (e) the Corporation, directly or indirectly, in one or more related transactions consummates a stock or share purchase agreement or other business combination (including, without limitation, a reorganization, recapitalization, spin-off, merger or scheme of arrangement) with another corporation or entity whereby such other corporation or entity or group acquires more than 50% of the outstanding Common Shares (not including any Common Shares held by the other corporation or entity making or party to, or associated or affiliated with the other corporation or entity making or party to, such stock or share purchase agreement or other business combination),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also covenants in the Warrant Certificate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five (5) days prior to the record date or effective date, as the case may be, of such events.</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 fractional Common Shares will be issuable to any holder of Warrants upon the exercise thereof. As to any fraction of a Common Share which the holder would otherwise be entitled to purchase upon such exercise, the Corporation shall, at its election, either pay a cash adjustment in respect of such fraction in an amount equal to such fraction multiplied by the Warrant Exercise Price or round up to the next whole Common Share. The holding of Warrants will not make the holder thereof a shareholder of the Corporation or entitle such holder to any right or interest in respect of the Warrants except as expressly provided in the Warrant Certificate. Holders of Warrants will not have any voting or pre-emptive rights or any other rights of a holder of Common Shares.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22"/>
          <w:szCs w:val="22"/>
          <w:color w:val="auto"/>
        </w:rPr>
        <w:t>In no event may the exercise price of or the number of Warrant Shares subject to any Warrant be amended, nor may the right to exercise that Warrant be waived, without the written consent of the holder of that Warrant.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Warrants will not be listed for trading on any stock exchange or market quotation system.</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Warrants were initially qualified for distribution by the 2023 Prospectus Supplement to the 2023 Base Prospectus, filed with the securities commission in the province of Ontario, and, in connection therewith, the U.S. 2023 Prospectus Supplement to its Prior Registration Statement filed with the SEC relating to the Unit Offering, pursuant to which the Corporation qualified the distribution of 66,666,667 Units at a price of US$0.45 per Unit pursuant to the terms of the underwriting agreement entered into between the Corporation and the Underwriter on November 10, 2023. The Unit Offering was completed on November 14, 2023. The Warrant Exercise Price was determined by negotiation between the Corporation and the Underwriter.</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2023 Prospectus Supplement in order to maintain the registration of the Offering of the Warrant Shares under the U.S. Securities Act, beyond the expiry date of the 2023 Base Prospectus under Canadian rules.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listed the Warrant Shares offered by this Prospectus Supplement on Cboe Canada and the NYSE American. The Warrants are not listed on Cboe Canada or the NYSE American. There is currently no market through which the Warrants may be sold and purchasers may not be able to resell the Warrants purchased under the Offering. This may affect the pricing of the securities in the secondary market, the transparency and availability of trading prices, the liquidity of the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This Prospectus Supplement registers the offering of the securities to which it relates under the U.S. Securities Act in accordance with the MJDS. This Prospectus Supplement does not qualify in any of the provinces or territories of Canada the distribution of the Warrant Shares to which it relates. The Warrant Shares to which this Prospectus Supplement relates will be sold directly by the Corporation to holders of Warrants upon any exercise of such Warrants. No underwriters, dealers or agents have been involved in the preparation of this Prospectus Supplement or the Base Shelf Prospectus, nor will be involved in these sales.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Cboe Canada and the NYSE American under the symbol "CYBN". The following table sets forth the reported monthly range of high and low prices per Common Share and total monthly volumes traded on Cboe Canada and the NYSE American for each of the months indicated during the 12-month period prior to the date of this Prospectus Supplement.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Cboe Canada Price Range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7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September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14.43</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9.25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622,414</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October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15.95</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234,904</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19.46</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12.88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658,562</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December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15.50</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272,739</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January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15.55</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12.45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204,121</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February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15.27</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11.15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302,579</w:t>
            </w:r>
          </w:p>
        </w:tc>
      </w:tr>
      <w:tr>
        <w:trPr>
          <w:trHeight w:val="216"/>
        </w:trPr>
        <w:tc>
          <w:tcPr>
            <w:tcW w:w="152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12.14</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8.91</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174,695</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April 2025</w:t>
            </w:r>
          </w:p>
        </w:tc>
        <w:tc>
          <w:tcPr>
            <w:tcW w:w="23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11.12</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6.95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223,736</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May 2025</w:t>
            </w:r>
          </w:p>
        </w:tc>
        <w:tc>
          <w:tcPr>
            <w:tcW w:w="2340" w:type="dxa"/>
            <w:vAlign w:val="bottom"/>
            <w:shd w:val="clear" w:color="auto" w:fill="E6EFFF"/>
          </w:tcPr>
          <w:p>
            <w:pPr>
              <w:jc w:val="right"/>
              <w:ind w:right="890"/>
              <w:spacing w:after="0"/>
              <w:rPr>
                <w:sz w:val="20"/>
                <w:szCs w:val="20"/>
                <w:color w:val="auto"/>
              </w:rPr>
            </w:pPr>
            <w:r>
              <w:rPr>
                <w:rFonts w:ascii="Times New Roman" w:cs="Times New Roman" w:eastAsia="Times New Roman" w:hAnsi="Times New Roman"/>
                <w:sz w:val="18"/>
                <w:szCs w:val="18"/>
                <w:color w:val="auto"/>
              </w:rPr>
              <w:t>11.74</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8.40</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217,266</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June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12.56</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9.85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189,178</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July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12.18</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9.98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261,253</w:t>
            </w:r>
          </w:p>
        </w:tc>
      </w:tr>
      <w:tr>
        <w:trPr>
          <w:trHeight w:val="216"/>
        </w:trPr>
        <w:tc>
          <w:tcPr>
            <w:tcW w:w="3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August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8.80</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229,553</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(1-16)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10.33</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8.04</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251,663</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760" w:hanging="392"/>
        <w:spacing w:after="0" w:line="258" w:lineRule="auto"/>
        <w:tabs>
          <w:tab w:leader="none" w:pos="7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Cboe Canada was C$8.32.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NYSE American Price Range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1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10.628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5,478,558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11.6597</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3,140,648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9.1612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12,981,742</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10.7199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8,083,405</w:t>
            </w:r>
          </w:p>
        </w:tc>
      </w:tr>
      <w:tr>
        <w:trPr>
          <w:trHeight w:val="216"/>
        </w:trPr>
        <w:tc>
          <w:tcPr>
            <w:tcW w:w="154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E6EFFF"/>
          </w:tcPr>
          <w:p>
            <w:pPr>
              <w:spacing w:after="0"/>
              <w:rPr>
                <w:sz w:val="18"/>
                <w:szCs w:val="18"/>
                <w:color w:val="auto"/>
              </w:rPr>
            </w:pP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8.4747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6.20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3,701,307</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July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7.26</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11,021,801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6.3637</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September (1-16)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5.81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8,649,057</w:t>
            </w:r>
          </w:p>
        </w:tc>
      </w:tr>
    </w:tbl>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760" w:hanging="392"/>
        <w:spacing w:after="0" w:line="237" w:lineRule="auto"/>
        <w:tabs>
          <w:tab w:leader="none" w:pos="7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8" w:name="page19"/>
    <w:bookmarkEnd w:id="18"/>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the NYSE American was US$6.04.</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ectPr>
          <w:pgSz w:w="11900" w:h="16838" w:orient="portrait"/>
          <w:cols w:equalWidth="0" w:num="1">
            <w:col w:w="11240"/>
          </w:cols>
          <w:pgMar w:left="320" w:top="53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Date of Issuance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November 27, 2024</w:t>
      </w:r>
    </w:p>
    <w:p>
      <w:pPr>
        <w:ind w:left="620"/>
        <w:spacing w:after="0" w:line="208" w:lineRule="auto"/>
        <w:rPr>
          <w:sz w:val="20"/>
          <w:szCs w:val="20"/>
          <w:color w:val="auto"/>
        </w:rPr>
      </w:pPr>
      <w:r>
        <w:rPr>
          <w:rFonts w:ascii="Times New Roman" w:cs="Times New Roman" w:eastAsia="Times New Roman" w:hAnsi="Times New Roman"/>
          <w:sz w:val="17"/>
          <w:szCs w:val="17"/>
          <w:color w:val="auto"/>
        </w:rPr>
        <w:t>January 21, 2025</w:t>
      </w:r>
      <w:r>
        <w:rPr>
          <w:rFonts w:ascii="Times New Roman" w:cs="Times New Roman" w:eastAsia="Times New Roman" w:hAnsi="Times New Roman"/>
          <w:sz w:val="28"/>
          <w:szCs w:val="28"/>
          <w:color w:val="auto"/>
          <w:vertAlign w:val="superscript"/>
        </w:rPr>
        <w:t>(3)</w:t>
      </w:r>
    </w:p>
    <w:p>
      <w:pPr>
        <w:ind w:left="620"/>
        <w:spacing w:after="0" w:line="192" w:lineRule="auto"/>
        <w:rPr>
          <w:sz w:val="20"/>
          <w:szCs w:val="20"/>
          <w:color w:val="auto"/>
        </w:rPr>
      </w:pPr>
      <w:r>
        <w:rPr>
          <w:rFonts w:ascii="Times New Roman" w:cs="Times New Roman" w:eastAsia="Times New Roman" w:hAnsi="Times New Roman"/>
          <w:sz w:val="17"/>
          <w:szCs w:val="17"/>
          <w:color w:val="auto"/>
        </w:rPr>
        <w:t>January 22,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January 23,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January 24,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January 27,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January 29, 2025</w:t>
      </w:r>
      <w:r>
        <w:rPr>
          <w:rFonts w:ascii="Times New Roman" w:cs="Times New Roman" w:eastAsia="Times New Roman" w:hAnsi="Times New Roman"/>
          <w:sz w:val="28"/>
          <w:szCs w:val="28"/>
          <w:color w:val="auto"/>
          <w:vertAlign w:val="superscript"/>
        </w:rPr>
        <w:t>(3)</w:t>
      </w:r>
    </w:p>
    <w:p>
      <w:pPr>
        <w:ind w:left="620"/>
        <w:spacing w:after="0" w:line="192" w:lineRule="auto"/>
        <w:rPr>
          <w:sz w:val="20"/>
          <w:szCs w:val="20"/>
          <w:color w:val="auto"/>
        </w:rPr>
      </w:pPr>
      <w:r>
        <w:rPr>
          <w:rFonts w:ascii="Times New Roman" w:cs="Times New Roman" w:eastAsia="Times New Roman" w:hAnsi="Times New Roman"/>
          <w:sz w:val="17"/>
          <w:szCs w:val="17"/>
          <w:color w:val="auto"/>
        </w:rPr>
        <w:t>January 30,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January 31,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February 3,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February 4,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February 5, 2025</w:t>
      </w:r>
      <w:r>
        <w:rPr>
          <w:rFonts w:ascii="Times New Roman" w:cs="Times New Roman" w:eastAsia="Times New Roman" w:hAnsi="Times New Roman"/>
          <w:sz w:val="28"/>
          <w:szCs w:val="28"/>
          <w:color w:val="auto"/>
          <w:vertAlign w:val="superscript"/>
        </w:rPr>
        <w:t>(3)</w:t>
      </w:r>
    </w:p>
    <w:p>
      <w:pPr>
        <w:ind w:left="620"/>
        <w:spacing w:after="0" w:line="192" w:lineRule="auto"/>
        <w:rPr>
          <w:sz w:val="20"/>
          <w:szCs w:val="20"/>
          <w:color w:val="auto"/>
        </w:rPr>
      </w:pPr>
      <w:r>
        <w:rPr>
          <w:rFonts w:ascii="Times New Roman" w:cs="Times New Roman" w:eastAsia="Times New Roman" w:hAnsi="Times New Roman"/>
          <w:sz w:val="17"/>
          <w:szCs w:val="17"/>
          <w:color w:val="auto"/>
        </w:rPr>
        <w:t>February 6, 2025</w:t>
      </w:r>
      <w:r>
        <w:rPr>
          <w:rFonts w:ascii="Times New Roman" w:cs="Times New Roman" w:eastAsia="Times New Roman" w:hAnsi="Times New Roman"/>
          <w:sz w:val="28"/>
          <w:szCs w:val="28"/>
          <w:color w:val="auto"/>
          <w:vertAlign w:val="superscript"/>
        </w:rPr>
        <w:t>(3)</w:t>
      </w:r>
    </w:p>
    <w:p>
      <w:pPr>
        <w:ind w:left="620"/>
        <w:spacing w:after="0" w:line="191" w:lineRule="auto"/>
        <w:rPr>
          <w:sz w:val="20"/>
          <w:szCs w:val="20"/>
          <w:color w:val="auto"/>
        </w:rPr>
      </w:pPr>
      <w:r>
        <w:rPr>
          <w:rFonts w:ascii="Times New Roman" w:cs="Times New Roman" w:eastAsia="Times New Roman" w:hAnsi="Times New Roman"/>
          <w:sz w:val="17"/>
          <w:szCs w:val="17"/>
          <w:color w:val="auto"/>
        </w:rPr>
        <w:t>February 7, 2025</w:t>
      </w:r>
      <w:r>
        <w:rPr>
          <w:rFonts w:ascii="Times New Roman" w:cs="Times New Roman" w:eastAsia="Times New Roman" w:hAnsi="Times New Roman"/>
          <w:sz w:val="28"/>
          <w:szCs w:val="28"/>
          <w:color w:val="auto"/>
          <w:vertAlign w:val="superscript"/>
        </w:rPr>
        <w:t>(3)</w:t>
      </w:r>
    </w:p>
    <w:p>
      <w:pPr>
        <w:ind w:left="580"/>
        <w:spacing w:after="0" w:line="191" w:lineRule="auto"/>
        <w:rPr>
          <w:sz w:val="20"/>
          <w:szCs w:val="20"/>
          <w:color w:val="auto"/>
        </w:rPr>
      </w:pPr>
      <w:r>
        <w:rPr>
          <w:rFonts w:ascii="Times New Roman" w:cs="Times New Roman" w:eastAsia="Times New Roman" w:hAnsi="Times New Roman"/>
          <w:sz w:val="17"/>
          <w:szCs w:val="17"/>
          <w:color w:val="auto"/>
        </w:rPr>
        <w:t>February 10, 2025</w:t>
      </w:r>
      <w:r>
        <w:rPr>
          <w:rFonts w:ascii="Times New Roman" w:cs="Times New Roman" w:eastAsia="Times New Roman" w:hAnsi="Times New Roman"/>
          <w:sz w:val="28"/>
          <w:szCs w:val="28"/>
          <w:color w:val="auto"/>
          <w:vertAlign w:val="superscript"/>
        </w:rPr>
        <w:t>(4)</w:t>
      </w:r>
    </w:p>
    <w:p>
      <w:pPr>
        <w:ind w:left="580"/>
        <w:spacing w:after="0" w:line="191" w:lineRule="auto"/>
        <w:rPr>
          <w:sz w:val="20"/>
          <w:szCs w:val="20"/>
          <w:color w:val="auto"/>
        </w:rPr>
      </w:pPr>
      <w:r>
        <w:rPr>
          <w:rFonts w:ascii="Times New Roman" w:cs="Times New Roman" w:eastAsia="Times New Roman" w:hAnsi="Times New Roman"/>
          <w:sz w:val="17"/>
          <w:szCs w:val="17"/>
          <w:color w:val="auto"/>
        </w:rPr>
        <w:t>February 14, 2025</w:t>
      </w:r>
      <w:r>
        <w:rPr>
          <w:rFonts w:ascii="Times New Roman" w:cs="Times New Roman" w:eastAsia="Times New Roman" w:hAnsi="Times New Roman"/>
          <w:sz w:val="28"/>
          <w:szCs w:val="28"/>
          <w:color w:val="auto"/>
          <w:vertAlign w:val="superscript"/>
        </w:rPr>
        <w:t>(4)</w:t>
      </w:r>
    </w:p>
    <w:p>
      <w:pPr>
        <w:ind w:left="580"/>
        <w:spacing w:after="0" w:line="191" w:lineRule="auto"/>
        <w:rPr>
          <w:sz w:val="20"/>
          <w:szCs w:val="20"/>
          <w:color w:val="auto"/>
        </w:rPr>
      </w:pPr>
      <w:r>
        <w:rPr>
          <w:rFonts w:ascii="Times New Roman" w:cs="Times New Roman" w:eastAsia="Times New Roman" w:hAnsi="Times New Roman"/>
          <w:sz w:val="17"/>
          <w:szCs w:val="17"/>
          <w:color w:val="auto"/>
        </w:rPr>
        <w:t>February 18, 2025</w:t>
      </w:r>
      <w:r>
        <w:rPr>
          <w:rFonts w:ascii="Times New Roman" w:cs="Times New Roman" w:eastAsia="Times New Roman" w:hAnsi="Times New Roman"/>
          <w:sz w:val="28"/>
          <w:szCs w:val="28"/>
          <w:color w:val="auto"/>
          <w:vertAlign w:val="superscript"/>
        </w:rPr>
        <w:t>(4)</w:t>
      </w:r>
    </w:p>
    <w:p>
      <w:pPr>
        <w:ind w:left="580"/>
        <w:spacing w:after="0" w:line="192" w:lineRule="auto"/>
        <w:rPr>
          <w:sz w:val="20"/>
          <w:szCs w:val="20"/>
          <w:color w:val="auto"/>
        </w:rPr>
      </w:pPr>
      <w:r>
        <w:rPr>
          <w:rFonts w:ascii="Times New Roman" w:cs="Times New Roman" w:eastAsia="Times New Roman" w:hAnsi="Times New Roman"/>
          <w:sz w:val="17"/>
          <w:szCs w:val="17"/>
          <w:color w:val="auto"/>
        </w:rPr>
        <w:t>February 19, 2025</w:t>
      </w:r>
      <w:r>
        <w:rPr>
          <w:rFonts w:ascii="Times New Roman" w:cs="Times New Roman" w:eastAsia="Times New Roman" w:hAnsi="Times New Roman"/>
          <w:sz w:val="28"/>
          <w:szCs w:val="28"/>
          <w:color w:val="auto"/>
          <w:vertAlign w:val="superscript"/>
        </w:rPr>
        <w:t>(4)</w:t>
      </w:r>
    </w:p>
    <w:p>
      <w:pPr>
        <w:ind w:left="580"/>
        <w:spacing w:after="0" w:line="191" w:lineRule="auto"/>
        <w:rPr>
          <w:sz w:val="20"/>
          <w:szCs w:val="20"/>
          <w:color w:val="auto"/>
        </w:rPr>
      </w:pPr>
      <w:r>
        <w:rPr>
          <w:rFonts w:ascii="Times New Roman" w:cs="Times New Roman" w:eastAsia="Times New Roman" w:hAnsi="Times New Roman"/>
          <w:sz w:val="17"/>
          <w:szCs w:val="17"/>
          <w:color w:val="auto"/>
        </w:rPr>
        <w:t>February 20, 2025</w:t>
      </w:r>
      <w:r>
        <w:rPr>
          <w:rFonts w:ascii="Times New Roman" w:cs="Times New Roman" w:eastAsia="Times New Roman" w:hAnsi="Times New Roman"/>
          <w:sz w:val="28"/>
          <w:szCs w:val="28"/>
          <w:color w:val="auto"/>
          <w:vertAlign w:val="superscript"/>
        </w:rPr>
        <w:t>(4)</w:t>
      </w:r>
    </w:p>
    <w:p>
      <w:pPr>
        <w:ind w:left="580"/>
        <w:spacing w:after="0" w:line="191" w:lineRule="auto"/>
        <w:rPr>
          <w:sz w:val="20"/>
          <w:szCs w:val="20"/>
          <w:color w:val="auto"/>
        </w:rPr>
      </w:pPr>
      <w:r>
        <w:rPr>
          <w:rFonts w:ascii="Times New Roman" w:cs="Times New Roman" w:eastAsia="Times New Roman" w:hAnsi="Times New Roman"/>
          <w:sz w:val="17"/>
          <w:szCs w:val="17"/>
          <w:color w:val="auto"/>
        </w:rPr>
        <w:t>February 21, 2025</w:t>
      </w:r>
      <w:r>
        <w:rPr>
          <w:rFonts w:ascii="Times New Roman" w:cs="Times New Roman" w:eastAsia="Times New Roman" w:hAnsi="Times New Roman"/>
          <w:sz w:val="28"/>
          <w:szCs w:val="28"/>
          <w:color w:val="auto"/>
          <w:vertAlign w:val="superscript"/>
        </w:rPr>
        <w:t>(4)</w:t>
      </w:r>
    </w:p>
    <w:p>
      <w:pPr>
        <w:ind w:left="580"/>
        <w:spacing w:after="0" w:line="191" w:lineRule="auto"/>
        <w:rPr>
          <w:sz w:val="20"/>
          <w:szCs w:val="20"/>
          <w:color w:val="auto"/>
        </w:rPr>
      </w:pPr>
      <w:r>
        <w:rPr>
          <w:rFonts w:ascii="Times New Roman" w:cs="Times New Roman" w:eastAsia="Times New Roman" w:hAnsi="Times New Roman"/>
          <w:sz w:val="17"/>
          <w:szCs w:val="17"/>
          <w:color w:val="auto"/>
        </w:rPr>
        <w:t>February 24, 2025</w:t>
      </w:r>
      <w:r>
        <w:rPr>
          <w:rFonts w:ascii="Times New Roman" w:cs="Times New Roman" w:eastAsia="Times New Roman" w:hAnsi="Times New Roman"/>
          <w:sz w:val="28"/>
          <w:szCs w:val="28"/>
          <w:color w:val="auto"/>
          <w:vertAlign w:val="superscript"/>
        </w:rPr>
        <w:t>(4)</w:t>
      </w:r>
    </w:p>
    <w:p>
      <w:pPr>
        <w:ind w:left="580"/>
        <w:spacing w:after="0" w:line="192" w:lineRule="auto"/>
        <w:rPr>
          <w:sz w:val="20"/>
          <w:szCs w:val="20"/>
          <w:color w:val="auto"/>
        </w:rPr>
      </w:pPr>
      <w:r>
        <w:rPr>
          <w:rFonts w:ascii="Times New Roman" w:cs="Times New Roman" w:eastAsia="Times New Roman" w:hAnsi="Times New Roman"/>
          <w:sz w:val="17"/>
          <w:szCs w:val="17"/>
          <w:color w:val="auto"/>
        </w:rPr>
        <w:t>February 26, 2025</w:t>
      </w:r>
      <w:r>
        <w:rPr>
          <w:rFonts w:ascii="Times New Roman" w:cs="Times New Roman" w:eastAsia="Times New Roman" w:hAnsi="Times New Roman"/>
          <w:sz w:val="28"/>
          <w:szCs w:val="28"/>
          <w:color w:val="auto"/>
          <w:vertAlign w:val="superscript"/>
        </w:rPr>
        <w:t>(4)</w:t>
      </w:r>
    </w:p>
    <w:p>
      <w:pPr>
        <w:jc w:val="center"/>
        <w:ind w:left="500"/>
        <w:spacing w:after="0"/>
        <w:rPr>
          <w:sz w:val="20"/>
          <w:szCs w:val="20"/>
          <w:color w:val="auto"/>
        </w:rPr>
      </w:pPr>
      <w:r>
        <w:rPr>
          <w:rFonts w:ascii="Times New Roman" w:cs="Times New Roman" w:eastAsia="Times New Roman" w:hAnsi="Times New Roman"/>
          <w:sz w:val="18"/>
          <w:szCs w:val="18"/>
          <w:color w:val="auto"/>
        </w:rPr>
        <w:t>March 7, 2025</w:t>
      </w:r>
    </w:p>
    <w:p>
      <w:pPr>
        <w:jc w:val="center"/>
        <w:ind w:left="500"/>
        <w:spacing w:after="0" w:line="190" w:lineRule="auto"/>
        <w:rPr>
          <w:sz w:val="20"/>
          <w:szCs w:val="20"/>
          <w:color w:val="auto"/>
        </w:rPr>
      </w:pPr>
      <w:r>
        <w:rPr>
          <w:rFonts w:ascii="Times New Roman" w:cs="Times New Roman" w:eastAsia="Times New Roman" w:hAnsi="Times New Roman"/>
          <w:sz w:val="18"/>
          <w:szCs w:val="18"/>
          <w:color w:val="auto"/>
        </w:rPr>
        <w:t>March 13, 2024</w:t>
      </w:r>
      <w:r>
        <w:rPr>
          <w:rFonts w:ascii="Times New Roman" w:cs="Times New Roman" w:eastAsia="Times New Roman" w:hAnsi="Times New Roman"/>
          <w:sz w:val="29"/>
          <w:szCs w:val="29"/>
          <w:color w:val="auto"/>
          <w:vertAlign w:val="superscript"/>
        </w:rPr>
        <w:t>(4)</w:t>
      </w:r>
    </w:p>
    <w:p>
      <w:pPr>
        <w:jc w:val="center"/>
        <w:ind w:left="500"/>
        <w:spacing w:after="0" w:line="185" w:lineRule="auto"/>
        <w:rPr>
          <w:sz w:val="20"/>
          <w:szCs w:val="20"/>
          <w:color w:val="auto"/>
        </w:rPr>
      </w:pPr>
      <w:r>
        <w:rPr>
          <w:rFonts w:ascii="Times New Roman" w:cs="Times New Roman" w:eastAsia="Times New Roman" w:hAnsi="Times New Roman"/>
          <w:sz w:val="18"/>
          <w:szCs w:val="18"/>
          <w:color w:val="auto"/>
        </w:rPr>
        <w:t>March 14, 2025</w:t>
      </w:r>
      <w:r>
        <w:rPr>
          <w:rFonts w:ascii="Times New Roman" w:cs="Times New Roman" w:eastAsia="Times New Roman" w:hAnsi="Times New Roman"/>
          <w:sz w:val="29"/>
          <w:szCs w:val="29"/>
          <w:color w:val="auto"/>
          <w:vertAlign w:val="superscript"/>
        </w:rPr>
        <w:t>(4)</w:t>
      </w:r>
    </w:p>
    <w:p>
      <w:pPr>
        <w:jc w:val="center"/>
        <w:ind w:left="500"/>
        <w:spacing w:after="0" w:line="185" w:lineRule="auto"/>
        <w:rPr>
          <w:sz w:val="20"/>
          <w:szCs w:val="20"/>
          <w:color w:val="auto"/>
        </w:rPr>
      </w:pPr>
      <w:r>
        <w:rPr>
          <w:rFonts w:ascii="Times New Roman" w:cs="Times New Roman" w:eastAsia="Times New Roman" w:hAnsi="Times New Roman"/>
          <w:sz w:val="18"/>
          <w:szCs w:val="18"/>
          <w:color w:val="auto"/>
        </w:rPr>
        <w:t>March 17, 2025</w:t>
      </w:r>
      <w:r>
        <w:rPr>
          <w:rFonts w:ascii="Times New Roman" w:cs="Times New Roman" w:eastAsia="Times New Roman" w:hAnsi="Times New Roman"/>
          <w:sz w:val="29"/>
          <w:szCs w:val="29"/>
          <w:color w:val="auto"/>
          <w:vertAlign w:val="superscript"/>
        </w:rPr>
        <w:t>(4)</w:t>
      </w:r>
    </w:p>
    <w:p>
      <w:pPr>
        <w:jc w:val="center"/>
        <w:ind w:left="500"/>
        <w:spacing w:after="0" w:line="184" w:lineRule="auto"/>
        <w:rPr>
          <w:sz w:val="20"/>
          <w:szCs w:val="20"/>
          <w:color w:val="auto"/>
        </w:rPr>
      </w:pPr>
      <w:r>
        <w:rPr>
          <w:rFonts w:ascii="Times New Roman" w:cs="Times New Roman" w:eastAsia="Times New Roman" w:hAnsi="Times New Roman"/>
          <w:sz w:val="18"/>
          <w:szCs w:val="18"/>
          <w:color w:val="auto"/>
        </w:rPr>
        <w:t>March 19, 2025</w:t>
      </w:r>
      <w:r>
        <w:rPr>
          <w:rFonts w:ascii="Times New Roman" w:cs="Times New Roman" w:eastAsia="Times New Roman" w:hAnsi="Times New Roman"/>
          <w:sz w:val="29"/>
          <w:szCs w:val="29"/>
          <w:color w:val="auto"/>
          <w:vertAlign w:val="superscript"/>
        </w:rPr>
        <w:t>(4)</w:t>
      </w:r>
    </w:p>
    <w:p>
      <w:pPr>
        <w:jc w:val="center"/>
        <w:ind w:left="500"/>
        <w:spacing w:after="0" w:line="185" w:lineRule="auto"/>
        <w:rPr>
          <w:sz w:val="20"/>
          <w:szCs w:val="20"/>
          <w:color w:val="auto"/>
        </w:rPr>
      </w:pPr>
      <w:r>
        <w:rPr>
          <w:rFonts w:ascii="Times New Roman" w:cs="Times New Roman" w:eastAsia="Times New Roman" w:hAnsi="Times New Roman"/>
          <w:sz w:val="18"/>
          <w:szCs w:val="18"/>
          <w:color w:val="auto"/>
        </w:rPr>
        <w:t>March 20, 2025</w:t>
      </w:r>
      <w:r>
        <w:rPr>
          <w:rFonts w:ascii="Times New Roman" w:cs="Times New Roman" w:eastAsia="Times New Roman" w:hAnsi="Times New Roman"/>
          <w:sz w:val="29"/>
          <w:szCs w:val="29"/>
          <w:color w:val="auto"/>
          <w:vertAlign w:val="superscript"/>
        </w:rPr>
        <w:t>(4)</w:t>
      </w:r>
    </w:p>
    <w:p>
      <w:pPr>
        <w:jc w:val="center"/>
        <w:ind w:left="500"/>
        <w:spacing w:after="0" w:line="184" w:lineRule="auto"/>
        <w:rPr>
          <w:sz w:val="20"/>
          <w:szCs w:val="20"/>
          <w:color w:val="auto"/>
        </w:rPr>
      </w:pPr>
      <w:r>
        <w:rPr>
          <w:rFonts w:ascii="Times New Roman" w:cs="Times New Roman" w:eastAsia="Times New Roman" w:hAnsi="Times New Roman"/>
          <w:sz w:val="18"/>
          <w:szCs w:val="18"/>
          <w:color w:val="auto"/>
        </w:rPr>
        <w:t>March 21, 2025</w:t>
      </w:r>
      <w:r>
        <w:rPr>
          <w:rFonts w:ascii="Times New Roman" w:cs="Times New Roman" w:eastAsia="Times New Roman" w:hAnsi="Times New Roman"/>
          <w:sz w:val="29"/>
          <w:szCs w:val="29"/>
          <w:color w:val="auto"/>
          <w:vertAlign w:val="superscript"/>
        </w:rPr>
        <w:t>(4)</w:t>
      </w:r>
    </w:p>
    <w:p>
      <w:pPr>
        <w:jc w:val="center"/>
        <w:ind w:left="500"/>
        <w:spacing w:after="0" w:line="185" w:lineRule="auto"/>
        <w:rPr>
          <w:sz w:val="20"/>
          <w:szCs w:val="20"/>
          <w:color w:val="auto"/>
        </w:rPr>
      </w:pPr>
      <w:r>
        <w:rPr>
          <w:rFonts w:ascii="Times New Roman" w:cs="Times New Roman" w:eastAsia="Times New Roman" w:hAnsi="Times New Roman"/>
          <w:sz w:val="18"/>
          <w:szCs w:val="18"/>
          <w:color w:val="auto"/>
        </w:rPr>
        <w:t>March 24, 2025</w:t>
      </w:r>
      <w:r>
        <w:rPr>
          <w:rFonts w:ascii="Times New Roman" w:cs="Times New Roman" w:eastAsia="Times New Roman" w:hAnsi="Times New Roman"/>
          <w:sz w:val="29"/>
          <w:szCs w:val="29"/>
          <w:color w:val="auto"/>
          <w:vertAlign w:val="superscript"/>
        </w:rPr>
        <w:t>(4)</w:t>
      </w:r>
    </w:p>
    <w:p>
      <w:pPr>
        <w:jc w:val="center"/>
        <w:ind w:left="500"/>
        <w:spacing w:after="0" w:line="185" w:lineRule="auto"/>
        <w:rPr>
          <w:sz w:val="20"/>
          <w:szCs w:val="20"/>
          <w:color w:val="auto"/>
        </w:rPr>
      </w:pPr>
      <w:r>
        <w:rPr>
          <w:rFonts w:ascii="Times New Roman" w:cs="Times New Roman" w:eastAsia="Times New Roman" w:hAnsi="Times New Roman"/>
          <w:sz w:val="18"/>
          <w:szCs w:val="18"/>
          <w:color w:val="auto"/>
        </w:rPr>
        <w:t>March 25, 2025</w:t>
      </w:r>
      <w:r>
        <w:rPr>
          <w:rFonts w:ascii="Times New Roman" w:cs="Times New Roman" w:eastAsia="Times New Roman" w:hAnsi="Times New Roman"/>
          <w:sz w:val="29"/>
          <w:szCs w:val="29"/>
          <w:color w:val="auto"/>
          <w:vertAlign w:val="superscript"/>
        </w:rPr>
        <w:t>(4)</w:t>
      </w:r>
    </w:p>
    <w:p>
      <w:pPr>
        <w:jc w:val="center"/>
        <w:ind w:left="500"/>
        <w:spacing w:after="0" w:line="184" w:lineRule="auto"/>
        <w:rPr>
          <w:sz w:val="20"/>
          <w:szCs w:val="20"/>
          <w:color w:val="auto"/>
        </w:rPr>
      </w:pPr>
      <w:r>
        <w:rPr>
          <w:rFonts w:ascii="Times New Roman" w:cs="Times New Roman" w:eastAsia="Times New Roman" w:hAnsi="Times New Roman"/>
          <w:sz w:val="18"/>
          <w:szCs w:val="18"/>
          <w:color w:val="auto"/>
        </w:rPr>
        <w:t>March 26, 2025</w:t>
      </w:r>
      <w:r>
        <w:rPr>
          <w:rFonts w:ascii="Times New Roman" w:cs="Times New Roman" w:eastAsia="Times New Roman" w:hAnsi="Times New Roman"/>
          <w:sz w:val="29"/>
          <w:szCs w:val="29"/>
          <w:color w:val="auto"/>
          <w:vertAlign w:val="superscript"/>
        </w:rPr>
        <w:t>(4)</w:t>
      </w:r>
    </w:p>
    <w:p>
      <w:pPr>
        <w:jc w:val="center"/>
        <w:ind w:left="500"/>
        <w:spacing w:after="0" w:line="185" w:lineRule="auto"/>
        <w:rPr>
          <w:sz w:val="20"/>
          <w:szCs w:val="20"/>
          <w:color w:val="auto"/>
        </w:rPr>
      </w:pPr>
      <w:r>
        <w:rPr>
          <w:rFonts w:ascii="Times New Roman" w:cs="Times New Roman" w:eastAsia="Times New Roman" w:hAnsi="Times New Roman"/>
          <w:sz w:val="18"/>
          <w:szCs w:val="18"/>
          <w:color w:val="auto"/>
        </w:rPr>
        <w:t>March 27, 2025</w:t>
      </w:r>
      <w:r>
        <w:rPr>
          <w:rFonts w:ascii="Times New Roman" w:cs="Times New Roman" w:eastAsia="Times New Roman" w:hAnsi="Times New Roman"/>
          <w:sz w:val="29"/>
          <w:szCs w:val="29"/>
          <w:color w:val="auto"/>
          <w:vertAlign w:val="superscript"/>
        </w:rPr>
        <w:t>(4)</w:t>
      </w:r>
    </w:p>
    <w:p>
      <w:pPr>
        <w:jc w:val="center"/>
        <w:ind w:left="500"/>
        <w:spacing w:after="0"/>
        <w:rPr>
          <w:sz w:val="20"/>
          <w:szCs w:val="20"/>
          <w:color w:val="auto"/>
        </w:rPr>
      </w:pPr>
      <w:r>
        <w:rPr>
          <w:rFonts w:ascii="Times New Roman" w:cs="Times New Roman" w:eastAsia="Times New Roman" w:hAnsi="Times New Roman"/>
          <w:sz w:val="18"/>
          <w:szCs w:val="18"/>
          <w:color w:val="auto"/>
        </w:rPr>
        <w:t>March 28, 2025</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 Principal</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0"/>
        </w:trPr>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Issuance / Exercise / Conversion</w:t>
            </w:r>
          </w:p>
        </w:tc>
      </w:tr>
      <w:tr>
        <w:trPr>
          <w:trHeight w:val="275"/>
        </w:trPr>
        <w:tc>
          <w:tcPr>
            <w:tcW w:w="2760" w:type="dxa"/>
            <w:vAlign w:val="bottom"/>
            <w:gridSpan w:val="2"/>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40" w:type="dxa"/>
            <w:vAlign w:val="bottom"/>
          </w:tcPr>
          <w:p>
            <w:pPr>
              <w:jc w:val="center"/>
              <w:ind w:left="1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(CAD)</w:t>
            </w:r>
            <w:r>
              <w:rPr>
                <w:rFonts w:ascii="Times New Roman" w:cs="Times New Roman" w:eastAsia="Times New Roman" w:hAnsi="Times New Roman"/>
                <w:sz w:val="29"/>
                <w:szCs w:val="29"/>
                <w:b w:val="1"/>
                <w:bCs w:val="1"/>
                <w:color w:val="auto"/>
                <w:w w:val="95"/>
                <w:vertAlign w:val="superscript"/>
              </w:rPr>
              <w:t>(1)(2)</w:t>
            </w:r>
          </w:p>
        </w:tc>
      </w:tr>
      <w:tr>
        <w:trPr>
          <w:trHeight w:val="191"/>
        </w:trPr>
        <w:tc>
          <w:tcPr>
            <w:tcW w:w="2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80,100</w:t>
            </w:r>
          </w:p>
        </w:tc>
        <w:tc>
          <w:tcPr>
            <w:tcW w:w="24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Options</w:t>
            </w:r>
          </w:p>
        </w:tc>
        <w:tc>
          <w:tcPr>
            <w:tcW w:w="26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$14.37</w:t>
            </w:r>
          </w:p>
        </w:tc>
      </w:tr>
      <w:tr>
        <w:trPr>
          <w:trHeight w:val="23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17,100</w:t>
            </w:r>
          </w:p>
        </w:tc>
        <w:tc>
          <w:tcPr>
            <w:tcW w:w="240" w:type="dxa"/>
            <w:vAlign w:val="bottom"/>
          </w:tcPr>
          <w:p>
            <w:pPr>
              <w:spacing w:after="0"/>
              <w:rPr>
                <w:sz w:val="20"/>
                <w:szCs w:val="20"/>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$12.71</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$13.08</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$13.33</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$14.11</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15,082</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$14.16</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31,738</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$13.48</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$13.69</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49,496</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$13.80</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$13.79</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25,500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$13.74</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326,800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$13.86</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280,800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$13.72</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$13.48</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$12.74</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$13.20</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125,100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$13.66</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66,000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$13.15</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33,550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$12.97</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21,994</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$12.98</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36,999</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$12.94</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60,868</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$12.20</w:t>
            </w:r>
          </w:p>
        </w:tc>
      </w:tr>
      <w:tr>
        <w:trPr>
          <w:trHeight w:val="23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240" w:type="dxa"/>
            <w:vAlign w:val="bottom"/>
          </w:tcPr>
          <w:p>
            <w:pPr>
              <w:spacing w:after="0"/>
              <w:rPr>
                <w:sz w:val="20"/>
                <w:szCs w:val="20"/>
                <w:color w:val="auto"/>
              </w:rPr>
            </w:pPr>
          </w:p>
        </w:tc>
        <w:tc>
          <w:tcPr>
            <w:tcW w:w="2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Options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$10.45</w:t>
            </w:r>
          </w:p>
        </w:tc>
      </w:tr>
      <w:tr>
        <w:trPr>
          <w:trHeight w:val="23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40" w:type="dxa"/>
            <w:vAlign w:val="bottom"/>
          </w:tcPr>
          <w:p>
            <w:pPr>
              <w:spacing w:after="0"/>
              <w:rPr>
                <w:sz w:val="20"/>
                <w:szCs w:val="20"/>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$10.43</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$10.44</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$10.36</w:t>
            </w:r>
          </w:p>
        </w:tc>
      </w:tr>
      <w:tr>
        <w:trPr>
          <w:trHeight w:val="25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$9.75</w:t>
            </w:r>
          </w:p>
        </w:tc>
      </w:tr>
      <w:tr>
        <w:trPr>
          <w:trHeight w:val="25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4,600</w:t>
            </w:r>
          </w:p>
        </w:tc>
        <w:tc>
          <w:tcPr>
            <w:tcW w:w="240" w:type="dxa"/>
            <w:vAlign w:val="bottom"/>
          </w:tcPr>
          <w:p>
            <w:pPr>
              <w:spacing w:after="0"/>
              <w:rPr>
                <w:sz w:val="22"/>
                <w:szCs w:val="22"/>
                <w:color w:val="auto"/>
              </w:rPr>
            </w:pP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-5160010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-4834255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-4508500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-4182745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-3856990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-3531235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-3205480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-2879725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-2553970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-2228215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-1902460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-1602740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-1276985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-951230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-625475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-299720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-5468620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2160" w:space="720"/>
            <w:col w:w="8360"/>
          </w:cols>
          <w:pgMar w:left="320" w:top="531" w:right="3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19" w:name="page20"/>
    <w:bookmarkEnd w:id="19"/>
    <w:p>
      <w:pPr>
        <w:jc w:val="right"/>
        <w:ind w:right="940"/>
        <w:spacing w:after="0"/>
        <w:rPr>
          <w:sz w:val="20"/>
          <w:szCs w:val="20"/>
          <w:color w:val="auto"/>
        </w:rPr>
      </w:pPr>
      <w:r>
        <w:rPr>
          <w:rFonts w:ascii="Times New Roman" w:cs="Times New Roman" w:eastAsia="Times New Roman" w:hAnsi="Times New Roman"/>
          <w:sz w:val="18"/>
          <w:szCs w:val="18"/>
          <w:color w:val="auto"/>
        </w:rPr>
        <w:t>March 31, 2025</w:t>
      </w:r>
      <w:r>
        <w:rPr>
          <w:rFonts w:ascii="Times New Roman" w:cs="Times New Roman" w:eastAsia="Times New Roman" w:hAnsi="Times New Roman"/>
          <w:sz w:val="29"/>
          <w:szCs w:val="29"/>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14,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15,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16,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17,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21, 2025</w:t>
      </w:r>
      <w:r>
        <w:rPr>
          <w:rFonts w:ascii="Times New Roman" w:cs="Times New Roman" w:eastAsia="Times New Roman" w:hAnsi="Times New Roman"/>
          <w:sz w:val="28"/>
          <w:szCs w:val="28"/>
          <w:color w:val="auto"/>
          <w:vertAlign w:val="superscript"/>
        </w:rPr>
        <w:t>(4)</w:t>
      </w:r>
    </w:p>
    <w:p>
      <w:pPr>
        <w:ind w:left="400"/>
        <w:spacing w:after="0" w:line="192" w:lineRule="auto"/>
        <w:rPr>
          <w:sz w:val="20"/>
          <w:szCs w:val="20"/>
          <w:color w:val="auto"/>
        </w:rPr>
      </w:pPr>
      <w:r>
        <w:rPr>
          <w:rFonts w:ascii="Times New Roman" w:cs="Times New Roman" w:eastAsia="Times New Roman" w:hAnsi="Times New Roman"/>
          <w:sz w:val="17"/>
          <w:szCs w:val="17"/>
          <w:color w:val="auto"/>
        </w:rPr>
        <w:t>April 22,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23,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24, 2025</w:t>
      </w:r>
      <w:r>
        <w:rPr>
          <w:rFonts w:ascii="Times New Roman" w:cs="Times New Roman" w:eastAsia="Times New Roman" w:hAnsi="Times New Roman"/>
          <w:sz w:val="28"/>
          <w:szCs w:val="28"/>
          <w:color w:val="auto"/>
          <w:vertAlign w:val="superscript"/>
        </w:rPr>
        <w:t>(4)</w:t>
      </w:r>
    </w:p>
    <w:p>
      <w:pPr>
        <w:ind w:left="400"/>
        <w:spacing w:after="0" w:line="191" w:lineRule="auto"/>
        <w:rPr>
          <w:sz w:val="20"/>
          <w:szCs w:val="20"/>
          <w:color w:val="auto"/>
        </w:rPr>
      </w:pPr>
      <w:r>
        <w:rPr>
          <w:rFonts w:ascii="Times New Roman" w:cs="Times New Roman" w:eastAsia="Times New Roman" w:hAnsi="Times New Roman"/>
          <w:sz w:val="17"/>
          <w:szCs w:val="17"/>
          <w:color w:val="auto"/>
        </w:rPr>
        <w:t>April 25, 2025</w:t>
      </w:r>
      <w:r>
        <w:rPr>
          <w:rFonts w:ascii="Times New Roman" w:cs="Times New Roman" w:eastAsia="Times New Roman" w:hAnsi="Times New Roman"/>
          <w:sz w:val="28"/>
          <w:szCs w:val="28"/>
          <w:color w:val="auto"/>
          <w:vertAlign w:val="superscript"/>
        </w:rPr>
        <w:t>(4)</w:t>
      </w:r>
    </w:p>
    <w:p>
      <w:pPr>
        <w:ind w:left="460"/>
        <w:spacing w:after="0" w:line="185" w:lineRule="auto"/>
        <w:rPr>
          <w:sz w:val="20"/>
          <w:szCs w:val="20"/>
          <w:color w:val="auto"/>
        </w:rPr>
      </w:pPr>
      <w:r>
        <w:rPr>
          <w:rFonts w:ascii="Times New Roman" w:cs="Times New Roman" w:eastAsia="Times New Roman" w:hAnsi="Times New Roman"/>
          <w:sz w:val="18"/>
          <w:szCs w:val="18"/>
          <w:color w:val="auto"/>
        </w:rPr>
        <w:t>May 1, 2025</w:t>
      </w:r>
      <w:r>
        <w:rPr>
          <w:rFonts w:ascii="Times New Roman" w:cs="Times New Roman" w:eastAsia="Times New Roman" w:hAnsi="Times New Roman"/>
          <w:sz w:val="29"/>
          <w:szCs w:val="29"/>
          <w:color w:val="auto"/>
          <w:vertAlign w:val="superscript"/>
        </w:rPr>
        <w:t>(4)</w:t>
      </w:r>
    </w:p>
    <w:p>
      <w:pPr>
        <w:ind w:left="460"/>
        <w:spacing w:after="0" w:line="184" w:lineRule="auto"/>
        <w:rPr>
          <w:sz w:val="20"/>
          <w:szCs w:val="20"/>
          <w:color w:val="auto"/>
        </w:rPr>
      </w:pPr>
      <w:r>
        <w:rPr>
          <w:rFonts w:ascii="Times New Roman" w:cs="Times New Roman" w:eastAsia="Times New Roman" w:hAnsi="Times New Roman"/>
          <w:sz w:val="18"/>
          <w:szCs w:val="18"/>
          <w:color w:val="auto"/>
        </w:rPr>
        <w:t>May 2, 2025</w:t>
      </w:r>
      <w:r>
        <w:rPr>
          <w:rFonts w:ascii="Times New Roman" w:cs="Times New Roman" w:eastAsia="Times New Roman" w:hAnsi="Times New Roman"/>
          <w:sz w:val="29"/>
          <w:szCs w:val="29"/>
          <w:color w:val="auto"/>
          <w:vertAlign w:val="superscript"/>
        </w:rPr>
        <w:t>(4)</w:t>
      </w:r>
    </w:p>
    <w:p>
      <w:pPr>
        <w:ind w:left="460"/>
        <w:spacing w:after="0" w:line="185" w:lineRule="auto"/>
        <w:rPr>
          <w:sz w:val="20"/>
          <w:szCs w:val="20"/>
          <w:color w:val="auto"/>
        </w:rPr>
      </w:pPr>
      <w:r>
        <w:rPr>
          <w:rFonts w:ascii="Times New Roman" w:cs="Times New Roman" w:eastAsia="Times New Roman" w:hAnsi="Times New Roman"/>
          <w:sz w:val="18"/>
          <w:szCs w:val="18"/>
          <w:color w:val="auto"/>
        </w:rPr>
        <w:t>May 5, 2025</w:t>
      </w:r>
      <w:r>
        <w:rPr>
          <w:rFonts w:ascii="Times New Roman" w:cs="Times New Roman" w:eastAsia="Times New Roman" w:hAnsi="Times New Roman"/>
          <w:sz w:val="29"/>
          <w:szCs w:val="29"/>
          <w:color w:val="auto"/>
          <w:vertAlign w:val="superscript"/>
        </w:rPr>
        <w:t>(4)</w:t>
      </w:r>
    </w:p>
    <w:p>
      <w:pPr>
        <w:ind w:left="420"/>
        <w:spacing w:after="0" w:line="185" w:lineRule="auto"/>
        <w:rPr>
          <w:sz w:val="20"/>
          <w:szCs w:val="20"/>
          <w:color w:val="auto"/>
        </w:rPr>
      </w:pPr>
      <w:r>
        <w:rPr>
          <w:rFonts w:ascii="Times New Roman" w:cs="Times New Roman" w:eastAsia="Times New Roman" w:hAnsi="Times New Roman"/>
          <w:sz w:val="18"/>
          <w:szCs w:val="18"/>
          <w:color w:val="auto"/>
        </w:rPr>
        <w:t>May 15, 2025</w:t>
      </w:r>
      <w:r>
        <w:rPr>
          <w:rFonts w:ascii="Times New Roman" w:cs="Times New Roman" w:eastAsia="Times New Roman" w:hAnsi="Times New Roman"/>
          <w:sz w:val="29"/>
          <w:szCs w:val="29"/>
          <w:color w:val="auto"/>
          <w:vertAlign w:val="superscript"/>
        </w:rPr>
        <w:t>(4)</w:t>
      </w:r>
    </w:p>
    <w:p>
      <w:pPr>
        <w:ind w:left="420"/>
        <w:spacing w:after="0" w:line="184" w:lineRule="auto"/>
        <w:rPr>
          <w:sz w:val="20"/>
          <w:szCs w:val="20"/>
          <w:color w:val="auto"/>
        </w:rPr>
      </w:pPr>
      <w:r>
        <w:rPr>
          <w:rFonts w:ascii="Times New Roman" w:cs="Times New Roman" w:eastAsia="Times New Roman" w:hAnsi="Times New Roman"/>
          <w:sz w:val="18"/>
          <w:szCs w:val="18"/>
          <w:color w:val="auto"/>
        </w:rPr>
        <w:t>May 16, 2025</w:t>
      </w:r>
      <w:r>
        <w:rPr>
          <w:rFonts w:ascii="Times New Roman" w:cs="Times New Roman" w:eastAsia="Times New Roman" w:hAnsi="Times New Roman"/>
          <w:sz w:val="29"/>
          <w:szCs w:val="29"/>
          <w:color w:val="auto"/>
          <w:vertAlign w:val="superscript"/>
        </w:rPr>
        <w:t>(4)</w:t>
      </w:r>
    </w:p>
    <w:p>
      <w:pPr>
        <w:ind w:left="420"/>
        <w:spacing w:after="0" w:line="185" w:lineRule="auto"/>
        <w:rPr>
          <w:sz w:val="20"/>
          <w:szCs w:val="20"/>
          <w:color w:val="auto"/>
        </w:rPr>
      </w:pPr>
      <w:r>
        <w:rPr>
          <w:rFonts w:ascii="Times New Roman" w:cs="Times New Roman" w:eastAsia="Times New Roman" w:hAnsi="Times New Roman"/>
          <w:sz w:val="18"/>
          <w:szCs w:val="18"/>
          <w:color w:val="auto"/>
        </w:rPr>
        <w:t>May 19, 2025</w:t>
      </w:r>
      <w:r>
        <w:rPr>
          <w:rFonts w:ascii="Times New Roman" w:cs="Times New Roman" w:eastAsia="Times New Roman" w:hAnsi="Times New Roman"/>
          <w:sz w:val="29"/>
          <w:szCs w:val="29"/>
          <w:color w:val="auto"/>
          <w:vertAlign w:val="superscript"/>
        </w:rPr>
        <w:t>(4)</w:t>
      </w:r>
    </w:p>
    <w:p>
      <w:pPr>
        <w:ind w:left="420"/>
        <w:spacing w:after="0" w:line="184" w:lineRule="auto"/>
        <w:rPr>
          <w:sz w:val="20"/>
          <w:szCs w:val="20"/>
          <w:color w:val="auto"/>
        </w:rPr>
      </w:pPr>
      <w:r>
        <w:rPr>
          <w:rFonts w:ascii="Times New Roman" w:cs="Times New Roman" w:eastAsia="Times New Roman" w:hAnsi="Times New Roman"/>
          <w:sz w:val="18"/>
          <w:szCs w:val="18"/>
          <w:color w:val="auto"/>
        </w:rPr>
        <w:t>May 20, 2025</w:t>
      </w:r>
      <w:r>
        <w:rPr>
          <w:rFonts w:ascii="Times New Roman" w:cs="Times New Roman" w:eastAsia="Times New Roman" w:hAnsi="Times New Roman"/>
          <w:sz w:val="29"/>
          <w:szCs w:val="29"/>
          <w:color w:val="auto"/>
          <w:vertAlign w:val="superscript"/>
        </w:rPr>
        <w:t>(4)</w:t>
      </w:r>
    </w:p>
    <w:p>
      <w:pPr>
        <w:ind w:left="420"/>
        <w:spacing w:after="0" w:line="185" w:lineRule="auto"/>
        <w:rPr>
          <w:sz w:val="20"/>
          <w:szCs w:val="20"/>
          <w:color w:val="auto"/>
        </w:rPr>
      </w:pPr>
      <w:r>
        <w:rPr>
          <w:rFonts w:ascii="Times New Roman" w:cs="Times New Roman" w:eastAsia="Times New Roman" w:hAnsi="Times New Roman"/>
          <w:sz w:val="18"/>
          <w:szCs w:val="18"/>
          <w:color w:val="auto"/>
        </w:rPr>
        <w:t>May 21, 2025</w:t>
      </w:r>
      <w:r>
        <w:rPr>
          <w:rFonts w:ascii="Times New Roman" w:cs="Times New Roman" w:eastAsia="Times New Roman" w:hAnsi="Times New Roman"/>
          <w:sz w:val="29"/>
          <w:szCs w:val="29"/>
          <w:color w:val="auto"/>
          <w:vertAlign w:val="superscript"/>
        </w:rPr>
        <w:t>(4)</w:t>
      </w:r>
    </w:p>
    <w:p>
      <w:pPr>
        <w:ind w:left="420"/>
        <w:spacing w:after="0" w:line="185" w:lineRule="auto"/>
        <w:rPr>
          <w:sz w:val="20"/>
          <w:szCs w:val="20"/>
          <w:color w:val="auto"/>
        </w:rPr>
      </w:pPr>
      <w:r>
        <w:rPr>
          <w:rFonts w:ascii="Times New Roman" w:cs="Times New Roman" w:eastAsia="Times New Roman" w:hAnsi="Times New Roman"/>
          <w:sz w:val="18"/>
          <w:szCs w:val="18"/>
          <w:color w:val="auto"/>
        </w:rPr>
        <w:t>May 22, 2025</w:t>
      </w:r>
      <w:r>
        <w:rPr>
          <w:rFonts w:ascii="Times New Roman" w:cs="Times New Roman" w:eastAsia="Times New Roman" w:hAnsi="Times New Roman"/>
          <w:sz w:val="29"/>
          <w:szCs w:val="29"/>
          <w:color w:val="auto"/>
          <w:vertAlign w:val="superscript"/>
        </w:rPr>
        <w:t>(4)</w:t>
      </w:r>
    </w:p>
    <w:p>
      <w:pPr>
        <w:ind w:left="420"/>
        <w:spacing w:after="0" w:line="184" w:lineRule="auto"/>
        <w:rPr>
          <w:sz w:val="20"/>
          <w:szCs w:val="20"/>
          <w:color w:val="auto"/>
        </w:rPr>
      </w:pPr>
      <w:r>
        <w:rPr>
          <w:rFonts w:ascii="Times New Roman" w:cs="Times New Roman" w:eastAsia="Times New Roman" w:hAnsi="Times New Roman"/>
          <w:sz w:val="18"/>
          <w:szCs w:val="18"/>
          <w:color w:val="auto"/>
        </w:rPr>
        <w:t>May 29, 2025</w:t>
      </w:r>
      <w:r>
        <w:rPr>
          <w:rFonts w:ascii="Times New Roman" w:cs="Times New Roman" w:eastAsia="Times New Roman" w:hAnsi="Times New Roman"/>
          <w:sz w:val="29"/>
          <w:szCs w:val="29"/>
          <w:color w:val="auto"/>
          <w:vertAlign w:val="superscript"/>
        </w:rPr>
        <w:t>(4)</w:t>
      </w:r>
    </w:p>
    <w:p>
      <w:pPr>
        <w:ind w:left="460"/>
        <w:spacing w:after="0" w:line="185" w:lineRule="auto"/>
        <w:rPr>
          <w:sz w:val="20"/>
          <w:szCs w:val="20"/>
          <w:color w:val="auto"/>
        </w:rPr>
      </w:pPr>
      <w:r>
        <w:rPr>
          <w:rFonts w:ascii="Times New Roman" w:cs="Times New Roman" w:eastAsia="Times New Roman" w:hAnsi="Times New Roman"/>
          <w:sz w:val="18"/>
          <w:szCs w:val="18"/>
          <w:color w:val="auto"/>
        </w:rPr>
        <w:t>June 4, 2025</w:t>
      </w:r>
      <w:r>
        <w:rPr>
          <w:rFonts w:ascii="Times New Roman" w:cs="Times New Roman" w:eastAsia="Times New Roman" w:hAnsi="Times New Roman"/>
          <w:sz w:val="29"/>
          <w:szCs w:val="29"/>
          <w:color w:val="auto"/>
          <w:vertAlign w:val="superscript"/>
        </w:rPr>
        <w:t>(4)</w:t>
      </w:r>
    </w:p>
    <w:p>
      <w:pPr>
        <w:ind w:left="460"/>
        <w:spacing w:after="0" w:line="184" w:lineRule="auto"/>
        <w:rPr>
          <w:sz w:val="20"/>
          <w:szCs w:val="20"/>
          <w:color w:val="auto"/>
        </w:rPr>
      </w:pPr>
      <w:r>
        <w:rPr>
          <w:rFonts w:ascii="Times New Roman" w:cs="Times New Roman" w:eastAsia="Times New Roman" w:hAnsi="Times New Roman"/>
          <w:sz w:val="18"/>
          <w:szCs w:val="18"/>
          <w:color w:val="auto"/>
        </w:rPr>
        <w:t>June 6, 2025</w:t>
      </w:r>
      <w:r>
        <w:rPr>
          <w:rFonts w:ascii="Times New Roman" w:cs="Times New Roman" w:eastAsia="Times New Roman" w:hAnsi="Times New Roman"/>
          <w:sz w:val="29"/>
          <w:szCs w:val="29"/>
          <w:color w:val="auto"/>
          <w:vertAlign w:val="superscript"/>
        </w:rPr>
        <w:t>(4)</w:t>
      </w:r>
    </w:p>
    <w:p>
      <w:pPr>
        <w:ind w:left="460"/>
        <w:spacing w:after="0" w:line="185" w:lineRule="auto"/>
        <w:rPr>
          <w:sz w:val="20"/>
          <w:szCs w:val="20"/>
          <w:color w:val="auto"/>
        </w:rPr>
      </w:pPr>
      <w:r>
        <w:rPr>
          <w:rFonts w:ascii="Times New Roman" w:cs="Times New Roman" w:eastAsia="Times New Roman" w:hAnsi="Times New Roman"/>
          <w:sz w:val="18"/>
          <w:szCs w:val="18"/>
          <w:color w:val="auto"/>
        </w:rPr>
        <w:t>June 9, 2025</w:t>
      </w:r>
      <w:r>
        <w:rPr>
          <w:rFonts w:ascii="Times New Roman" w:cs="Times New Roman" w:eastAsia="Times New Roman" w:hAnsi="Times New Roman"/>
          <w:sz w:val="29"/>
          <w:szCs w:val="29"/>
          <w:color w:val="auto"/>
          <w:vertAlign w:val="superscript"/>
        </w:rPr>
        <w:t>(4)</w:t>
      </w:r>
    </w:p>
    <w:p>
      <w:pPr>
        <w:ind w:left="420"/>
        <w:spacing w:after="0" w:line="185" w:lineRule="auto"/>
        <w:rPr>
          <w:sz w:val="20"/>
          <w:szCs w:val="20"/>
          <w:color w:val="auto"/>
        </w:rPr>
      </w:pPr>
      <w:r>
        <w:rPr>
          <w:rFonts w:ascii="Times New Roman" w:cs="Times New Roman" w:eastAsia="Times New Roman" w:hAnsi="Times New Roman"/>
          <w:sz w:val="18"/>
          <w:szCs w:val="18"/>
          <w:color w:val="auto"/>
        </w:rPr>
        <w:t>June 11, 2025</w:t>
      </w:r>
      <w:r>
        <w:rPr>
          <w:rFonts w:ascii="Times New Roman" w:cs="Times New Roman" w:eastAsia="Times New Roman" w:hAnsi="Times New Roman"/>
          <w:sz w:val="29"/>
          <w:szCs w:val="29"/>
          <w:color w:val="auto"/>
          <w:vertAlign w:val="superscript"/>
        </w:rPr>
        <w:t>(4)</w:t>
      </w:r>
    </w:p>
    <w:p>
      <w:pPr>
        <w:ind w:left="360"/>
        <w:spacing w:after="0" w:line="184" w:lineRule="auto"/>
        <w:rPr>
          <w:sz w:val="20"/>
          <w:szCs w:val="20"/>
          <w:color w:val="auto"/>
        </w:rPr>
      </w:pPr>
      <w:r>
        <w:rPr>
          <w:rFonts w:ascii="Times New Roman" w:cs="Times New Roman" w:eastAsia="Times New Roman" w:hAnsi="Times New Roman"/>
          <w:sz w:val="18"/>
          <w:szCs w:val="18"/>
          <w:color w:val="auto"/>
        </w:rPr>
        <w:t>June 12, 2025</w:t>
      </w:r>
      <w:r>
        <w:rPr>
          <w:rFonts w:ascii="Times New Roman" w:cs="Times New Roman" w:eastAsia="Times New Roman" w:hAnsi="Times New Roman"/>
          <w:sz w:val="29"/>
          <w:szCs w:val="29"/>
          <w:color w:val="auto"/>
          <w:vertAlign w:val="superscript"/>
        </w:rPr>
        <w:t>(4)</w:t>
      </w:r>
    </w:p>
    <w:p>
      <w:pPr>
        <w:ind w:left="360"/>
        <w:spacing w:after="0" w:line="185" w:lineRule="auto"/>
        <w:rPr>
          <w:sz w:val="20"/>
          <w:szCs w:val="20"/>
          <w:color w:val="auto"/>
        </w:rPr>
      </w:pPr>
      <w:r>
        <w:rPr>
          <w:rFonts w:ascii="Times New Roman" w:cs="Times New Roman" w:eastAsia="Times New Roman" w:hAnsi="Times New Roman"/>
          <w:sz w:val="18"/>
          <w:szCs w:val="18"/>
          <w:color w:val="auto"/>
        </w:rPr>
        <w:t>June 16, 2025</w:t>
      </w:r>
      <w:r>
        <w:rPr>
          <w:rFonts w:ascii="Times New Roman" w:cs="Times New Roman" w:eastAsia="Times New Roman" w:hAnsi="Times New Roman"/>
          <w:sz w:val="29"/>
          <w:szCs w:val="29"/>
          <w:color w:val="auto"/>
          <w:vertAlign w:val="superscript"/>
        </w:rPr>
        <w:t>(4)</w:t>
      </w:r>
    </w:p>
    <w:p>
      <w:pPr>
        <w:ind w:left="360"/>
        <w:spacing w:after="0" w:line="184" w:lineRule="auto"/>
        <w:rPr>
          <w:sz w:val="20"/>
          <w:szCs w:val="20"/>
          <w:color w:val="auto"/>
        </w:rPr>
      </w:pPr>
      <w:r>
        <w:rPr>
          <w:rFonts w:ascii="Times New Roman" w:cs="Times New Roman" w:eastAsia="Times New Roman" w:hAnsi="Times New Roman"/>
          <w:sz w:val="18"/>
          <w:szCs w:val="18"/>
          <w:color w:val="auto"/>
        </w:rPr>
        <w:t>June 18, 2025</w:t>
      </w:r>
      <w:r>
        <w:rPr>
          <w:rFonts w:ascii="Times New Roman" w:cs="Times New Roman" w:eastAsia="Times New Roman" w:hAnsi="Times New Roman"/>
          <w:sz w:val="29"/>
          <w:szCs w:val="29"/>
          <w:color w:val="auto"/>
          <w:vertAlign w:val="superscript"/>
        </w:rPr>
        <w:t>(4)</w:t>
      </w:r>
    </w:p>
    <w:p>
      <w:pPr>
        <w:ind w:left="360"/>
        <w:spacing w:after="0" w:line="185" w:lineRule="auto"/>
        <w:rPr>
          <w:sz w:val="20"/>
          <w:szCs w:val="20"/>
          <w:color w:val="auto"/>
        </w:rPr>
      </w:pPr>
      <w:r>
        <w:rPr>
          <w:rFonts w:ascii="Times New Roman" w:cs="Times New Roman" w:eastAsia="Times New Roman" w:hAnsi="Times New Roman"/>
          <w:sz w:val="18"/>
          <w:szCs w:val="18"/>
          <w:color w:val="auto"/>
        </w:rPr>
        <w:t>June 30, 2025</w:t>
      </w:r>
      <w:r>
        <w:rPr>
          <w:rFonts w:ascii="Times New Roman" w:cs="Times New Roman" w:eastAsia="Times New Roman" w:hAnsi="Times New Roman"/>
          <w:sz w:val="29"/>
          <w:szCs w:val="29"/>
          <w:color w:val="auto"/>
          <w:vertAlign w:val="superscript"/>
        </w:rPr>
        <w:t>(5)</w:t>
      </w:r>
    </w:p>
    <w:p>
      <w:pPr>
        <w:ind w:left="380"/>
        <w:spacing w:after="0" w:line="185" w:lineRule="auto"/>
        <w:rPr>
          <w:sz w:val="20"/>
          <w:szCs w:val="20"/>
          <w:color w:val="auto"/>
        </w:rPr>
      </w:pPr>
      <w:r>
        <w:rPr>
          <w:rFonts w:ascii="Times New Roman" w:cs="Times New Roman" w:eastAsia="Times New Roman" w:hAnsi="Times New Roman"/>
          <w:sz w:val="18"/>
          <w:szCs w:val="18"/>
          <w:color w:val="auto"/>
        </w:rPr>
        <w:t>July 17, 2025</w:t>
      </w:r>
      <w:r>
        <w:rPr>
          <w:rFonts w:ascii="Times New Roman" w:cs="Times New Roman" w:eastAsia="Times New Roman" w:hAnsi="Times New Roman"/>
          <w:sz w:val="29"/>
          <w:szCs w:val="29"/>
          <w:color w:val="auto"/>
          <w:vertAlign w:val="superscript"/>
        </w:rPr>
        <w:t>(7)</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August 15, 2025</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August 15, 2025</w:t>
      </w:r>
    </w:p>
    <w:p>
      <w:pPr>
        <w:ind w:left="260"/>
        <w:spacing w:after="0" w:line="198" w:lineRule="auto"/>
        <w:rPr>
          <w:sz w:val="20"/>
          <w:szCs w:val="20"/>
          <w:color w:val="auto"/>
        </w:rPr>
      </w:pPr>
      <w:r>
        <w:rPr>
          <w:rFonts w:ascii="Times New Roman" w:cs="Times New Roman" w:eastAsia="Times New Roman" w:hAnsi="Times New Roman"/>
          <w:sz w:val="17"/>
          <w:szCs w:val="17"/>
          <w:color w:val="auto"/>
        </w:rPr>
        <w:t>August 25, 2025</w:t>
      </w:r>
      <w:r>
        <w:rPr>
          <w:rFonts w:ascii="Times New Roman" w:cs="Times New Roman" w:eastAsia="Times New Roman" w:hAnsi="Times New Roman"/>
          <w:sz w:val="28"/>
          <w:szCs w:val="28"/>
          <w:color w:val="auto"/>
          <w:vertAlign w:val="superscript"/>
        </w:rPr>
        <w:t>(7)</w:t>
      </w:r>
    </w:p>
    <w:p>
      <w:pPr>
        <w:ind w:left="260"/>
        <w:spacing w:after="0" w:line="192" w:lineRule="auto"/>
        <w:rPr>
          <w:sz w:val="20"/>
          <w:szCs w:val="20"/>
          <w:color w:val="auto"/>
        </w:rPr>
      </w:pPr>
      <w:r>
        <w:rPr>
          <w:rFonts w:ascii="Times New Roman" w:cs="Times New Roman" w:eastAsia="Times New Roman" w:hAnsi="Times New Roman"/>
          <w:sz w:val="17"/>
          <w:szCs w:val="17"/>
          <w:color w:val="auto"/>
        </w:rPr>
        <w:t>August 28, 2025</w:t>
      </w:r>
      <w:r>
        <w:rPr>
          <w:rFonts w:ascii="Times New Roman" w:cs="Times New Roman" w:eastAsia="Times New Roman" w:hAnsi="Times New Roman"/>
          <w:sz w:val="28"/>
          <w:szCs w:val="28"/>
          <w:color w:val="auto"/>
          <w:vertAlign w:val="superscript"/>
        </w:rPr>
        <w:t>(7)</w:t>
      </w:r>
    </w:p>
    <w:p>
      <w:pPr>
        <w:ind w:left="260"/>
        <w:spacing w:after="0" w:line="191" w:lineRule="auto"/>
        <w:rPr>
          <w:sz w:val="20"/>
          <w:szCs w:val="20"/>
          <w:color w:val="auto"/>
        </w:rPr>
      </w:pPr>
      <w:r>
        <w:rPr>
          <w:rFonts w:ascii="Times New Roman" w:cs="Times New Roman" w:eastAsia="Times New Roman" w:hAnsi="Times New Roman"/>
          <w:sz w:val="17"/>
          <w:szCs w:val="17"/>
          <w:color w:val="auto"/>
        </w:rPr>
        <w:t>August 28, 2025</w:t>
      </w:r>
      <w:r>
        <w:rPr>
          <w:rFonts w:ascii="Times New Roman" w:cs="Times New Roman" w:eastAsia="Times New Roman" w:hAnsi="Times New Roman"/>
          <w:sz w:val="28"/>
          <w:szCs w:val="28"/>
          <w:color w:val="auto"/>
          <w:vertAlign w:val="superscript"/>
        </w:rPr>
        <w:t>(8)</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August 29, 2025</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1,271</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$9.76</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25,500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$8.95</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87,500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$10.64</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16,336</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$10.89</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17,000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$10.29</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107,700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$10.37</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55,000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$10.41</w:t>
            </w:r>
          </w:p>
        </w:tc>
      </w:tr>
      <w:tr>
        <w:trPr>
          <w:trHeight w:val="257"/>
        </w:trPr>
        <w:tc>
          <w:tcPr>
            <w:tcW w:w="1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9,000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$10.13</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55,849</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$9.83</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20,000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$9.76</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35,700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$9.43</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37,000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$9.37</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33,000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$9.34</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36,400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$9.00</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45,000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$8.95</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43,500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$9.31</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221,311</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$10.22</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316,800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$10.01</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34,000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$9.88</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112,413</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$11.38</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13,000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$11.45</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13,000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13,600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$12.53</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15,000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$12.40</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10,578</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$12.59</w:t>
            </w:r>
          </w:p>
        </w:tc>
      </w:tr>
      <w:tr>
        <w:trPr>
          <w:trHeight w:val="25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18,236</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$11.92</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30,000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$11.07</w:t>
            </w:r>
          </w:p>
        </w:tc>
      </w:tr>
      <w:tr>
        <w:trPr>
          <w:trHeight w:val="25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US$50,000,000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Convertible Debentures</w:t>
            </w:r>
          </w:p>
        </w:tc>
        <w:tc>
          <w:tcPr>
            <w:tcW w:w="16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6"/>
              </w:rPr>
              <w:t>See note (6)</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566,394</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$10.44</w:t>
            </w:r>
          </w:p>
        </w:tc>
      </w:tr>
      <w:tr>
        <w:trPr>
          <w:trHeight w:val="238"/>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53,800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80,000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$11.00</w:t>
            </w:r>
          </w:p>
        </w:tc>
      </w:tr>
      <w:tr>
        <w:trPr>
          <w:trHeight w:val="234"/>
        </w:trPr>
        <w:tc>
          <w:tcPr>
            <w:tcW w:w="1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1,166,486</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$9.54</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423,812</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$9.85</w:t>
            </w:r>
          </w:p>
        </w:tc>
      </w:tr>
      <w:tr>
        <w:trPr>
          <w:trHeight w:val="256"/>
        </w:trPr>
        <w:tc>
          <w:tcPr>
            <w:tcW w:w="1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7,894</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$9.50</w:t>
            </w:r>
          </w:p>
        </w:tc>
      </w:tr>
      <w:tr>
        <w:trPr>
          <w:trHeight w:val="257"/>
        </w:trPr>
        <w:tc>
          <w:tcPr>
            <w:tcW w:w="18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15,000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6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-5622925</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-5297170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-4971415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-4645660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-4319905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-3994150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-3668395</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-3342640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-3016885</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-2691130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-2365375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-2039620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-1713865</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-1388110</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-1062355</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-762635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-462280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-136525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80" w:lineRule="exact"/>
        <w:rPr>
          <w:sz w:val="20"/>
          <w:szCs w:val="20"/>
          <w:color w:val="auto"/>
        </w:rPr>
      </w:pPr>
    </w:p>
    <w:p>
      <w:pPr>
        <w:sectPr>
          <w:pgSz w:w="11900" w:h="16838" w:orient="portrait"/>
          <w:cols w:equalWidth="0" w:num="2">
            <w:col w:w="2600" w:space="720"/>
            <w:col w:w="7560"/>
          </w:cols>
          <w:pgMar w:left="680" w:top="307" w:right="339" w:bottom="1440" w:gutter="0" w:footer="0" w:header="0"/>
        </w:sectPr>
      </w:pPr>
    </w:p>
    <w:p>
      <w:pPr>
        <w:ind w:left="440" w:hanging="432"/>
        <w:spacing w:after="0"/>
        <w:tabs>
          <w:tab w:leader="none" w:pos="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spacing w:after="0" w:line="14" w:lineRule="exact"/>
        <w:rPr>
          <w:rFonts w:ascii="Times New Roman" w:cs="Times New Roman" w:eastAsia="Times New Roman" w:hAnsi="Times New Roman"/>
          <w:sz w:val="22"/>
          <w:szCs w:val="22"/>
          <w:color w:val="auto"/>
        </w:rPr>
      </w:pPr>
    </w:p>
    <w:p>
      <w:pPr>
        <w:ind w:left="400" w:hanging="392"/>
        <w:spacing w:after="0" w:line="230" w:lineRule="auto"/>
        <w:tabs>
          <w:tab w:leader="none" w:pos="4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22"/>
          <w:szCs w:val="22"/>
          <w:color w:val="auto"/>
        </w:rPr>
      </w:pPr>
    </w:p>
    <w:p>
      <w:pPr>
        <w:jc w:val="both"/>
        <w:ind w:left="400" w:hanging="392"/>
        <w:spacing w:after="0" w:line="230" w:lineRule="auto"/>
        <w:tabs>
          <w:tab w:leader="none" w:pos="4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2023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allowed the Corporation to issue and sell up to US$35,000,000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2023 ATM Program was qualified by the prospectus supplement dated August 23, 2023.</w:t>
      </w:r>
    </w:p>
    <w:p>
      <w:pPr>
        <w:spacing w:after="0" w:line="2" w:lineRule="exact"/>
        <w:rPr>
          <w:rFonts w:ascii="Times New Roman" w:cs="Times New Roman" w:eastAsia="Times New Roman" w:hAnsi="Times New Roman"/>
          <w:sz w:val="22"/>
          <w:szCs w:val="22"/>
          <w:color w:val="auto"/>
        </w:rPr>
      </w:pPr>
    </w:p>
    <w:p>
      <w:pPr>
        <w:jc w:val="both"/>
        <w:ind w:left="400" w:hanging="392"/>
        <w:spacing w:after="0" w:line="230" w:lineRule="auto"/>
        <w:tabs>
          <w:tab w:leader="none" w:pos="4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current at-the-market equity program (the "</w:t>
      </w:r>
      <w:r>
        <w:rPr>
          <w:rFonts w:ascii="Times New Roman" w:cs="Times New Roman" w:eastAsia="Times New Roman" w:hAnsi="Times New Roman"/>
          <w:sz w:val="22"/>
          <w:szCs w:val="22"/>
          <w:b w:val="1"/>
          <w:bCs w:val="1"/>
          <w:color w:val="auto"/>
        </w:rPr>
        <w:t>2025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allows the Corporation to issue and sell up to US$100,000,000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2025 ATM Program is qualified by the prospectus supplement dated February 10, 2025.</w:t>
      </w:r>
    </w:p>
    <w:p>
      <w:pPr>
        <w:spacing w:after="0" w:line="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spacing w:after="0" w:line="1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880"/>
          </w:cols>
          <w:pgMar w:left="680" w:top="307" w:right="339" w:bottom="1440" w:gutter="0" w:footer="0" w:header="0"/>
          <w:type w:val="continuous"/>
        </w:sectPr>
      </w:pPr>
    </w:p>
    <w:bookmarkStart w:id="20" w:name="page21"/>
    <w:bookmarkEnd w:id="20"/>
    <w:p>
      <w:pPr>
        <w:ind w:left="760" w:hanging="392"/>
        <w:spacing w:after="0" w:line="242" w:lineRule="auto"/>
        <w:tabs>
          <w:tab w:leader="none" w:pos="7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the Conversion Price (as defined in the Securities Purchase Agreement).</w:t>
      </w:r>
    </w:p>
    <w:p>
      <w:pPr>
        <w:ind w:left="800" w:hanging="432"/>
        <w:spacing w:after="0" w:line="230" w:lineRule="auto"/>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conversion of the Convertible Debentures.</w:t>
      </w:r>
    </w:p>
    <w:p>
      <w:pPr>
        <w:ind w:left="800" w:hanging="432"/>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certain options to purchase Common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Warrant Shares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the Corporation’s Annual Information Form and the Interim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Warrant Shares is Highly Speculative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Warrant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i w:val="1"/>
          <w:iCs w:val="1"/>
          <w:color w:val="auto"/>
        </w:rPr>
        <w:t>Discretion in the Use of Proceeds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Times New Roman" w:cs="Times New Roman" w:eastAsia="Times New Roman" w:hAnsi="Times New Roman"/>
          <w:sz w:val="22"/>
          <w:szCs w:val="22"/>
          <w:i w:val="1"/>
          <w:iCs w:val="1"/>
          <w:color w:val="auto"/>
        </w:rPr>
        <w:t>See “Risk Factors – Risk Factors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 Factors Related to the Offering - Potential Dilution”.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 Factors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the Offering - Potential Need for Additional Financing”.</w:t>
      </w:r>
    </w:p>
    <w:p>
      <w:pPr>
        <w:spacing w:after="0" w:line="13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On June 30, 2025, the Corporation entered into the Securities Purchase Agreement, with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in connection with the June 2025 Private Placement of Convertible Debentures. In connection with the Securities Purchase Agreement, the Corporation and High Trail also entered into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on the terms of the Securities Purchase Agreement and the Convertible Debentures, at the Conversion Price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which shall be determined at a future date, upon mutual agreement of the parties, and would require similar registration rights to permit High Trail to offer up to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for sale or other disposition from time to time in the United States. If all of the Registrable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are issued and outstanding, they would represent a substantial percentage of the Corporation’s public float and of the outstanding Common Shares. As of September 16, 2025, the Registrable Common Shares covered by the July Prospectus Supplement would represent approximately 79%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Risk Factors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the Offering – Volatile Market Price of the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 Factors – Risk Factors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Offering – Need 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jc w:val="both"/>
        <w:spacing w:after="0" w:line="262"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Based on current business plans and financial expectations, the Corporation expects to be a PFIC (as defined herein) for its current tax year and may be a PFIC in future tax years. If the Corporation is a PFIC for any year during a U.S. Holder's (as defined herein) holding period of Warrant Shares, then such U.S. Holder generally will be required to treat any gain realized upon a disposition of the Warrant Shares, or any so-called "excess distribution" received on its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herein) or a Mark-to-Market Election (as defined herein).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Warrant Shares over the U.S. Holder's basis therein. This paragraph is qualified in its entirety by the discussion below under the heading " </w:t>
      </w:r>
      <w:r>
        <w:rPr>
          <w:rFonts w:ascii="Times New Roman" w:cs="Times New Roman" w:eastAsia="Times New Roman" w:hAnsi="Times New Roman"/>
          <w:sz w:val="22"/>
          <w:szCs w:val="22"/>
          <w:i w:val="1"/>
          <w:iCs w:val="1"/>
          <w:color w:val="auto"/>
        </w:rPr>
        <w:t>Certain United States Federal Income Tax Considerations to U.S. Holders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Passive Foreign Investment Company Rules</w:t>
      </w:r>
      <w:r>
        <w:rPr>
          <w:rFonts w:ascii="Times New Roman" w:cs="Times New Roman" w:eastAsia="Times New Roman" w:hAnsi="Times New Roman"/>
          <w:sz w:val="22"/>
          <w:szCs w:val="22"/>
          <w:color w:val="auto"/>
        </w:rPr>
        <w:t>." Each potential investor who is a U.S. Holder should consult its own tax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tax consequences of the PFIC rules and the acquisition, ownership, and disposition of the Warrant Shares received upon exercise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Speculative Nature of Warrants</w:t>
      </w:r>
    </w:p>
    <w:p>
      <w:pPr>
        <w:spacing w:after="0" w:line="1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Warrants do not confer any rights of Common Share ownership on their holders, such as voting rights or the right to receive dividends, but rather merely represent the right to acquire Warrant Shares at a fixed price for a limited period of time. Specifically, commencing on the date of issuance, holders of the Warrants may exercise their right to acquire Warrant Shares at the Warrant Exercise Price,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Warrant Shares will ever equal or exceed the exercise price of the Warrants, and consequently, whether it will ever be profitable for holders of the Warrants to exercise the Warrants.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is no existing trading market for the Warrants and there can be no assurance that a liquid market will develop or be maintained for the Warrants, or that an investor will be able to sell any of the Warrants at a particular time (if at all).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following is, as of the date of this Prospectus Supplement, a summary of the principal Canadian federal income tax considerations under the Tax Act, generally applicable to an investor who acquires, as beneficial owner, Common Shares pursuant to the Offering, including, if applicable, upon the exercise of the Warrants, and who, for the purposes of the Tax Act and at all relevant times, holds the Common Shares as capital property and deals at arm's length and is not affiliated with the Corporation, the Underwriters and any subsequent purchaser of such securities (a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For purposes of this summary, and for greater certainty, references to "Common Shares" shall include Warrant Shares and Anti-Dilution Warrant Shares. Generally, the Common Shares will be considered to be capital property to a Holder, provided the Holder does not hold or use the Common Shares in the course of carrying on a business of trading or dealing in securities and such Holder has not acquired them in one or more transactions considered to be an adventure or concern in the nature of trade.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the Common Shares. In addition, this summary does not address the deductibility of interest by a Holder who has borrowed money or otherwise incurred debt in connection with the acquisition of the Common Shares.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Common Shares, controlled by a non-resident person, or group of non-resident persons that do not deal at arm's length with each other, for purposes of the "foreign affiliate dumping" rules in section 212.3 of the Tax Act. Such Holders should consult their tax advisors.</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Common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any other currency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Exercise of Warrants</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 gain or loss will be realized by a Holder on the exercise of a Warrant to acquire a Common Share. When a Warrant is exercised, the Holder's cost of the Common Share acquired thereby will be equal to the aggregate of the Holder's adjusted cost base of such Warrant and the exercise price paid for the Common Share. The Holder's adjusted cost base of the Common Share so acquired will be determined by averaging the cost of the Common Share with the adjusted cost base to the Holder of all Common Shares of the Corporation held as capital property, by the holder, immediately before the acquisition of the Common Share.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Taxation of Resident Holders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applies to Holders who, for the purposes of the Tax Act and any applicable income tax treaty or convention, are or are deemed to be resident in Canada at all relevant times (herein, "</w:t>
      </w:r>
      <w:r>
        <w:rPr>
          <w:rFonts w:ascii="Times New Roman" w:cs="Times New Roman" w:eastAsia="Times New Roman" w:hAnsi="Times New Roman"/>
          <w:sz w:val="22"/>
          <w:szCs w:val="22"/>
          <w:b w:val="1"/>
          <w:bCs w:val="1"/>
          <w:color w:val="auto"/>
        </w:rPr>
        <w:t>Resident Holders</w:t>
      </w:r>
      <w:r>
        <w:rPr>
          <w:rFonts w:ascii="Times New Roman" w:cs="Times New Roman" w:eastAsia="Times New Roman" w:hAnsi="Times New Roman"/>
          <w:sz w:val="22"/>
          <w:szCs w:val="22"/>
          <w:color w:val="auto"/>
        </w:rPr>
        <w:t>"). Certain Resident Holders whose Common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Dividends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dividend received or deemed to be received on the Common Shares held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the Resident Holder's taxable income for the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Resident Holder who disposes, or is deemed to dispose, a Common Share (other than a disposition to the Corporation that is not a sale in the open market in the manner in which shares would normally be purchased by any member of the public in an open market) will generally realize a capital gain (or capital loss) equal to the amount, if any, by which the proceeds of disposition, net of any reasonable costs of disposition, exceed (or are exceeded by) the aggregate of the adjusted cost base to the Resident Holder of such Common Shares immediately before the disposition or deemed disposition. The taxation of capital gains and losses is generally described below under the heading "</w:t>
      </w:r>
      <w:r>
        <w:rPr>
          <w:rFonts w:ascii="Times New Roman" w:cs="Times New Roman" w:eastAsia="Times New Roman" w:hAnsi="Times New Roman"/>
          <w:sz w:val="22"/>
          <w:szCs w:val="22"/>
          <w:i w:val="1"/>
          <w:iCs w:val="1"/>
          <w:color w:val="auto"/>
        </w:rPr>
        <w:t>Capital Gains and Capital Losses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 Gains and Capital Losses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Generally, a Resident Holder is required to include in computing income for a taxation year one-half of the amount of any capital gain (a "</w:t>
      </w:r>
      <w:r>
        <w:rPr>
          <w:rFonts w:ascii="Times New Roman" w:cs="Times New Roman" w:eastAsia="Times New Roman" w:hAnsi="Times New Roman"/>
          <w:sz w:val="22"/>
          <w:szCs w:val="22"/>
          <w:b w:val="1"/>
          <w:bCs w:val="1"/>
          <w:color w:val="auto"/>
        </w:rPr>
        <w:t>taxable capital gain</w:t>
      </w:r>
      <w:r>
        <w:rPr>
          <w:rFonts w:ascii="Times New Roman" w:cs="Times New Roman" w:eastAsia="Times New Roman" w:hAnsi="Times New Roman"/>
          <w:sz w:val="22"/>
          <w:szCs w:val="22"/>
          <w:color w:val="auto"/>
        </w:rPr>
        <w:t>") realized by the Resident Holder in such taxation year. Subject to and in accordance with the rules contained in the Tax Act, a Resident Holder is required to deduct one-half of the amount of any capital loss (an "</w:t>
      </w:r>
      <w:r>
        <w:rPr>
          <w:rFonts w:ascii="Times New Roman" w:cs="Times New Roman" w:eastAsia="Times New Roman" w:hAnsi="Times New Roman"/>
          <w:sz w:val="22"/>
          <w:szCs w:val="22"/>
          <w:b w:val="1"/>
          <w:bCs w:val="1"/>
          <w:color w:val="auto"/>
        </w:rPr>
        <w:t>allowable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capital loss</w:t>
      </w:r>
      <w:r>
        <w:rPr>
          <w:rFonts w:ascii="Times New Roman" w:cs="Times New Roman" w:eastAsia="Times New Roman" w:hAnsi="Times New Roman"/>
          <w:sz w:val="22"/>
          <w:szCs w:val="22"/>
          <w:color w:val="auto"/>
        </w:rPr>
        <w:t>") realized in a particular taxation year against taxable capital gains realized by the Resident Holder in the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both"/>
        <w:spacing w:after="0" w:line="236" w:lineRule="auto"/>
        <w:rPr>
          <w:sz w:val="20"/>
          <w:szCs w:val="20"/>
          <w:color w:val="auto"/>
        </w:rPr>
      </w:pPr>
      <w:r>
        <w:rPr>
          <w:rFonts w:ascii="Times New Roman" w:cs="Times New Roman" w:eastAsia="Times New Roman" w:hAnsi="Times New Roman"/>
          <w:sz w:val="22"/>
          <w:szCs w:val="22"/>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(or on a share for which the Common Share has been substituted), to the extent and under the circumstances described in the Tax Act. Similar rules may apply where a Resident Holder that is a corporation is a member of a partnership or a beneficiary of a trust that owns Common Shares. Resident Holders to whom these rules may be relevant should consult their own tax advisors.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throughout the relevant taxation year a "Canadian-controlled private corporation" or, at any time in the year, is or is deemed to be a "substantive CCPC" (each as defined in the Tax Act) may be liable to pay an additional tax (refundable in certain circumstances) on certain investment income, including amounts in respect of net taxable capital gains. Such Resident Holders should consult their own tax advisors.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Minimum Tax</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Non-Resident Holders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is generally applicable to Holders who, at all relevant times, for the purposes of the Tax Act and any applicable income tax treaty and convention, (i) are neither resident nor deemed to be resident in Canada, and (ii) do not and will not use or hold, and are not and will not be deemed to use or hold, the Common Shares in the course of business (including an adventure or concern in the nature of trade) carried on or deemed to be carried on in Canada. Holders who meet all of the foregoing requirements are referred to herein as "</w:t>
      </w:r>
      <w:r>
        <w:rPr>
          <w:rFonts w:ascii="Times New Roman" w:cs="Times New Roman" w:eastAsia="Times New Roman" w:hAnsi="Times New Roman"/>
          <w:sz w:val="22"/>
          <w:szCs w:val="22"/>
          <w:b w:val="1"/>
          <w:bCs w:val="1"/>
          <w:color w:val="auto"/>
        </w:rPr>
        <w:t>Non-Resident Holders</w:t>
      </w:r>
      <w:r>
        <w:rPr>
          <w:rFonts w:ascii="Times New Roman" w:cs="Times New Roman" w:eastAsia="Times New Roman" w:hAnsi="Times New Roman"/>
          <w:sz w:val="22"/>
          <w:szCs w:val="22"/>
          <w:color w:val="auto"/>
        </w:rPr>
        <w:t>", and this portion of the summary only addresses such Non-Resident Holders. Special rules, which are not discussed in this summary, may apply to a Non-Resident Holder that is an insurer carrying on, or deemed to carry on, business in Canada and elsewhere or is an "authorized foreign bank" (as defined in the Tax Act). Such Non-Resident Holders should consult their own tax advisors.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Dividends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Dividends paid or credited or deemed to be paid or credited to a Non-Resident Holder by the Corporation on the Common Shares will be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rFonts w:ascii="Times New Roman" w:cs="Times New Roman" w:eastAsia="Times New Roman" w:hAnsi="Times New Roman"/>
          <w:sz w:val="22"/>
          <w:szCs w:val="22"/>
          <w:i w:val="1"/>
          <w:iCs w:val="1"/>
          <w:color w:val="auto"/>
        </w:rPr>
        <w:t>Canada-United States Tax Convention (1980),</w:t>
      </w:r>
      <w:r>
        <w:rPr>
          <w:rFonts w:ascii="Times New Roman" w:cs="Times New Roman" w:eastAsia="Times New Roman" w:hAnsi="Times New Roman"/>
          <w:sz w:val="22"/>
          <w:szCs w:val="22"/>
          <w:color w:val="auto"/>
        </w:rPr>
        <w:t xml:space="preserve"> as amended (the "</w:t>
      </w:r>
      <w:r>
        <w:rPr>
          <w:rFonts w:ascii="Times New Roman" w:cs="Times New Roman" w:eastAsia="Times New Roman" w:hAnsi="Times New Roman"/>
          <w:sz w:val="22"/>
          <w:szCs w:val="22"/>
          <w:b w:val="1"/>
          <w:bCs w:val="1"/>
          <w:color w:val="auto"/>
        </w:rPr>
        <w:t>Treaty</w:t>
      </w:r>
      <w:r>
        <w:rPr>
          <w:rFonts w:ascii="Times New Roman" w:cs="Times New Roman" w:eastAsia="Times New Roman" w:hAnsi="Times New Roman"/>
          <w:sz w:val="22"/>
          <w:szCs w:val="22"/>
          <w:color w:val="auto"/>
        </w:rPr>
        <w:t>"), the rate of withholding tax on dividends paid or credited to a Non-Resident Holder who is the beneficial owner of the dividends, resident in the U.S. for purposes of the Treaty and entitled to full benefits under the Treaty (a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is generally reduced to 15% of the gross amount of the dividends (or 5% in the case of a U.S. Holder that is a company beneficially owning at least 10% of the Corporation's voting shares). Non-Resident Holders should consult their own tax advisors to determine their entitlement to benefits under any applicable tax treaty or convention based on their particular circumstances.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such Common Share constitutes (or is deemed to constitute)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Common Share will not be recognized under the Tax Act, unless the Common Share constitutes "taxable Canadian property" to the Non-Resident Holder thereof for purposes of the Tax Act, and the Non-Resident Holder is not entitled to relief under the terms of an applicable tax treaty.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47" w:lineRule="auto"/>
        <w:rPr>
          <w:sz w:val="20"/>
          <w:szCs w:val="20"/>
          <w:color w:val="auto"/>
        </w:rPr>
      </w:pPr>
      <w:r>
        <w:rPr>
          <w:rFonts w:ascii="Times New Roman" w:cs="Times New Roman" w:eastAsia="Times New Roman" w:hAnsi="Times New Roman"/>
          <w:sz w:val="21"/>
          <w:szCs w:val="21"/>
          <w:color w:val="auto"/>
        </w:rPr>
        <w:t>Provided the Common Shares are listed on a "designated stock exchange", as defined in the Tax Act (which currently includes Cboe Canada and the NYSE American) at the time of disposition (or deemed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w:t>
      </w:r>
    </w:p>
    <w:p>
      <w:pPr>
        <w:spacing w:after="0" w:line="2" w:lineRule="exact"/>
        <w:rPr>
          <w:sz w:val="20"/>
          <w:szCs w:val="20"/>
          <w:color w:val="auto"/>
        </w:rPr>
      </w:pPr>
    </w:p>
    <w:p>
      <w:pPr>
        <w:jc w:val="both"/>
        <w:ind w:firstLine="8"/>
        <w:spacing w:after="0" w:line="232" w:lineRule="auto"/>
        <w:tabs>
          <w:tab w:leader="none" w:pos="31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Common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may be deemed to be taxable Canadian property of a Non-Resident Holder.</w:t>
      </w:r>
    </w:p>
    <w:p>
      <w:pPr>
        <w:spacing w:after="0" w:line="13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Common Shares constitute "taxable Canadian property".</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that the Common Shares are taxable Canadian property of a Non-Resident Holder, such Non-Resident Holder may be exempt from tax under the Tax Act in respect of any capital gain arising on the disposition of such Common Shares by virtue of an applicable income tax treaty or convention. In cases where a Non-Resident Holder disposes, or is deemed to have disposed, Common Shares that are, or are deemed to be,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22"/>
          <w:szCs w:val="22"/>
          <w:i w:val="1"/>
          <w:iCs w:val="1"/>
          <w:color w:val="auto"/>
        </w:rPr>
        <w:t>Taxation of Resident Holders - Capital Gains and Capital Losses</w:t>
      </w:r>
      <w:r>
        <w:rPr>
          <w:rFonts w:ascii="Times New Roman" w:cs="Times New Roman" w:eastAsia="Times New Roman" w:hAnsi="Times New Roman"/>
          <w:sz w:val="22"/>
          <w:szCs w:val="22"/>
          <w:color w:val="auto"/>
        </w:rPr>
        <w:t>" will generally be applicable to such disposition.</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who may hold Common Shares as taxable Canadian property should consult their own tax advisors.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 TO U.S. HOLDERS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Registrable Common Shares acquired pursuant to this Offering. This summary is for general information purposes only and does not purport to be a complete analysis or listing of all potential U.S. federal income tax considerations that may apply to a U.S. Holder arising from and relating to the acquisition, ownership and disposition of Registrable Common Shares. In addition, this summary does not take into account the individual facts and circumstances of any particular U.S. Holder that may affect the U.S. federal income tax considerations relevant to such U.S. Holder, including, without limitation, specific tax consequences to a U.S. Holder under an applicable income tax treaty. Accordingly, this summary is not intended to be, and should not be construed as, legal or U.S. federal income tax advice with respect to any particular U.S. Holder. This summary does not address the U.S. federal alternative minimum tax, U.S. federal net investment income tax, U.S. federal estate and gift tax, U.S. state and local tax, and non-U.S. tax consequences to U.S. Holders of the acquisition, ownership and disposition of Registrable Common Shares. In addition, except as specifically set forth below, this summary does not discuss applicable income tax reporting requirements. Each prospective U.S. Holder should consult its own tax advisors regarding the U.S. federal, U.S. state and local, and non-U.S. tax consequences relating to the acquisition, ownership and disposition of Registrable Common Shares.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 opinion from legal counsel or ruling from the Internal Revenue Service (the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has been requested, or will be obtained, regarding the U.S. federal income tax consequences of the acquisition, ownership and disposition of Registrable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consequences described in this summary.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spacing w:after="0" w:line="236"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under the Code, published rulings of the IRS, published administrative positions of the IRS, the current provisions of the Treaty, and U.S. court decisions that are applicable, and, in each case, as in effect and available, as of the date of this document. Any of the authorities on which this summary is based could be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For purposes of this summary, the term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means a beneficial owner of Registrable Common Shares acquired pursuant to this Offering that is for U.S. federal income tax purposes: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United States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Non-U.S. Holders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purposes of this summary, a "</w:t>
      </w:r>
      <w:r>
        <w:rPr>
          <w:rFonts w:ascii="Times New Roman" w:cs="Times New Roman" w:eastAsia="Times New Roman" w:hAnsi="Times New Roman"/>
          <w:sz w:val="22"/>
          <w:szCs w:val="22"/>
          <w:b w:val="1"/>
          <w:bCs w:val="1"/>
          <w:color w:val="auto"/>
        </w:rPr>
        <w:t>non-U.S. Holder</w:t>
      </w:r>
      <w:r>
        <w:rPr>
          <w:rFonts w:ascii="Times New Roman" w:cs="Times New Roman" w:eastAsia="Times New Roman" w:hAnsi="Times New Roman"/>
          <w:sz w:val="22"/>
          <w:szCs w:val="22"/>
          <w:color w:val="auto"/>
        </w:rPr>
        <w:t>" is a beneficial owner of Registrable Common Shares acquired pursuant to this Offering that is not a U.S. Holder and is not a partnership for U.S. federal income tax purposes. This summary does not address the U.S. federal income tax considerations applicable to non-U.S. Holders. Accordingly, a non-U.S. Holder should consult its own tax advisors regarding the U.S. federal, U.S. state and local and non-U.S. tax consequences (including the potential application and operation of any income tax treaties) relating to the acquisition, ownership and disposition of Registrable Common Shares acquired pursuant to this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 Subject to Special U.S. Federal Income Tax Rules Not Addressed</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banks,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Registrable Common Shares as part of a straddle, hedge, conversion transaction, constructive sale, or other integrated transaction; (f) acquire Registrable Common Shares in connection with the exercise or cancellation of employee stock options or otherwise as compensation for services; (g) hold Registrable Common Shares other than as a capital asset within the meaning of Section 1221 of the Code (generally, property held for investment purposes); (h) are subject to the alternative minimum tax; (i) are subject to special tax accounting rules with respect to Registrable Common Shares; (j) are partnerships or other pass-through entities (and partners or investors in such partnerships and entities); (k) are S corporations (and shareholders thereof); (l) are U.S. expatriates or former long-term residents of the United States; (m) hold Registrable Common Shares in connection with a trade or business, permanent establishment, or fixed base outside the United States; (n) own, have owned or will own (directly, indirectly, or by attribution) 10% or more of the total combined voting power or value of the outstanding shares of the Corporation; or (o) are deemed to sell Registrable Common Shares under the constructive sale provisions of the Code. U.S. Holders that are subject to special provisions under the Code, including, but not limited to, U.S. Holders described immediately above, should consult their own tax advisor regarding the U.S. federal, U.S. state and local, and non-U.S. tax consequences relating to the acquisition, ownership and disposition of Registrable Common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both"/>
        <w:spacing w:after="0" w:line="235" w:lineRule="auto"/>
        <w:rPr>
          <w:sz w:val="20"/>
          <w:szCs w:val="20"/>
          <w:color w:val="auto"/>
        </w:rPr>
      </w:pPr>
      <w:r>
        <w:rPr>
          <w:rFonts w:ascii="Times New Roman" w:cs="Times New Roman" w:eastAsia="Times New Roman" w:hAnsi="Times New Roman"/>
          <w:sz w:val="22"/>
          <w:szCs w:val="22"/>
          <w:color w:val="auto"/>
        </w:rPr>
        <w:t>If an entity or arrangement that is classified as a partnership (or other "pass-through" entity) for U.S. federal income tax purposes holds Registrable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Registrable Common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Corporation were to constitute a "passive foreign investment company" within the meaning of Section 1297(a)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as defined below) for any year during a U.S. Holder's holding period, then certain potentially adverse rules would affect the U.S. federal income tax consequences to a U.S. Holder as a result of the acquisition, ownership and disposition of Registrable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2"/>
          <w:szCs w:val="22"/>
          <w:b w:val="1"/>
          <w:bCs w:val="1"/>
          <w:color w:val="auto"/>
        </w:rPr>
        <w:t>Subsidiary PFIC</w:t>
      </w:r>
      <w:r>
        <w:rPr>
          <w:rFonts w:ascii="Times New Roman" w:cs="Times New Roman" w:eastAsia="Times New Roman" w:hAnsi="Times New Roman"/>
          <w:sz w:val="22"/>
          <w:szCs w:val="22"/>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Registrable Common Shares. Accordingly, U.S. Holders should be aware that they could be subject to tax under the PFIC rules even if no distributions are received and no redemptions or other dispositions of Registrable Common Shares are made.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Registrable Common Shares, the U.S. federal income tax consequences to such U.S. Holder of the acquisition, ownership, and disposition of Registrable Common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with respect to the Registrable Common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w:t>
      </w:r>
      <w:r>
        <w:rPr>
          <w:rFonts w:ascii="Times New Roman" w:cs="Times New Roman" w:eastAsia="Times New Roman" w:hAnsi="Times New Roman"/>
          <w:sz w:val="22"/>
          <w:szCs w:val="22"/>
          <w:b w:val="1"/>
          <w:bCs w:val="1"/>
          <w:color w:val="auto"/>
        </w:rPr>
        <w:t>Non-Electing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(a) any gain recognized on the sale or other taxable disposition of Registrable Common Shares; and (b) any "excess distribution" received on the Registrable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Registrable Common Shares, if shorter).</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if the Corporation is a PFIC, any gain recognized on the sale or other taxable disposition of Registrable Common Shares (including an indirect disposition of the stock of any Subsidiary PFIC), and any "excess distribution" received on the Registrable Common Shares or with respect to the stock of a Subsidiary PFIC, must be ratably allocated to each day in a Non-Electing U.S. Holder's holding period for the respective Registrable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Registrable Common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Registrable Common Shares by electing to recognize gain (which will be taxed under the rules of Section 1291 of the Code discussed above), but not loss, as if such Registrable Common Shares were sold on the last day of the last tax year for which the Corporation was a PFIC.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Registrable Common Shares begins generally will not be subject to the rules of Section 1291 of the Code discussed above with respect to its Registrable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(y) "earnings and profits" over (z)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1" w:name="page32"/>
    <w:bookmarkEnd w:id="31"/>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Registrable Common Shares to reflect the amount included in income or allowed as a tax-free distribution because of such QEF Election. In addition, a U.S. Holder that makes a QEF Election generally will recognize capital gain or loss on the sale or other taxable disposition of Registrable Common Shares.</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Registrable Common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Registrable Common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Registrable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Registrable Common Shares. If a U.S. Holder owns PFIC stock indirectly through another PFIC, separate QEF Elections must be made for the PFIC in which the U.S. Holder is a direct shareholder and the Subsidiary PFIC for the QEF rules to apply to both PFICs.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only if the Registrable Common Shares are marketable stock. The Registrable Common Shares generally will be "marketable stock" if the Registrable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Registrable Common Shares generally will not be subject to the default rules of Section 1291 of the Code discussed above with respect to such Registrable Common Shares. However, if a U.S. Holder does not make a Mark-to-Market Election beginning in the first tax year of such U.S. Holder's holding period for the Registrable Common Shares for which the Corporation is a PFIC and such U.S. Holder has not made a timely QEF Election, the default rules of Section 1291 of the Code discussed above will apply to certain dispositions of, and distributions on, the Registrable Common Shares.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that makes a Mark-to-Market Election will include in ordinary income, for each tax year in which the Corporation is a PFIC, an amount equal to the excess, if any, of (a) the fair market value of the Registrable Common Shares, as of the close of such tax year over (b) such U.S. Holder's adjusted tax basis in such Registrable Common Shares. A U.S. Holder that makes a Mark-to-Market Election will be allowed a deduction in an amount equal to the excess, if any, of (a) such U.S. Holder's adjusted tax basis in the Registrable Common Shares, over (b) the fair market value of such Registrable Common Shares (but only to the extent of the net amount of previously included income as a result of the Mark-to-Market Election for prior tax years).</w:t>
      </w:r>
    </w:p>
    <w:p>
      <w:pPr>
        <w:spacing w:after="0" w:line="1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Registrable Common Shares to reflect the amount included in gross income or allowed as a deduction because of such Mark-to-Market Election. In addition, upon a sale or other taxable disposition of Registrable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Registrable Common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Registrable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Registrable Common Shares that would otherwise be tax-deferred (e.g., gifts and exchanges pursuant to corporate reorganizations). However, the specific U.S. federal income tax consequences to a U.S. Holder may vary based on the manner in which Registrable Common Shares are transferred.</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Registrable Common Shares as security for a loan will, except as may be provided in Treasury Regulations, be treated as having made a taxable disposition of such Registrable Common Shares.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a U.S. Holder who acquires Registrable Common Shares from a decedent will not receive a "step up" in tax basis of such Registrable Common Shares to fair market value unless such decedent had a timely and effective QEF Election in place.</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Registrable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Registrable Common Shares</w:t>
      </w:r>
    </w:p>
    <w:p>
      <w:pPr>
        <w:spacing w:after="0" w:line="17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w:t>
      </w:r>
      <w:r>
        <w:rPr>
          <w:rFonts w:ascii="Times New Roman" w:cs="Times New Roman" w:eastAsia="Times New Roman" w:hAnsi="Times New Roman"/>
          <w:sz w:val="22"/>
          <w:szCs w:val="22"/>
          <w:i w:val="1"/>
          <w:iCs w:val="1"/>
          <w:color w:val="auto"/>
        </w:rPr>
        <w:t>Passive Foreign 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 Rules</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Registrable Common Shares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U.S. Holder that receives a distribution, including a constructive distribution, with respect to a Registrable Common Share will be required to include the amount of such distribution in gross income as a dividend (without reduction for any Canadian income tax withheld from such distribution) to the extent of the current and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the U.S. Holder’s adjusted tax basis in the Registrable Common Shares and thereafter as gain from the sale or exchange of such Registrable Common Shares. (See </w:t>
      </w:r>
      <w:r>
        <w:rPr>
          <w:rFonts w:ascii="Times New Roman" w:cs="Times New Roman" w:eastAsia="Times New Roman" w:hAnsi="Times New Roman"/>
          <w:sz w:val="22"/>
          <w:szCs w:val="22"/>
          <w:i w:val="1"/>
          <w:iCs w:val="1"/>
          <w:color w:val="auto"/>
        </w:rPr>
        <w:t>“Sale or Other Taxable Disposition of Registrable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Shares” </w:t>
      </w:r>
      <w:r>
        <w:rPr>
          <w:rFonts w:ascii="Times New Roman" w:cs="Times New Roman" w:eastAsia="Times New Roman" w:hAnsi="Times New Roman"/>
          <w:sz w:val="22"/>
          <w:szCs w:val="22"/>
          <w:color w:val="auto"/>
        </w:rPr>
        <w:t>below). However, the Corporation does not intend to maintain the calculations of its earnings and profits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U.S. federal income tax principles, and each U.S. Holder should therefore assume that any distribution by the Corporation with respect to the Registrable Common Shares will constitute ordinary dividend income. Dividends received on Registrable Common Shares by corporate U.S. Holders generally will not be eligible for the “dividends received deduction”. Subject to applicable limitations and provided the Corporation is eligible for the benefits of the Treaty or the Registrable Common Shares are readily tradable on a U.S.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 regarding the application of such rules.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Registrable Common Shares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will recognize gain or loss on the sale or other taxable disposition of such Registrable Common Shares in an amount equal to the difference, if any, between (a) the U.S. dollar value of cash received plus the fair market value of any property received and (b) such U.S. Holder's adjusted tax basis in such Registrable Common Shares sold or otherwise disposed of. A U.S. Holder's tax basis in Registrable Common Shares generally will be such U.S. Holder's U.S. dollar cost for such Registrable Common Shares. Any such gain or loss generally will be capital gain or loss, which will be long-term capital gain or loss if, at the time of the sale or other disposition, the Registrable Common Shares have been held for more than one year.</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amount of any distribution paid to a U.S. Holder in foreign currency, or on the sale, exchange or other taxable disposition of Registrable Common Shares, generally will be equal to the U.S. dollar value of such foreign currency based on the exchange rate applicable on the date of receipt or, if applicable, the date of settlement if the Registrable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Registrable Common Shares will be treated as foreign-source income, and generally will be treated as "passive category income" or "general category income" for U.S. foreign tax credit purposes. Any gain or loss recognized on a sale or other disposition of Registrable Common Shares generally will be U.S.-source gain or loss. Certain U.S. Holders that are eligible for the benefits of the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 Tax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Regulations</w:t>
      </w:r>
      <w:r>
        <w:rPr>
          <w:rFonts w:ascii="Times New Roman" w:cs="Times New Roman" w:eastAsia="Times New Roman" w:hAnsi="Times New Roman"/>
          <w:sz w:val="22"/>
          <w:szCs w:val="22"/>
          <w:color w:val="auto"/>
        </w:rPr>
        <w:t>") impose additional requirements for Canadian withholding taxes to be eligible for a foreign tax credit, and there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 be no assurance that those requirements will be satisfied. The Treasury Department has released guidance temporarily pausing the application of certain of the Foreign Tax Credit Regulations.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5" w:name="page36"/>
    <w:bookmarkEnd w:id="35"/>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Registrable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 regarding the foreign tax credit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Registrable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Payments made within the U.S. or by a U.S. payor or U.S. middleman, of dividends on, and proceeds arising from the sale or other taxable disposition of, Registrable Common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 regarding the information reporting and backup withholding rules.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WARRANT SHARES. U.S. HOLDERS SHOULD CONSULT THEIR OWN TAX ADVISORS AS TO THE TAX CONSIDERATIONS APPLICABLE TO THEM IN LIGHT OF THEIR OWN PARTICULAR CIRCUMSTANCES.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1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 xml:space="preserve">The matters referred to under </w:t>
      </w:r>
      <w:r>
        <w:rPr>
          <w:rFonts w:ascii="Times New Roman" w:cs="Times New Roman" w:eastAsia="Times New Roman" w:hAnsi="Times New Roman"/>
          <w:sz w:val="22"/>
          <w:szCs w:val="22"/>
          <w:i w:val="1"/>
          <w:iCs w:val="1"/>
          <w:color w:val="auto"/>
        </w:rPr>
        <w:t>"Certain Canadian Income Tax Considerations"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"Certain United States Federal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Considerations"</w:t>
      </w:r>
      <w:r>
        <w:rPr>
          <w:rFonts w:ascii="Times New Roman" w:cs="Times New Roman" w:eastAsia="Times New Roman" w:hAnsi="Times New Roman"/>
          <w:sz w:val="22"/>
          <w:szCs w:val="22"/>
          <w:color w:val="auto"/>
        </w:rPr>
        <w:t>, as well as certain other legal matters relating to the issue and sale of the Warrant Shares offered hereby,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passed upon on behalf of the Corporation by Aird &amp; Berlis LLP.</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16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corporation existing under the OBCA. Other than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Warrants or Warrant Shares who reside in the United States to effect service within the United States upon those directors, officers and experts who are not residents of the United States. It may also be difficult for holders of the Warrant Shares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or "Blue Sky" laws of any state within the United States.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Warrant Shares under this Prospectus Supplement and the accompanying Base Shelf Prospectus.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jc w:val="both"/>
        <w:spacing w:after="0" w:line="237"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125095</wp:posOffset>
            </wp:positionV>
            <wp:extent cx="1945640" cy="1183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456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w:t>
      </w:r>
      <w:r>
        <w:rPr>
          <w:rFonts w:ascii="Times New Roman" w:cs="Times New Roman" w:eastAsia="Times New Roman" w:hAnsi="Times New Roman"/>
          <w:sz w:val="22"/>
          <w:szCs w:val="22"/>
          <w:b w:val="1"/>
          <w:bCs w:val="1"/>
          <w:color w:val="auto"/>
        </w:rPr>
        <w:t>800,000,000</w:t>
      </w:r>
      <w:r>
        <w:rPr>
          <w:rFonts w:ascii="Times New Roman" w:cs="Times New Roman" w:eastAsia="Times New Roman" w:hAnsi="Times New Roman"/>
          <w:sz w:val="22"/>
          <w:szCs w:val="22"/>
          <w:color w:val="auto"/>
        </w:rPr>
        <w:t xml:space="preserve">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 offer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8" w:name="page39"/>
    <w:bookmarkEnd w:id="38"/>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Given the Commitment Amount, the Corporation will have approximately $473,917,796 available under the Prospectus, which management of the Corporation reasonably expects to distribute during the</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25-month period that this Prospectus, including any amendments hereto, remains valid.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the Common Shares underlying Warrants initially sold to, or for the account or benefit of, U.S. persons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7" w:lineRule="exact"/>
        <w:rPr>
          <w:sz w:val="20"/>
          <w:szCs w:val="20"/>
          <w:color w:val="auto"/>
        </w:rPr>
      </w:pPr>
    </w:p>
    <w:p>
      <w:pPr>
        <w:ind w:firstLine="8"/>
        <w:spacing w:after="0" w:line="189" w:lineRule="auto"/>
        <w:tabs>
          <w:tab w:leader="none" w:pos="172"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both"/>
        <w:spacing w:after="0" w:line="239" w:lineRule="auto"/>
        <w:rPr>
          <w:sz w:val="20"/>
          <w:szCs w:val="20"/>
          <w:color w:val="auto"/>
        </w:rPr>
      </w:pPr>
      <w:r>
        <w:rPr>
          <w:rFonts w:ascii="Times New Roman" w:cs="Times New Roman" w:eastAsia="Times New Roman" w:hAnsi="Times New Roman"/>
          <w:sz w:val="22"/>
          <w:szCs w:val="22"/>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calculations are demonstrated in USD and CAD:</w:t>
      </w:r>
      <w:r>
        <w:rPr>
          <w:rFonts w:ascii="Times New Roman" w:cs="Times New Roman" w:eastAsia="Times New Roman" w:hAnsi="Times New Roman"/>
          <w:sz w:val="35"/>
          <w:szCs w:val="3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029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a Unit Distribution</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US$150,000,000</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C$207,720,000</w:t>
            </w:r>
            <w:r>
              <w:rPr>
                <w:rFonts w:ascii="Times New Roman" w:cs="Times New Roman" w:eastAsia="Times New Roman" w:hAnsi="Times New Roman"/>
                <w:sz w:val="29"/>
                <w:szCs w:val="29"/>
                <w:color w:val="auto"/>
                <w:vertAlign w:val="superscript"/>
              </w:rPr>
              <w:t>(1)</w:t>
            </w:r>
          </w:p>
        </w:tc>
      </w:tr>
      <w:tr>
        <w:trPr>
          <w:trHeight w:val="358"/>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the Underlying Warrant Shares</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US$172,500,000</w:t>
            </w:r>
            <w:r>
              <w:rPr>
                <w:rFonts w:ascii="Times New Roman" w:cs="Times New Roman" w:eastAsia="Times New Roman" w:hAnsi="Times New Roman"/>
                <w:sz w:val="29"/>
                <w:szCs w:val="29"/>
                <w:color w:val="auto"/>
                <w:vertAlign w:val="superscript"/>
              </w:rPr>
              <w:t>(2)</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C$238,878,000</w:t>
            </w:r>
          </w:p>
        </w:tc>
      </w:tr>
      <w:tr>
        <w:trPr>
          <w:trHeight w:val="26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Base Shelf Amount Used</w:t>
            </w: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US$322,500,000</w:t>
            </w:r>
          </w:p>
        </w:tc>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C$446,598,000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540" w:right="80" w:hanging="208"/>
        <w:spacing w:after="0" w:line="241" w:lineRule="auto"/>
        <w:tabs>
          <w:tab w:leader="none" w:pos="5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22"/>
          <w:szCs w:val="22"/>
          <w:color w:val="auto"/>
        </w:rPr>
      </w:pPr>
    </w:p>
    <w:p>
      <w:pPr>
        <w:ind w:left="540" w:right="480" w:hanging="208"/>
        <w:spacing w:after="0" w:line="237" w:lineRule="auto"/>
        <w:tabs>
          <w:tab w:leader="none" w:pos="5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a theoretical Unit purchase price (US$150,000,000) multiplied by 115% (representing the theoretical Warrant exercise price).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3571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70" w:lineRule="exact"/>
        <w:rPr>
          <w:sz w:val="20"/>
          <w:szCs w:val="20"/>
          <w:color w:val="auto"/>
        </w:rPr>
      </w:pPr>
    </w:p>
    <w:p>
      <w:pPr>
        <w:jc w:val="both"/>
        <w:ind w:firstLine="8"/>
        <w:spacing w:after="0" w:line="217" w:lineRule="auto"/>
        <w:tabs>
          <w:tab w:leader="none" w:pos="20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1" w:name="page42"/>
    <w:bookmarkEnd w:id="41"/>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Enforcement of Civil Liabilities”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1375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71"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57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203"/>
        </w:trPr>
        <w:tc>
          <w:tcPr>
            <w:tcW w:w="1720" w:type="dxa"/>
            <w:vAlign w:val="bottom"/>
            <w:gridSpan w:val="5"/>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GENERAL MATTERS</w:t>
            </w:r>
          </w:p>
        </w:tc>
        <w:tc>
          <w:tcPr>
            <w:tcW w:w="6660" w:type="dxa"/>
            <w:vAlign w:val="bottom"/>
            <w:gridSpan w:val="15"/>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314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MARKETING MATERIALS</w:t>
            </w:r>
          </w:p>
        </w:tc>
        <w:tc>
          <w:tcPr>
            <w:tcW w:w="5240" w:type="dxa"/>
            <w:vAlign w:val="bottom"/>
            <w:gridSpan w:val="7"/>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660" w:type="dxa"/>
            <w:vAlign w:val="bottom"/>
            <w:gridSpan w:val="11"/>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5720" w:type="dxa"/>
            <w:vAlign w:val="bottom"/>
            <w:gridSpan w:val="9"/>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2860" w:type="dxa"/>
            <w:vAlign w:val="bottom"/>
            <w:gridSpan w:val="2"/>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8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1160" w:type="dxa"/>
            <w:vAlign w:val="bottom"/>
            <w:tcBorders>
              <w:top w:val="single" w:sz="8" w:color="0000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THE CORPORATION</w:t>
            </w:r>
          </w:p>
        </w:tc>
        <w:tc>
          <w:tcPr>
            <w:tcW w:w="2860" w:type="dxa"/>
            <w:vAlign w:val="bottom"/>
            <w:gridSpan w:val="2"/>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REGULATORY OVERVIEW</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1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COMPLIANCE PROGRAM</w:t>
            </w:r>
          </w:p>
        </w:tc>
        <w:tc>
          <w:tcPr>
            <w:tcW w:w="6200" w:type="dxa"/>
            <w:vAlign w:val="bottom"/>
            <w:gridSpan w:val="11"/>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23</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880" w:type="dxa"/>
            <w:vAlign w:val="bottom"/>
            <w:tcBorders>
              <w:bottom w:val="single" w:sz="8" w:color="0000EE"/>
            </w:tcBorders>
            <w:gridSpan w:val="12"/>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500" w:type="dxa"/>
            <w:vAlign w:val="bottom"/>
            <w:tcBorders>
              <w:bottom w:val="single" w:sz="8" w:color="EEEEEE"/>
            </w:tcBorders>
            <w:gridSpan w:val="8"/>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520" w:type="dxa"/>
            <w:vAlign w:val="bottom"/>
            <w:tcBorders>
              <w:bottom w:val="single" w:sz="8" w:color="0000EE"/>
            </w:tcBorders>
            <w:gridSpan w:val="1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860" w:type="dxa"/>
            <w:vAlign w:val="bottom"/>
            <w:tcBorders>
              <w:bottom w:val="single" w:sz="8" w:color="EEEEEE"/>
            </w:tcBorders>
            <w:gridSpan w:val="10"/>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40" w:type="dxa"/>
            <w:vAlign w:val="bottom"/>
            <w:tcBorders>
              <w:bottom w:val="single" w:sz="8" w:color="0000EE"/>
            </w:tcBorders>
            <w:gridSpan w:val="16"/>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4040" w:type="dxa"/>
            <w:vAlign w:val="bottom"/>
            <w:tcBorders>
              <w:bottom w:val="single" w:sz="8" w:color="EEEEEE"/>
            </w:tcBorders>
            <w:gridSpan w:val="4"/>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260" w:type="dxa"/>
            <w:vAlign w:val="bottom"/>
            <w:tcBorders>
              <w:bottom w:val="single" w:sz="8" w:color="0000EE"/>
            </w:tcBorders>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tcBorders>
              <w:bottom w:val="single" w:sz="8" w:color="EEEEEE"/>
            </w:tcBorders>
            <w:gridSpan w:val="19"/>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395"/>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80" w:type="dxa"/>
            <w:vAlign w:val="bottom"/>
            <w:shd w:val="clear" w:color="auto" w:fill="000000"/>
          </w:tcPr>
          <w:p>
            <w:pPr>
              <w:spacing w:after="0"/>
              <w:rPr>
                <w:sz w:val="6"/>
                <w:szCs w:val="6"/>
                <w:color w:val="auto"/>
              </w:rPr>
            </w:pPr>
          </w:p>
        </w:tc>
        <w:tc>
          <w:tcPr>
            <w:tcW w:w="2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auto"/>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this Prospectus, unless stated otherwise or the context requires otherwise, all dollar amounts are expressed in Canadian dollars.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Original Base Prospectus</w:t>
      </w:r>
      <w:r>
        <w:rPr>
          <w:rFonts w:ascii="Times New Roman" w:cs="Times New Roman" w:eastAsia="Times New Roman" w:hAnsi="Times New Roman"/>
          <w:sz w:val="22"/>
          <w:szCs w:val="22"/>
          <w:color w:val="auto"/>
        </w:rPr>
        <w:t>”). The Corporation does not currently have any plans to initiate additional drawdowns under the Original Base Prospectus and intends to withdraw the Original Base Prospectus when this Prospectus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3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8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ind w:left="680" w:hanging="348"/>
        <w:spacing w:after="0"/>
        <w:tabs>
          <w:tab w:leader="none" w:pos="6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27" w:lineRule="exact"/>
        <w:rPr>
          <w:sz w:val="20"/>
          <w:szCs w:val="20"/>
          <w:color w:val="auto"/>
        </w:rPr>
      </w:pPr>
    </w:p>
    <w:p>
      <w:pPr>
        <w:ind w:left="520" w:right="20" w:hanging="256"/>
        <w:spacing w:after="0" w:line="262" w:lineRule="auto"/>
        <w:tabs>
          <w:tab w:leader="none" w:pos="54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520" w:hanging="256"/>
        <w:spacing w:after="0" w:line="239" w:lineRule="auto"/>
        <w:tabs>
          <w:tab w:leader="none" w:pos="54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and special meeting of shareholders of the Corporation to be held on August 18,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auto"/>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Small Pharma completed a horizontal amalgamation with Cybin Corp.,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the resulting entity. As a result of this amalgamation, Cybin UK Ltd is now a wholly-owned subsidiary of Cybin Corp.</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administration.</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08" w:right="33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20"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8</w:t>
      </w:r>
    </w:p>
    <w:p>
      <w:pPr>
        <w:spacing w:after="0" w:line="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3.</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3.</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See footnote 3.</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See footnote 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571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0" w:lineRule="exact"/>
        <w:rPr>
          <w:sz w:val="20"/>
          <w:szCs w:val="20"/>
          <w:color w:val="auto"/>
        </w:rPr>
      </w:pPr>
    </w:p>
    <w:p>
      <w:pPr>
        <w:ind w:left="5580" w:right="5280" w:hanging="5572"/>
        <w:spacing w:after="0" w:line="502" w:lineRule="auto"/>
        <w:tabs>
          <w:tab w:leader="none" w:pos="162"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There is no assurance that this timeline will be met. See footnote 3.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2005/387/JHA of May 10, 2005 (which applies only in certain limited situations)</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3571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8"/>
        <w:spacing w:after="0" w:line="211" w:lineRule="auto"/>
        <w:tabs>
          <w:tab w:leader="none" w:pos="278"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 "</w:t>
      </w:r>
      <w:r>
        <w:rPr>
          <w:rFonts w:ascii="Times New Roman" w:cs="Times New Roman" w:eastAsia="Times New Roman" w:hAnsi="Times New Roman"/>
          <w:sz w:val="22"/>
          <w:szCs w:val="22"/>
          <w:b w:val="1"/>
          <w:bCs w:val="1"/>
          <w:color w:val="auto"/>
        </w:rPr>
        <w:t>2010 Act</w:t>
      </w:r>
      <w:r>
        <w:rPr>
          <w:rFonts w:ascii="Times New Roman" w:cs="Times New Roman" w:eastAsia="Times New Roman" w:hAnsi="Times New Roman"/>
          <w:sz w:val="22"/>
          <w:szCs w:val="22"/>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spacing w:after="0" w:line="244" w:lineRule="auto"/>
        <w:rPr>
          <w:sz w:val="20"/>
          <w:szCs w:val="20"/>
          <w:color w:val="auto"/>
        </w:rPr>
      </w:pPr>
      <w:r>
        <w:rPr>
          <w:rFonts w:ascii="Times New Roman" w:cs="Times New Roman" w:eastAsia="Times New Roman" w:hAnsi="Times New Roman"/>
          <w:sz w:val="22"/>
          <w:szCs w:val="22"/>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22"/>
          <w:szCs w:val="22"/>
          <w:i w:val="1"/>
          <w:iCs w:val="1"/>
          <w:color w:val="auto"/>
        </w:rPr>
        <w:t>substance, product, preparation, plant, fungus or natural organism</w:t>
      </w:r>
      <w:r>
        <w:rPr>
          <w:rFonts w:ascii="Times New Roman" w:cs="Times New Roman" w:eastAsia="Times New Roman" w:hAnsi="Times New Roman"/>
          <w:sz w:val="22"/>
          <w:szCs w:val="22"/>
          <w:color w:val="auto"/>
        </w:rPr>
        <w:t>" as specified in the order.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Irish Government's Legislative Programme for Summer 2025 does not contain any proposed amendments to the above-mentioned legislation which currently govern controlled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UK controlled drugs legislation is the Misuse of Drugs Act 1971 (the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(the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11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5"/>
          <w:szCs w:val="35"/>
          <w:color w:val="auto"/>
          <w:vertAlign w:val="superscript"/>
        </w:rPr>
        <w:t>12</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13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23571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26" w:lineRule="auto"/>
        <w:tabs>
          <w:tab w:leader="none" w:pos="232" w:val="left"/>
        </w:tabs>
        <w:numPr>
          <w:ilvl w:val="0"/>
          <w:numId w:val="24"/>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 w:lineRule="exact"/>
        <w:rPr>
          <w:rFonts w:ascii="Times New Roman" w:cs="Times New Roman" w:eastAsia="Times New Roman" w:hAnsi="Times New Roman"/>
          <w:sz w:val="33"/>
          <w:szCs w:val="33"/>
          <w:color w:val="auto"/>
          <w:vertAlign w:val="superscript"/>
        </w:rPr>
      </w:pPr>
    </w:p>
    <w:p>
      <w:pPr>
        <w:jc w:val="both"/>
        <w:ind w:firstLine="8"/>
        <w:spacing w:after="0" w:line="208" w:lineRule="auto"/>
        <w:tabs>
          <w:tab w:leader="none" w:pos="252" w:val="left"/>
        </w:tabs>
        <w:numPr>
          <w:ilvl w:val="0"/>
          <w:numId w:val="2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spacing w:after="0" w:line="15" w:lineRule="exact"/>
        <w:rPr>
          <w:rFonts w:ascii="Times New Roman" w:cs="Times New Roman" w:eastAsia="Times New Roman" w:hAnsi="Times New Roman"/>
          <w:sz w:val="35"/>
          <w:szCs w:val="35"/>
          <w:color w:val="auto"/>
          <w:vertAlign w:val="superscript"/>
        </w:rPr>
      </w:pPr>
    </w:p>
    <w:p>
      <w:pPr>
        <w:ind w:left="140" w:hanging="132"/>
        <w:spacing w:after="0" w:line="200" w:lineRule="auto"/>
        <w:tabs>
          <w:tab w:leader="none" w:pos="711"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Guidelines for Standard Operating Procedures (SOPs); https://assets.publishing.service.gov.uk/government/uploads/ system/uploads/attachment_data/file/480572/StandardOpProcedure.pdf.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u w:val="single" w:color="auto"/>
          <w:color w:val="auto"/>
        </w:rPr>
        <w:t>Pharmaceutical Products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and to hold a related licence from the MHRA.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How the API is subsequently processed will determine the licences (in addition to any applicable Home Office licenses as referred to above) that the UK-based facility must hold. In particular:</w:t>
      </w:r>
    </w:p>
    <w:p>
      <w:pPr>
        <w:spacing w:after="0" w:line="154"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if the API is just one 'ingredient' (i.e. active substance) of the investigational medicinal product (the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ectPr>
          <w:pgSz w:w="11900" w:h="16838" w:orient="portrait"/>
          <w:cols w:equalWidth="0" w:num="1">
            <w:col w:w="11240"/>
          </w:cols>
          <w:pgMar w:left="320" w:top="11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8" w:name="page59"/>
    <w:bookmarkEnd w:id="5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P. </w:t>
      </w:r>
      <w:r>
        <w:rPr>
          <w:rFonts w:ascii="Times New Roman" w:cs="Times New Roman" w:eastAsia="Times New Roman" w:hAnsi="Times New Roman"/>
          <w:sz w:val="22"/>
          <w:szCs w:val="22"/>
          <w:i w:val="1"/>
          <w:iCs w:val="1"/>
          <w:color w:val="auto"/>
        </w:rPr>
        <w:t>azurescens</w:t>
      </w:r>
      <w:r>
        <w:rPr>
          <w:rFonts w:ascii="Times New Roman" w:cs="Times New Roman" w:eastAsia="Times New Roman" w:hAnsi="Times New Roman"/>
          <w:sz w:val="22"/>
          <w:szCs w:val="22"/>
          <w:color w:val="auto"/>
        </w:rPr>
        <w:t xml:space="preserve">, P. </w:t>
      </w:r>
      <w:r>
        <w:rPr>
          <w:rFonts w:ascii="Times New Roman" w:cs="Times New Roman" w:eastAsia="Times New Roman" w:hAnsi="Times New Roman"/>
          <w:sz w:val="22"/>
          <w:szCs w:val="22"/>
          <w:i w:val="1"/>
          <w:iCs w:val="1"/>
          <w:color w:val="auto"/>
        </w:rPr>
        <w:t>semilanceata</w:t>
      </w:r>
      <w:r>
        <w:rPr>
          <w:rFonts w:ascii="Times New Roman" w:cs="Times New Roman" w:eastAsia="Times New Roman" w:hAnsi="Times New Roman"/>
          <w:sz w:val="22"/>
          <w:szCs w:val="22"/>
          <w:color w:val="auto"/>
        </w:rPr>
        <w:t xml:space="preserve">, and P. </w:t>
      </w:r>
      <w:r>
        <w:rPr>
          <w:rFonts w:ascii="Times New Roman" w:cs="Times New Roman" w:eastAsia="Times New Roman" w:hAnsi="Times New Roman"/>
          <w:sz w:val="22"/>
          <w:szCs w:val="22"/>
          <w:i w:val="1"/>
          <w:iCs w:val="1"/>
          <w:color w:val="auto"/>
        </w:rPr>
        <w:t>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psilocin are well known and well characterized. In conjunction with psychotherapy, psilocin has been utilized broadly in phase II clinical trials.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commenced research and development on the delivery of synthetic psilocin and other psychedelics through mechanisms such as sublingual film delivery, IV, and by way of inhalation.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is led by the Corporation's North American Chief Scientific Officer, Alex Nivorozhkin Ph.D., a seasoned medicinal chemist, drug delivery expert and founder of multiple biotech companies.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submission to the FDA of an IND Application, which the FDA must approve before human clinical trials may begin; approval by 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-565785</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0" w:name="page61"/>
    <w:bookmarkEnd w:id="60"/>
    <w:p>
      <w:pPr>
        <w:jc w:val="both"/>
        <w:spacing w:after="0" w:line="235" w:lineRule="auto"/>
        <w:rPr>
          <w:sz w:val="20"/>
          <w:szCs w:val="20"/>
          <w:color w:val="auto"/>
        </w:rPr>
      </w:pPr>
      <w:r>
        <w:rPr>
          <w:rFonts w:ascii="Times New Roman" w:cs="Times New Roman" w:eastAsia="Times New Roman" w:hAnsi="Times New Roman"/>
          <w:sz w:val="22"/>
          <w:szCs w:val="22"/>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2"/>
          <w:szCs w:val="22"/>
          <w:i w:val="1"/>
          <w:iCs w:val="1"/>
          <w:color w:val="auto"/>
        </w:rPr>
        <w:t>False Claims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pgSz w:w="11900" w:h="16838" w:orient="portrait"/>
          <w:cols w:equalWidth="0" w:num="1">
            <w:col w:w="11240"/>
          </w:cols>
          <w:pgMar w:left="320" w:top="112" w:right="339" w:bottom="856"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56" w:gutter="0" w:footer="0" w:header="0"/>
          <w:type w:val="continuous"/>
        </w:sectPr>
      </w:pPr>
    </w:p>
    <w:bookmarkStart w:id="62" w:name="page63"/>
    <w:bookmarkEnd w:id="62"/>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 (Netherlands)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implementation of Good Clinical Practice in the conduct of clinical trials on medicinal products for human use.</w:t>
      </w:r>
      <w:r>
        <w:rPr>
          <w:rFonts w:ascii="Times New Roman" w:cs="Times New Roman" w:eastAsia="Times New Roman" w:hAnsi="Times New Roman"/>
          <w:sz w:val="35"/>
          <w:szCs w:val="35"/>
          <w:color w:val="auto"/>
          <w:vertAlign w:val="superscript"/>
        </w:rPr>
        <w:t>14</w:t>
      </w:r>
      <w:r>
        <w:rPr>
          <w:rFonts w:ascii="Times New Roman" w:cs="Times New Roman" w:eastAsia="Times New Roman" w:hAnsi="Times New Roman"/>
          <w:sz w:val="22"/>
          <w:szCs w:val="22"/>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22"/>
          <w:szCs w:val="22"/>
          <w:b w:val="1"/>
          <w:bCs w:val="1"/>
          <w:color w:val="auto"/>
        </w:rPr>
        <w:t>CTIS</w:t>
      </w:r>
      <w:r>
        <w:rPr>
          <w:rFonts w:ascii="Times New Roman" w:cs="Times New Roman" w:eastAsia="Times New Roman" w:hAnsi="Times New Roman"/>
          <w:sz w:val="22"/>
          <w:szCs w:val="22"/>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Further, the European Medicines Agency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15" w:lineRule="auto"/>
        <w:tabs>
          <w:tab w:leader="none" w:pos="269" w:val="left"/>
        </w:tabs>
        <w:numPr>
          <w:ilvl w:val="0"/>
          <w:numId w:val="2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spacing w:after="0" w:line="248" w:lineRule="auto"/>
        <w:rPr>
          <w:sz w:val="20"/>
          <w:szCs w:val="20"/>
          <w:color w:val="auto"/>
        </w:rPr>
      </w:pPr>
      <w:r>
        <w:rPr>
          <w:rFonts w:ascii="Times New Roman" w:cs="Times New Roman" w:eastAsia="Times New Roman" w:hAnsi="Times New Roman"/>
          <w:sz w:val="21"/>
          <w:szCs w:val="21"/>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1"/>
          <w:szCs w:val="21"/>
          <w:b w:val="1"/>
          <w:bCs w:val="1"/>
          <w:color w:val="auto"/>
        </w:rPr>
        <w:t>CTAG</w:t>
      </w:r>
      <w:r>
        <w:rPr>
          <w:rFonts w:ascii="Times New Roman" w:cs="Times New Roman" w:eastAsia="Times New Roman" w:hAnsi="Times New Roman"/>
          <w:sz w:val="21"/>
          <w:szCs w:val="21"/>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Investigational Medicinal Product Dossier ("</w:t>
      </w:r>
      <w:r>
        <w:rPr>
          <w:rFonts w:ascii="Times New Roman" w:cs="Times New Roman" w:eastAsia="Times New Roman" w:hAnsi="Times New Roman"/>
          <w:sz w:val="22"/>
          <w:szCs w:val="22"/>
          <w:b w:val="1"/>
          <w:bCs w:val="1"/>
          <w:color w:val="auto"/>
        </w:rPr>
        <w:t>IMPD</w:t>
      </w:r>
      <w:r>
        <w:rPr>
          <w:rFonts w:ascii="Times New Roman" w:cs="Times New Roman" w:eastAsia="Times New Roman" w:hAnsi="Times New Roman"/>
          <w:sz w:val="22"/>
          <w:szCs w:val="22"/>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2"/>
          <w:szCs w:val="22"/>
          <w:b w:val="1"/>
          <w:bCs w:val="1"/>
          <w:color w:val="auto"/>
        </w:rPr>
        <w:t>Clinical Trials Directive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87" w:orient="portrait"/>
          <w:cols w:equalWidth="0" w:num="1">
            <w:col w:w="11240"/>
          </w:cols>
          <w:pgMar w:left="320" w:top="110" w:right="339" w:bottom="0" w:gutter="0" w:footer="0" w:header="0"/>
          <w:type w:val="continuous"/>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1"/>
          <w:szCs w:val="21"/>
          <w:b w:val="1"/>
          <w:bCs w:val="1"/>
          <w:color w:val="auto"/>
        </w:rPr>
        <w:t>RMS</w:t>
      </w:r>
      <w:r>
        <w:rPr>
          <w:rFonts w:ascii="Times New Roman" w:cs="Times New Roman" w:eastAsia="Times New Roman" w:hAnsi="Times New Roman"/>
          <w:sz w:val="21"/>
          <w:szCs w:val="21"/>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114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September 16, 2025</w:t>
            </w:r>
          </w:p>
        </w:tc>
      </w:tr>
      <w:tr>
        <w:trPr>
          <w:trHeight w:val="250"/>
        </w:trPr>
        <w:tc>
          <w:tcPr>
            <w:tcW w:w="432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tcBorders>
              <w:top w:val="single" w:sz="8" w:color="E6EFFF"/>
            </w:tcBorders>
            <w:shd w:val="clear" w:color="auto" w:fill="E6EFFF"/>
          </w:tcPr>
          <w:p>
            <w:pPr>
              <w:spacing w:after="0"/>
              <w:rPr>
                <w:sz w:val="21"/>
                <w:szCs w:val="21"/>
                <w:color w:val="auto"/>
              </w:rPr>
            </w:pPr>
          </w:p>
        </w:tc>
        <w:tc>
          <w:tcPr>
            <w:tcW w:w="448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$34,750,000</w:t>
            </w:r>
            <w:r>
              <w:rPr>
                <w:rFonts w:ascii="Times New Roman" w:cs="Times New Roman" w:eastAsia="Times New Roman" w:hAnsi="Times New Roman"/>
                <w:sz w:val="28"/>
                <w:szCs w:val="28"/>
                <w:color w:val="auto"/>
                <w:w w:val="99"/>
                <w:vertAlign w:val="superscript"/>
              </w:rPr>
              <w:t>(2)</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25,188,217</w:t>
            </w:r>
            <w:r>
              <w:rPr>
                <w:rFonts w:ascii="Times New Roman" w:cs="Times New Roman" w:eastAsia="Times New Roman" w:hAnsi="Times New Roman"/>
                <w:sz w:val="29"/>
                <w:szCs w:val="29"/>
                <w:color w:val="auto"/>
                <w:w w:val="94"/>
                <w:vertAlign w:val="superscript"/>
              </w:rPr>
              <w:t>(3)</w:t>
            </w:r>
          </w:p>
        </w:tc>
      </w:tr>
      <w:tr>
        <w:trPr>
          <w:trHeight w:val="256"/>
        </w:trPr>
        <w:tc>
          <w:tcPr>
            <w:tcW w:w="45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3,994,716</w:t>
            </w:r>
            <w:r>
              <w:rPr>
                <w:rFonts w:ascii="Times New Roman" w:cs="Times New Roman" w:eastAsia="Times New Roman" w:hAnsi="Times New Roman"/>
                <w:sz w:val="29"/>
                <w:szCs w:val="29"/>
                <w:color w:val="auto"/>
                <w:w w:val="95"/>
                <w:vertAlign w:val="superscript"/>
              </w:rPr>
              <w:t>(4)</w:t>
            </w:r>
          </w:p>
        </w:tc>
      </w:tr>
      <w:tr>
        <w:trPr>
          <w:trHeight w:val="39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00" w:hanging="460"/>
        <w:spacing w:after="0"/>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amount of Convertible Debentures issued and outstanding.</w:t>
      </w:r>
    </w:p>
    <w:p>
      <w:pPr>
        <w:spacing w:after="0" w:line="14"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On August 29, 2025, options to purchase an aggregate of 15,000 Common Shares at an exercise price of $11.00 per Common Share were granted under the Equity Incentive Plan.</w:t>
      </w:r>
    </w:p>
    <w:p>
      <w:pPr>
        <w:spacing w:after="0" w:line="2" w:lineRule="exact"/>
        <w:rPr>
          <w:rFonts w:ascii="Times New Roman" w:cs="Times New Roman" w:eastAsia="Times New Roman" w:hAnsi="Times New Roman"/>
          <w:sz w:val="22"/>
          <w:szCs w:val="22"/>
          <w:color w:val="auto"/>
        </w:rPr>
      </w:pPr>
    </w:p>
    <w:p>
      <w:pPr>
        <w:jc w:val="both"/>
        <w:ind w:left="880" w:hanging="440"/>
        <w:spacing w:after="0" w:line="234" w:lineRule="auto"/>
        <w:tabs>
          <w:tab w:leader="none" w:pos="9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 The Corporation will not receive any proceeds from any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by a Selling Securityholder.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66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vMerge w:val="continue"/>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37"/>
        </w:trPr>
        <w:tc>
          <w:tcPr>
            <w:tcW w:w="7620" w:type="dxa"/>
            <w:vAlign w:val="bottom"/>
            <w:tcBorders>
              <w:top w:val="single" w:sz="8" w:color="E6EFFF"/>
            </w:tcBorders>
            <w:shd w:val="clear" w:color="auto" w:fill="E6EFFF"/>
          </w:tcPr>
          <w:p>
            <w:pPr>
              <w:spacing w:after="0" w:line="236"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7"/>
                <w:szCs w:val="27"/>
                <w:color w:val="auto"/>
                <w:vertAlign w:val="superscript"/>
              </w:rPr>
              <w:t>(5)</w:t>
            </w:r>
          </w:p>
        </w:tc>
        <w:tc>
          <w:tcPr>
            <w:tcW w:w="14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17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27,717,000</w:t>
            </w:r>
          </w:p>
        </w:tc>
        <w:tc>
          <w:tcPr>
            <w:tcW w:w="22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w w:val="98"/>
              </w:rPr>
              <w:t>24,368,000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Progression of the third Phase 3 study, EXTEND</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23,923,000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 (CYB004)</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the Phase 2 GAD study</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1,548,000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(8)</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readout from the Phase 2 GAD study</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594,000</w:t>
            </w:r>
          </w:p>
        </w:tc>
        <w:tc>
          <w:tcPr>
            <w:tcW w:w="220" w:type="dxa"/>
            <w:vAlign w:val="bottom"/>
            <w:shd w:val="clear" w:color="auto" w:fill="E6EFFF"/>
          </w:tcPr>
          <w:p>
            <w:pPr>
              <w:spacing w:after="0"/>
              <w:rPr>
                <w:sz w:val="18"/>
                <w:szCs w:val="18"/>
                <w:color w:val="auto"/>
              </w:rPr>
            </w:pPr>
          </w:p>
        </w:tc>
        <w:tc>
          <w:tcPr>
            <w:tcW w:w="196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Phenethylamine and Tryptamine Derivatives Program (CYB005)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Deliver a drug development candidate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Q3 2026</w:t>
            </w:r>
            <w:r>
              <w:rPr>
                <w:rFonts w:ascii="Times New Roman" w:cs="Times New Roman" w:eastAsia="Times New Roman" w:hAnsi="Times New Roman"/>
                <w:sz w:val="29"/>
                <w:szCs w:val="29"/>
                <w:color w:val="auto"/>
                <w:w w:val="94"/>
                <w:vertAlign w:val="superscript"/>
              </w:rPr>
              <w:t>(9)</w:t>
            </w:r>
          </w:p>
        </w:tc>
        <w:tc>
          <w:tcPr>
            <w:tcW w:w="0" w:type="dxa"/>
            <w:vAlign w:val="bottom"/>
          </w:tcPr>
          <w:p>
            <w:pPr>
              <w:spacing w:after="0"/>
              <w:rPr>
                <w:sz w:val="1"/>
                <w:szCs w:val="1"/>
                <w:color w:val="auto"/>
              </w:rPr>
            </w:pPr>
          </w:p>
        </w:tc>
      </w:tr>
      <w:tr>
        <w:trPr>
          <w:trHeight w:val="256"/>
        </w:trPr>
        <w:tc>
          <w:tcPr>
            <w:tcW w:w="7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13,704,000</w:t>
            </w:r>
          </w:p>
        </w:tc>
        <w:tc>
          <w:tcPr>
            <w:tcW w:w="2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92,200,000</w:t>
            </w: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660" w:hanging="436"/>
        <w:spacing w:after="0" w:line="241"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660" w:hanging="436"/>
        <w:spacing w:after="0" w:line="230"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pgSz w:w="11900" w:h="16838" w:orient="portrait"/>
          <w:cols w:equalWidth="0" w:num="1">
            <w:col w:w="11240"/>
          </w:cols>
          <w:pgMar w:left="320" w:top="360" w:right="339" w:bottom="424"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424" w:gutter="0" w:footer="0" w:header="0"/>
          <w:type w:val="continuous"/>
        </w:sectPr>
      </w:pPr>
    </w:p>
    <w:bookmarkStart w:id="70" w:name="page71"/>
    <w:bookmarkEnd w:id="70"/>
    <w:p>
      <w:pPr>
        <w:ind w:left="660" w:hanging="436"/>
        <w:spacing w:after="0" w:line="242" w:lineRule="auto"/>
        <w:tabs>
          <w:tab w:leader="none" w:pos="6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jc w:val="both"/>
        <w:ind w:left="660" w:hanging="436"/>
        <w:spacing w:after="0" w:line="230" w:lineRule="auto"/>
        <w:tabs>
          <w:tab w:leader="none" w:pos="6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3" w:lineRule="auto"/>
        <w:tabs>
          <w:tab w:leader="none" w:pos="6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Prospectus may also from time to time, relate to the Offering of Securities by way of a secondary offering (each, a "</w:t>
      </w:r>
      <w:r>
        <w:rPr>
          <w:rFonts w:ascii="Times New Roman" w:cs="Times New Roman" w:eastAsia="Times New Roman" w:hAnsi="Times New Roman"/>
          <w:sz w:val="22"/>
          <w:szCs w:val="22"/>
          <w:b w:val="1"/>
          <w:bCs w:val="1"/>
          <w:color w:val="auto"/>
        </w:rPr>
        <w:t>Secondary Offering</w:t>
      </w:r>
      <w:r>
        <w:rPr>
          <w:rFonts w:ascii="Times New Roman" w:cs="Times New Roman" w:eastAsia="Times New Roman" w:hAnsi="Times New Roman"/>
          <w:sz w:val="22"/>
          <w:szCs w:val="22"/>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79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ind w:left="540"/>
        <w:spacing w:after="0" w:line="259"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right="2460"/>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-496570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-222250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540" w:right="40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79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right="60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ind w:left="540"/>
        <w:spacing w:after="0" w:line="259"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0"/>
        <w:spacing w:after="0" w:line="414"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-765810</wp:posOffset>
            </wp:positionV>
            <wp:extent cx="68580"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-491490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-226060</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ectPr>
          <w:pgSz w:w="11900" w:h="16838" w:orient="portrait"/>
          <w:cols w:equalWidth="0" w:num="1">
            <w:col w:w="11240"/>
          </w:cols>
          <w:pgMar w:left="320" w:top="111" w:right="339" w:bottom="923"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923" w:gutter="0" w:footer="0" w:header="0"/>
          <w:type w:val="continuous"/>
        </w:sectPr>
      </w:pPr>
    </w:p>
    <w:bookmarkStart w:id="77" w:name="page78"/>
    <w:bookmarkEnd w:id="77"/>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9" w:name="page80"/>
    <w:bookmarkEnd w:id="7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5940" w:firstLine="8"/>
        <w:spacing w:after="0" w:line="404" w:lineRule="auto"/>
        <w:tabs>
          <w:tab w:leader="none" w:pos="126"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Negative Operating Cash Flow"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CBOE Canada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spacing w:after="0" w:line="231" w:lineRule="auto"/>
        <w:rPr>
          <w:sz w:val="20"/>
          <w:szCs w:val="20"/>
          <w:color w:val="auto"/>
        </w:rPr>
      </w:pPr>
      <w:r>
        <w:rPr>
          <w:rFonts w:ascii="Times New Roman" w:cs="Times New Roman" w:eastAsia="Times New Roman" w:hAnsi="Times New Roman"/>
          <w:sz w:val="22"/>
          <w:szCs w:val="22"/>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 Registrable Common Shares</w:t>
      </w:r>
      <w:r>
        <w:rPr>
          <w:rFonts w:ascii="Times New Roman" w:cs="Times New Roman" w:eastAsia="Times New Roman" w:hAnsi="Times New Roman"/>
          <w:sz w:val="22"/>
          <w:szCs w:val="22"/>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pgSz w:w="11900" w:h="16838" w:orient="portrait"/>
          <w:cols w:equalWidth="0" w:num="1">
            <w:col w:w="11240"/>
          </w:cols>
          <w:pgMar w:left="320" w:top="111"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1" w:name="page82"/>
    <w:bookmarkEnd w:id="81"/>
    <w:p>
      <w:pPr>
        <w:jc w:val="both"/>
        <w:spacing w:after="0" w:line="259"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Roman"/>
      <w:start w:val="2"/>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8"/>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5"/>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1)"/>
      <w:numFmt w:val="lowerLetter"/>
      <w:start w:val="2"/>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5"/>
      <w:numFmt w:val="bullet"/>
      <w:start w:val="1"/>
    </w:lvl>
  </w:abstractNum>
  <w:abstractNum w:abstractNumId="21">
    <w:nsid w:val="4353D0CD"/>
    <w:multiLevelType w:val="hybridMultilevel"/>
    <w:lvl w:ilvl="0">
      <w:lvlJc w:val="left"/>
      <w:lvlText w:val="9"/>
      <w:numFmt w:val="bullet"/>
      <w:start w:val="1"/>
    </w:lvl>
  </w:abstractNum>
  <w:abstractNum w:abstractNumId="22">
    <w:nsid w:val="B03E0C6"/>
    <w:multiLevelType w:val="hybridMultilevel"/>
    <w:lvl w:ilvl="0">
      <w:lvlJc w:val="left"/>
      <w:lvlText w:val="%1"/>
      <w:numFmt w:val="decimal"/>
      <w:start w:val="10"/>
    </w:lvl>
  </w:abstractNum>
  <w:abstractNum w:abstractNumId="23">
    <w:nsid w:val="189A769B"/>
    <w:multiLevelType w:val="hybridMultilevel"/>
    <w:lvl w:ilvl="0">
      <w:lvlJc w:val="left"/>
      <w:lvlText w:val="%1"/>
      <w:numFmt w:val="decimal"/>
      <w:start w:val="11"/>
    </w:lvl>
  </w:abstractNum>
  <w:abstractNum w:abstractNumId="24">
    <w:nsid w:val="54E49EB4"/>
    <w:multiLevelType w:val="hybridMultilevel"/>
    <w:lvl w:ilvl="0">
      <w:lvlJc w:val="left"/>
      <w:lvlText w:val="%1"/>
      <w:numFmt w:val="decimal"/>
      <w:start w:val="14"/>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7"/>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2025-09-18T05:31:52Z</dcterms:created>
  <dcterms:modified xsi:type="dcterms:W3CDTF">2025-09-18T05:31:52Z</dcterms:modified>
</cp:coreProperties>
</file>