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232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27305"/>
                    </a:xfrm>
                    <a:prstGeom prst="rect">
                      <a:avLst/>
                    </a:prstGeom>
                    <a:noFill/>
                  </pic:spPr>
                </pic:pic>
              </a:graphicData>
            </a:graphic>
          </wp:anchor>
        </w:drawing>
        <w:t>As filed with the Securities and Exchange Commission on July 31, 2025.</w:t>
      </w:r>
    </w:p>
    <w:p>
      <w:pPr>
        <w:spacing w:after="0" w:line="16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w:t>
      </w:r>
    </w:p>
    <w:p>
      <w:pPr>
        <w:spacing w:after="0" w:line="1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FORM F-10</w:t>
      </w:r>
    </w:p>
    <w:p>
      <w:pPr>
        <w:spacing w:after="0" w:line="16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2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u w:val="single" w:color="auto"/>
          <w:color w:val="auto"/>
        </w:rPr>
        <w:t>CYBIN INC.</w:t>
      </w:r>
    </w:p>
    <w:p>
      <w:pPr>
        <w:spacing w:after="0" w:line="2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2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u w:val="single" w:color="auto"/>
          <w:color w:val="auto"/>
        </w:rPr>
        <w:t>Ontario, Canada</w:t>
      </w:r>
    </w:p>
    <w:p>
      <w:pPr>
        <w:spacing w:after="0" w:line="2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(Province or other jurisdiction of incorporation or organization)</w:t>
      </w:r>
    </w:p>
    <w:p>
      <w:pPr>
        <w:spacing w:after="0" w:line="13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2834</w:t>
      </w:r>
    </w:p>
    <w:p>
      <w:pPr>
        <w:spacing w:after="0" w:line="2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(Primary Standard Industrial Classification Code Number, if applicable)</w:t>
      </w:r>
    </w:p>
    <w:p>
      <w:pPr>
        <w:spacing w:after="0" w:line="1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24"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(I.R.S. Employer Identification No., if applicable)</w:t>
      </w:r>
    </w:p>
    <w:p>
      <w:pPr>
        <w:spacing w:after="0" w:line="12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100 King Street West, Suite 5600</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Toronto, Ontario, Canada M5X 1C9</w:t>
      </w: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(908) 764-8385</w:t>
      </w: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(Address and telephone number of Registrant's principal executive offices)</w:t>
      </w:r>
    </w:p>
    <w:p>
      <w:pPr>
        <w:spacing w:after="0" w:line="13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ind w:left="3220"/>
        <w:spacing w:after="0" w:line="193" w:lineRule="auto"/>
        <w:rPr>
          <w:sz w:val="20"/>
          <w:szCs w:val="20"/>
          <w:color w:val="auto"/>
        </w:rPr>
      </w:pPr>
      <w:r>
        <w:rPr>
          <w:rFonts w:ascii="Times New Roman" w:cs="Times New Roman" w:eastAsia="Times New Roman" w:hAnsi="Times New Roman"/>
          <w:sz w:val="18"/>
          <w:szCs w:val="18"/>
          <w:b w:val="1"/>
          <w:bCs w:val="1"/>
          <w:color w:val="auto"/>
        </w:rPr>
        <w:t>1015 15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Street N.W., Suite 1000</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(202) 572-3133</w:t>
      </w: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 in the United States)</w:t>
      </w:r>
    </w:p>
    <w:p>
      <w:pPr>
        <w:spacing w:after="0" w:line="126" w:lineRule="exact"/>
        <w:rPr>
          <w:sz w:val="24"/>
          <w:szCs w:val="24"/>
          <w:color w:val="auto"/>
        </w:rPr>
      </w:pPr>
    </w:p>
    <w:tbl>
      <w:tblPr>
        <w:tblLayout w:type="fixed"/>
        <w:tblInd w:w="1080" w:type="dxa"/>
        <w:tblCellMar>
          <w:top w:w="0" w:type="dxa"/>
          <w:left w:w="0" w:type="dxa"/>
          <w:bottom w:w="0" w:type="dxa"/>
          <w:right w:w="0" w:type="dxa"/>
        </w:tblCellMar>
      </w:tblPr>
      <w:tr>
        <w:trPr>
          <w:trHeight w:val="244"/>
        </w:trPr>
        <w:tc>
          <w:tcPr>
            <w:tcW w:w="2720" w:type="dxa"/>
            <w:vAlign w:val="bottom"/>
          </w:tcPr>
          <w:p>
            <w:pPr>
              <w:spacing w:after="0"/>
              <w:rPr>
                <w:sz w:val="21"/>
                <w:szCs w:val="21"/>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305"/>
        </w:trPr>
        <w:tc>
          <w:tcPr>
            <w:tcW w:w="2720" w:type="dxa"/>
            <w:vAlign w:val="bottom"/>
          </w:tcPr>
          <w:p>
            <w:pPr>
              <w:jc w:val="center"/>
              <w:ind w:right="243"/>
              <w:spacing w:after="0"/>
              <w:rPr>
                <w:sz w:val="20"/>
                <w:szCs w:val="20"/>
                <w:color w:val="auto"/>
              </w:rPr>
            </w:pPr>
            <w:r>
              <w:rPr>
                <w:rFonts w:ascii="Times New Roman" w:cs="Times New Roman" w:eastAsia="Times New Roman" w:hAnsi="Times New Roman"/>
                <w:sz w:val="15"/>
                <w:szCs w:val="15"/>
                <w:b w:val="1"/>
                <w:bCs w:val="1"/>
                <w:color w:val="auto"/>
              </w:rPr>
              <w:t>Douglas Drysdale</w:t>
            </w:r>
          </w:p>
        </w:tc>
        <w:tc>
          <w:tcPr>
            <w:tcW w:w="4160" w:type="dxa"/>
            <w:vAlign w:val="bottom"/>
          </w:tcPr>
          <w:p>
            <w:pPr>
              <w:jc w:val="center"/>
              <w:ind w:left="1701"/>
              <w:spacing w:after="0"/>
              <w:rPr>
                <w:sz w:val="20"/>
                <w:szCs w:val="20"/>
                <w:color w:val="auto"/>
              </w:rPr>
            </w:pPr>
            <w:r>
              <w:rPr>
                <w:rFonts w:ascii="Times New Roman" w:cs="Times New Roman" w:eastAsia="Times New Roman" w:hAnsi="Times New Roman"/>
                <w:sz w:val="15"/>
                <w:szCs w:val="15"/>
                <w:b w:val="1"/>
                <w:bCs w:val="1"/>
                <w:color w:val="auto"/>
              </w:rPr>
              <w:t>Richard Raymer</w:t>
            </w:r>
          </w:p>
        </w:tc>
      </w:tr>
      <w:tr>
        <w:trPr>
          <w:trHeight w:val="184"/>
        </w:trPr>
        <w:tc>
          <w:tcPr>
            <w:tcW w:w="2720" w:type="dxa"/>
            <w:vAlign w:val="bottom"/>
          </w:tcPr>
          <w:p>
            <w:pPr>
              <w:jc w:val="center"/>
              <w:ind w:right="263"/>
              <w:spacing w:after="0"/>
              <w:rPr>
                <w:sz w:val="20"/>
                <w:szCs w:val="20"/>
                <w:color w:val="auto"/>
              </w:rPr>
            </w:pPr>
            <w:r>
              <w:rPr>
                <w:rFonts w:ascii="Times New Roman" w:cs="Times New Roman" w:eastAsia="Times New Roman" w:hAnsi="Times New Roman"/>
                <w:sz w:val="15"/>
                <w:szCs w:val="15"/>
                <w:b w:val="1"/>
                <w:bCs w:val="1"/>
                <w:color w:val="auto"/>
              </w:rPr>
              <w:t>Cybin, Inc.</w:t>
            </w:r>
          </w:p>
        </w:tc>
        <w:tc>
          <w:tcPr>
            <w:tcW w:w="4160" w:type="dxa"/>
            <w:vAlign w:val="bottom"/>
          </w:tcPr>
          <w:p>
            <w:pPr>
              <w:jc w:val="center"/>
              <w:ind w:left="1721"/>
              <w:spacing w:after="0"/>
              <w:rPr>
                <w:sz w:val="20"/>
                <w:szCs w:val="20"/>
                <w:color w:val="auto"/>
              </w:rPr>
            </w:pPr>
            <w:r>
              <w:rPr>
                <w:rFonts w:ascii="Times New Roman" w:cs="Times New Roman" w:eastAsia="Times New Roman" w:hAnsi="Times New Roman"/>
                <w:sz w:val="15"/>
                <w:szCs w:val="15"/>
                <w:b w:val="1"/>
                <w:bCs w:val="1"/>
                <w:color w:val="auto"/>
              </w:rPr>
              <w:t>Dorsey &amp; Whitney LLP</w:t>
            </w:r>
          </w:p>
        </w:tc>
      </w:tr>
      <w:tr>
        <w:trPr>
          <w:trHeight w:val="184"/>
        </w:trPr>
        <w:tc>
          <w:tcPr>
            <w:tcW w:w="2720" w:type="dxa"/>
            <w:vAlign w:val="bottom"/>
          </w:tcPr>
          <w:p>
            <w:pPr>
              <w:jc w:val="center"/>
              <w:ind w:right="303"/>
              <w:spacing w:after="0"/>
              <w:rPr>
                <w:sz w:val="20"/>
                <w:szCs w:val="20"/>
                <w:color w:val="auto"/>
              </w:rPr>
            </w:pPr>
            <w:r>
              <w:rPr>
                <w:rFonts w:ascii="Times New Roman" w:cs="Times New Roman" w:eastAsia="Times New Roman" w:hAnsi="Times New Roman"/>
                <w:sz w:val="15"/>
                <w:szCs w:val="15"/>
                <w:b w:val="1"/>
                <w:bCs w:val="1"/>
                <w:color w:val="auto"/>
              </w:rPr>
              <w:t>100 King Street West,</w:t>
            </w:r>
          </w:p>
        </w:tc>
        <w:tc>
          <w:tcPr>
            <w:tcW w:w="4160" w:type="dxa"/>
            <w:vAlign w:val="bottom"/>
          </w:tcPr>
          <w:p>
            <w:pPr>
              <w:jc w:val="center"/>
              <w:ind w:left="1681"/>
              <w:spacing w:after="0"/>
              <w:rPr>
                <w:sz w:val="20"/>
                <w:szCs w:val="20"/>
                <w:color w:val="auto"/>
              </w:rPr>
            </w:pPr>
            <w:r>
              <w:rPr>
                <w:rFonts w:ascii="Times New Roman" w:cs="Times New Roman" w:eastAsia="Times New Roman" w:hAnsi="Times New Roman"/>
                <w:sz w:val="15"/>
                <w:szCs w:val="15"/>
                <w:b w:val="1"/>
                <w:bCs w:val="1"/>
                <w:color w:val="auto"/>
              </w:rPr>
              <w:t>66 Wellington St West,</w:t>
            </w:r>
          </w:p>
        </w:tc>
      </w:tr>
      <w:tr>
        <w:trPr>
          <w:trHeight w:val="184"/>
        </w:trPr>
        <w:tc>
          <w:tcPr>
            <w:tcW w:w="2720" w:type="dxa"/>
            <w:vAlign w:val="bottom"/>
          </w:tcPr>
          <w:p>
            <w:pPr>
              <w:jc w:val="center"/>
              <w:ind w:right="243"/>
              <w:spacing w:after="0"/>
              <w:rPr>
                <w:sz w:val="20"/>
                <w:szCs w:val="20"/>
                <w:color w:val="auto"/>
              </w:rPr>
            </w:pPr>
            <w:r>
              <w:rPr>
                <w:rFonts w:ascii="Times New Roman" w:cs="Times New Roman" w:eastAsia="Times New Roman" w:hAnsi="Times New Roman"/>
                <w:sz w:val="15"/>
                <w:szCs w:val="15"/>
                <w:b w:val="1"/>
                <w:bCs w:val="1"/>
                <w:color w:val="auto"/>
              </w:rPr>
              <w:t>Suite 5600,</w:t>
            </w:r>
          </w:p>
        </w:tc>
        <w:tc>
          <w:tcPr>
            <w:tcW w:w="4160" w:type="dxa"/>
            <w:vAlign w:val="bottom"/>
          </w:tcPr>
          <w:p>
            <w:pPr>
              <w:jc w:val="center"/>
              <w:ind w:left="1721"/>
              <w:spacing w:after="0"/>
              <w:rPr>
                <w:sz w:val="20"/>
                <w:szCs w:val="20"/>
                <w:color w:val="auto"/>
              </w:rPr>
            </w:pPr>
            <w:r>
              <w:rPr>
                <w:rFonts w:ascii="Times New Roman" w:cs="Times New Roman" w:eastAsia="Times New Roman" w:hAnsi="Times New Roman"/>
                <w:sz w:val="15"/>
                <w:szCs w:val="15"/>
                <w:b w:val="1"/>
                <w:bCs w:val="1"/>
                <w:color w:val="auto"/>
              </w:rPr>
              <w:t>Suite 3400,</w:t>
            </w:r>
          </w:p>
        </w:tc>
      </w:tr>
      <w:tr>
        <w:trPr>
          <w:trHeight w:val="184"/>
        </w:trPr>
        <w:tc>
          <w:tcPr>
            <w:tcW w:w="2720" w:type="dxa"/>
            <w:vAlign w:val="bottom"/>
          </w:tcPr>
          <w:p>
            <w:pPr>
              <w:jc w:val="center"/>
              <w:ind w:right="263"/>
              <w:spacing w:after="0"/>
              <w:rPr>
                <w:sz w:val="20"/>
                <w:szCs w:val="20"/>
                <w:color w:val="auto"/>
              </w:rPr>
            </w:pPr>
            <w:r>
              <w:rPr>
                <w:rFonts w:ascii="Times New Roman" w:cs="Times New Roman" w:eastAsia="Times New Roman" w:hAnsi="Times New Roman"/>
                <w:sz w:val="15"/>
                <w:szCs w:val="15"/>
                <w:b w:val="1"/>
                <w:bCs w:val="1"/>
                <w:color w:val="auto"/>
              </w:rPr>
              <w:t>Toronto, Ontario, Canada M5X 1C9</w:t>
            </w:r>
          </w:p>
        </w:tc>
        <w:tc>
          <w:tcPr>
            <w:tcW w:w="4160" w:type="dxa"/>
            <w:vAlign w:val="bottom"/>
          </w:tcPr>
          <w:p>
            <w:pPr>
              <w:jc w:val="center"/>
              <w:ind w:left="1701"/>
              <w:spacing w:after="0"/>
              <w:rPr>
                <w:sz w:val="20"/>
                <w:szCs w:val="20"/>
                <w:color w:val="auto"/>
              </w:rPr>
            </w:pPr>
            <w:r>
              <w:rPr>
                <w:rFonts w:ascii="Times New Roman" w:cs="Times New Roman" w:eastAsia="Times New Roman" w:hAnsi="Times New Roman"/>
                <w:sz w:val="15"/>
                <w:szCs w:val="15"/>
                <w:b w:val="1"/>
                <w:bCs w:val="1"/>
                <w:color w:val="auto"/>
              </w:rPr>
              <w:t>Toronto, Ontario Canada, M5K 1E6</w:t>
            </w:r>
          </w:p>
        </w:tc>
      </w:tr>
      <w:tr>
        <w:trPr>
          <w:trHeight w:val="203"/>
        </w:trPr>
        <w:tc>
          <w:tcPr>
            <w:tcW w:w="2720" w:type="dxa"/>
            <w:vAlign w:val="bottom"/>
          </w:tcPr>
          <w:p>
            <w:pPr>
              <w:jc w:val="center"/>
              <w:ind w:right="243"/>
              <w:spacing w:after="0"/>
              <w:rPr>
                <w:sz w:val="20"/>
                <w:szCs w:val="20"/>
                <w:color w:val="auto"/>
              </w:rPr>
            </w:pPr>
            <w:r>
              <w:rPr>
                <w:rFonts w:ascii="Times New Roman" w:cs="Times New Roman" w:eastAsia="Times New Roman" w:hAnsi="Times New Roman"/>
                <w:sz w:val="15"/>
                <w:szCs w:val="15"/>
                <w:b w:val="1"/>
                <w:bCs w:val="1"/>
                <w:color w:val="auto"/>
              </w:rPr>
              <w:t>(866) 292-4601</w:t>
            </w:r>
          </w:p>
        </w:tc>
        <w:tc>
          <w:tcPr>
            <w:tcW w:w="4160" w:type="dxa"/>
            <w:vAlign w:val="bottom"/>
          </w:tcPr>
          <w:p>
            <w:pPr>
              <w:jc w:val="center"/>
              <w:ind w:left="1721"/>
              <w:spacing w:after="0"/>
              <w:rPr>
                <w:sz w:val="20"/>
                <w:szCs w:val="20"/>
                <w:color w:val="auto"/>
              </w:rPr>
            </w:pPr>
            <w:r>
              <w:rPr>
                <w:rFonts w:ascii="Times New Roman" w:cs="Times New Roman" w:eastAsia="Times New Roman" w:hAnsi="Times New Roman"/>
                <w:sz w:val="15"/>
                <w:szCs w:val="15"/>
                <w:b w:val="1"/>
                <w:bCs w:val="1"/>
                <w:color w:val="auto"/>
              </w:rPr>
              <w:t>(416) 367-7388</w:t>
            </w:r>
          </w:p>
        </w:tc>
      </w:tr>
    </w:tbl>
    <w:p>
      <w:pPr>
        <w:spacing w:after="0" w:line="1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p>
    <w:p>
      <w:pPr>
        <w:spacing w:after="0" w:line="2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94615</wp:posOffset>
            </wp:positionV>
            <wp:extent cx="717232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160"/>
          </w:cols>
          <w:pgMar w:left="1420" w:top="389" w:right="319" w:bottom="1440" w:gutter="0" w:footer="0" w:header="0"/>
        </w:sectPr>
      </w:pPr>
    </w:p>
    <w:bookmarkStart w:id="1" w:name="page2"/>
    <w:bookmarkEnd w:id="1"/>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Province of Ontario, Canada</w:t>
      </w:r>
    </w:p>
    <w:p>
      <w:pPr>
        <w:spacing w:after="0" w:line="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(Principal jurisdiction regulating this offering)</w:t>
      </w:r>
    </w:p>
    <w:p>
      <w:pPr>
        <w:spacing w:after="0" w:line="130"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8"/>
          <w:szCs w:val="18"/>
          <w:color w:val="auto"/>
        </w:rPr>
        <w:t>It is proposed that this filing shall become effective (check appropriate box below):</w:t>
      </w:r>
    </w:p>
    <w:p>
      <w:pPr>
        <w:spacing w:after="0" w:line="134" w:lineRule="exact"/>
        <w:rPr>
          <w:sz w:val="20"/>
          <w:szCs w:val="20"/>
          <w:color w:val="auto"/>
        </w:rPr>
      </w:pPr>
    </w:p>
    <w:p>
      <w:pPr>
        <w:ind w:left="308" w:hanging="308"/>
        <w:spacing w:after="0" w:line="173" w:lineRule="exact"/>
        <w:tabs>
          <w:tab w:leader="none" w:pos="308" w:val="left"/>
        </w:tabs>
        <w:numPr>
          <w:ilvl w:val="0"/>
          <w:numId w:val="1"/>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upon filing with the Commission pursuant to Rule 467(a) (if in connection with an offering being made contemporaneously in the United States and Canada).</w:t>
      </w:r>
    </w:p>
    <w:p>
      <w:pPr>
        <w:spacing w:after="0" w:line="196" w:lineRule="exact"/>
        <w:rPr>
          <w:rFonts w:ascii="Times New Roman" w:cs="Times New Roman" w:eastAsia="Times New Roman" w:hAnsi="Times New Roman"/>
          <w:sz w:val="15"/>
          <w:szCs w:val="15"/>
          <w:color w:val="auto"/>
        </w:rPr>
      </w:pPr>
    </w:p>
    <w:p>
      <w:pPr>
        <w:ind w:left="308" w:hanging="308"/>
        <w:spacing w:after="0" w:line="173" w:lineRule="exact"/>
        <w:tabs>
          <w:tab w:leader="none" w:pos="308" w:val="left"/>
        </w:tabs>
        <w:numPr>
          <w:ilvl w:val="0"/>
          <w:numId w:val="1"/>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at some future date (check the appropriate box below):</w:t>
      </w:r>
    </w:p>
    <w:p>
      <w:pPr>
        <w:spacing w:after="0" w:line="28" w:lineRule="exact"/>
        <w:rPr>
          <w:sz w:val="20"/>
          <w:szCs w:val="20"/>
          <w:color w:val="auto"/>
        </w:rPr>
      </w:pPr>
    </w:p>
    <w:tbl>
      <w:tblPr>
        <w:tblLayout w:type="fixed"/>
        <w:tblInd w:w="308" w:type="dxa"/>
        <w:tblCellMar>
          <w:top w:w="0" w:type="dxa"/>
          <w:left w:w="0" w:type="dxa"/>
          <w:bottom w:w="0" w:type="dxa"/>
          <w:right w:w="0" w:type="dxa"/>
        </w:tblCellMar>
      </w:tblPr>
      <w:tr>
        <w:trPr>
          <w:trHeight w:val="172"/>
        </w:trPr>
        <w:tc>
          <w:tcPr>
            <w:tcW w:w="2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88"/>
              </w:rPr>
              <w:t>1.</w:t>
            </w:r>
          </w:p>
        </w:tc>
        <w:tc>
          <w:tcPr>
            <w:tcW w:w="30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pursuant to Rule 467(b) on (</w:t>
            </w:r>
          </w:p>
        </w:tc>
        <w:tc>
          <w:tcPr>
            <w:tcW w:w="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at (</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(designate a time not sooner than 7 calendar days after filing).</w:t>
            </w:r>
          </w:p>
        </w:tc>
      </w:tr>
      <w:tr>
        <w:trPr>
          <w:trHeight w:val="216"/>
        </w:trPr>
        <w:tc>
          <w:tcPr>
            <w:tcW w:w="2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88"/>
              </w:rPr>
              <w:t>2.</w:t>
            </w:r>
          </w:p>
        </w:tc>
        <w:tc>
          <w:tcPr>
            <w:tcW w:w="30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pursuant to Rule 467(b) on (</w:t>
            </w:r>
          </w:p>
        </w:tc>
        <w:tc>
          <w:tcPr>
            <w:tcW w:w="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at (</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 (designate a time 7 calendar days or sooner after filing) because the securities regulatory authority in the review jurisdiction</w:t>
            </w:r>
          </w:p>
        </w:tc>
      </w:tr>
      <w:tr>
        <w:trPr>
          <w:trHeight w:val="195"/>
        </w:trPr>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has issued a receipt or notification of clearance on (</w:t>
            </w:r>
          </w:p>
        </w:tc>
        <w:tc>
          <w:tcPr>
            <w:tcW w:w="6900" w:type="dxa"/>
            <w:vAlign w:val="bottom"/>
          </w:tcPr>
          <w:p>
            <w:pPr>
              <w:jc w:val="right"/>
              <w:ind w:right="6623"/>
              <w:spacing w:after="0"/>
              <w:rPr>
                <w:sz w:val="20"/>
                <w:szCs w:val="20"/>
                <w:color w:val="auto"/>
              </w:rPr>
            </w:pPr>
            <w:r>
              <w:rPr>
                <w:rFonts w:ascii="Times New Roman" w:cs="Times New Roman" w:eastAsia="Times New Roman" w:hAnsi="Times New Roman"/>
                <w:sz w:val="15"/>
                <w:szCs w:val="15"/>
                <w:color w:val="auto"/>
              </w:rPr>
              <w:t>).</w:t>
            </w:r>
          </w:p>
        </w:tc>
      </w:tr>
    </w:tbl>
    <w:p>
      <w:pPr>
        <w:ind w:left="908" w:right="420" w:hanging="597"/>
        <w:spacing w:after="0" w:line="187" w:lineRule="exact"/>
        <w:tabs>
          <w:tab w:leader="none" w:pos="608"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ind w:left="608" w:hanging="297"/>
        <w:spacing w:after="0" w:line="173" w:lineRule="exact"/>
        <w:tabs>
          <w:tab w:leader="none" w:pos="608"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after the filing of the next amendment to this Form (if preliminary material is being filed).</w:t>
      </w:r>
    </w:p>
    <w:p>
      <w:pPr>
        <w:spacing w:after="0" w:line="139" w:lineRule="exact"/>
        <w:rPr>
          <w:sz w:val="20"/>
          <w:szCs w:val="20"/>
          <w:color w:val="auto"/>
        </w:rPr>
      </w:pPr>
    </w:p>
    <w:p>
      <w:pPr>
        <w:jc w:val="both"/>
        <w:ind w:left="8" w:firstLine="530"/>
        <w:spacing w:after="0" w:line="244"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17232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TO BE DELIVERED TO OFFEREES OR PURCHASERS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FF0000"/>
        </w:rPr>
        <w:t>This short form prospectus is a preliminary base shelf prospectus. This preliminary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FF0000"/>
        </w:rPr>
        <w:t>A copy of this preliminary short form base shelf prospectus has been filed with the securities regulatory authorities in each of the provinces and territories of Canada, but has not yet become final for the purpose of the sale of securities. Information contained in this preliminary short form base shelf prospectus may not be complete and may have to be amended. The securities may not be sold until a receipt for the prospectus is obtained from the securities regulatory authorities.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No securities regulatory authority has expressed an opinion about these securities and it is an offence to claim otherwise. This preliminary short form base shelf prospectus constitutes a public offering of these securities only in those jurisdictions where they may be lawfully offered for sale and therein only by persons permitted to sell such securities.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 These securities may not be sold nor may offers to buy be accepted prior to the time the registration statement becomes effective. This preliminary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18"/>
          <w:szCs w:val="18"/>
          <w:i w:val="1"/>
          <w:iCs w:val="1"/>
          <w:color w:val="auto"/>
        </w:rPr>
        <w:t>Copies of the documents incorporated herein by reference may be obtained on request without charge from the Secretary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 Cybin Inc. at 100 King Street West, Suite 5600, Toronto, Ontario M5X 1C9, telephone 1-866-292-4601, and are also available electronically at www.sedarplus.ca.</w:t>
      </w:r>
    </w:p>
    <w:p>
      <w:pPr>
        <w:spacing w:after="0" w:line="115"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u w:val="single" w:color="auto"/>
          <w:color w:val="auto"/>
        </w:rPr>
        <w:t>New Issue</w:t>
      </w:r>
      <w:r>
        <w:rPr>
          <w:sz w:val="20"/>
          <w:szCs w:val="20"/>
          <w:color w:val="auto"/>
        </w:rPr>
        <w:tab/>
      </w:r>
      <w:r>
        <w:rPr>
          <w:rFonts w:ascii="Times New Roman" w:cs="Times New Roman" w:eastAsia="Times New Roman" w:hAnsi="Times New Roman"/>
          <w:sz w:val="15"/>
          <w:szCs w:val="15"/>
          <w:color w:val="auto"/>
        </w:rPr>
        <w:t>July 31, 2025</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112395</wp:posOffset>
            </wp:positionV>
            <wp:extent cx="1659890" cy="100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9890" cy="100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CYBIN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w:t>
      </w: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Receipts</w:t>
      </w:r>
    </w:p>
    <w:p>
      <w:pPr>
        <w:spacing w:after="0" w:line="1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short form base shelf prospectus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(each, an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Cybin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during the 25-month period that this Prospectus, including any of amendments thereto, remains valid, of up to $</w:t>
      </w:r>
      <w:r>
        <w:rPr>
          <w:rFonts w:ascii="Times New Roman" w:cs="Times New Roman" w:eastAsia="Times New Roman" w:hAnsi="Times New Roman"/>
          <w:sz w:val="18"/>
          <w:szCs w:val="18"/>
          <w:b w:val="1"/>
          <w:bCs w:val="1"/>
          <w:color w:val="auto"/>
        </w:rPr>
        <w:t>1,000,000,000</w:t>
      </w:r>
      <w:r>
        <w:rPr>
          <w:rFonts w:ascii="Times New Roman" w:cs="Times New Roman" w:eastAsia="Times New Roman" w:hAnsi="Times New Roman"/>
          <w:sz w:val="18"/>
          <w:szCs w:val="18"/>
          <w:color w:val="auto"/>
        </w:rPr>
        <w:t xml:space="preserve"> in the aggregate of: (i) common shares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Corporation; (ii)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other Securities (as defined below) of the Corporation; (iii)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comprising of one or more of the other Securities, (iv) senior and subordinated unsecured debt securities (collectively,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including debt securities convertible or exchangeable into other securities of the Corporation, and (v) subscription receipts ("</w:t>
      </w:r>
      <w:r>
        <w:rPr>
          <w:rFonts w:ascii="Times New Roman" w:cs="Times New Roman" w:eastAsia="Times New Roman" w:hAnsi="Times New Roman"/>
          <w:sz w:val="18"/>
          <w:szCs w:val="18"/>
          <w:b w:val="1"/>
          <w:bCs w:val="1"/>
          <w:color w:val="auto"/>
        </w:rPr>
        <w:t>Subscription Receipts</w:t>
      </w:r>
      <w:r>
        <w:rPr>
          <w:rFonts w:ascii="Times New Roman" w:cs="Times New Roman" w:eastAsia="Times New Roman" w:hAnsi="Times New Roman"/>
          <w:sz w:val="18"/>
          <w:szCs w:val="18"/>
          <w:color w:val="auto"/>
        </w:rPr>
        <w:t>" and together with the Common Shares, Warrants, Units and Debt Securities,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In addition, one or more securityholders of the Corporation (each a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may also offer and sell Securities under this Prospectus. See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7232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jc w:val="both"/>
        <w:spacing w:after="0" w:line="250" w:lineRule="auto"/>
        <w:rPr>
          <w:sz w:val="20"/>
          <w:szCs w:val="20"/>
          <w:color w:val="auto"/>
        </w:rPr>
      </w:pPr>
      <w:r>
        <w:rPr>
          <w:rFonts w:ascii="Times New Roman" w:cs="Times New Roman" w:eastAsia="Times New Roman" w:hAnsi="Times New Roman"/>
          <w:sz w:val="18"/>
          <w:szCs w:val="18"/>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3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18"/>
          <w:szCs w:val="18"/>
          <w:i w:val="1"/>
          <w:iCs w:val="1"/>
          <w:color w:val="auto"/>
        </w:rPr>
        <w:t>Shelf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44-102</w:t>
      </w:r>
      <w:r>
        <w:rPr>
          <w:rFonts w:ascii="Times New Roman" w:cs="Times New Roman" w:eastAsia="Times New Roman" w:hAnsi="Times New Roman"/>
          <w:sz w:val="18"/>
          <w:szCs w:val="18"/>
          <w:color w:val="auto"/>
        </w:rPr>
        <w:t>").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18"/>
          <w:szCs w:val="18"/>
          <w:b w:val="1"/>
          <w:bCs w:val="1"/>
          <w:color w:val="auto"/>
        </w:rPr>
        <w:t>CBOE Canada</w:t>
      </w:r>
      <w:r>
        <w:rPr>
          <w:rFonts w:ascii="Times New Roman" w:cs="Times New Roman" w:eastAsia="Times New Roman" w:hAnsi="Times New Roman"/>
          <w:sz w:val="18"/>
          <w:szCs w:val="18"/>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18"/>
          <w:szCs w:val="18"/>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18"/>
          <w:szCs w:val="18"/>
          <w:b w:val="1"/>
          <w:bCs w:val="1"/>
          <w:color w:val="auto"/>
        </w:rPr>
        <w:t>NYSE American</w:t>
      </w:r>
      <w:r>
        <w:rPr>
          <w:rFonts w:ascii="Times New Roman" w:cs="Times New Roman" w:eastAsia="Times New Roman" w:hAnsi="Times New Roman"/>
          <w:sz w:val="18"/>
          <w:szCs w:val="18"/>
          <w:color w:val="auto"/>
        </w:rPr>
        <w:t>”) under the symbol “CYBN”. On July 30, 2025, the last trading day prior to the filing of this Prospectus, the closing prices of the Common Shares listed on the CBOE Canada and the NYSE American were $10.10 and US$7.30, respectively.</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Enforcement of Civil Liabilities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 w:name="page6"/>
    <w:bookmarkEnd w:id="5"/>
    <w:p>
      <w:pPr>
        <w:jc w:val="both"/>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and in the Corporation's Annual Information Form and Annual MD&amp;A (each as defined herein) incorporated by reference herein.</w:t>
      </w:r>
    </w:p>
    <w:p>
      <w:pPr>
        <w:spacing w:after="0" w:line="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underwriter has been involved in the preparation of this Prospectus or performed any review of the contents hereof.</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Douglas Drysdale, an officer of the Corporation, Eric So, a director and officer of the Corporation, Paul Glavine, a director and officer of the Corporation, and George Tziras,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an Offering - Enforcement of Civil Liabilities"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this Prospectus,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52640" cy="2442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640" cy="2442845"/>
                    </a:xfrm>
                    <a:prstGeom prst="rect">
                      <a:avLst/>
                    </a:prstGeom>
                    <a:noFill/>
                  </pic:spPr>
                </pic:pic>
              </a:graphicData>
            </a:graphic>
          </wp:anchor>
        </w:drawing>
      </w:r>
    </w:p>
    <w:p>
      <w:pPr>
        <w:spacing w:after="0" w:line="145" w:lineRule="exact"/>
        <w:rPr>
          <w:sz w:val="20"/>
          <w:szCs w:val="20"/>
          <w:color w:val="auto"/>
        </w:rPr>
      </w:pPr>
    </w:p>
    <w:p>
      <w:pPr>
        <w:jc w:val="both"/>
        <w:ind w:left="80" w:right="10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5"/>
          <w:szCs w:val="15"/>
          <w:b w:val="1"/>
          <w:bCs w:val="1"/>
          <w:i w:val="1"/>
          <w:iCs w:val="1"/>
          <w:color w:val="auto"/>
        </w:rPr>
        <w:t>"Use of Proceeds"</w:t>
      </w:r>
      <w:r>
        <w:rPr>
          <w:rFonts w:ascii="Times New Roman" w:cs="Times New Roman" w:eastAsia="Times New Roman" w:hAnsi="Times New Roman"/>
          <w:sz w:val="15"/>
          <w:szCs w:val="15"/>
          <w:b w:val="1"/>
          <w:bCs w:val="1"/>
          <w:color w:val="auto"/>
        </w:rPr>
        <w:t>.</w:t>
      </w:r>
    </w:p>
    <w:p>
      <w:pPr>
        <w:spacing w:after="0" w:line="145" w:lineRule="exact"/>
        <w:rPr>
          <w:sz w:val="20"/>
          <w:szCs w:val="20"/>
          <w:color w:val="auto"/>
        </w:rPr>
      </w:pPr>
    </w:p>
    <w:p>
      <w:pPr>
        <w:jc w:val="both"/>
        <w:ind w:left="80" w:right="100"/>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The Canadian and United States federal governments regulate drugs through the </w:t>
      </w:r>
      <w:r>
        <w:rPr>
          <w:rFonts w:ascii="Times New Roman" w:cs="Times New Roman" w:eastAsia="Times New Roman" w:hAnsi="Times New Roman"/>
          <w:sz w:val="15"/>
          <w:szCs w:val="15"/>
          <w:b w:val="1"/>
          <w:bCs w:val="1"/>
          <w:i w:val="1"/>
          <w:iCs w:val="1"/>
          <w:color w:val="auto"/>
        </w:rPr>
        <w:t>Controlled Drugs and Substances Act</w:t>
      </w:r>
      <w:r>
        <w:rPr>
          <w:rFonts w:ascii="Times New Roman" w:cs="Times New Roman" w:eastAsia="Times New Roman" w:hAnsi="Times New Roman"/>
          <w:sz w:val="15"/>
          <w:szCs w:val="15"/>
          <w:b w:val="1"/>
          <w:bCs w:val="1"/>
          <w:color w:val="auto"/>
        </w:rPr>
        <w:t xml:space="preserve"> (Canada) (the "CDSA") and the </w:t>
      </w:r>
      <w:r>
        <w:rPr>
          <w:rFonts w:ascii="Times New Roman" w:cs="Times New Roman" w:eastAsia="Times New Roman" w:hAnsi="Times New Roman"/>
          <w:sz w:val="15"/>
          <w:szCs w:val="15"/>
          <w:b w:val="1"/>
          <w:bCs w:val="1"/>
          <w:i w:val="1"/>
          <w:iCs w:val="1"/>
          <w:color w:val="auto"/>
        </w:rPr>
        <w:t>Controlled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Substances Act </w:t>
      </w:r>
      <w:r>
        <w:rPr>
          <w:rFonts w:ascii="Times New Roman" w:cs="Times New Roman" w:eastAsia="Times New Roman" w:hAnsi="Times New Roman"/>
          <w:sz w:val="15"/>
          <w:szCs w:val="15"/>
          <w:b w:val="1"/>
          <w:bCs w:val="1"/>
          <w:color w:val="auto"/>
        </w:rPr>
        <w:t>(21 U.S.C. § 811) (the "CSA"), respectively, which place controlled substances in a schedule. Under the CDSA, psilocin is currently a Schedule III drug.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Under the CSA, psilocin is currently a Schedule I drug.</w:t>
      </w:r>
    </w:p>
    <w:p>
      <w:pPr>
        <w:spacing w:after="0" w:line="140" w:lineRule="exact"/>
        <w:rPr>
          <w:sz w:val="20"/>
          <w:szCs w:val="20"/>
          <w:color w:val="auto"/>
        </w:rPr>
      </w:pPr>
    </w:p>
    <w:p>
      <w:pPr>
        <w:jc w:val="both"/>
        <w:ind w:left="80" w:right="10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5"/>
          <w:szCs w:val="15"/>
          <w:b w:val="1"/>
          <w:bCs w:val="1"/>
          <w:i w:val="1"/>
          <w:iCs w:val="1"/>
          <w:color w:val="auto"/>
        </w:rPr>
        <w:t>"Regulatory Overview - Research and Development"</w:t>
      </w:r>
      <w:r>
        <w:rPr>
          <w:rFonts w:ascii="Times New Roman" w:cs="Times New Roman" w:eastAsia="Times New Roman" w:hAnsi="Times New Roman"/>
          <w:sz w:val="15"/>
          <w:szCs w:val="15"/>
          <w:b w:val="1"/>
          <w:bCs w:val="1"/>
          <w:color w:val="auto"/>
        </w:rPr>
        <w:t>.</w:t>
      </w:r>
    </w:p>
    <w:p>
      <w:pPr>
        <w:spacing w:after="0" w:line="145" w:lineRule="exact"/>
        <w:rPr>
          <w:sz w:val="20"/>
          <w:szCs w:val="20"/>
          <w:color w:val="auto"/>
        </w:rPr>
      </w:pPr>
    </w:p>
    <w:p>
      <w:pPr>
        <w:jc w:val="both"/>
        <w:ind w:left="80" w:right="100"/>
        <w:spacing w:after="0" w:line="264" w:lineRule="auto"/>
        <w:rPr>
          <w:sz w:val="20"/>
          <w:szCs w:val="20"/>
          <w:color w:val="auto"/>
        </w:rPr>
      </w:pPr>
      <w:r>
        <w:rPr>
          <w:rFonts w:ascii="Times New Roman" w:cs="Times New Roman" w:eastAsia="Times New Roman" w:hAnsi="Times New Roman"/>
          <w:sz w:val="15"/>
          <w:szCs w:val="15"/>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 w:name="page7"/>
    <w:bookmarkEnd w:id="6"/>
    <w:p>
      <w:pPr>
        <w:jc w:val="both"/>
        <w:ind w:left="80"/>
        <w:spacing w:after="0" w:line="264"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52640" cy="3729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3729990"/>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herein and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the Annual Information Form.</w:t>
      </w:r>
    </w:p>
    <w:p>
      <w:pPr>
        <w:spacing w:after="0" w:line="151" w:lineRule="exact"/>
        <w:rPr>
          <w:sz w:val="20"/>
          <w:szCs w:val="20"/>
          <w:color w:val="auto"/>
        </w:rPr>
      </w:pPr>
    </w:p>
    <w:p>
      <w:pPr>
        <w:jc w:val="both"/>
        <w:ind w:left="80"/>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herein and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the Annual Information Form.</w:t>
      </w:r>
    </w:p>
    <w:p>
      <w:pPr>
        <w:spacing w:after="0" w:line="151" w:lineRule="exact"/>
        <w:rPr>
          <w:sz w:val="20"/>
          <w:szCs w:val="20"/>
          <w:color w:val="auto"/>
        </w:rPr>
      </w:pPr>
    </w:p>
    <w:p>
      <w:pPr>
        <w:jc w:val="both"/>
        <w:ind w:left="80"/>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5"/>
          <w:szCs w:val="15"/>
          <w:b w:val="1"/>
          <w:bCs w:val="1"/>
          <w:i w:val="1"/>
          <w:iCs w:val="1"/>
          <w:color w:val="auto"/>
        </w:rPr>
        <w:t>"Compliance Program"</w:t>
      </w:r>
      <w:r>
        <w:rPr>
          <w:rFonts w:ascii="Times New Roman" w:cs="Times New Roman" w:eastAsia="Times New Roman" w:hAnsi="Times New Roman"/>
          <w:sz w:val="15"/>
          <w:szCs w:val="15"/>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51" w:lineRule="exact"/>
        <w:rPr>
          <w:sz w:val="20"/>
          <w:szCs w:val="20"/>
          <w:color w:val="auto"/>
        </w:rPr>
      </w:pPr>
    </w:p>
    <w:p>
      <w:pPr>
        <w:jc w:val="both"/>
        <w:ind w:left="80"/>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herein and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the Annual Information Form.</w:t>
      </w:r>
    </w:p>
    <w:p>
      <w:pPr>
        <w:spacing w:after="0" w:line="140"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this Prospectus, prior to investing in the Securities. See </w:t>
      </w:r>
      <w:r>
        <w:rPr>
          <w:rFonts w:ascii="Times New Roman" w:cs="Times New Roman" w:eastAsia="Times New Roman" w:hAnsi="Times New Roman"/>
          <w:sz w:val="15"/>
          <w:szCs w:val="15"/>
          <w:b w:val="1"/>
          <w:bCs w:val="1"/>
          <w:i w:val="1"/>
          <w:iCs w:val="1"/>
          <w:color w:val="auto"/>
        </w:rPr>
        <w:t>"Cautionary Note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Regarding Forward-Looking Information"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5"/>
          <w:szCs w:val="15"/>
          <w:b w:val="1"/>
          <w:bCs w:val="1"/>
          <w:i w:val="1"/>
          <w:iCs w:val="1"/>
          <w:color w:val="auto"/>
        </w:rPr>
        <w:t xml:space="preserve"> "Risk Factors"</w:t>
      </w:r>
      <w:r>
        <w:rPr>
          <w:rFonts w:ascii="Times New Roman" w:cs="Times New Roman" w:eastAsia="Times New Roman" w:hAnsi="Times New Roman"/>
          <w:sz w:val="15"/>
          <w:szCs w:val="15"/>
          <w:b w:val="1"/>
          <w:bCs w:val="1"/>
          <w:color w:val="auto"/>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10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5"/>
                <w:szCs w:val="15"/>
                <w:color w:val="0000EE"/>
              </w:rPr>
              <w:t>GENERAL MATTERS</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1</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280" w:type="dxa"/>
            <w:vAlign w:val="bottom"/>
            <w:tcBorders>
              <w:top w:val="single" w:sz="8" w:color="EEEE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4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00" w:type="dxa"/>
            <w:vAlign w:val="bottom"/>
            <w:tcBorders>
              <w:top w:val="single" w:sz="8" w:color="EEEEEE"/>
            </w:tcBorders>
            <w:shd w:val="clear" w:color="auto" w:fill="EEEEEE"/>
          </w:tcPr>
          <w:p>
            <w:pPr>
              <w:spacing w:after="0"/>
              <w:rPr>
                <w:sz w:val="3"/>
                <w:szCs w:val="3"/>
                <w:color w:val="auto"/>
              </w:rPr>
            </w:pPr>
          </w:p>
        </w:tc>
        <w:tc>
          <w:tcPr>
            <w:tcW w:w="320" w:type="dxa"/>
            <w:vAlign w:val="bottom"/>
            <w:tcBorders>
              <w:top w:val="single" w:sz="8" w:color="EEEEEE"/>
            </w:tcBorders>
            <w:shd w:val="clear" w:color="auto" w:fill="EEEEEE"/>
          </w:tcPr>
          <w:p>
            <w:pPr>
              <w:spacing w:after="0"/>
              <w:rPr>
                <w:sz w:val="3"/>
                <w:szCs w:val="3"/>
                <w:color w:val="auto"/>
              </w:rPr>
            </w:pPr>
          </w:p>
        </w:tc>
        <w:tc>
          <w:tcPr>
            <w:tcW w:w="60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11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CAUTIONARY NOTE REGARDING FORWARD-LOOKING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rPr>
              <w:t>1</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2680" w:type="dxa"/>
            <w:vAlign w:val="bottom"/>
            <w:gridSpan w:val="13"/>
            <w:shd w:val="clear" w:color="auto" w:fill="EEEEEE"/>
          </w:tcPr>
          <w:p>
            <w:pPr>
              <w:spacing w:after="0"/>
              <w:rPr>
                <w:sz w:val="20"/>
                <w:szCs w:val="20"/>
                <w:color w:val="auto"/>
              </w:rPr>
            </w:pPr>
            <w:r>
              <w:rPr>
                <w:rFonts w:ascii="Times New Roman" w:cs="Times New Roman" w:eastAsia="Times New Roman" w:hAnsi="Times New Roman"/>
                <w:sz w:val="15"/>
                <w:szCs w:val="15"/>
                <w:color w:val="0000EE"/>
              </w:rPr>
              <w:t>TRADEMARKS AND SERVICE MARKS</w:t>
            </w:r>
          </w:p>
        </w:tc>
        <w:tc>
          <w:tcPr>
            <w:tcW w:w="8420" w:type="dxa"/>
            <w:vAlign w:val="bottom"/>
            <w:gridSpan w:val="7"/>
            <w:shd w:val="clear" w:color="auto" w:fill="EEEEEE"/>
          </w:tcPr>
          <w:p>
            <w:pPr>
              <w:spacing w:after="0"/>
              <w:rPr>
                <w:sz w:val="15"/>
                <w:szCs w:val="15"/>
                <w:color w:val="auto"/>
              </w:rPr>
            </w:pP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3</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64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00" w:type="dxa"/>
            <w:vAlign w:val="bottom"/>
            <w:tcBorders>
              <w:top w:val="single" w:sz="8" w:color="EEEEEE"/>
            </w:tcBorders>
            <w:shd w:val="clear" w:color="auto" w:fill="EEEEEE"/>
          </w:tcPr>
          <w:p>
            <w:pPr>
              <w:spacing w:after="0"/>
              <w:rPr>
                <w:sz w:val="3"/>
                <w:szCs w:val="3"/>
                <w:color w:val="auto"/>
              </w:rPr>
            </w:pPr>
          </w:p>
        </w:tc>
        <w:tc>
          <w:tcPr>
            <w:tcW w:w="320" w:type="dxa"/>
            <w:vAlign w:val="bottom"/>
            <w:tcBorders>
              <w:top w:val="single" w:sz="8" w:color="EEEEEE"/>
            </w:tcBorders>
            <w:shd w:val="clear" w:color="auto" w:fill="EEEEEE"/>
          </w:tcPr>
          <w:p>
            <w:pPr>
              <w:spacing w:after="0"/>
              <w:rPr>
                <w:sz w:val="3"/>
                <w:szCs w:val="3"/>
                <w:color w:val="auto"/>
              </w:rPr>
            </w:pPr>
          </w:p>
        </w:tc>
        <w:tc>
          <w:tcPr>
            <w:tcW w:w="60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2680" w:type="dxa"/>
            <w:vAlign w:val="bottom"/>
            <w:gridSpan w:val="13"/>
          </w:tcPr>
          <w:p>
            <w:pPr>
              <w:spacing w:after="0"/>
              <w:rPr>
                <w:sz w:val="20"/>
                <w:szCs w:val="20"/>
                <w:color w:val="auto"/>
              </w:rPr>
            </w:pPr>
            <w:r>
              <w:rPr>
                <w:rFonts w:ascii="Times New Roman" w:cs="Times New Roman" w:eastAsia="Times New Roman" w:hAnsi="Times New Roman"/>
                <w:sz w:val="15"/>
                <w:szCs w:val="15"/>
                <w:color w:val="0000EE"/>
              </w:rPr>
              <w:t>MARKETING MATERIALS</w:t>
            </w:r>
          </w:p>
        </w:tc>
        <w:tc>
          <w:tcPr>
            <w:tcW w:w="8420" w:type="dxa"/>
            <w:vAlign w:val="bottom"/>
            <w:gridSpan w:val="7"/>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rPr>
              <w:t>3</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2260" w:type="dxa"/>
            <w:vAlign w:val="bottom"/>
            <w:gridSpan w:val="11"/>
            <w:shd w:val="clear" w:color="auto" w:fill="EEEEEE"/>
          </w:tcPr>
          <w:p>
            <w:pPr>
              <w:spacing w:after="0"/>
              <w:rPr>
                <w:sz w:val="20"/>
                <w:szCs w:val="20"/>
                <w:color w:val="auto"/>
              </w:rPr>
            </w:pPr>
            <w:r>
              <w:rPr>
                <w:rFonts w:ascii="Times New Roman" w:cs="Times New Roman" w:eastAsia="Times New Roman" w:hAnsi="Times New Roman"/>
                <w:sz w:val="15"/>
                <w:szCs w:val="15"/>
                <w:color w:val="0000EE"/>
                <w:w w:val="99"/>
              </w:rPr>
              <w:t>MARKET AND INDUSTRY DATA</w:t>
            </w:r>
          </w:p>
        </w:tc>
        <w:tc>
          <w:tcPr>
            <w:tcW w:w="8840" w:type="dxa"/>
            <w:vAlign w:val="bottom"/>
            <w:gridSpan w:val="9"/>
            <w:shd w:val="clear" w:color="auto" w:fill="EEEEEE"/>
          </w:tcPr>
          <w:p>
            <w:pPr>
              <w:spacing w:after="0"/>
              <w:rPr>
                <w:sz w:val="15"/>
                <w:szCs w:val="15"/>
                <w:color w:val="auto"/>
              </w:rPr>
            </w:pP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4</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4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00" w:type="dxa"/>
            <w:vAlign w:val="bottom"/>
            <w:tcBorders>
              <w:top w:val="single" w:sz="8" w:color="EEEEEE"/>
            </w:tcBorders>
            <w:shd w:val="clear" w:color="auto" w:fill="EEEEEE"/>
          </w:tcPr>
          <w:p>
            <w:pPr>
              <w:spacing w:after="0"/>
              <w:rPr>
                <w:sz w:val="3"/>
                <w:szCs w:val="3"/>
                <w:color w:val="auto"/>
              </w:rPr>
            </w:pPr>
          </w:p>
        </w:tc>
        <w:tc>
          <w:tcPr>
            <w:tcW w:w="320" w:type="dxa"/>
            <w:vAlign w:val="bottom"/>
            <w:tcBorders>
              <w:top w:val="single" w:sz="8" w:color="EEEEEE"/>
            </w:tcBorders>
            <w:shd w:val="clear" w:color="auto" w:fill="EEEEEE"/>
          </w:tcPr>
          <w:p>
            <w:pPr>
              <w:spacing w:after="0"/>
              <w:rPr>
                <w:sz w:val="3"/>
                <w:szCs w:val="3"/>
                <w:color w:val="auto"/>
              </w:rPr>
            </w:pPr>
          </w:p>
        </w:tc>
        <w:tc>
          <w:tcPr>
            <w:tcW w:w="60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11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DOCUMENTS INCORPORATED BY REFERENCE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rPr>
              <w:t>4</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4700" w:type="dxa"/>
            <w:vAlign w:val="bottom"/>
            <w:gridSpan w:val="18"/>
            <w:shd w:val="clear" w:color="auto" w:fill="EEEEEE"/>
          </w:tcPr>
          <w:p>
            <w:pPr>
              <w:spacing w:after="0"/>
              <w:rPr>
                <w:sz w:val="20"/>
                <w:szCs w:val="20"/>
                <w:color w:val="auto"/>
              </w:rPr>
            </w:pPr>
            <w:r>
              <w:rPr>
                <w:rFonts w:ascii="Times New Roman" w:cs="Times New Roman" w:eastAsia="Times New Roman" w:hAnsi="Times New Roman"/>
                <w:sz w:val="15"/>
                <w:szCs w:val="15"/>
                <w:color w:val="0000EE"/>
              </w:rPr>
              <w:t>DOCUMENTS FILED AS PART OF THE REGISTRATION STATEMENT</w:t>
            </w:r>
          </w:p>
        </w:tc>
        <w:tc>
          <w:tcPr>
            <w:tcW w:w="6400" w:type="dxa"/>
            <w:vAlign w:val="bottom"/>
            <w:gridSpan w:val="2"/>
            <w:shd w:val="clear" w:color="auto" w:fill="EEEEEE"/>
          </w:tcPr>
          <w:p>
            <w:pPr>
              <w:spacing w:after="0"/>
              <w:rPr>
                <w:sz w:val="15"/>
                <w:szCs w:val="15"/>
                <w:color w:val="auto"/>
              </w:rPr>
            </w:pP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5</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64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1000" w:type="dxa"/>
            <w:vAlign w:val="bottom"/>
            <w:tcBorders>
              <w:top w:val="single" w:sz="8" w:color="0000EE"/>
            </w:tcBorders>
            <w:shd w:val="clear" w:color="auto" w:fill="EEEEEE"/>
          </w:tcPr>
          <w:p>
            <w:pPr>
              <w:spacing w:after="0"/>
              <w:rPr>
                <w:sz w:val="3"/>
                <w:szCs w:val="3"/>
                <w:color w:val="auto"/>
              </w:rPr>
            </w:pPr>
          </w:p>
        </w:tc>
        <w:tc>
          <w:tcPr>
            <w:tcW w:w="320" w:type="dxa"/>
            <w:vAlign w:val="bottom"/>
            <w:tcBorders>
              <w:top w:val="single" w:sz="8" w:color="EEEEEE"/>
            </w:tcBorders>
            <w:shd w:val="clear" w:color="auto" w:fill="EEEEEE"/>
          </w:tcPr>
          <w:p>
            <w:pPr>
              <w:spacing w:after="0"/>
              <w:rPr>
                <w:sz w:val="3"/>
                <w:szCs w:val="3"/>
                <w:color w:val="auto"/>
              </w:rPr>
            </w:pPr>
          </w:p>
        </w:tc>
        <w:tc>
          <w:tcPr>
            <w:tcW w:w="60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4700" w:type="dxa"/>
            <w:vAlign w:val="bottom"/>
            <w:gridSpan w:val="18"/>
          </w:tcPr>
          <w:p>
            <w:pPr>
              <w:spacing w:after="0"/>
              <w:rPr>
                <w:sz w:val="20"/>
                <w:szCs w:val="20"/>
                <w:color w:val="auto"/>
              </w:rPr>
            </w:pPr>
            <w:r>
              <w:rPr>
                <w:rFonts w:ascii="Times New Roman" w:cs="Times New Roman" w:eastAsia="Times New Roman" w:hAnsi="Times New Roman"/>
                <w:sz w:val="15"/>
                <w:szCs w:val="15"/>
                <w:color w:val="0000EE"/>
              </w:rPr>
              <w:t>THE CORPORATION</w:t>
            </w:r>
          </w:p>
        </w:tc>
        <w:tc>
          <w:tcPr>
            <w:tcW w:w="6400" w:type="dxa"/>
            <w:vAlign w:val="bottom"/>
            <w:gridSpan w:val="2"/>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rPr>
              <w:t>5</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110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5"/>
                <w:szCs w:val="15"/>
                <w:color w:val="0000EE"/>
              </w:rPr>
              <w:t>REGULATORY OVERVIEW</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8</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EEEE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4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00" w:type="dxa"/>
            <w:vAlign w:val="bottom"/>
            <w:tcBorders>
              <w:top w:val="single" w:sz="8" w:color="EEEEEE"/>
            </w:tcBorders>
            <w:shd w:val="clear" w:color="auto" w:fill="EEEEEE"/>
          </w:tcPr>
          <w:p>
            <w:pPr>
              <w:spacing w:after="0"/>
              <w:rPr>
                <w:sz w:val="3"/>
                <w:szCs w:val="3"/>
                <w:color w:val="auto"/>
              </w:rPr>
            </w:pPr>
          </w:p>
        </w:tc>
        <w:tc>
          <w:tcPr>
            <w:tcW w:w="320" w:type="dxa"/>
            <w:vAlign w:val="bottom"/>
            <w:tcBorders>
              <w:top w:val="single" w:sz="8" w:color="EEEEEE"/>
            </w:tcBorders>
            <w:shd w:val="clear" w:color="auto" w:fill="EEEEEE"/>
          </w:tcPr>
          <w:p>
            <w:pPr>
              <w:spacing w:after="0"/>
              <w:rPr>
                <w:sz w:val="3"/>
                <w:szCs w:val="3"/>
                <w:color w:val="auto"/>
              </w:rPr>
            </w:pPr>
          </w:p>
        </w:tc>
        <w:tc>
          <w:tcPr>
            <w:tcW w:w="60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84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COMPLIANCE PROGRAM</w:t>
            </w:r>
          </w:p>
        </w:tc>
        <w:tc>
          <w:tcPr>
            <w:tcW w:w="9260" w:type="dxa"/>
            <w:vAlign w:val="bottom"/>
            <w:gridSpan w:val="11"/>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w w:val="93"/>
              </w:rPr>
              <w:t>22</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0000EE"/>
            </w:tcBorders>
            <w:gridSpan w:val="12"/>
            <w:shd w:val="clear" w:color="auto" w:fill="EEEEEE"/>
          </w:tcPr>
          <w:p>
            <w:pPr>
              <w:spacing w:after="0"/>
              <w:rPr>
                <w:sz w:val="20"/>
                <w:szCs w:val="20"/>
                <w:color w:val="auto"/>
              </w:rPr>
            </w:pPr>
            <w:r>
              <w:rPr>
                <w:rFonts w:ascii="Times New Roman" w:cs="Times New Roman" w:eastAsia="Times New Roman" w:hAnsi="Times New Roman"/>
                <w:sz w:val="15"/>
                <w:szCs w:val="15"/>
                <w:color w:val="0000EE"/>
                <w:w w:val="99"/>
              </w:rPr>
              <w:t>CONSOLIDATED CAPITALIZATION</w:t>
            </w:r>
          </w:p>
        </w:tc>
        <w:tc>
          <w:tcPr>
            <w:tcW w:w="8660" w:type="dxa"/>
            <w:vAlign w:val="bottom"/>
            <w:tcBorders>
              <w:bottom w:val="single" w:sz="8" w:color="EEEEEE"/>
            </w:tcBorders>
            <w:gridSpan w:val="8"/>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23</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111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USE OF PROCEEDS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w w:val="93"/>
              </w:rPr>
              <w:t>23</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1110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5"/>
                <w:szCs w:val="15"/>
                <w:color w:val="0000EE"/>
              </w:rPr>
              <w:t>SELLING SECURITYHOLDERS</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25</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21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rPr>
              <w:t>DIVIDEND POLICY</w:t>
            </w:r>
          </w:p>
        </w:tc>
        <w:tc>
          <w:tcPr>
            <w:tcW w:w="8980" w:type="dxa"/>
            <w:vAlign w:val="bottom"/>
            <w:tcBorders>
              <w:top w:val="single" w:sz="8" w:color="EEEEEE"/>
            </w:tcBorders>
            <w:gridSpan w:val="10"/>
          </w:tcPr>
          <w:p>
            <w:pPr>
              <w:spacing w:after="0"/>
              <w:rPr>
                <w:sz w:val="15"/>
                <w:szCs w:val="15"/>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3"/>
              </w:rPr>
              <w:t>25</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1110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5"/>
                <w:szCs w:val="15"/>
                <w:color w:val="0000EE"/>
              </w:rPr>
              <w:t>DESCRIPTION OF SECURITIES BEING DISTRIBUTED</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26</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36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5"/>
                <w:szCs w:val="15"/>
                <w:color w:val="0000EE"/>
              </w:rPr>
              <w:t>PLAN OF DISTRIBUTION</w:t>
            </w:r>
          </w:p>
        </w:tc>
        <w:tc>
          <w:tcPr>
            <w:tcW w:w="7420" w:type="dxa"/>
            <w:vAlign w:val="bottom"/>
            <w:tcBorders>
              <w:top w:val="single" w:sz="8" w:color="EEEEEE"/>
            </w:tcBorders>
            <w:gridSpan w:val="4"/>
          </w:tcPr>
          <w:p>
            <w:pPr>
              <w:spacing w:after="0"/>
              <w:rPr>
                <w:sz w:val="15"/>
                <w:szCs w:val="15"/>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93"/>
              </w:rPr>
              <w:t>29</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1060" w:type="dxa"/>
            <w:vAlign w:val="bottom"/>
            <w:tcBorders>
              <w:bottom w:val="single" w:sz="8" w:color="0000EE"/>
            </w:tcBorders>
            <w:shd w:val="clear" w:color="auto" w:fill="EEEEEE"/>
          </w:tcPr>
          <w:p>
            <w:pPr>
              <w:spacing w:after="0"/>
              <w:rPr>
                <w:sz w:val="20"/>
                <w:szCs w:val="20"/>
                <w:color w:val="auto"/>
              </w:rPr>
            </w:pPr>
            <w:r>
              <w:rPr>
                <w:rFonts w:ascii="Times New Roman" w:cs="Times New Roman" w:eastAsia="Times New Roman" w:hAnsi="Times New Roman"/>
                <w:sz w:val="15"/>
                <w:szCs w:val="15"/>
                <w:color w:val="0000EE"/>
                <w:w w:val="98"/>
              </w:rPr>
              <w:t>RISK FACTORS</w:t>
            </w:r>
          </w:p>
        </w:tc>
        <w:tc>
          <w:tcPr>
            <w:tcW w:w="10040" w:type="dxa"/>
            <w:vAlign w:val="bottom"/>
            <w:tcBorders>
              <w:bottom w:val="single" w:sz="8" w:color="EEEEEE"/>
            </w:tcBorders>
            <w:gridSpan w:val="19"/>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31</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111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CERTAIN FEDERAL INCOME TAX CONSIDERATIONS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w w:val="93"/>
              </w:rPr>
              <w:t>36</w:t>
            </w:r>
          </w:p>
        </w:tc>
        <w:tc>
          <w:tcPr>
            <w:tcW w:w="20" w:type="dxa"/>
            <w:vAlign w:val="bottom"/>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106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1240" w:type="dxa"/>
            <w:vAlign w:val="bottom"/>
            <w:tcBorders>
              <w:bottom w:val="single" w:sz="8" w:color="0000EE"/>
            </w:tcBorders>
            <w:gridSpan w:val="2"/>
            <w:shd w:val="clear" w:color="auto" w:fill="EEEEEE"/>
          </w:tcPr>
          <w:p>
            <w:pPr>
              <w:spacing w:after="0"/>
              <w:rPr>
                <w:sz w:val="20"/>
                <w:szCs w:val="20"/>
                <w:color w:val="auto"/>
              </w:rPr>
            </w:pPr>
            <w:r>
              <w:rPr>
                <w:rFonts w:ascii="Times New Roman" w:cs="Times New Roman" w:eastAsia="Times New Roman" w:hAnsi="Times New Roman"/>
                <w:sz w:val="15"/>
                <w:szCs w:val="15"/>
                <w:color w:val="0000EE"/>
                <w:w w:val="99"/>
              </w:rPr>
              <w:t>LEGAL MATTERS</w:t>
            </w:r>
          </w:p>
        </w:tc>
        <w:tc>
          <w:tcPr>
            <w:tcW w:w="9860" w:type="dxa"/>
            <w:vAlign w:val="bottom"/>
            <w:tcBorders>
              <w:bottom w:val="single" w:sz="8" w:color="EEEEEE"/>
            </w:tcBorders>
            <w:gridSpan w:val="18"/>
            <w:shd w:val="clear" w:color="auto" w:fill="EEEEEE"/>
          </w:tcPr>
          <w:p>
            <w:pPr>
              <w:spacing w:after="0"/>
              <w:rPr>
                <w:sz w:val="18"/>
                <w:szCs w:val="18"/>
                <w:color w:val="auto"/>
              </w:rPr>
            </w:pPr>
          </w:p>
        </w:tc>
        <w:tc>
          <w:tcPr>
            <w:tcW w:w="160" w:type="dxa"/>
            <w:vAlign w:val="bottom"/>
            <w:tcBorders>
              <w:bottom w:val="single" w:sz="8" w:color="0000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36</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111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AUDITORS, TRANSFER AGENT AND REGISTRAR</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EE"/>
                <w:w w:val="93"/>
              </w:rPr>
              <w:t>36</w:t>
            </w:r>
          </w:p>
        </w:tc>
        <w:tc>
          <w:tcPr>
            <w:tcW w:w="2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0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114"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18"/>
          <w:szCs w:val="18"/>
          <w:b w:val="1"/>
          <w:bCs w:val="1"/>
          <w:color w:val="auto"/>
        </w:rPr>
        <w:t>Information contained on the Corporation's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18"/>
          <w:szCs w:val="18"/>
          <w:color w:val="auto"/>
        </w:rPr>
        <w:t>The Corporation is not making an offer of these Securities in any jurisdiction where the offer is not permitted. Investors should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34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 xml:space="preserve">The information contained on </w:t>
      </w:r>
      <w:r>
        <w:rPr>
          <w:rFonts w:ascii="Times New Roman" w:cs="Times New Roman" w:eastAsia="Times New Roman" w:hAnsi="Times New Roman"/>
          <w:sz w:val="18"/>
          <w:szCs w:val="18"/>
          <w:u w:val="single" w:color="auto"/>
          <w:color w:val="auto"/>
        </w:rPr>
        <w:t>www.cybin.com</w:t>
      </w:r>
      <w:r>
        <w:rPr>
          <w:rFonts w:ascii="Times New Roman" w:cs="Times New Roman" w:eastAsia="Times New Roman" w:hAnsi="Times New Roman"/>
          <w:sz w:val="18"/>
          <w:szCs w:val="18"/>
          <w:color w:val="auto"/>
        </w:rPr>
        <w:t xml:space="preserve"> is not intended to be included in or incorporated by reference herein, and prospective purchasers should not rely on such information when deciding whether or not to invest in any Securities.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unless stated otherwise or the context requires otherwise, all dollar amounts are expressed in Canadian dollars.</w:t>
      </w:r>
    </w:p>
    <w:p>
      <w:pPr>
        <w:spacing w:after="0" w:line="14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3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ectPr>
          <w:pgSz w:w="11900" w:h="16838" w:orient="portrait"/>
          <w:cols w:equalWidth="0" w:num="1">
            <w:col w:w="11260"/>
          </w:cols>
          <w:pgMar w:left="320" w:top="114" w:right="31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type w:val="continuous"/>
        </w:sectPr>
      </w:pPr>
    </w:p>
    <w:bookmarkStart w:id="9" w:name="page10"/>
    <w:bookmarkEnd w:id="9"/>
    <w:p>
      <w:pPr>
        <w:jc w:val="both"/>
        <w:spacing w:after="0" w:line="260" w:lineRule="auto"/>
        <w:rPr>
          <w:sz w:val="20"/>
          <w:szCs w:val="20"/>
          <w:color w:val="auto"/>
        </w:rPr>
      </w:pPr>
      <w:r>
        <w:rPr>
          <w:rFonts w:ascii="Times New Roman" w:cs="Times New Roman" w:eastAsia="Times New Roman" w:hAnsi="Times New Roman"/>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00" w:lineRule="exact"/>
        <w:rPr>
          <w:sz w:val="20"/>
          <w:szCs w:val="20"/>
          <w:color w:val="auto"/>
        </w:rPr>
      </w:pPr>
    </w:p>
    <w:p>
      <w:pPr>
        <w:ind w:left="540" w:hanging="271"/>
        <w:spacing w:after="0" w:line="251" w:lineRule="auto"/>
        <w:tabs>
          <w:tab w:leader="none" w:pos="5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18"/>
          <w:szCs w:val="18"/>
          <w:color w:val="auto"/>
        </w:rPr>
      </w:pP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Corporation's ability to raise additional funding to support operations;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to access additional funding;</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foreign exchange rates;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pandemics;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development of the Corporation's product candidates which are at early stages of development;</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industry publications as the Corporation's primary sources for third-party industry data and forecasts;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plan, conduct and monitor the Corporation's preclinical studies and clinical trials;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ind w:left="540" w:hanging="271"/>
        <w:spacing w:after="0"/>
        <w:tabs>
          <w:tab w:leader="none" w:pos="5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product candidates may fail to demonstrate safety and efficacy to the satisfaction of regulatory authorities or may not otherwise produce positive results;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ind w:left="540" w:hanging="271"/>
        <w:spacing w:after="0"/>
        <w:tabs>
          <w:tab w:leader="none" w:pos="5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reliance on the capabilities and experience of the Corporation's key executives and scientists and the resulting loss of any of these individuals;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to fully realize the benefits of acquisitions;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to adequately protect the Corporation's intellectual property and trade secrets;</w:t>
      </w:r>
    </w:p>
    <w:p>
      <w:pPr>
        <w:ind w:left="560" w:hanging="291"/>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 w:name="page11"/>
    <w:bookmarkEnd w:id="10"/>
    <w:p>
      <w:pPr>
        <w:ind w:left="540" w:right="20" w:hanging="271"/>
        <w:spacing w:after="0" w:line="280" w:lineRule="auto"/>
        <w:tabs>
          <w:tab w:leader="none" w:pos="5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unforeseen changes to the laws or regulations in the United States, Canada, the United Kingdom, the Netherlands, Ireland and other jurisdictions in which the Corporation operates.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3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addition to the factors set out above and those identified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Many of these factors are beyond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18"/>
          <w:szCs w:val="18"/>
          <w:color w:val="auto"/>
        </w:rPr>
        <w:t>Investors should read this entire Prospectus, including the Annual Information Form,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MARKETING MATERIALS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Any template version of marketing materials (as such terms are defined in National Instrument 41-101 – </w:t>
      </w:r>
      <w:r>
        <w:rPr>
          <w:rFonts w:ascii="Times New Roman" w:cs="Times New Roman" w:eastAsia="Times New Roman" w:hAnsi="Times New Roman"/>
          <w:sz w:val="18"/>
          <w:szCs w:val="18"/>
          <w:i w:val="1"/>
          <w:iCs w:val="1"/>
          <w:color w:val="auto"/>
        </w:rPr>
        <w:t>General Prospectus Requirements</w:t>
      </w:r>
      <w:r>
        <w:rPr>
          <w:rFonts w:ascii="Times New Roman" w:cs="Times New Roman" w:eastAsia="Times New Roman" w:hAnsi="Times New Roman"/>
          <w:sz w:val="18"/>
          <w:szCs w:val="18"/>
          <w:color w:val="auto"/>
        </w:rPr>
        <w:t xml:space="preserve">) that are utilized in connection with the distribution of Securities will be filed under the Corporation’s profile on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in this Prospectus.</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18"/>
          <w:szCs w:val="18"/>
          <w:color w:val="auto"/>
        </w:rPr>
        <w:t>Copies of the documents incorporated herein by reference may be obtained on request without charge from the Secretary of the Corporation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King Street West, Suite 5600, Toronto, Ontario M5X 1C9, telephone (908) 764-8385, and are also available electronically on SEDAR+.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of the Corporation filed with the securities commissions or similar authorities in Canada are incorporated by reference in this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126" w:lineRule="exact"/>
        <w:rPr>
          <w:sz w:val="20"/>
          <w:szCs w:val="20"/>
          <w:color w:val="auto"/>
        </w:rPr>
      </w:pPr>
    </w:p>
    <w:p>
      <w:pPr>
        <w:ind w:left="460" w:hanging="250"/>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information form of the Corporation dated June 30, 2025, for the year ended March 31, 2025 (the "</w:t>
      </w:r>
      <w:r>
        <w:rPr>
          <w:rFonts w:ascii="Times New Roman" w:cs="Times New Roman" w:eastAsia="Times New Roman" w:hAnsi="Times New Roman"/>
          <w:sz w:val="18"/>
          <w:szCs w:val="18"/>
          <w:b w:val="1"/>
          <w:bCs w:val="1"/>
          <w:color w:val="auto"/>
        </w:rPr>
        <w:t>Annual Information Form</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420" w:hanging="210"/>
        <w:spacing w:after="0" w:line="278" w:lineRule="auto"/>
        <w:tabs>
          <w:tab w:leader="none" w:pos="4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 Corporation and the notes thereto as at and for the fiscal years ended March 31, 2025 and 2024, together with the auditor's report thereon (the "</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460" w:hanging="250"/>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the Corporation for the year ended March 31, 2025 (the "</w:t>
      </w:r>
      <w:r>
        <w:rPr>
          <w:rFonts w:ascii="Times New Roman" w:cs="Times New Roman" w:eastAsia="Times New Roman" w:hAnsi="Times New Roman"/>
          <w:sz w:val="18"/>
          <w:szCs w:val="18"/>
          <w:b w:val="1"/>
          <w:bCs w:val="1"/>
          <w:color w:val="auto"/>
        </w:rPr>
        <w:t>Annual MD&amp;A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420" w:hanging="210"/>
        <w:spacing w:after="0" w:line="259" w:lineRule="auto"/>
        <w:tabs>
          <w:tab w:leader="none" w:pos="4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July 9, 2025, in connection with a private placement completed by the Corporation on June 30, 2025, of US$50,000,000 aggregate principal amount of unsecured convertible debentures (the "</w:t>
      </w:r>
      <w:r>
        <w:rPr>
          <w:rFonts w:ascii="Times New Roman" w:cs="Times New Roman" w:eastAsia="Times New Roman" w:hAnsi="Times New Roman"/>
          <w:sz w:val="18"/>
          <w:szCs w:val="18"/>
          <w:b w:val="1"/>
          <w:bCs w:val="1"/>
          <w:color w:val="auto"/>
        </w:rPr>
        <w:t>Convertible Debentures</w:t>
      </w:r>
      <w:r>
        <w:rPr>
          <w:rFonts w:ascii="Times New Roman" w:cs="Times New Roman" w:eastAsia="Times New Roman" w:hAnsi="Times New Roman"/>
          <w:sz w:val="18"/>
          <w:szCs w:val="18"/>
          <w:color w:val="auto"/>
        </w:rPr>
        <w:t>") issued to a single investor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pursuant to a securities purchase agreement, dated June 30, 2025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and</w:t>
      </w:r>
    </w:p>
    <w:p>
      <w:pPr>
        <w:spacing w:after="0" w:line="101" w:lineRule="exact"/>
        <w:rPr>
          <w:rFonts w:ascii="Times New Roman" w:cs="Times New Roman" w:eastAsia="Times New Roman" w:hAnsi="Times New Roman"/>
          <w:sz w:val="18"/>
          <w:szCs w:val="18"/>
          <w:color w:val="auto"/>
        </w:rPr>
      </w:pPr>
    </w:p>
    <w:p>
      <w:pPr>
        <w:ind w:left="420" w:right="20" w:hanging="210"/>
        <w:spacing w:after="0" w:line="278" w:lineRule="auto"/>
        <w:tabs>
          <w:tab w:leader="none" w:pos="4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circular of the Corporation dated July 14, 2025 relating to the annual and special meeting of shareholders of the Corporation to be held on August 18, 2025.</w:t>
      </w:r>
    </w:p>
    <w:p>
      <w:pPr>
        <w:spacing w:after="0" w:line="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Any document of the type referred to in Item 11.1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 w:name="page13"/>
    <w:bookmarkEnd w:id="12"/>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and from the Corporation’s EDGAR profile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Corporation’s filings through SEDAR+ and EDGAR are not incorporated by reference in the Prospectus except as specifically set out herein.</w:t>
      </w:r>
    </w:p>
    <w:p>
      <w:pPr>
        <w:spacing w:after="0" w:line="96"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341"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04"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166"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150"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Summary of the Business</w:t>
      </w:r>
    </w:p>
    <w:p>
      <w:pPr>
        <w:spacing w:after="0" w:line="154"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8"/>
          <w:szCs w:val="18"/>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proprietary drug discovery platforms, innovative drug delivery systems, and novel formulation approaches and treatment regimens.</w:t>
      </w:r>
      <w:r>
        <w:rPr>
          <w:rFonts w:ascii="Times New Roman" w:cs="Times New Roman" w:eastAsia="Times New Roman" w:hAnsi="Times New Roman"/>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23622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62200" cy="7620"/>
                    </a:xfrm>
                    <a:prstGeom prst="rect">
                      <a:avLst/>
                    </a:prstGeom>
                    <a:noFill/>
                  </pic:spPr>
                </pic:pic>
              </a:graphicData>
            </a:graphic>
          </wp:anchor>
        </w:drawing>
      </w:r>
    </w:p>
    <w:p>
      <w:pPr>
        <w:spacing w:after="0" w:line="163" w:lineRule="exact"/>
        <w:rPr>
          <w:sz w:val="20"/>
          <w:szCs w:val="20"/>
          <w:color w:val="auto"/>
        </w:rPr>
      </w:pPr>
    </w:p>
    <w:p>
      <w:pPr>
        <w:jc w:val="both"/>
        <w:ind w:left="8" w:hanging="8"/>
        <w:spacing w:after="0" w:line="224" w:lineRule="auto"/>
        <w:tabs>
          <w:tab w:leader="none" w:pos="159" w:val="left"/>
        </w:tabs>
        <w:numPr>
          <w:ilvl w:val="0"/>
          <w:numId w:val="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32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3" w:name="page14"/>
    <w:bookmarkEnd w:id="13"/>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05"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8"/>
          <w:szCs w:val="18"/>
          <w:color w:val="auto"/>
        </w:rPr>
        <w:t xml:space="preserve">On October 23, 2023, the Corporation completed a statutory plan of arrangement under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pursuant to which Small Pharma Inc. ("</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xml:space="preserve">") became a 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(Ontario), Small Pharma completed a horizontal amalgamation with Cybin Corp., with Cybin Corp. being the resulting entity. As a result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amalgamation, Cybin UK Ltd is now a wholly-owned subsidiary of Cybin Corp.</w:t>
      </w:r>
    </w:p>
    <w:p>
      <w:pPr>
        <w:spacing w:after="0" w:line="126"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02"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8"/>
          <w:szCs w:val="18"/>
          <w:color w:val="auto"/>
        </w:rPr>
        <w:t>As a result of the acquisition of Small Pharma by way of the Arrangement, Cybin currently has over 90 granted patents and over 230 pending applications.</w:t>
      </w:r>
    </w:p>
    <w:p>
      <w:pPr>
        <w:spacing w:after="0" w:line="3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Advancement of Mental Healthcare</w:t>
      </w:r>
    </w:p>
    <w:p>
      <w:pPr>
        <w:spacing w:after="0" w:line="166"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8"/>
          <w:szCs w:val="18"/>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w:t>
      </w:r>
    </w:p>
    <w:tbl>
      <w:tblPr>
        <w:tblLayout w:type="fixed"/>
        <w:tblInd w:w="8" w:type="dxa"/>
        <w:tblCellMar>
          <w:top w:w="0" w:type="dxa"/>
          <w:left w:w="0" w:type="dxa"/>
          <w:bottom w:w="0" w:type="dxa"/>
          <w:right w:w="0" w:type="dxa"/>
        </w:tblCellMar>
      </w:tblPr>
      <w:tr>
        <w:trPr>
          <w:trHeight w:val="196"/>
        </w:trPr>
        <w:tc>
          <w:tcPr>
            <w:tcW w:w="8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delivered  through  innovative  drug  delivery  systems  including  via  inhalation,  via  intravenous</w:t>
            </w:r>
          </w:p>
        </w:tc>
        <w:tc>
          <w:tcPr>
            <w:tcW w:w="27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w:t>
            </w:r>
          </w:p>
        </w:tc>
      </w:tr>
      <w:tr>
        <w:trPr>
          <w:trHeight w:val="40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subcutaneous administration.</w:t>
            </w:r>
            <w:r>
              <w:rPr>
                <w:rFonts w:ascii="Times New Roman" w:cs="Times New Roman" w:eastAsia="Times New Roman" w:hAnsi="Times New Roman"/>
                <w:sz w:val="30"/>
                <w:szCs w:val="30"/>
                <w:color w:val="auto"/>
                <w:vertAlign w:val="superscript"/>
              </w:rPr>
              <w:t>2</w:t>
            </w:r>
          </w:p>
        </w:tc>
        <w:tc>
          <w:tcPr>
            <w:tcW w:w="2780" w:type="dxa"/>
            <w:vAlign w:val="bottom"/>
          </w:tcPr>
          <w:p>
            <w:pPr>
              <w:spacing w:after="0"/>
              <w:rPr>
                <w:sz w:val="24"/>
                <w:szCs w:val="24"/>
                <w:color w:val="auto"/>
              </w:rPr>
            </w:pPr>
          </w:p>
        </w:tc>
      </w:tr>
    </w:tbl>
    <w:p>
      <w:pPr>
        <w:jc w:val="both"/>
        <w:ind w:left="8"/>
        <w:spacing w:after="0" w:line="231" w:lineRule="auto"/>
        <w:rPr>
          <w:sz w:val="20"/>
          <w:szCs w:val="20"/>
          <w:color w:val="auto"/>
        </w:rPr>
      </w:pPr>
      <w:r>
        <w:rPr>
          <w:rFonts w:ascii="Times New Roman" w:cs="Times New Roman" w:eastAsia="Times New Roman" w:hAnsi="Times New Roman"/>
          <w:sz w:val="18"/>
          <w:szCs w:val="18"/>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The Corporation is also developing compounds that may have the potential to address neuroinflammation, central nervous system disorders, and psychiatric disorders.</w:t>
      </w:r>
      <w:r>
        <w:rPr>
          <w:rFonts w:ascii="Times New Roman" w:cs="Times New Roman" w:eastAsia="Times New Roman" w:hAnsi="Times New Roman"/>
          <w:sz w:val="30"/>
          <w:szCs w:val="3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3622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2200" cy="7620"/>
                    </a:xfrm>
                    <a:prstGeom prst="rect">
                      <a:avLst/>
                    </a:prstGeom>
                    <a:noFill/>
                  </pic:spPr>
                </pic:pic>
              </a:graphicData>
            </a:graphic>
          </wp:anchor>
        </w:drawing>
      </w:r>
    </w:p>
    <w:p>
      <w:pPr>
        <w:spacing w:after="0" w:line="5" w:lineRule="exact"/>
        <w:rPr>
          <w:sz w:val="20"/>
          <w:szCs w:val="20"/>
          <w:color w:val="auto"/>
        </w:rPr>
      </w:pPr>
    </w:p>
    <w:p>
      <w:pPr>
        <w:ind w:left="128" w:hanging="128"/>
        <w:spacing w:after="0"/>
        <w:tabs>
          <w:tab w:leader="none" w:pos="128" w:val="left"/>
        </w:tabs>
        <w:numPr>
          <w:ilvl w:val="0"/>
          <w:numId w:val="7"/>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See footnote 1.</w:t>
      </w:r>
    </w:p>
    <w:p>
      <w:pPr>
        <w:spacing w:after="0" w:line="33" w:lineRule="exact"/>
        <w:rPr>
          <w:rFonts w:ascii="Times New Roman" w:cs="Times New Roman" w:eastAsia="Times New Roman" w:hAnsi="Times New Roman"/>
          <w:sz w:val="31"/>
          <w:szCs w:val="31"/>
          <w:color w:val="auto"/>
          <w:vertAlign w:val="superscript"/>
        </w:rPr>
      </w:pPr>
    </w:p>
    <w:p>
      <w:pPr>
        <w:ind w:left="8"/>
        <w:spacing w:after="0" w:line="182" w:lineRule="auto"/>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See footnote 1.</w:t>
      </w:r>
    </w:p>
    <w:p>
      <w:pPr>
        <w:ind w:left="8"/>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4</w:t>
      </w:r>
      <w:r>
        <w:rPr>
          <w:rFonts w:ascii="Times New Roman" w:cs="Times New Roman" w:eastAsia="Times New Roman" w:hAnsi="Times New Roman"/>
          <w:sz w:val="18"/>
          <w:szCs w:val="18"/>
          <w:color w:val="auto"/>
        </w:rPr>
        <w:t xml:space="preserve"> See footnote 1</w:t>
      </w:r>
      <w:r>
        <w:rPr>
          <w:rFonts w:ascii="Times New Roman" w:cs="Times New Roman" w:eastAsia="Times New Roman" w:hAnsi="Times New Roman"/>
          <w:sz w:val="18"/>
          <w:szCs w:val="18"/>
          <w:b w:val="1"/>
          <w:bCs w:val="1"/>
          <w:color w:val="auto"/>
        </w:rPr>
        <w:t>.</w:t>
      </w:r>
    </w:p>
    <w:p>
      <w:pPr>
        <w:spacing w:after="0" w:line="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32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8"/>
          <w:szCs w:val="18"/>
          <w:color w:val="auto"/>
        </w:rPr>
        <w:t>Further, over the next 12-month period, the Corporation will continue to seek to establish strategic partnerships that advance the Corporation's scientific</w:t>
      </w:r>
    </w:p>
    <w:p>
      <w:pPr>
        <w:spacing w:after="0" w:line="26" w:lineRule="exact"/>
        <w:rPr>
          <w:sz w:val="20"/>
          <w:szCs w:val="20"/>
          <w:color w:val="auto"/>
        </w:rPr>
      </w:pPr>
    </w:p>
    <w:p>
      <w:pPr>
        <w:jc w:val="both"/>
        <w:ind w:left="8" w:right="20"/>
        <w:spacing w:after="0" w:line="200" w:lineRule="auto"/>
        <w:rPr>
          <w:sz w:val="20"/>
          <w:szCs w:val="20"/>
          <w:color w:val="auto"/>
        </w:rPr>
      </w:pPr>
      <w:r>
        <w:rPr>
          <w:rFonts w:ascii="Times New Roman" w:cs="Times New Roman" w:eastAsia="Times New Roman" w:hAnsi="Times New Roman"/>
          <w:sz w:val="18"/>
          <w:szCs w:val="18"/>
          <w:color w:val="auto"/>
        </w:rPr>
        <w:t>research and IP for new psychedelic-based compounds and novel delivery mechanisms.</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 xml:space="preserve"> The Corporation will also continue to sponsor select internal and partner-related clinical trials that advance the understanding of safety and efficacy for various psychedelic agents that target mental health</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conditions.</w:t>
      </w:r>
      <w:r>
        <w:rPr>
          <w:rFonts w:ascii="Times New Roman" w:cs="Times New Roman" w:eastAsia="Times New Roman" w:hAnsi="Times New Roman"/>
          <w:sz w:val="30"/>
          <w:szCs w:val="30"/>
          <w:color w:val="auto"/>
          <w:vertAlign w:val="superscript"/>
        </w:rPr>
        <w:t>6</w:t>
      </w:r>
    </w:p>
    <w:p>
      <w:pPr>
        <w:spacing w:after="0" w:line="43" w:lineRule="exact"/>
        <w:rPr>
          <w:sz w:val="20"/>
          <w:szCs w:val="20"/>
          <w:color w:val="auto"/>
        </w:rPr>
      </w:pPr>
    </w:p>
    <w:p>
      <w:pPr>
        <w:jc w:val="both"/>
        <w:ind w:left="8" w:right="20"/>
        <w:spacing w:after="0" w:line="268" w:lineRule="auto"/>
        <w:rPr>
          <w:sz w:val="20"/>
          <w:szCs w:val="20"/>
          <w:color w:val="auto"/>
        </w:rPr>
      </w:pPr>
      <w:r>
        <w:rPr>
          <w:rFonts w:ascii="Times New Roman" w:cs="Times New Roman" w:eastAsia="Times New Roman" w:hAnsi="Times New Roman"/>
          <w:sz w:val="18"/>
          <w:szCs w:val="18"/>
          <w:color w:val="auto"/>
        </w:rPr>
        <w:t>For additional information in respect of the Corporation and its operations, please see the Annual Information Form and the Annual MD&amp;A incorporated by reference into this Prospectus.</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Inter-Corporate Relationships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109855</wp:posOffset>
            </wp:positionV>
            <wp:extent cx="3627120" cy="2406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12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Select Recent Developments</w:t>
      </w:r>
    </w:p>
    <w:p>
      <w:pPr>
        <w:spacing w:after="0" w:line="154" w:lineRule="exact"/>
        <w:rPr>
          <w:sz w:val="20"/>
          <w:szCs w:val="20"/>
          <w:color w:val="auto"/>
        </w:rPr>
      </w:pPr>
    </w:p>
    <w:p>
      <w:pPr>
        <w:jc w:val="both"/>
        <w:ind w:left="8" w:right="20"/>
        <w:spacing w:after="0" w:line="278" w:lineRule="auto"/>
        <w:rPr>
          <w:sz w:val="20"/>
          <w:szCs w:val="20"/>
          <w:color w:val="auto"/>
        </w:rPr>
      </w:pPr>
      <w:r>
        <w:rPr>
          <w:rFonts w:ascii="Times New Roman" w:cs="Times New Roman" w:eastAsia="Times New Roman" w:hAnsi="Times New Roman"/>
          <w:sz w:val="18"/>
          <w:szCs w:val="18"/>
          <w:color w:val="auto"/>
        </w:rPr>
        <w:t>Other than as set forth below and generally in this Prospectus or the documents incorporated by reference herein, there have been no material developments in the business of the Corporation since June 30, 2025, the date of the Annual Financial Statements and Annual MD&amp;A.</w:t>
      </w:r>
    </w:p>
    <w:p>
      <w:pPr>
        <w:spacing w:after="0" w:line="85"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8"/>
          <w:szCs w:val="18"/>
          <w:color w:val="auto"/>
        </w:rPr>
        <w:t>On July 17, 2025, the Corporation announced that it has received approval from the UK Medical and Healthcare Products Regulatory Agency to commence EMBRACE, the second pivotal study in PARADIGM, the Corporation’s Phase 3 multinational program evaluating CYB003, a proprietary deuterated psilocin analog.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23622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2200" cy="7620"/>
                    </a:xfrm>
                    <a:prstGeom prst="rect">
                      <a:avLst/>
                    </a:prstGeom>
                    <a:noFill/>
                  </pic:spPr>
                </pic:pic>
              </a:graphicData>
            </a:graphic>
          </wp:anchor>
        </w:drawing>
      </w:r>
    </w:p>
    <w:p>
      <w:pPr>
        <w:spacing w:after="0" w:line="126" w:lineRule="exact"/>
        <w:rPr>
          <w:sz w:val="20"/>
          <w:szCs w:val="20"/>
          <w:color w:val="auto"/>
        </w:rPr>
      </w:pPr>
    </w:p>
    <w:p>
      <w:pPr>
        <w:ind w:left="128" w:hanging="128"/>
        <w:spacing w:after="0"/>
        <w:tabs>
          <w:tab w:leader="none" w:pos="128" w:val="left"/>
        </w:tabs>
        <w:numPr>
          <w:ilvl w:val="0"/>
          <w:numId w:val="8"/>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See footnote 1.</w:t>
      </w:r>
    </w:p>
    <w:p>
      <w:pPr>
        <w:spacing w:after="0" w:line="33" w:lineRule="exact"/>
        <w:rPr>
          <w:rFonts w:ascii="Times New Roman" w:cs="Times New Roman" w:eastAsia="Times New Roman" w:hAnsi="Times New Roman"/>
          <w:sz w:val="31"/>
          <w:szCs w:val="31"/>
          <w:color w:val="auto"/>
          <w:vertAlign w:val="superscript"/>
        </w:rPr>
      </w:pPr>
    </w:p>
    <w:p>
      <w:pPr>
        <w:ind w:left="8"/>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 xml:space="preserve"> See footnote 1.</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17232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18"/>
          <w:szCs w:val="18"/>
          <w:b w:val="1"/>
          <w:bCs w:val="1"/>
          <w:color w:val="auto"/>
        </w:rPr>
        <w:t>REGULATORY OVERVIEW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applicable regulatory framework for the Corporation's various business segments and proposed business activity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9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in the Annual Information Form for additional information concerning the regulation applicable to the process required before prescription drug product candidates may be marketed in Canada.</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3"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27"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14" w:lineRule="exact"/>
        <w:rPr>
          <w:sz w:val="20"/>
          <w:szCs w:val="20"/>
          <w:color w:val="auto"/>
        </w:rPr>
      </w:pPr>
    </w:p>
    <w:p>
      <w:pPr>
        <w:jc w:val="both"/>
        <w:ind w:left="8"/>
        <w:spacing w:after="0" w:line="283"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Europe (Netherlands)</w:t>
      </w:r>
    </w:p>
    <w:p>
      <w:pPr>
        <w:spacing w:after="0" w:line="162"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324"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w:t>
      </w:r>
    </w:p>
    <w:p>
      <w:pPr>
        <w:spacing w:after="0" w:line="2" w:lineRule="exact"/>
        <w:rPr>
          <w:sz w:val="20"/>
          <w:szCs w:val="20"/>
          <w:color w:val="auto"/>
        </w:rPr>
      </w:pPr>
    </w:p>
    <w:p>
      <w:pPr>
        <w:jc w:val="both"/>
        <w:ind w:left="8"/>
        <w:spacing w:after="0" w:line="219" w:lineRule="auto"/>
        <w:rPr>
          <w:sz w:val="20"/>
          <w:szCs w:val="20"/>
          <w:color w:val="auto"/>
        </w:rPr>
      </w:pPr>
      <w:r>
        <w:rPr>
          <w:rFonts w:ascii="Times New Roman" w:cs="Times New Roman" w:eastAsia="Times New Roman" w:hAnsi="Times New Roman"/>
          <w:sz w:val="18"/>
          <w:szCs w:val="18"/>
          <w:color w:val="auto"/>
        </w:rPr>
        <w:t>narcotic drugs or psychotropic substances, the Council Decision 2005/387/JHA of May 10, 2005 (which applies only in certain limited situations)</w:t>
      </w: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23622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2200" cy="7620"/>
                    </a:xfrm>
                    <a:prstGeom prst="rect">
                      <a:avLst/>
                    </a:prstGeom>
                    <a:noFill/>
                  </pic:spPr>
                </pic:pic>
              </a:graphicData>
            </a:graphic>
          </wp:anchor>
        </w:drawing>
      </w:r>
    </w:p>
    <w:p>
      <w:pPr>
        <w:spacing w:after="0" w:line="249" w:lineRule="exact"/>
        <w:rPr>
          <w:sz w:val="20"/>
          <w:szCs w:val="20"/>
          <w:color w:val="auto"/>
        </w:rPr>
      </w:pPr>
    </w:p>
    <w:p>
      <w:pPr>
        <w:jc w:val="both"/>
        <w:ind w:left="8" w:hanging="8"/>
        <w:spacing w:after="0" w:line="211" w:lineRule="auto"/>
        <w:tabs>
          <w:tab w:leader="none" w:pos="135" w:val="left"/>
        </w:tabs>
        <w:numPr>
          <w:ilvl w:val="0"/>
          <w:numId w:val="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1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32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17" w:name="page18"/>
    <w:bookmarkEnd w:id="17"/>
    <w:p>
      <w:pPr>
        <w:jc w:val="both"/>
        <w:ind w:left="540"/>
        <w:spacing w:after="0" w:line="252" w:lineRule="auto"/>
        <w:rPr>
          <w:sz w:val="20"/>
          <w:szCs w:val="20"/>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-221615</wp:posOffset>
            </wp:positionV>
            <wp:extent cx="62230" cy="62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right="2740"/>
        <w:spacing w:after="0"/>
        <w:rPr>
          <w:sz w:val="20"/>
          <w:szCs w:val="20"/>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-221615</wp:posOffset>
            </wp:positionV>
            <wp:extent cx="62230" cy="62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-90170</wp:posOffset>
            </wp:positionV>
            <wp:extent cx="62230" cy="62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-90170</wp:posOffset>
            </wp:positionV>
            <wp:extent cx="62230" cy="62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spacing w:after="0"/>
        <w:rPr>
          <w:sz w:val="20"/>
          <w:szCs w:val="20"/>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-221615</wp:posOffset>
            </wp:positionV>
            <wp:extent cx="62230" cy="62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spacing w:after="0" w:line="248" w:lineRule="auto"/>
        <w:rPr>
          <w:sz w:val="20"/>
          <w:szCs w:val="20"/>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-366395</wp:posOffset>
            </wp:positionV>
            <wp:extent cx="62230" cy="62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Ireland, psilocin is a controlled substance under the Misuse of Drugs Act, 1977, 1984 and 2015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the Misuse of Drugs Regulations 2017 (the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 Criminal Justice (Psychoactive Substances) Act 2010 (the "</w:t>
      </w:r>
      <w:r>
        <w:rPr>
          <w:rFonts w:ascii="Times New Roman" w:cs="Times New Roman" w:eastAsia="Times New Roman" w:hAnsi="Times New Roman"/>
          <w:sz w:val="18"/>
          <w:szCs w:val="18"/>
          <w:b w:val="1"/>
          <w:bCs w:val="1"/>
          <w:color w:val="auto"/>
        </w:rPr>
        <w:t>2010 Act</w:t>
      </w:r>
      <w:r>
        <w:rPr>
          <w:rFonts w:ascii="Times New Roman" w:cs="Times New Roman" w:eastAsia="Times New Roman" w:hAnsi="Times New Roman"/>
          <w:sz w:val="18"/>
          <w:szCs w:val="18"/>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8" w:name="page19"/>
    <w:bookmarkEnd w:id="18"/>
    <w:p>
      <w:pPr>
        <w:jc w:val="both"/>
        <w:spacing w:after="0" w:line="260"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18"/>
          <w:szCs w:val="18"/>
          <w:i w:val="1"/>
          <w:iCs w:val="1"/>
          <w:color w:val="auto"/>
        </w:rPr>
        <w:t>substance, product, preparation, plant, fungus or natural organism</w:t>
      </w:r>
      <w:r>
        <w:rPr>
          <w:rFonts w:ascii="Times New Roman" w:cs="Times New Roman" w:eastAsia="Times New Roman" w:hAnsi="Times New Roman"/>
          <w:sz w:val="18"/>
          <w:szCs w:val="18"/>
          <w:color w:val="auto"/>
        </w:rPr>
        <w:t>" as specified in the order.</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0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Irish Government's Legislative Programme for Summer 2025 does not contain any proposed amendments to the above-mentioned legislation which currently govern controlled substances.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9" w:name="page20"/>
    <w:bookmarkEnd w:id="19"/>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99" w:lineRule="exact"/>
        <w:rPr>
          <w:sz w:val="20"/>
          <w:szCs w:val="20"/>
          <w:color w:val="auto"/>
        </w:rPr>
      </w:pPr>
    </w:p>
    <w:p>
      <w:pPr>
        <w:jc w:val="both"/>
        <w:ind w:left="8" w:right="20"/>
        <w:spacing w:after="0" w:line="278"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w:t>
      </w:r>
    </w:p>
    <w:p>
      <w:pPr>
        <w:spacing w:after="0" w:line="96"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324"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162"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18"/>
          <w:szCs w:val="18"/>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the Corporation also</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acquired API. The CYB004-E API was manufactured in the Netherlands by a pharmaceutical ingredient provider that is United States FDA-inspected.</w:t>
      </w:r>
      <w:r>
        <w:rPr>
          <w:rFonts w:ascii="Times New Roman" w:cs="Times New Roman" w:eastAsia="Times New Roman" w:hAnsi="Times New Roman"/>
          <w:sz w:val="30"/>
          <w:szCs w:val="30"/>
          <w:color w:val="auto"/>
          <w:vertAlign w:val="superscript"/>
        </w:rPr>
        <w:t>8</w:t>
      </w:r>
    </w:p>
    <w:p>
      <w:pPr>
        <w:spacing w:after="0" w:line="43"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17" w:lineRule="exact"/>
        <w:rPr>
          <w:sz w:val="20"/>
          <w:szCs w:val="20"/>
          <w:color w:val="auto"/>
        </w:rPr>
      </w:pPr>
    </w:p>
    <w:p>
      <w:pPr>
        <w:jc w:val="both"/>
        <w:ind w:left="8" w:right="20"/>
        <w:spacing w:after="0" w:line="270" w:lineRule="auto"/>
        <w:rPr>
          <w:sz w:val="20"/>
          <w:szCs w:val="20"/>
          <w:color w:val="auto"/>
        </w:rPr>
      </w:pPr>
      <w:r>
        <w:rPr>
          <w:rFonts w:ascii="Times New Roman" w:cs="Times New Roman" w:eastAsia="Times New Roman" w:hAnsi="Times New Roman"/>
          <w:sz w:val="18"/>
          <w:szCs w:val="18"/>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0"/>
          <w:szCs w:val="30"/>
          <w:color w:val="auto"/>
          <w:vertAlign w:val="superscript"/>
        </w:rPr>
        <w:t>9</w:t>
      </w:r>
    </w:p>
    <w:p>
      <w:pPr>
        <w:spacing w:after="0" w:line="1"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ind w:left="8"/>
        <w:spacing w:after="0"/>
        <w:rPr>
          <w:sz w:val="20"/>
          <w:szCs w:val="20"/>
          <w:color w:val="auto"/>
        </w:rPr>
      </w:pPr>
      <w:r>
        <w:rPr>
          <w:rFonts w:ascii="Times New Roman" w:cs="Times New Roman" w:eastAsia="Times New Roman" w:hAnsi="Times New Roman"/>
          <w:sz w:val="18"/>
          <w:szCs w:val="18"/>
          <w:color w:val="auto"/>
        </w:rPr>
        <w:t>responsibilities, record keeping, reconciliation and reporting of thefts/losses.</w:t>
      </w:r>
      <w:r>
        <w:rPr>
          <w:rFonts w:ascii="Times New Roman" w:cs="Times New Roman" w:eastAsia="Times New Roman" w:hAnsi="Times New Roman"/>
          <w:sz w:val="30"/>
          <w:szCs w:val="30"/>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23622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62200" cy="7620"/>
                    </a:xfrm>
                    <a:prstGeom prst="rect">
                      <a:avLst/>
                    </a:prstGeom>
                    <a:noFill/>
                  </pic:spPr>
                </pic:pic>
              </a:graphicData>
            </a:graphic>
          </wp:anchor>
        </w:drawing>
      </w:r>
    </w:p>
    <w:p>
      <w:pPr>
        <w:spacing w:after="0" w:line="163" w:lineRule="exact"/>
        <w:rPr>
          <w:sz w:val="20"/>
          <w:szCs w:val="20"/>
          <w:color w:val="auto"/>
        </w:rPr>
      </w:pPr>
    </w:p>
    <w:p>
      <w:pPr>
        <w:jc w:val="both"/>
        <w:ind w:left="8" w:hanging="8"/>
        <w:spacing w:after="0"/>
        <w:tabs>
          <w:tab w:leader="none" w:pos="153" w:val="left"/>
        </w:tabs>
        <w:numPr>
          <w:ilvl w:val="0"/>
          <w:numId w:val="10"/>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ind w:left="168" w:hanging="168"/>
        <w:spacing w:after="0" w:line="223" w:lineRule="auto"/>
        <w:tabs>
          <w:tab w:leader="none" w:pos="168" w:val="left"/>
        </w:tabs>
        <w:numPr>
          <w:ilvl w:val="0"/>
          <w:numId w:val="11"/>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Home Office guidance; Security guidance for all existing or prospective Home Office Controlled Drug Licensees and/or Precursor Chemical</w:t>
      </w:r>
    </w:p>
    <w:p>
      <w:pPr>
        <w:ind w:left="8"/>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Licensees or Registrants; 2022; https://assets.publishing.service.gov.uk/media/63a1b6c8e90e075874d91825/ Security_Guidance_for_all_Businesses_and_Other_Organisations_v1.5_Nov_2022.pdf.</w:t>
      </w:r>
    </w:p>
    <w:p>
      <w:pPr>
        <w:ind w:left="108" w:hanging="109"/>
        <w:spacing w:after="0" w:line="255" w:lineRule="auto"/>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10 Home Office guidance; Guidelines for Standard Operating Procedures (SOPs); https://assets.publishing.service.gov.uk/government/uploads/ system/uploads/attachment_data/file/480572/StandardOpProcedure.pdf.</w:t>
      </w:r>
    </w:p>
    <w:p>
      <w:pPr>
        <w:spacing w:after="0" w:line="1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17232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20" w:name="page21"/>
    <w:bookmarkEnd w:id="20"/>
    <w:p>
      <w:pPr>
        <w:ind w:left="8" w:right="2040"/>
        <w:spacing w:after="0" w:line="421" w:lineRule="auto"/>
        <w:rPr>
          <w:sz w:val="20"/>
          <w:szCs w:val="20"/>
          <w:color w:val="auto"/>
        </w:rPr>
      </w:pPr>
      <w:r>
        <w:rPr>
          <w:rFonts w:ascii="Times New Roman" w:cs="Times New Roman" w:eastAsia="Times New Roman" w:hAnsi="Times New Roman"/>
          <w:sz w:val="18"/>
          <w:szCs w:val="18"/>
          <w:color w:val="auto"/>
        </w:rPr>
        <w:t xml:space="preserve">Small Pharma holds the appropriate UK Home Office licence required to sponsor clinical trials using Schedule I compounds. </w:t>
      </w:r>
      <w:r>
        <w:rPr>
          <w:rFonts w:ascii="Times New Roman" w:cs="Times New Roman" w:eastAsia="Times New Roman" w:hAnsi="Times New Roman"/>
          <w:sz w:val="18"/>
          <w:szCs w:val="18"/>
          <w:u w:val="single" w:color="auto"/>
          <w:color w:val="auto"/>
        </w:rPr>
        <w:t>Pharmaceutical Products</w:t>
      </w:r>
    </w:p>
    <w:p>
      <w:pPr>
        <w:jc w:val="both"/>
        <w:ind w:left="8"/>
        <w:spacing w:after="0" w:line="253"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06" w:lineRule="exact"/>
        <w:rPr>
          <w:sz w:val="20"/>
          <w:szCs w:val="20"/>
          <w:color w:val="auto"/>
        </w:rPr>
      </w:pPr>
    </w:p>
    <w:p>
      <w:pPr>
        <w:jc w:val="both"/>
        <w:ind w:left="8" w:right="20"/>
        <w:spacing w:after="0" w:line="259"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02"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w:t>
      </w:r>
    </w:p>
    <w:p>
      <w:pPr>
        <w:jc w:val="both"/>
        <w:ind w:left="8" w:hanging="8"/>
        <w:spacing w:after="0" w:line="243" w:lineRule="auto"/>
        <w:tabs>
          <w:tab w:leader="none" w:pos="2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(in addition to any applicable Home Office licenses as referred to above) that the</w:t>
      </w:r>
    </w:p>
    <w:p>
      <w:pPr>
        <w:spacing w:after="0" w:line="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UK-based facility must hold. In particular:</w:t>
      </w:r>
    </w:p>
    <w:p>
      <w:pPr>
        <w:spacing w:after="0" w:line="161" w:lineRule="exact"/>
        <w:rPr>
          <w:sz w:val="20"/>
          <w:szCs w:val="20"/>
          <w:color w:val="auto"/>
        </w:rPr>
      </w:pPr>
    </w:p>
    <w:p>
      <w:pPr>
        <w:jc w:val="both"/>
        <w:ind w:left="548"/>
        <w:spacing w:after="0" w:line="256" w:lineRule="auto"/>
        <w:rPr>
          <w:sz w:val="20"/>
          <w:szCs w:val="20"/>
          <w:color w:val="auto"/>
        </w:rPr>
      </w:pPr>
      <w:r>
        <w:rPr>
          <w:rFonts w:ascii="Times New Roman" w:cs="Times New Roman" w:eastAsia="Times New Roman" w:hAnsi="Times New Roman"/>
          <w:sz w:val="18"/>
          <w:szCs w:val="18"/>
          <w:color w:val="auto"/>
        </w:rPr>
        <w:t>if the API is just one 'ingredient' (i.e. active substance)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-364490</wp:posOffset>
            </wp:positionV>
            <wp:extent cx="62230" cy="62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301" w:lineRule="exact"/>
        <w:rPr>
          <w:sz w:val="20"/>
          <w:szCs w:val="20"/>
          <w:color w:val="auto"/>
        </w:rPr>
      </w:pPr>
    </w:p>
    <w:p>
      <w:pPr>
        <w:jc w:val="both"/>
        <w:ind w:left="548"/>
        <w:spacing w:after="0" w:line="253" w:lineRule="auto"/>
        <w:rPr>
          <w:sz w:val="20"/>
          <w:szCs w:val="20"/>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-500380</wp:posOffset>
            </wp:positionV>
            <wp:extent cx="62230" cy="62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32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P. </w:t>
      </w:r>
      <w:r>
        <w:rPr>
          <w:rFonts w:ascii="Times New Roman" w:cs="Times New Roman" w:eastAsia="Times New Roman" w:hAnsi="Times New Roman"/>
          <w:sz w:val="18"/>
          <w:szCs w:val="18"/>
          <w:i w:val="1"/>
          <w:iCs w:val="1"/>
          <w:color w:val="auto"/>
        </w:rPr>
        <w:t>azurescens</w:t>
      </w:r>
      <w:r>
        <w:rPr>
          <w:rFonts w:ascii="Times New Roman" w:cs="Times New Roman" w:eastAsia="Times New Roman" w:hAnsi="Times New Roman"/>
          <w:sz w:val="18"/>
          <w:szCs w:val="18"/>
          <w:color w:val="auto"/>
        </w:rPr>
        <w:t xml:space="preserve">, P. </w:t>
      </w:r>
      <w:r>
        <w:rPr>
          <w:rFonts w:ascii="Times New Roman" w:cs="Times New Roman" w:eastAsia="Times New Roman" w:hAnsi="Times New Roman"/>
          <w:sz w:val="18"/>
          <w:szCs w:val="18"/>
          <w:i w:val="1"/>
          <w:iCs w:val="1"/>
          <w:color w:val="auto"/>
        </w:rPr>
        <w:t>semilanceata</w:t>
      </w:r>
      <w:r>
        <w:rPr>
          <w:rFonts w:ascii="Times New Roman" w:cs="Times New Roman" w:eastAsia="Times New Roman" w:hAnsi="Times New Roman"/>
          <w:sz w:val="18"/>
          <w:szCs w:val="18"/>
          <w:color w:val="auto"/>
        </w:rPr>
        <w:t xml:space="preserve">, and P. </w:t>
      </w:r>
      <w:r>
        <w:rPr>
          <w:rFonts w:ascii="Times New Roman" w:cs="Times New Roman" w:eastAsia="Times New Roman" w:hAnsi="Times New Roman"/>
          <w:sz w:val="18"/>
          <w:szCs w:val="18"/>
          <w:i w:val="1"/>
          <w:iCs w:val="1"/>
          <w:color w:val="auto"/>
        </w:rPr>
        <w:t>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psilocin are well known and well characterized. In conjunction with psychotherapy, psilocin has been utilized broadly in phase II clinical trials.</w:t>
      </w:r>
    </w:p>
    <w:p>
      <w:pPr>
        <w:spacing w:after="0" w:line="9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Corporation has commenced research and development on the delivery of synthetic psilocin and other psychedelics through mechanisms such as sublingual film delivery, IV, and by way of inhalation.</w:t>
      </w:r>
    </w:p>
    <w:p>
      <w:pPr>
        <w:spacing w:after="0" w:line="8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Research and development is led by the Corporation's North American Chief Scientific Officer, Alex Nivorozhkin Ph.D., a seasoned medicinal chemist, drug delivery expert and founder of multiple biotech companies.</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181" w:lineRule="exact"/>
        <w:rPr>
          <w:sz w:val="20"/>
          <w:szCs w:val="20"/>
          <w:color w:val="auto"/>
        </w:rPr>
      </w:pPr>
    </w:p>
    <w:p>
      <w:pPr>
        <w:ind w:left="5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-254000</wp:posOffset>
            </wp:positionV>
            <wp:extent cx="62230" cy="62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8" w:lineRule="exact"/>
        <w:rPr>
          <w:sz w:val="20"/>
          <w:szCs w:val="20"/>
          <w:color w:val="auto"/>
        </w:rPr>
      </w:pPr>
    </w:p>
    <w:p>
      <w:pPr>
        <w:ind w:left="540"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-254000</wp:posOffset>
            </wp:positionV>
            <wp:extent cx="62230" cy="62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2" w:name="page23"/>
    <w:bookmarkEnd w:id="22"/>
    <w:p>
      <w:pPr>
        <w:jc w:val="both"/>
        <w:ind w:left="5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Clinical Trials - Phase I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-501015</wp:posOffset>
            </wp:positionV>
            <wp:extent cx="62230" cy="62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82"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Clinical Trials - Phase II - </w:t>
      </w:r>
      <w:r>
        <w:rPr>
          <w:rFonts w:ascii="Times New Roman" w:cs="Times New Roman" w:eastAsia="Times New Roman" w:hAnsi="Times New Roman"/>
          <w:sz w:val="18"/>
          <w:szCs w:val="18"/>
          <w:color w:val="auto"/>
        </w:rPr>
        <w:t>Phase II trials are carried out on people with the target condition, who are usually otherwise healthy, with no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-372745</wp:posOffset>
            </wp:positionV>
            <wp:extent cx="62230" cy="62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88"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Clinical Trials - Phase III - </w:t>
      </w:r>
      <w:r>
        <w:rPr>
          <w:rFonts w:ascii="Times New Roman" w:cs="Times New Roman" w:eastAsia="Times New Roman" w:hAnsi="Times New Roman"/>
          <w:sz w:val="18"/>
          <w:szCs w:val="18"/>
          <w:color w:val="auto"/>
        </w:rPr>
        <w:t>If the results from phase II show promise, the manufacturer provides an updated clinical trial application to the TPD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-500380</wp:posOffset>
            </wp:positionV>
            <wp:extent cx="62230" cy="62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83"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-631190</wp:posOffset>
            </wp:positionV>
            <wp:extent cx="62230" cy="62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185"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-220980</wp:posOffset>
            </wp:positionV>
            <wp:extent cx="62230" cy="62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-90170</wp:posOffset>
            </wp:positionV>
            <wp:extent cx="62230" cy="62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spacing w:after="0"/>
        <w:rPr>
          <w:sz w:val="20"/>
          <w:szCs w:val="20"/>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-221615</wp:posOffset>
            </wp:positionV>
            <wp:extent cx="62230" cy="62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right="20"/>
        <w:spacing w:after="0"/>
        <w:rPr>
          <w:sz w:val="20"/>
          <w:szCs w:val="20"/>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-353060</wp:posOffset>
            </wp:positionV>
            <wp:extent cx="62230" cy="62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-90170</wp:posOffset>
            </wp:positionV>
            <wp:extent cx="62230" cy="62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spacing w:after="0"/>
        <w:rPr>
          <w:sz w:val="20"/>
          <w:szCs w:val="20"/>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-353060</wp:posOffset>
            </wp:positionV>
            <wp:extent cx="62230" cy="62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-90170</wp:posOffset>
            </wp:positionV>
            <wp:extent cx="62230" cy="62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5" w:name="page26"/>
    <w:bookmarkEnd w:id="25"/>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00"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8"/>
          <w:szCs w:val="18"/>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34"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08"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EU (Netherlands)</w:t>
      </w:r>
    </w:p>
    <w:p>
      <w:pPr>
        <w:spacing w:after="0" w:line="158"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(the "</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w:t>
      </w:r>
    </w:p>
    <w:p>
      <w:pPr>
        <w:spacing w:after="0" w:line="1" w:lineRule="exact"/>
        <w:rPr>
          <w:sz w:val="20"/>
          <w:szCs w:val="20"/>
          <w:color w:val="auto"/>
        </w:rPr>
      </w:pPr>
    </w:p>
    <w:p>
      <w:pPr>
        <w:jc w:val="both"/>
        <w:ind w:left="8"/>
        <w:spacing w:after="0" w:line="223" w:lineRule="auto"/>
        <w:rPr>
          <w:sz w:val="20"/>
          <w:szCs w:val="20"/>
          <w:color w:val="auto"/>
        </w:rPr>
      </w:pPr>
      <w:r>
        <w:rPr>
          <w:rFonts w:ascii="Times New Roman" w:cs="Times New Roman" w:eastAsia="Times New Roman" w:hAnsi="Times New Roman"/>
          <w:sz w:val="18"/>
          <w:szCs w:val="18"/>
          <w:color w:val="auto"/>
        </w:rPr>
        <w:t>clinical trials on medicinal products for human use.</w:t>
      </w:r>
      <w:r>
        <w:rPr>
          <w:rFonts w:ascii="Times New Roman" w:cs="Times New Roman" w:eastAsia="Times New Roman" w:hAnsi="Times New Roman"/>
          <w:sz w:val="30"/>
          <w:szCs w:val="30"/>
          <w:color w:val="auto"/>
          <w:vertAlign w:val="superscript"/>
        </w:rPr>
        <w:t>11</w:t>
      </w:r>
      <w:r>
        <w:rPr>
          <w:rFonts w:ascii="Times New Roman" w:cs="Times New Roman" w:eastAsia="Times New Roman" w:hAnsi="Times New Roman"/>
          <w:sz w:val="18"/>
          <w:szCs w:val="18"/>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8"/>
          <w:szCs w:val="18"/>
          <w:b w:val="1"/>
          <w:bCs w:val="1"/>
          <w:color w:val="auto"/>
        </w:rPr>
        <w:t>CTIS</w:t>
      </w:r>
      <w:r>
        <w:rPr>
          <w:rFonts w:ascii="Times New Roman" w:cs="Times New Roman" w:eastAsia="Times New Roman" w:hAnsi="Times New Roman"/>
          <w:sz w:val="18"/>
          <w:szCs w:val="18"/>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23622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62200" cy="7620"/>
                    </a:xfrm>
                    <a:prstGeom prst="rect">
                      <a:avLst/>
                    </a:prstGeom>
                    <a:noFill/>
                  </pic:spPr>
                </pic:pic>
              </a:graphicData>
            </a:graphic>
          </wp:anchor>
        </w:drawing>
      </w:r>
    </w:p>
    <w:p>
      <w:pPr>
        <w:spacing w:after="0" w:line="248" w:lineRule="exact"/>
        <w:rPr>
          <w:sz w:val="20"/>
          <w:szCs w:val="20"/>
          <w:color w:val="auto"/>
        </w:rPr>
      </w:pPr>
    </w:p>
    <w:p>
      <w:pPr>
        <w:jc w:val="both"/>
        <w:ind w:left="8" w:hanging="8"/>
        <w:spacing w:after="0" w:line="214" w:lineRule="auto"/>
        <w:tabs>
          <w:tab w:leader="none" w:pos="205"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17232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18"/>
          <w:szCs w:val="18"/>
          <w:color w:val="auto"/>
        </w:rPr>
        <w:t>Further,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32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8"/>
          <w:szCs w:val="18"/>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Investigational Medicinal Product Dossier ("</w:t>
      </w:r>
      <w:r>
        <w:rPr>
          <w:rFonts w:ascii="Times New Roman" w:cs="Times New Roman" w:eastAsia="Times New Roman" w:hAnsi="Times New Roman"/>
          <w:sz w:val="18"/>
          <w:szCs w:val="18"/>
          <w:b w:val="1"/>
          <w:bCs w:val="1"/>
          <w:color w:val="auto"/>
        </w:rPr>
        <w:t>IMPD</w:t>
      </w:r>
      <w:r>
        <w:rPr>
          <w:rFonts w:ascii="Times New Roman" w:cs="Times New Roman" w:eastAsia="Times New Roman" w:hAnsi="Times New Roman"/>
          <w:sz w:val="18"/>
          <w:szCs w:val="18"/>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8"/>
          <w:szCs w:val="18"/>
          <w:b w:val="1"/>
          <w:bCs w:val="1"/>
          <w:color w:val="auto"/>
        </w:rPr>
        <w:t>Clinical Trials Directive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Cooperation Treaty</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Patent Cooperation Treaty (the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facilitates filing for patent recognition in multiple jurisdictions simultaneously using a single uniform patent application. 157 countries, including Canada and the United States have ratified the PCT.</w:t>
      </w:r>
    </w:p>
    <w:p>
      <w:pPr>
        <w:spacing w:after="0" w:line="8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9" w:name="page30"/>
    <w:bookmarkEnd w:id="29"/>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 w:name="page31"/>
    <w:bookmarkEnd w:id="30"/>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share and loan capitalization of the Corporation since the date of the Annual Financial Statements.</w:t>
      </w:r>
    </w:p>
    <w:p>
      <w:pPr>
        <w:spacing w:after="0" w:line="16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18"/>
          <w:szCs w:val="18"/>
          <w:i w:val="1"/>
          <w:iCs w:val="1"/>
          <w:color w:val="auto"/>
        </w:rPr>
        <w:t>"Risk Factors - Risks Related to an Offering - Discretion over the Use of Proceeds"</w:t>
      </w:r>
      <w:r>
        <w:rPr>
          <w:rFonts w:ascii="Times New Roman" w:cs="Times New Roman" w:eastAsia="Times New Roman" w:hAnsi="Times New Roman"/>
          <w:sz w:val="18"/>
          <w:szCs w:val="18"/>
          <w:color w:val="auto"/>
        </w:rPr>
        <w:t>. The Corporation will not receive any proceeds from any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a Selling Securityholder.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Capital</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at July 30, 2025, the Corporation had approximately $147,907,894 in cash. As at July 30, 2025, the Corporation anticipates that it will require approximately $139,130,000 to continue operations over the next 12 months, including funding for the achievement of the next significant milestone under the Corporation’s Deuterated Psilocin Program (CYB003) and the Deuterated Dimethyltryptamine Program (CYB004).</w:t>
      </w:r>
    </w:p>
    <w:p>
      <w:pPr>
        <w:spacing w:after="0" w:line="1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420" w:type="dxa"/>
            <w:vAlign w:val="bottom"/>
          </w:tcPr>
          <w:p>
            <w:pPr>
              <w:jc w:val="center"/>
              <w:ind w:left="863"/>
              <w:spacing w:after="0"/>
              <w:rPr>
                <w:sz w:val="20"/>
                <w:szCs w:val="20"/>
                <w:color w:val="auto"/>
              </w:rPr>
            </w:pPr>
            <w:r>
              <w:rPr>
                <w:rFonts w:ascii="Times New Roman" w:cs="Times New Roman" w:eastAsia="Times New Roman" w:hAnsi="Times New Roman"/>
                <w:sz w:val="15"/>
                <w:szCs w:val="15"/>
                <w:b w:val="1"/>
                <w:bCs w:val="1"/>
                <w:color w:val="auto"/>
              </w:rPr>
              <w:t>Anticipated</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2420" w:type="dxa"/>
            <w:vAlign w:val="bottom"/>
          </w:tcPr>
          <w:p>
            <w:pPr>
              <w:jc w:val="center"/>
              <w:ind w:left="863"/>
              <w:spacing w:after="0"/>
              <w:rPr>
                <w:sz w:val="20"/>
                <w:szCs w:val="20"/>
                <w:color w:val="auto"/>
              </w:rPr>
            </w:pPr>
            <w:r>
              <w:rPr>
                <w:rFonts w:ascii="Times New Roman" w:cs="Times New Roman" w:eastAsia="Times New Roman" w:hAnsi="Times New Roman"/>
                <w:sz w:val="15"/>
                <w:szCs w:val="15"/>
                <w:b w:val="1"/>
                <w:bCs w:val="1"/>
                <w:color w:val="auto"/>
              </w:rPr>
              <w:t>12 Month Use</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Program</w:t>
            </w:r>
            <w:r>
              <w:rPr>
                <w:rFonts w:ascii="Times New Roman" w:cs="Times New Roman" w:eastAsia="Times New Roman" w:hAnsi="Times New Roman"/>
                <w:sz w:val="25"/>
                <w:szCs w:val="25"/>
                <w:b w:val="1"/>
                <w:bCs w:val="1"/>
                <w:color w:val="auto"/>
                <w:vertAlign w:val="superscript"/>
              </w:rPr>
              <w:t>(1)</w:t>
            </w:r>
          </w:p>
        </w:tc>
        <w:tc>
          <w:tcPr>
            <w:tcW w:w="2420" w:type="dxa"/>
            <w:vAlign w:val="bottom"/>
          </w:tcPr>
          <w:p>
            <w:pPr>
              <w:jc w:val="center"/>
              <w:ind w:left="903"/>
              <w:spacing w:after="0" w:line="216" w:lineRule="exact"/>
              <w:rPr>
                <w:sz w:val="20"/>
                <w:szCs w:val="20"/>
                <w:color w:val="auto"/>
              </w:rPr>
            </w:pPr>
            <w:r>
              <w:rPr>
                <w:rFonts w:ascii="Times New Roman" w:cs="Times New Roman" w:eastAsia="Times New Roman" w:hAnsi="Times New Roman"/>
                <w:sz w:val="15"/>
                <w:szCs w:val="15"/>
                <w:b w:val="1"/>
                <w:bCs w:val="1"/>
                <w:color w:val="auto"/>
                <w:w w:val="93"/>
              </w:rPr>
              <w:t>of Funds</w:t>
            </w:r>
            <w:r>
              <w:rPr>
                <w:rFonts w:ascii="Times New Roman" w:cs="Times New Roman" w:eastAsia="Times New Roman" w:hAnsi="Times New Roman"/>
                <w:sz w:val="24"/>
                <w:szCs w:val="24"/>
                <w:b w:val="1"/>
                <w:bCs w:val="1"/>
                <w:color w:val="auto"/>
                <w:w w:val="93"/>
                <w:vertAlign w:val="superscript"/>
              </w:rPr>
              <w:t>(2)(3)</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Anticipated Timeline for Completion</w:t>
            </w:r>
            <w:r>
              <w:rPr>
                <w:rFonts w:ascii="Times New Roman" w:cs="Times New Roman" w:eastAsia="Times New Roman" w:hAnsi="Times New Roman"/>
                <w:sz w:val="25"/>
                <w:szCs w:val="25"/>
                <w:b w:val="1"/>
                <w:bCs w:val="1"/>
                <w:color w:val="auto"/>
                <w:vertAlign w:val="superscript"/>
              </w:rPr>
              <w:t>(4)</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auto"/>
            </w:tcBorders>
            <w:vMerge w:val="continue"/>
          </w:tcPr>
          <w:p>
            <w:pPr>
              <w:spacing w:after="0"/>
              <w:rPr>
                <w:sz w:val="17"/>
                <w:szCs w:val="17"/>
                <w:color w:val="auto"/>
              </w:rPr>
            </w:pPr>
          </w:p>
        </w:tc>
        <w:tc>
          <w:tcPr>
            <w:tcW w:w="2420" w:type="dxa"/>
            <w:vAlign w:val="bottom"/>
            <w:tcBorders>
              <w:bottom w:val="single" w:sz="8" w:color="auto"/>
            </w:tcBorders>
          </w:tcPr>
          <w:p>
            <w:pPr>
              <w:jc w:val="center"/>
              <w:ind w:left="923"/>
              <w:spacing w:after="0"/>
              <w:rPr>
                <w:sz w:val="20"/>
                <w:szCs w:val="20"/>
                <w:color w:val="auto"/>
              </w:rPr>
            </w:pPr>
            <w:r>
              <w:rPr>
                <w:rFonts w:ascii="Times New Roman" w:cs="Times New Roman" w:eastAsia="Times New Roman" w:hAnsi="Times New Roman"/>
                <w:sz w:val="15"/>
                <w:szCs w:val="15"/>
                <w:b w:val="1"/>
                <w:bCs w:val="1"/>
                <w:color w:val="auto"/>
              </w:rPr>
              <w:t>($)</w:t>
            </w:r>
          </w:p>
        </w:tc>
        <w:tc>
          <w:tcPr>
            <w:tcW w:w="3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E6EFFF"/>
          </w:tcPr>
          <w:p>
            <w:pPr>
              <w:spacing w:after="0" w:line="210" w:lineRule="exact"/>
              <w:rPr>
                <w:sz w:val="20"/>
                <w:szCs w:val="20"/>
                <w:color w:val="auto"/>
              </w:rPr>
            </w:pPr>
            <w:r>
              <w:rPr>
                <w:rFonts w:ascii="Times New Roman" w:cs="Times New Roman" w:eastAsia="Times New Roman" w:hAnsi="Times New Roman"/>
                <w:sz w:val="15"/>
                <w:szCs w:val="15"/>
                <w:color w:val="auto"/>
              </w:rPr>
              <w:t>Deuterated Psilocin Program (CYB003)</w:t>
            </w:r>
            <w:r>
              <w:rPr>
                <w:rFonts w:ascii="Times New Roman" w:cs="Times New Roman" w:eastAsia="Times New Roman" w:hAnsi="Times New Roman"/>
                <w:sz w:val="24"/>
                <w:szCs w:val="24"/>
                <w:color w:val="auto"/>
                <w:vertAlign w:val="superscript"/>
              </w:rPr>
              <w:t>(5)</w:t>
            </w:r>
          </w:p>
        </w:tc>
        <w:tc>
          <w:tcPr>
            <w:tcW w:w="2420" w:type="dxa"/>
            <w:vAlign w:val="bottom"/>
            <w:shd w:val="clear" w:color="auto" w:fill="E6EFFF"/>
          </w:tcPr>
          <w:p>
            <w:pPr>
              <w:spacing w:after="0"/>
              <w:rPr>
                <w:sz w:val="18"/>
                <w:szCs w:val="18"/>
                <w:color w:val="auto"/>
              </w:rPr>
            </w:pPr>
          </w:p>
        </w:tc>
        <w:tc>
          <w:tcPr>
            <w:tcW w:w="30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7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Initiate the second Phase 3 study, EMBRACE</w:t>
            </w:r>
          </w:p>
        </w:tc>
        <w:tc>
          <w:tcPr>
            <w:tcW w:w="2420" w:type="dxa"/>
            <w:vAlign w:val="bottom"/>
          </w:tcPr>
          <w:p>
            <w:pPr>
              <w:jc w:val="center"/>
              <w:ind w:left="923"/>
              <w:spacing w:after="0"/>
              <w:rPr>
                <w:sz w:val="20"/>
                <w:szCs w:val="20"/>
                <w:color w:val="auto"/>
              </w:rPr>
            </w:pPr>
            <w:r>
              <w:rPr>
                <w:rFonts w:ascii="Times New Roman" w:cs="Times New Roman" w:eastAsia="Times New Roman" w:hAnsi="Times New Roman"/>
                <w:sz w:val="15"/>
                <w:szCs w:val="15"/>
                <w:color w:val="auto"/>
              </w:rPr>
              <w:t>517,657</w:t>
            </w:r>
          </w:p>
        </w:tc>
        <w:tc>
          <w:tcPr>
            <w:tcW w:w="3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Around mid-year 2025</w:t>
            </w:r>
          </w:p>
        </w:tc>
        <w:tc>
          <w:tcPr>
            <w:tcW w:w="0" w:type="dxa"/>
            <w:vAlign w:val="bottom"/>
          </w:tcPr>
          <w:p>
            <w:pPr>
              <w:spacing w:after="0"/>
              <w:rPr>
                <w:sz w:val="1"/>
                <w:szCs w:val="1"/>
                <w:color w:val="auto"/>
              </w:rPr>
            </w:pPr>
          </w:p>
        </w:tc>
      </w:tr>
      <w:tr>
        <w:trPr>
          <w:trHeight w:val="184"/>
        </w:trPr>
        <w:tc>
          <w:tcPr>
            <w:tcW w:w="576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5"/>
                <w:szCs w:val="15"/>
                <w:color w:val="auto"/>
              </w:rPr>
              <w:t>Progression of Phase 3 APPROACH studies in MDD</w:t>
            </w:r>
          </w:p>
        </w:tc>
        <w:tc>
          <w:tcPr>
            <w:tcW w:w="2420" w:type="dxa"/>
            <w:vAlign w:val="bottom"/>
            <w:shd w:val="clear" w:color="auto" w:fill="E6EFFF"/>
          </w:tcPr>
          <w:p>
            <w:pPr>
              <w:jc w:val="center"/>
              <w:ind w:left="903"/>
              <w:spacing w:after="0"/>
              <w:rPr>
                <w:sz w:val="20"/>
                <w:szCs w:val="20"/>
                <w:color w:val="auto"/>
              </w:rPr>
            </w:pPr>
            <w:r>
              <w:rPr>
                <w:rFonts w:ascii="Times New Roman" w:cs="Times New Roman" w:eastAsia="Times New Roman" w:hAnsi="Times New Roman"/>
                <w:sz w:val="15"/>
                <w:szCs w:val="15"/>
                <w:color w:val="auto"/>
              </w:rPr>
              <w:t>31,425,609</w:t>
            </w:r>
          </w:p>
        </w:tc>
        <w:tc>
          <w:tcPr>
            <w:tcW w:w="3080" w:type="dxa"/>
            <w:vAlign w:val="bottom"/>
            <w:shd w:val="clear" w:color="auto" w:fill="E6EFFF"/>
          </w:tcPr>
          <w:p>
            <w:pPr>
              <w:jc w:val="right"/>
              <w:ind w:right="1283"/>
              <w:spacing w:after="0"/>
              <w:rPr>
                <w:sz w:val="20"/>
                <w:szCs w:val="20"/>
                <w:color w:val="auto"/>
              </w:rPr>
            </w:pPr>
            <w:r>
              <w:rPr>
                <w:rFonts w:ascii="Times New Roman" w:cs="Times New Roman" w:eastAsia="Times New Roman" w:hAnsi="Times New Roman"/>
                <w:sz w:val="15"/>
                <w:szCs w:val="15"/>
                <w:color w:val="auto"/>
              </w:rPr>
              <w:t>2026</w:t>
            </w: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Deuterated Dimethyltryptamine Program</w:t>
            </w:r>
          </w:p>
        </w:tc>
        <w:tc>
          <w:tcPr>
            <w:tcW w:w="24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5"/>
                <w:szCs w:val="15"/>
                <w:color w:val="auto"/>
              </w:rPr>
              <w:t>Complete the Phase 2 GAD study</w:t>
            </w:r>
          </w:p>
        </w:tc>
        <w:tc>
          <w:tcPr>
            <w:tcW w:w="2420" w:type="dxa"/>
            <w:vAlign w:val="bottom"/>
            <w:shd w:val="clear" w:color="auto" w:fill="E6EFFF"/>
          </w:tcPr>
          <w:p>
            <w:pPr>
              <w:jc w:val="center"/>
              <w:ind w:left="903"/>
              <w:spacing w:after="0"/>
              <w:rPr>
                <w:sz w:val="20"/>
                <w:szCs w:val="20"/>
                <w:color w:val="auto"/>
              </w:rPr>
            </w:pPr>
            <w:r>
              <w:rPr>
                <w:rFonts w:ascii="Times New Roman" w:cs="Times New Roman" w:eastAsia="Times New Roman" w:hAnsi="Times New Roman"/>
                <w:sz w:val="15"/>
                <w:szCs w:val="15"/>
                <w:color w:val="auto"/>
                <w:w w:val="99"/>
              </w:rPr>
              <w:t>1,737,479</w:t>
            </w:r>
          </w:p>
        </w:tc>
        <w:tc>
          <w:tcPr>
            <w:tcW w:w="3080" w:type="dxa"/>
            <w:vAlign w:val="bottom"/>
            <w:shd w:val="clear" w:color="auto" w:fill="E6EFFF"/>
          </w:tcPr>
          <w:p>
            <w:pPr>
              <w:jc w:val="center"/>
              <w:spacing w:after="0" w:line="219" w:lineRule="exact"/>
              <w:rPr>
                <w:sz w:val="20"/>
                <w:szCs w:val="20"/>
                <w:color w:val="auto"/>
              </w:rPr>
            </w:pPr>
            <w:r>
              <w:rPr>
                <w:rFonts w:ascii="Times New Roman" w:cs="Times New Roman" w:eastAsia="Times New Roman" w:hAnsi="Times New Roman"/>
                <w:sz w:val="15"/>
                <w:szCs w:val="15"/>
                <w:color w:val="auto"/>
                <w:w w:val="99"/>
              </w:rPr>
              <w:t>Around mid-year 2025</w:t>
            </w:r>
            <w:r>
              <w:rPr>
                <w:rFonts w:ascii="Times New Roman" w:cs="Times New Roman" w:eastAsia="Times New Roman" w:hAnsi="Times New Roman"/>
                <w:sz w:val="25"/>
                <w:szCs w:val="25"/>
                <w:color w:val="auto"/>
                <w:w w:val="99"/>
                <w:vertAlign w:val="superscript"/>
              </w:rPr>
              <w:t>(7)</w:t>
            </w: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Phenethylamine Derivatives Program</w:t>
            </w:r>
          </w:p>
        </w:tc>
        <w:tc>
          <w:tcPr>
            <w:tcW w:w="24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5"/>
                <w:szCs w:val="15"/>
                <w:color w:val="auto"/>
              </w:rPr>
              <w:t>Complete preclinical development of phenethylamine drug candidate</w:t>
            </w:r>
          </w:p>
        </w:tc>
        <w:tc>
          <w:tcPr>
            <w:tcW w:w="2420" w:type="dxa"/>
            <w:vAlign w:val="bottom"/>
            <w:shd w:val="clear" w:color="auto" w:fill="E6EFFF"/>
          </w:tcPr>
          <w:p>
            <w:pPr>
              <w:jc w:val="center"/>
              <w:ind w:left="923"/>
              <w:spacing w:after="0"/>
              <w:rPr>
                <w:sz w:val="20"/>
                <w:szCs w:val="20"/>
                <w:color w:val="auto"/>
              </w:rPr>
            </w:pPr>
            <w:r>
              <w:rPr>
                <w:rFonts w:ascii="Times New Roman" w:cs="Times New Roman" w:eastAsia="Times New Roman" w:hAnsi="Times New Roman"/>
                <w:sz w:val="15"/>
                <w:szCs w:val="15"/>
                <w:color w:val="auto"/>
              </w:rPr>
              <w:t>693,563</w:t>
            </w:r>
          </w:p>
        </w:tc>
        <w:tc>
          <w:tcPr>
            <w:tcW w:w="30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Q1 2026</w:t>
            </w:r>
          </w:p>
        </w:tc>
        <w:tc>
          <w:tcPr>
            <w:tcW w:w="0" w:type="dxa"/>
            <w:vAlign w:val="bottom"/>
          </w:tcPr>
          <w:p>
            <w:pPr>
              <w:spacing w:after="0"/>
              <w:rPr>
                <w:sz w:val="1"/>
                <w:szCs w:val="1"/>
                <w:color w:val="auto"/>
              </w:rPr>
            </w:pPr>
          </w:p>
        </w:tc>
      </w:tr>
      <w:tr>
        <w:trPr>
          <w:trHeight w:val="219"/>
        </w:trPr>
        <w:tc>
          <w:tcPr>
            <w:tcW w:w="5760" w:type="dxa"/>
            <w:vAlign w:val="bottom"/>
          </w:tcPr>
          <w:p>
            <w:pPr>
              <w:spacing w:after="0" w:line="219" w:lineRule="exact"/>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25"/>
                <w:szCs w:val="25"/>
                <w:color w:val="auto"/>
                <w:vertAlign w:val="superscript"/>
              </w:rPr>
              <w:t>(6)</w:t>
            </w:r>
          </w:p>
        </w:tc>
        <w:tc>
          <w:tcPr>
            <w:tcW w:w="2420" w:type="dxa"/>
            <w:vAlign w:val="bottom"/>
          </w:tcPr>
          <w:p>
            <w:pPr>
              <w:jc w:val="center"/>
              <w:ind w:left="903"/>
              <w:spacing w:after="0"/>
              <w:rPr>
                <w:sz w:val="20"/>
                <w:szCs w:val="20"/>
                <w:color w:val="auto"/>
              </w:rPr>
            </w:pPr>
            <w:r>
              <w:rPr>
                <w:rFonts w:ascii="Times New Roman" w:cs="Times New Roman" w:eastAsia="Times New Roman" w:hAnsi="Times New Roman"/>
                <w:sz w:val="15"/>
                <w:szCs w:val="15"/>
                <w:color w:val="auto"/>
              </w:rPr>
              <w:t>104,755,692</w:t>
            </w:r>
          </w:p>
        </w:tc>
        <w:tc>
          <w:tcPr>
            <w:tcW w:w="3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4"/>
        </w:trPr>
        <w:tc>
          <w:tcPr>
            <w:tcW w:w="5760" w:type="dxa"/>
            <w:vAlign w:val="bottom"/>
            <w:shd w:val="clear" w:color="auto" w:fill="E6EFFF"/>
          </w:tcPr>
          <w:p>
            <w:pPr>
              <w:ind w:left="3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20" w:type="dxa"/>
            <w:vAlign w:val="bottom"/>
            <w:shd w:val="clear" w:color="auto" w:fill="E6EFFF"/>
          </w:tcPr>
          <w:p>
            <w:pPr>
              <w:jc w:val="center"/>
              <w:ind w:left="903"/>
              <w:spacing w:after="0"/>
              <w:rPr>
                <w:sz w:val="20"/>
                <w:szCs w:val="20"/>
                <w:color w:val="auto"/>
              </w:rPr>
            </w:pPr>
            <w:r>
              <w:rPr>
                <w:rFonts w:ascii="Times New Roman" w:cs="Times New Roman" w:eastAsia="Times New Roman" w:hAnsi="Times New Roman"/>
                <w:sz w:val="15"/>
                <w:szCs w:val="15"/>
                <w:b w:val="1"/>
                <w:bCs w:val="1"/>
                <w:color w:val="auto"/>
              </w:rPr>
              <w:t>139,130,000</w:t>
            </w:r>
          </w:p>
        </w:tc>
        <w:tc>
          <w:tcPr>
            <w:tcW w:w="308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153" w:lineRule="exact"/>
        <w:rPr>
          <w:sz w:val="20"/>
          <w:szCs w:val="20"/>
          <w:color w:val="auto"/>
        </w:rPr>
      </w:pPr>
    </w:p>
    <w:p>
      <w:pPr>
        <w:ind w:left="540" w:right="20" w:hanging="364"/>
        <w:spacing w:after="0" w:line="251" w:lineRule="auto"/>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Annual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18"/>
          <w:szCs w:val="18"/>
          <w:color w:val="auto"/>
        </w:rPr>
      </w:pPr>
    </w:p>
    <w:p>
      <w:pPr>
        <w:ind w:left="540" w:right="20" w:hanging="364"/>
        <w:spacing w:after="0"/>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converted from USD to CAD based on the average exchange rate posted by the Bank of Canada for the year ended March 31, 2025, being US$1.00 = C1.3913.</w:t>
      </w:r>
    </w:p>
    <w:p>
      <w:pPr>
        <w:ind w:left="580" w:hanging="404"/>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proceeds from private placements and offerings previously disclosed.</w:t>
      </w:r>
    </w:p>
    <w:p>
      <w:pPr>
        <w:ind w:left="540" w:right="20" w:hanging="364"/>
        <w:spacing w:after="0"/>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jc w:val="both"/>
        <w:ind w:left="540" w:hanging="364"/>
        <w:spacing w:after="0"/>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15" w:lineRule="exact"/>
        <w:rPr>
          <w:rFonts w:ascii="Times New Roman" w:cs="Times New Roman" w:eastAsia="Times New Roman" w:hAnsi="Times New Roman"/>
          <w:sz w:val="18"/>
          <w:szCs w:val="18"/>
          <w:color w:val="auto"/>
        </w:rPr>
      </w:pPr>
    </w:p>
    <w:p>
      <w:pPr>
        <w:jc w:val="both"/>
        <w:ind w:left="540" w:hanging="364"/>
        <w:spacing w:after="0"/>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jc w:val="both"/>
        <w:ind w:left="540" w:hanging="364"/>
        <w:spacing w:after="0" w:line="246" w:lineRule="auto"/>
        <w:tabs>
          <w:tab w:leader="none" w:pos="5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updated the anticipated timeline for completion of this milestone. The Corporation had previously expected it would complete this milestone in Q2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3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Annual MD&amp;A of the Corporation, and the documents incorporated by reference herein, including the applicable Prospectus Supplement.</w:t>
      </w:r>
    </w:p>
    <w:p>
      <w:pPr>
        <w:spacing w:after="0" w:line="3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at July 30,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$147,907,894.</w:t>
      </w:r>
    </w:p>
    <w:p>
      <w:pPr>
        <w:spacing w:after="0" w:line="9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Corporation's expectation is based on certain assumptions and risks as set forth in the section "</w:t>
      </w:r>
      <w:r>
        <w:rPr>
          <w:rFonts w:ascii="Times New Roman" w:cs="Times New Roman" w:eastAsia="Times New Roman" w:hAnsi="Times New Roman"/>
          <w:sz w:val="18"/>
          <w:szCs w:val="18"/>
          <w:i w:val="1"/>
          <w:iCs w:val="1"/>
          <w:color w:val="auto"/>
        </w:rPr>
        <w:t>Cautionary Note Regarding Forward 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 Regarding Forward-Looking Information" </w:t>
      </w:r>
      <w:r>
        <w:rPr>
          <w:rFonts w:ascii="Times New Roman" w:cs="Times New Roman" w:eastAsia="Times New Roman" w:hAnsi="Times New Roman"/>
          <w:sz w:val="18"/>
          <w:szCs w:val="18"/>
          <w:color w:val="auto"/>
        </w:rPr>
        <w:t>section above. The actual amount that the Corporation spends in connection with each of the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uses and programs will depend on a number of factors,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or incorporated by reference in, this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Negative Cash Flow From Operations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Since inception, the Corporation has financed its operations primarily from the issuance of equity and interest income on funds available for investment. To date, the Corporation has raised approximately $514,000,000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8"/>
          <w:szCs w:val="18"/>
          <w:i w:val="1"/>
          <w:iCs w:val="1"/>
          <w:color w:val="auto"/>
        </w:rPr>
        <w:t>"Risk Factors - 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an Offering - Negative Operating Cash Flow".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Prospectus may also from time to time, relate to the Offering of Securities by way of a secondary offering (each, a "</w:t>
      </w:r>
      <w:r>
        <w:rPr>
          <w:rFonts w:ascii="Times New Roman" w:cs="Times New Roman" w:eastAsia="Times New Roman" w:hAnsi="Times New Roman"/>
          <w:sz w:val="18"/>
          <w:szCs w:val="18"/>
          <w:b w:val="1"/>
          <w:bCs w:val="1"/>
          <w:color w:val="auto"/>
        </w:rPr>
        <w:t>Secondary Offering</w:t>
      </w:r>
      <w:r>
        <w:rPr>
          <w:rFonts w:ascii="Times New Roman" w:cs="Times New Roman" w:eastAsia="Times New Roman" w:hAnsi="Times New Roman"/>
          <w:sz w:val="18"/>
          <w:szCs w:val="18"/>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18"/>
          <w:szCs w:val="18"/>
          <w:i w:val="1"/>
          <w:iCs w:val="1"/>
          <w:color w:val="auto"/>
        </w:rPr>
        <w:t>Risk Factors - Risks Related to an Offering - Speculative Nature of Investment Risk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BEING DISTRIBUTED</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Corporation is authorized to issue an unlimited number of Common Shares and an unlimited number of preferred shares. As at July 31, 2025, the Corporation had 23,590,025 Common Shares and nil preferred shares issued and outstanding.</w:t>
      </w:r>
    </w:p>
    <w:p>
      <w:pPr>
        <w:spacing w:after="0" w:line="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33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4" w:name="page35"/>
    <w:bookmarkEnd w:id="34"/>
    <w:p>
      <w:pPr>
        <w:ind w:left="540" w:right="20"/>
        <w:spacing w:after="0" w:line="280" w:lineRule="auto"/>
        <w:rPr>
          <w:sz w:val="20"/>
          <w:szCs w:val="20"/>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-252095</wp:posOffset>
            </wp:positionV>
            <wp:extent cx="62230" cy="62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0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119" w:lineRule="exact"/>
        <w:rPr>
          <w:sz w:val="20"/>
          <w:szCs w:val="20"/>
          <w:color w:val="auto"/>
        </w:rPr>
      </w:pPr>
    </w:p>
    <w:p>
      <w:pPr>
        <w:ind w:left="540"/>
        <w:spacing w:after="0" w:line="278" w:lineRule="auto"/>
        <w:rPr>
          <w:sz w:val="20"/>
          <w:szCs w:val="20"/>
          <w:color w:val="auto"/>
        </w:rPr>
      </w:pPr>
      <w:r>
        <w:rPr>
          <w:rFonts w:ascii="Times New Roman" w:cs="Times New Roman" w:eastAsia="Times New Roman" w:hAnsi="Times New Roman"/>
          <w:sz w:val="18"/>
          <w:szCs w:val="18"/>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76" w:lineRule="exact"/>
        <w:rPr>
          <w:sz w:val="20"/>
          <w:szCs w:val="20"/>
          <w:color w:val="auto"/>
        </w:rPr>
      </w:pPr>
    </w:p>
    <w:p>
      <w:pPr>
        <w:ind w:left="540" w:right="1260"/>
        <w:spacing w:after="0" w:line="425" w:lineRule="auto"/>
        <w:rPr>
          <w:sz w:val="20"/>
          <w:szCs w:val="20"/>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-644525</wp:posOffset>
            </wp:positionV>
            <wp:extent cx="62230" cy="62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-417830</wp:posOffset>
            </wp:positionV>
            <wp:extent cx="62230" cy="622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-191135</wp:posOffset>
            </wp:positionV>
            <wp:extent cx="62230" cy="62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Debt Securities may be issued in one or more series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 w:name="page36"/>
    <w:bookmarkEnd w:id="35"/>
    <w:p>
      <w:pPr>
        <w:ind w:left="540"/>
        <w:spacing w:after="0" w:line="280" w:lineRule="auto"/>
        <w:rPr>
          <w:sz w:val="20"/>
          <w:szCs w:val="20"/>
          <w:color w:val="auto"/>
        </w:rPr>
      </w:pPr>
      <w:r>
        <w:rPr>
          <w:rFonts w:ascii="Times New Roman" w:cs="Times New Roman" w:eastAsia="Times New Roman" w:hAnsi="Times New Roman"/>
          <w:sz w:val="18"/>
          <w:szCs w:val="18"/>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-252095</wp:posOffset>
            </wp:positionV>
            <wp:extent cx="62230" cy="622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2"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6" w:lineRule="exact"/>
        <w:rPr>
          <w:sz w:val="20"/>
          <w:szCs w:val="20"/>
          <w:color w:val="auto"/>
        </w:rPr>
      </w:pPr>
    </w:p>
    <w:p>
      <w:pPr>
        <w:ind w:left="540"/>
        <w:spacing w:after="0" w:line="283" w:lineRule="auto"/>
        <w:rPr>
          <w:sz w:val="20"/>
          <w:szCs w:val="20"/>
          <w:color w:val="auto"/>
        </w:rPr>
      </w:pPr>
      <w:r>
        <w:rPr>
          <w:rFonts w:ascii="Times New Roman" w:cs="Times New Roman" w:eastAsia="Times New Roman" w:hAnsi="Times New Roman"/>
          <w:sz w:val="18"/>
          <w:szCs w:val="18"/>
          <w:color w:val="auto"/>
        </w:rPr>
        <w:t>whether the Debt Securities will be issuable in the form of global securities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-254000</wp:posOffset>
            </wp:positionV>
            <wp:extent cx="62230" cy="62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5"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material Canadian federal income tax consequences and United States federal income tax consequences of owning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any index, formula or other method used to determine the amount of payments of principal of (and premium, if any) or interest, if any, on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series of Debt Securities may be issued at various times with different maturity dates, may bear interest at different rates and may otherwise vary.</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Subscription Receipts</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Subscription Receipts may be offered separately or together with other Securities, as the case may be. The Subscription Receipts may be issued under a subscription receipt agreement.</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-77470</wp:posOffset>
            </wp:positionV>
            <wp:extent cx="62230" cy="622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30" w:lineRule="exact"/>
        <w:rPr>
          <w:sz w:val="20"/>
          <w:szCs w:val="20"/>
          <w:color w:val="auto"/>
        </w:rPr>
      </w:pPr>
    </w:p>
    <w:p>
      <w:pPr>
        <w:ind w:left="540" w:right="20"/>
        <w:spacing w:after="0" w:line="278" w:lineRule="auto"/>
        <w:rPr>
          <w:sz w:val="20"/>
          <w:szCs w:val="20"/>
          <w:color w:val="auto"/>
        </w:rPr>
      </w:pPr>
      <w:r>
        <w:rPr>
          <w:rFonts w:ascii="Times New Roman" w:cs="Times New Roman" w:eastAsia="Times New Roman" w:hAnsi="Times New Roman"/>
          <w:sz w:val="18"/>
          <w:szCs w:val="18"/>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-250825</wp:posOffset>
            </wp:positionV>
            <wp:extent cx="62230" cy="622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65" w:lineRule="exact"/>
        <w:rPr>
          <w:sz w:val="20"/>
          <w:szCs w:val="20"/>
          <w:color w:val="auto"/>
        </w:rPr>
      </w:pPr>
    </w:p>
    <w:p>
      <w:pPr>
        <w:ind w:left="540" w:right="1860"/>
        <w:spacing w:after="0" w:line="430" w:lineRule="auto"/>
        <w:rPr>
          <w:sz w:val="20"/>
          <w:szCs w:val="20"/>
          <w:color w:val="auto"/>
        </w:rPr>
      </w:pPr>
      <w:r>
        <w:rPr>
          <w:rFonts w:ascii="Times New Roman" w:cs="Times New Roman" w:eastAsia="Times New Roman" w:hAnsi="Times New Roman"/>
          <w:sz w:val="18"/>
          <w:szCs w:val="18"/>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-652780</wp:posOffset>
            </wp:positionV>
            <wp:extent cx="62230" cy="622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-418465</wp:posOffset>
            </wp:positionV>
            <wp:extent cx="62230" cy="622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-191770</wp:posOffset>
            </wp:positionV>
            <wp:extent cx="62230" cy="622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and the Selling Securityholders may from time to time during the 25-month period that this Prospectus, including any amendments and supplements hereto, remains valid, offer for sale and sell up to an aggregate of $1,000,000,000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7" w:name="page38"/>
    <w:bookmarkEnd w:id="37"/>
    <w:p>
      <w:pPr>
        <w:jc w:val="both"/>
        <w:spacing w:after="0" w:line="245"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3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 and under the heading </w:t>
      </w: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b w:val="1"/>
          <w:bCs w:val="1"/>
          <w:color w:val="auto"/>
        </w:rPr>
        <w:t xml:space="preserve"> in the Annual MD&amp;A, and any other risk factors described herein or in a document incorporated by reference herein, which investors should carefully consider before investing. </w:t>
      </w:r>
      <w:r>
        <w:rPr>
          <w:rFonts w:ascii="Times New Roman" w:cs="Times New Roman" w:eastAsia="Times New Roman" w:hAnsi="Times New Roman"/>
          <w:sz w:val="18"/>
          <w:szCs w:val="18"/>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Business of the Corporation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Risks and Uncertainties</w:t>
      </w:r>
    </w:p>
    <w:p>
      <w:pPr>
        <w:spacing w:after="0" w:line="1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3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Corporation's operations.</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Private Issuer" Status Under the U.S. Securities Laws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Related to an Offering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Speculative Nature of Investment Risk</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Operating Cash Flow</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Discretion over the Use of Proceeds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Need for Additional Financing</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18"/>
          <w:szCs w:val="18"/>
          <w:i w:val="1"/>
          <w:iCs w:val="1"/>
          <w:color w:val="auto"/>
        </w:rPr>
        <w:t>"Risk Factors - Risks Related to an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Operating Cash Flow" and "- Potential Dilution".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Volatile Market Price of Corporation's Common Shares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1" w:name="page42"/>
    <w:bookmarkEnd w:id="41"/>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addition, the market price for securities on stock markets, including the CBOE Canada is subject to significant price and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Dilution</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18"/>
          <w:szCs w:val="18"/>
          <w:i w:val="1"/>
          <w:iCs w:val="1"/>
          <w:color w:val="auto"/>
        </w:rPr>
        <w:t>"Risk Factors - Risks Related to an Offering - Potential Need for Additional Financing</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Securities Purchase Agreement, the Corporation and the Investor also entered into a registration rights agreement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pursuant to which, among other matters, the Corporation agreed to file a prospectus supplement to its effective Form F-10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to register under the United States Securities Act of 1933, as amended (the "</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the resale by the Investor of up to 20,000,000 Common Shares issuable upon the conversion of the Convertible Debentures (the "</w:t>
      </w:r>
      <w:r>
        <w:rPr>
          <w:rFonts w:ascii="Times New Roman" w:cs="Times New Roman" w:eastAsia="Times New Roman" w:hAnsi="Times New Roman"/>
          <w:sz w:val="18"/>
          <w:szCs w:val="18"/>
          <w:b w:val="1"/>
          <w:bCs w:val="1"/>
          <w:color w:val="auto"/>
        </w:rPr>
        <w:t>Registrable Common Shares</w:t>
      </w:r>
      <w:r>
        <w:rPr>
          <w:rFonts w:ascii="Times New Roman" w:cs="Times New Roman" w:eastAsia="Times New Roman" w:hAnsi="Times New Roman"/>
          <w:sz w:val="18"/>
          <w:szCs w:val="18"/>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18"/>
          <w:szCs w:val="18"/>
          <w:b w:val="1"/>
          <w:bCs w:val="1"/>
          <w:color w:val="auto"/>
        </w:rPr>
        <w:t>July Prospectus Supplement</w:t>
      </w:r>
      <w:r>
        <w:rPr>
          <w:rFonts w:ascii="Times New Roman" w:cs="Times New Roman" w:eastAsia="Times New Roman" w:hAnsi="Times New Roman"/>
          <w:sz w:val="18"/>
          <w:szCs w:val="18"/>
          <w:color w:val="auto"/>
        </w:rPr>
        <w:t>") to permit the Investor to offer up to 20,000,000 Registrable Common Shares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the Investor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Market for Securities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Enforcement of Civil Liabilities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CERTAIN FEDERAL INCOME TAX CONSIDERATIONS</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5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registrar and transfer agent of the Common Shares is Odyssey Trust Company at its principal office in Calgary, Alberta.</w:t>
      </w:r>
    </w:p>
    <w:p>
      <w:pPr>
        <w:spacing w:after="0" w:line="1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4" w:name="page45"/>
    <w:bookmarkEnd w:id="44"/>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INFORMATION NOT REQUIRED TO BE DELIVERED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OFFEREES OR PURCHASERS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3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by-laws of the Registrant provide that,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1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7232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3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5"/>
          <w:szCs w:val="15"/>
          <w:b w:val="1"/>
          <w:bCs w:val="1"/>
          <w:color w:val="auto"/>
        </w:rPr>
        <w:t>Number</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12" w:lineRule="exact"/>
        <w:rPr>
          <w:sz w:val="20"/>
          <w:szCs w:val="20"/>
          <w:color w:val="auto"/>
        </w:rPr>
      </w:pPr>
    </w:p>
    <w:p>
      <w:pPr>
        <w:jc w:val="both"/>
        <w:ind w:left="760" w:right="20" w:hanging="410"/>
        <w:spacing w:after="0" w:line="288" w:lineRule="auto"/>
        <w:tabs>
          <w:tab w:leader="none" w:pos="740" w:val="left"/>
        </w:tabs>
        <w:rPr>
          <w:rFonts w:ascii="Times New Roman" w:cs="Times New Roman" w:eastAsia="Times New Roman" w:hAnsi="Times New Roman"/>
          <w:sz w:val="15"/>
          <w:szCs w:val="15"/>
          <w:u w:val="single" w:color="auto"/>
          <w:color w:val="0000EE"/>
        </w:rPr>
      </w:pPr>
      <w:hyperlink r:id="rId125">
        <w:r>
          <w:rPr>
            <w:rFonts w:ascii="Times New Roman" w:cs="Times New Roman" w:eastAsia="Times New Roman" w:hAnsi="Times New Roman"/>
            <w:sz w:val="15"/>
            <w:szCs w:val="15"/>
            <w:u w:val="single" w:color="auto"/>
            <w:color w:val="0000EE"/>
          </w:rPr>
          <w:t>4.1</w:t>
        </w:r>
      </w:hyperlink>
      <w:r>
        <w:rPr>
          <w:rFonts w:ascii="Times New Roman" w:cs="Times New Roman" w:eastAsia="Times New Roman" w:hAnsi="Times New Roman"/>
          <w:sz w:val="15"/>
          <w:szCs w:val="15"/>
          <w:u w:val="single" w:color="auto"/>
          <w:color w:val="0000EE"/>
        </w:rPr>
        <w:tab/>
      </w:r>
      <w:hyperlink r:id="rId125">
        <w:r>
          <w:rPr>
            <w:rFonts w:ascii="Times New Roman" w:cs="Times New Roman" w:eastAsia="Times New Roman" w:hAnsi="Times New Roman"/>
            <w:sz w:val="15"/>
            <w:szCs w:val="15"/>
            <w:u w:val="single" w:color="auto"/>
            <w:color w:val="0000EE"/>
          </w:rPr>
          <w:t>The annual information form of the Registrant dated June 30, 2025 for the year ended March 31, 2025 (incorporated by reference from Exhibit 99.1 of the Registrant's</w:t>
        </w:r>
      </w:hyperlink>
      <w:r>
        <w:rPr>
          <w:rFonts w:ascii="Times New Roman" w:cs="Times New Roman" w:eastAsia="Times New Roman" w:hAnsi="Times New Roman"/>
          <w:sz w:val="15"/>
          <w:szCs w:val="15"/>
          <w:u w:val="single" w:color="auto"/>
          <w:color w:val="0000EE"/>
        </w:rPr>
        <w:t xml:space="preserve"> </w:t>
      </w:r>
      <w:hyperlink r:id="rId125">
        <w:r>
          <w:rPr>
            <w:rFonts w:ascii="Times New Roman" w:cs="Times New Roman" w:eastAsia="Times New Roman" w:hAnsi="Times New Roman"/>
            <w:sz w:val="15"/>
            <w:szCs w:val="15"/>
            <w:u w:val="single" w:color="auto"/>
            <w:color w:val="0000EE"/>
          </w:rPr>
          <w:t>Annual Report on Form 40-F, filed with the Commission on July 1, 2025).</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52640" cy="241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2640" cy="241300"/>
                    </a:xfrm>
                    <a:prstGeom prst="rect">
                      <a:avLst/>
                    </a:prstGeom>
                    <a:noFill/>
                  </pic:spPr>
                </pic:pic>
              </a:graphicData>
            </a:graphic>
          </wp:anchor>
        </w:drawing>
      </w:r>
    </w:p>
    <w:p>
      <w:pPr>
        <w:spacing w:after="0" w:line="116" w:lineRule="exact"/>
        <w:rPr>
          <w:rFonts w:ascii="Times New Roman" w:cs="Times New Roman" w:eastAsia="Times New Roman" w:hAnsi="Times New Roman"/>
          <w:sz w:val="15"/>
          <w:szCs w:val="15"/>
          <w:u w:val="single" w:color="auto"/>
          <w:color w:val="0000EE"/>
        </w:rPr>
      </w:pPr>
    </w:p>
    <w:p>
      <w:pPr>
        <w:jc w:val="both"/>
        <w:ind w:left="760" w:hanging="410"/>
        <w:spacing w:after="0" w:line="292" w:lineRule="auto"/>
        <w:tabs>
          <w:tab w:leader="none" w:pos="740" w:val="left"/>
        </w:tabs>
        <w:rPr>
          <w:rFonts w:ascii="Times New Roman" w:cs="Times New Roman" w:eastAsia="Times New Roman" w:hAnsi="Times New Roman"/>
          <w:sz w:val="15"/>
          <w:szCs w:val="15"/>
          <w:u w:val="single" w:color="auto"/>
          <w:color w:val="0000EE"/>
        </w:rPr>
      </w:pPr>
      <w:hyperlink r:id="rId127">
        <w:r>
          <w:rPr>
            <w:rFonts w:ascii="Times New Roman" w:cs="Times New Roman" w:eastAsia="Times New Roman" w:hAnsi="Times New Roman"/>
            <w:sz w:val="15"/>
            <w:szCs w:val="15"/>
            <w:u w:val="single" w:color="auto"/>
            <w:color w:val="0000EE"/>
          </w:rPr>
          <w:t>4.2</w:t>
        </w:r>
      </w:hyperlink>
      <w:r>
        <w:rPr>
          <w:rFonts w:ascii="Times New Roman" w:cs="Times New Roman" w:eastAsia="Times New Roman" w:hAnsi="Times New Roman"/>
          <w:sz w:val="15"/>
          <w:szCs w:val="15"/>
          <w:u w:val="single" w:color="auto"/>
          <w:color w:val="0000EE"/>
        </w:rPr>
        <w:tab/>
      </w:r>
      <w:hyperlink r:id="rId127">
        <w:r>
          <w:rPr>
            <w:rFonts w:ascii="Times New Roman" w:cs="Times New Roman" w:eastAsia="Times New Roman" w:hAnsi="Times New Roman"/>
            <w:sz w:val="15"/>
            <w:szCs w:val="15"/>
            <w:u w:val="single" w:color="auto"/>
            <w:color w:val="0000EE"/>
          </w:rPr>
          <w:t>The audited consolidated financial statements of the Registrant and the notes thereto as at and for the fiscal years ended March 31, 2025 and 2024, together with the</w:t>
        </w:r>
      </w:hyperlink>
      <w:r>
        <w:rPr>
          <w:rFonts w:ascii="Times New Roman" w:cs="Times New Roman" w:eastAsia="Times New Roman" w:hAnsi="Times New Roman"/>
          <w:sz w:val="15"/>
          <w:szCs w:val="15"/>
          <w:u w:val="single" w:color="auto"/>
          <w:color w:val="0000EE"/>
        </w:rPr>
        <w:t xml:space="preserve"> </w:t>
      </w:r>
      <w:hyperlink r:id="rId127">
        <w:r>
          <w:rPr>
            <w:rFonts w:ascii="Times New Roman" w:cs="Times New Roman" w:eastAsia="Times New Roman" w:hAnsi="Times New Roman"/>
            <w:sz w:val="15"/>
            <w:szCs w:val="15"/>
            <w:u w:val="single" w:color="auto"/>
            <w:color w:val="0000EE"/>
          </w:rPr>
          <w:t>auditor's report thereon (incorporated by reference from Exhibit 99.2 of the Registrant's Annual Report on Form 40-F, filed with the Commission on July 1, 2025).</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52640" cy="2343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2640"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jc w:val="both"/>
        <w:ind w:left="760" w:right="20" w:hanging="410"/>
        <w:spacing w:after="0" w:line="292" w:lineRule="auto"/>
        <w:tabs>
          <w:tab w:leader="none" w:pos="740" w:val="left"/>
        </w:tabs>
        <w:rPr>
          <w:rFonts w:ascii="Times New Roman" w:cs="Times New Roman" w:eastAsia="Times New Roman" w:hAnsi="Times New Roman"/>
          <w:sz w:val="15"/>
          <w:szCs w:val="15"/>
          <w:u w:val="single" w:color="auto"/>
          <w:color w:val="0000EE"/>
        </w:rPr>
      </w:pPr>
      <w:hyperlink r:id="rId129">
        <w:r>
          <w:rPr>
            <w:rFonts w:ascii="Times New Roman" w:cs="Times New Roman" w:eastAsia="Times New Roman" w:hAnsi="Times New Roman"/>
            <w:sz w:val="15"/>
            <w:szCs w:val="15"/>
            <w:u w:val="single" w:color="auto"/>
            <w:color w:val="0000EE"/>
          </w:rPr>
          <w:t>4.3</w:t>
        </w:r>
      </w:hyperlink>
      <w:r>
        <w:rPr>
          <w:rFonts w:ascii="Times New Roman" w:cs="Times New Roman" w:eastAsia="Times New Roman" w:hAnsi="Times New Roman"/>
          <w:sz w:val="15"/>
          <w:szCs w:val="15"/>
          <w:u w:val="single" w:color="auto"/>
          <w:color w:val="0000EE"/>
        </w:rPr>
        <w:tab/>
      </w:r>
      <w:hyperlink r:id="rId129">
        <w:r>
          <w:rPr>
            <w:rFonts w:ascii="Times New Roman" w:cs="Times New Roman" w:eastAsia="Times New Roman" w:hAnsi="Times New Roman"/>
            <w:sz w:val="15"/>
            <w:szCs w:val="15"/>
            <w:u w:val="single" w:color="auto"/>
            <w:color w:val="0000EE"/>
          </w:rPr>
          <w:t>Management's discussion and analysis of the Registrant for the year ended March 31, 2025 (incorporated by reference from Exhibit 99.3 of the Registrant's Annual Report</w:t>
        </w:r>
      </w:hyperlink>
      <w:r>
        <w:rPr>
          <w:rFonts w:ascii="Times New Roman" w:cs="Times New Roman" w:eastAsia="Times New Roman" w:hAnsi="Times New Roman"/>
          <w:sz w:val="15"/>
          <w:szCs w:val="15"/>
          <w:u w:val="single" w:color="auto"/>
          <w:color w:val="0000EE"/>
        </w:rPr>
        <w:t xml:space="preserve"> </w:t>
      </w:r>
      <w:hyperlink r:id="rId129">
        <w:r>
          <w:rPr>
            <w:rFonts w:ascii="Times New Roman" w:cs="Times New Roman" w:eastAsia="Times New Roman" w:hAnsi="Times New Roman"/>
            <w:sz w:val="15"/>
            <w:szCs w:val="15"/>
            <w:u w:val="single" w:color="auto"/>
            <w:color w:val="0000EE"/>
          </w:rPr>
          <w:t>on Form 40-F, filed with the Commission on July 1, 2025).</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52640" cy="234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52640"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jc w:val="both"/>
        <w:ind w:left="760" w:hanging="410"/>
        <w:spacing w:after="0" w:line="274" w:lineRule="auto"/>
        <w:tabs>
          <w:tab w:leader="none" w:pos="740" w:val="left"/>
        </w:tabs>
        <w:rPr>
          <w:rFonts w:ascii="Times New Roman" w:cs="Times New Roman" w:eastAsia="Times New Roman" w:hAnsi="Times New Roman"/>
          <w:sz w:val="15"/>
          <w:szCs w:val="15"/>
          <w:u w:val="single" w:color="auto"/>
          <w:color w:val="0000EE"/>
        </w:rPr>
      </w:pPr>
      <w:hyperlink r:id="rId131">
        <w:r>
          <w:rPr>
            <w:rFonts w:ascii="Times New Roman" w:cs="Times New Roman" w:eastAsia="Times New Roman" w:hAnsi="Times New Roman"/>
            <w:sz w:val="15"/>
            <w:szCs w:val="15"/>
            <w:u w:val="single" w:color="auto"/>
            <w:color w:val="0000EE"/>
          </w:rPr>
          <w:t>4.4</w:t>
        </w:r>
      </w:hyperlink>
      <w:r>
        <w:rPr>
          <w:rFonts w:ascii="Times New Roman" w:cs="Times New Roman" w:eastAsia="Times New Roman" w:hAnsi="Times New Roman"/>
          <w:sz w:val="15"/>
          <w:szCs w:val="15"/>
          <w:u w:val="single" w:color="auto"/>
          <w:color w:val="0000EE"/>
        </w:rPr>
        <w:tab/>
      </w:r>
      <w:hyperlink r:id="rId131">
        <w:r>
          <w:rPr>
            <w:rFonts w:ascii="Times New Roman" w:cs="Times New Roman" w:eastAsia="Times New Roman" w:hAnsi="Times New Roman"/>
            <w:sz w:val="15"/>
            <w:szCs w:val="15"/>
            <w:u w:val="single" w:color="auto"/>
            <w:color w:val="0000EE"/>
          </w:rPr>
          <w:t>The material change report of the Registrant dated July 9, 2025 in connection with the private placement completed by the Registrant on June 30, 2025, of US$50,000,000</w:t>
        </w:r>
      </w:hyperlink>
      <w:r>
        <w:rPr>
          <w:rFonts w:ascii="Times New Roman" w:cs="Times New Roman" w:eastAsia="Times New Roman" w:hAnsi="Times New Roman"/>
          <w:sz w:val="15"/>
          <w:szCs w:val="15"/>
          <w:u w:val="single" w:color="auto"/>
          <w:color w:val="0000EE"/>
        </w:rPr>
        <w:t xml:space="preserve"> </w:t>
      </w:r>
      <w:hyperlink r:id="rId131">
        <w:r>
          <w:rPr>
            <w:rFonts w:ascii="Times New Roman" w:cs="Times New Roman" w:eastAsia="Times New Roman" w:hAnsi="Times New Roman"/>
            <w:sz w:val="15"/>
            <w:szCs w:val="15"/>
            <w:u w:val="single" w:color="auto"/>
            <w:color w:val="0000EE"/>
          </w:rPr>
          <w:t>aggregate principal amount of unsecured convertible debentures issued to a single investor pursuant to a securities purchase agreement, dated June 30, 2025 (incorporated</w:t>
        </w:r>
      </w:hyperlink>
      <w:r>
        <w:rPr>
          <w:rFonts w:ascii="Times New Roman" w:cs="Times New Roman" w:eastAsia="Times New Roman" w:hAnsi="Times New Roman"/>
          <w:sz w:val="15"/>
          <w:szCs w:val="15"/>
          <w:u w:val="single" w:color="auto"/>
          <w:color w:val="0000EE"/>
        </w:rPr>
        <w:t xml:space="preserve"> </w:t>
      </w:r>
      <w:hyperlink r:id="rId131">
        <w:r>
          <w:rPr>
            <w:rFonts w:ascii="Times New Roman" w:cs="Times New Roman" w:eastAsia="Times New Roman" w:hAnsi="Times New Roman"/>
            <w:sz w:val="15"/>
            <w:szCs w:val="15"/>
            <w:u w:val="single" w:color="auto"/>
            <w:color w:val="0000EE"/>
          </w:rPr>
          <w:t>by reference from Exhibit 99.1 of the Registrant's Form 6-K, furnished to the Commission on July 10, 2025).</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-365125</wp:posOffset>
            </wp:positionV>
            <wp:extent cx="7152640"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52640" cy="351155"/>
                    </a:xfrm>
                    <a:prstGeom prst="rect">
                      <a:avLst/>
                    </a:prstGeom>
                    <a:noFill/>
                  </pic:spPr>
                </pic:pic>
              </a:graphicData>
            </a:graphic>
          </wp:anchor>
        </w:drawing>
      </w:r>
    </w:p>
    <w:p>
      <w:pPr>
        <w:spacing w:after="0" w:line="126" w:lineRule="exact"/>
        <w:rPr>
          <w:rFonts w:ascii="Times New Roman" w:cs="Times New Roman" w:eastAsia="Times New Roman" w:hAnsi="Times New Roman"/>
          <w:sz w:val="15"/>
          <w:szCs w:val="15"/>
          <w:u w:val="single" w:color="auto"/>
          <w:color w:val="0000EE"/>
        </w:rPr>
      </w:pPr>
    </w:p>
    <w:p>
      <w:pPr>
        <w:jc w:val="both"/>
        <w:ind w:left="760" w:hanging="410"/>
        <w:spacing w:after="0" w:line="292" w:lineRule="auto"/>
        <w:tabs>
          <w:tab w:leader="none" w:pos="740" w:val="left"/>
        </w:tabs>
        <w:rPr>
          <w:rFonts w:ascii="Times New Roman" w:cs="Times New Roman" w:eastAsia="Times New Roman" w:hAnsi="Times New Roman"/>
          <w:sz w:val="15"/>
          <w:szCs w:val="15"/>
          <w:u w:val="single" w:color="auto"/>
          <w:color w:val="0000EE"/>
        </w:rPr>
      </w:pPr>
      <w:hyperlink r:id="rId133">
        <w:r>
          <w:rPr>
            <w:rFonts w:ascii="Times New Roman" w:cs="Times New Roman" w:eastAsia="Times New Roman" w:hAnsi="Times New Roman"/>
            <w:sz w:val="15"/>
            <w:szCs w:val="15"/>
            <w:u w:val="single" w:color="auto"/>
            <w:color w:val="0000EE"/>
          </w:rPr>
          <w:t>4.5</w:t>
        </w:r>
      </w:hyperlink>
      <w:r>
        <w:rPr>
          <w:rFonts w:ascii="Times New Roman" w:cs="Times New Roman" w:eastAsia="Times New Roman" w:hAnsi="Times New Roman"/>
          <w:sz w:val="15"/>
          <w:szCs w:val="15"/>
          <w:u w:val="single" w:color="auto"/>
          <w:color w:val="0000EE"/>
        </w:rPr>
        <w:tab/>
      </w:r>
      <w:hyperlink r:id="rId133">
        <w:r>
          <w:rPr>
            <w:rFonts w:ascii="Times New Roman" w:cs="Times New Roman" w:eastAsia="Times New Roman" w:hAnsi="Times New Roman"/>
            <w:sz w:val="15"/>
            <w:szCs w:val="15"/>
            <w:u w:val="single" w:color="auto"/>
            <w:color w:val="0000EE"/>
          </w:rPr>
          <w:t>The management information circular of the Registrant dated July 14, 2025 relating to the annual and special meeting of shareholders of the Registrant to be held on</w:t>
        </w:r>
      </w:hyperlink>
      <w:r>
        <w:rPr>
          <w:rFonts w:ascii="Times New Roman" w:cs="Times New Roman" w:eastAsia="Times New Roman" w:hAnsi="Times New Roman"/>
          <w:sz w:val="15"/>
          <w:szCs w:val="15"/>
          <w:u w:val="single" w:color="auto"/>
          <w:color w:val="0000EE"/>
        </w:rPr>
        <w:t xml:space="preserve"> </w:t>
      </w:r>
      <w:hyperlink r:id="rId133">
        <w:r>
          <w:rPr>
            <w:rFonts w:ascii="Times New Roman" w:cs="Times New Roman" w:eastAsia="Times New Roman" w:hAnsi="Times New Roman"/>
            <w:sz w:val="15"/>
            <w:szCs w:val="15"/>
            <w:u w:val="single" w:color="auto"/>
            <w:color w:val="0000EE"/>
          </w:rPr>
          <w:t>August 18, 2025 (incorporated by reference from Exhibit 99.1 of the Registrant's Form 6-K, furnished to the Commission on July 28, 2025).</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52640" cy="2343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52640"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5.1*</w:t>
        <w:tab/>
        <w:t>Consent of Zeifmans LLP.</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640" cy="1168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176" w:lineRule="exact"/>
        <w:rPr>
          <w:rFonts w:ascii="Times New Roman" w:cs="Times New Roman" w:eastAsia="Times New Roman" w:hAnsi="Times New Roman"/>
          <w:sz w:val="15"/>
          <w:szCs w:val="15"/>
          <w:u w:val="single" w:color="auto"/>
          <w:color w:val="0000EE"/>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6.1*</w:t>
        <w:tab/>
        <w:t>Powers of Attorney (contained on the signature page hereto).</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640" cy="1168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176" w:lineRule="exact"/>
        <w:rPr>
          <w:rFonts w:ascii="Times New Roman" w:cs="Times New Roman" w:eastAsia="Times New Roman" w:hAnsi="Times New Roman"/>
          <w:sz w:val="15"/>
          <w:szCs w:val="15"/>
          <w:u w:val="single" w:color="auto"/>
          <w:color w:val="0000EE"/>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7.1*</w:t>
        <w:tab/>
        <w:t>Form of Debt Indenture.</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640" cy="1168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176" w:lineRule="exact"/>
        <w:rPr>
          <w:rFonts w:ascii="Times New Roman" w:cs="Times New Roman" w:eastAsia="Times New Roman" w:hAnsi="Times New Roman"/>
          <w:sz w:val="15"/>
          <w:szCs w:val="15"/>
          <w:u w:val="single" w:color="auto"/>
          <w:color w:val="0000EE"/>
        </w:rPr>
      </w:pPr>
    </w:p>
    <w:p>
      <w:pPr>
        <w:ind w:left="24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107*</w:t>
        <w:tab/>
        <w:t>Filing Fee Table.</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640" cy="1168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145" w:lineRule="exact"/>
        <w:rPr>
          <w:rFonts w:ascii="Times New Roman" w:cs="Times New Roman" w:eastAsia="Times New Roman" w:hAnsi="Times New Roman"/>
          <w:sz w:val="15"/>
          <w:szCs w:val="15"/>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Undertaking</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Consent to Service of Process</w:t>
      </w:r>
    </w:p>
    <w:p>
      <w:pPr>
        <w:spacing w:after="0" w:line="16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written Appointment of Agent for Service of Process and Undertaking on Form F-X for the Registrant and its agent for service of process is being filed concurrently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232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7" w:name="page48"/>
    <w:bookmarkEnd w:id="47"/>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Any change to the name or address of the agent for service of process of the Registrant shall be communicated promptly to the Commission by amendment to Form F-X referencing the file number of this Registration Statement on Form F-10.</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F-10 and has duly caused this Registration Statement to be signed on its behalf by the undersigned, thereunto duly authorized, in the City of Toronto, Country of Canada on July 31, 2025.</w:t>
      </w:r>
    </w:p>
    <w:p>
      <w:pPr>
        <w:spacing w:after="0" w:line="1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CYBIN INC.</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u w:val="single" w:color="auto"/>
          <w:color w:val="auto"/>
        </w:rPr>
        <w:t>/s/ Greg Cavers</w:t>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Name: Greg Cavers</w:t>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232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53"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Douglas Drysdale and Greg Cavers or any of them,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registration statements filed pursuant to Rule 429 under the Securities Acts of 1933, as amended, and any and all additional registration statements (including amendments and post-effective amendments thereto) in connection with any increase in the amount of securities registered with the Securities and Exchange Commission,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w:t>
      </w:r>
    </w:p>
    <w:p>
      <w:pPr>
        <w:spacing w:after="0" w:line="130" w:lineRule="exact"/>
        <w:rPr>
          <w:sz w:val="20"/>
          <w:szCs w:val="20"/>
          <w:color w:val="auto"/>
        </w:rPr>
      </w:pPr>
    </w:p>
    <w:p>
      <w:pPr>
        <w:jc w:val="both"/>
        <w:ind w:left="20" w:right="20"/>
        <w:spacing w:after="0" w:line="278" w:lineRule="auto"/>
        <w:rPr>
          <w:sz w:val="20"/>
          <w:szCs w:val="20"/>
          <w:color w:val="auto"/>
        </w:rPr>
      </w:pPr>
      <w:r>
        <w:rPr>
          <w:rFonts w:ascii="Times New Roman" w:cs="Times New Roman" w:eastAsia="Times New Roman" w:hAnsi="Times New Roman"/>
          <w:sz w:val="18"/>
          <w:szCs w:val="18"/>
          <w:color w:val="auto"/>
        </w:rPr>
        <w:t>This Power of Attorney may be executed in multiple counterparts, each of which shall be deemed an original, but which taken together shall constitute one instrument.</w:t>
      </w:r>
    </w:p>
    <w:p>
      <w:pPr>
        <w:spacing w:after="0" w:line="85" w:lineRule="exact"/>
        <w:rPr>
          <w:sz w:val="20"/>
          <w:szCs w:val="20"/>
          <w:color w:val="auto"/>
        </w:rPr>
      </w:pPr>
    </w:p>
    <w:p>
      <w:pPr>
        <w:jc w:val="both"/>
        <w:ind w:left="20" w:right="2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4300" w:type="dxa"/>
            <w:vAlign w:val="bottom"/>
          </w:tcPr>
          <w:p>
            <w:pPr>
              <w:ind w:left="1740"/>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369"/>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Douglas Drysdale</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Chief Executive Officer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Douglas Drysdale</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Greg Cavers</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Chief Financial Officer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Greg Cavers</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Eric So</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 and Executive Chairman and President</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Eric So</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Eric Hoskins</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Eric Hoskins</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Grant Froese</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Grant Froese</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Mark Lawson</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Mark Lawson</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Theresa Firestone</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Theresa Firestone</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Paul Glavine</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Paul Glavine</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54"/>
        </w:trPr>
        <w:tc>
          <w:tcPr>
            <w:tcW w:w="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George Tziras</w:t>
            </w:r>
          </w:p>
        </w:tc>
        <w:tc>
          <w:tcPr>
            <w:tcW w:w="4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338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July 31, 2025</w:t>
            </w:r>
          </w:p>
        </w:tc>
      </w:tr>
      <w:tr>
        <w:trPr>
          <w:trHeight w:val="190"/>
        </w:trPr>
        <w:tc>
          <w:tcPr>
            <w:tcW w:w="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George Tziras</w:t>
            </w:r>
          </w:p>
        </w:tc>
        <w:tc>
          <w:tcPr>
            <w:tcW w:w="43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8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66"/>
        </w:trPr>
        <w:tc>
          <w:tcPr>
            <w:tcW w:w="20" w:type="dxa"/>
            <w:vAlign w:val="bottom"/>
            <w:shd w:val="clear" w:color="auto" w:fill="000000"/>
          </w:tcPr>
          <w:p>
            <w:pPr>
              <w:spacing w:after="0"/>
              <w:rPr>
                <w:sz w:val="5"/>
                <w:szCs w:val="5"/>
                <w:color w:val="auto"/>
              </w:rPr>
            </w:pPr>
          </w:p>
        </w:tc>
        <w:tc>
          <w:tcPr>
            <w:tcW w:w="360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338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114" w:right="2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15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as amended, the undersigned has signed this Registration Statement, in the capacity of the duly authorized representative of the Registrant in the United States, on July 31, 2025.</w:t>
      </w:r>
    </w:p>
    <w:p>
      <w:pPr>
        <w:spacing w:after="0" w:line="1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i w:val="1"/>
          <w:iCs w:val="1"/>
          <w:u w:val="single" w:color="auto"/>
          <w:color w:val="auto"/>
        </w:rPr>
        <w:t>/s/ Douglas Drysdale</w:t>
      </w:r>
    </w:p>
    <w:p>
      <w:pPr>
        <w:spacing w:after="0" w:line="30"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5"/>
          <w:szCs w:val="15"/>
          <w:color w:val="auto"/>
        </w:rPr>
        <w:t>Name:</w:t>
        <w:tab/>
        <w:t>Douglas Drysdale</w:t>
      </w:r>
    </w:p>
    <w:p>
      <w:pPr>
        <w:spacing w:after="0" w:line="12"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232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jc w:val="both"/>
        <w:ind w:left="20"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2325"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2325" cy="24765"/>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205740</wp:posOffset>
            </wp:positionV>
            <wp:extent cx="1170305" cy="3435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170305" cy="343535"/>
                    </a:xfrm>
                    <a:prstGeom prst="rect">
                      <a:avLst/>
                    </a:prstGeom>
                    <a:noFill/>
                  </pic:spPr>
                </pic:pic>
              </a:graphicData>
            </a:graphic>
          </wp:anchor>
        </w:drawing>
        <w:t>We consent to the incorporation by reference into the Registration Statement on Form F-10 (the "Form F-10") of Cybin Inc. (the "Company") being filed with the United States Securities and Exchange Commission, and any amendments thereto, of our report, dated June 30, 2025, with respect to the consolidated statements of financial position of the Company as of March 31, 2025 and 2024, and the consolidated statements of loss and comprehensive loss, changes in shareholders' equity and cash flows for the years then ended, and notes to the consolidated financial statements, including material accounting policy information.</w:t>
      </w:r>
    </w:p>
    <w:p>
      <w:pPr>
        <w:spacing w:after="0" w:line="108" w:lineRule="exact"/>
        <w:rPr>
          <w:sz w:val="20"/>
          <w:szCs w:val="20"/>
          <w:color w:val="auto"/>
        </w:rPr>
      </w:pPr>
    </w:p>
    <w:p>
      <w:pPr>
        <w:jc w:val="both"/>
        <w:ind w:left="20" w:right="40"/>
        <w:spacing w:after="0" w:line="278" w:lineRule="auto"/>
        <w:rPr>
          <w:sz w:val="20"/>
          <w:szCs w:val="20"/>
          <w:color w:val="auto"/>
        </w:rPr>
      </w:pPr>
      <w:r>
        <w:rPr>
          <w:rFonts w:ascii="Times New Roman" w:cs="Times New Roman" w:eastAsia="Times New Roman" w:hAnsi="Times New Roman"/>
          <w:sz w:val="18"/>
          <w:szCs w:val="18"/>
          <w:color w:val="auto"/>
        </w:rPr>
        <w:t>We also consent to the reference to us under the caption "Auditors, Transfer Agent and Registrar" in the short-form base shelf prospectus contained in the Form F-10.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2"/>
          </w:tcPr>
          <w:p>
            <w:pPr>
              <w:jc w:val="center"/>
              <w:ind w:right="2320"/>
              <w:spacing w:after="0"/>
              <w:rPr>
                <w:sz w:val="20"/>
                <w:szCs w:val="20"/>
                <w:color w:val="auto"/>
              </w:rPr>
            </w:pPr>
            <w:r>
              <w:rPr>
                <w:rFonts w:ascii="Times New Roman" w:cs="Times New Roman" w:eastAsia="Times New Roman" w:hAnsi="Times New Roman"/>
                <w:sz w:val="15"/>
                <w:szCs w:val="15"/>
                <w:i w:val="1"/>
                <w:iCs w:val="1"/>
                <w:color w:val="auto"/>
              </w:rPr>
              <w:t>/s/ Zeifmans LLP</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Toronto, Canada</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5"/>
                <w:szCs w:val="15"/>
                <w:color w:val="auto"/>
              </w:rPr>
              <w:t>Chartered Professional Accountants</w:t>
            </w:r>
          </w:p>
        </w:tc>
        <w:tc>
          <w:tcPr>
            <w:tcW w:w="0" w:type="dxa"/>
            <w:vAlign w:val="bottom"/>
          </w:tcPr>
          <w:p>
            <w:pPr>
              <w:spacing w:after="0"/>
              <w:rPr>
                <w:sz w:val="1"/>
                <w:szCs w:val="1"/>
                <w:color w:val="auto"/>
              </w:rPr>
            </w:pPr>
          </w:p>
        </w:tc>
      </w:tr>
      <w:tr>
        <w:trPr>
          <w:trHeight w:val="199"/>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31, 2025</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5"/>
                <w:szCs w:val="15"/>
                <w:color w:val="auto"/>
              </w:rPr>
              <w:t>Licensed Public Accountants</w:t>
            </w:r>
          </w:p>
        </w:tc>
        <w:tc>
          <w:tcPr>
            <w:tcW w:w="0" w:type="dxa"/>
            <w:vAlign w:val="bottom"/>
          </w:tcPr>
          <w:p>
            <w:pPr>
              <w:spacing w:after="0"/>
              <w:rPr>
                <w:sz w:val="1"/>
                <w:szCs w:val="1"/>
                <w:color w:val="auto"/>
              </w:rPr>
            </w:pPr>
          </w:p>
        </w:tc>
      </w:tr>
      <w:tr>
        <w:trPr>
          <w:trHeight w:val="20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6A6A6"/>
              </w:rPr>
              <w:t>201 Bridgeland Avenue | Toronto</w:t>
            </w:r>
          </w:p>
        </w:tc>
        <w:tc>
          <w:tcPr>
            <w:tcW w:w="20" w:type="dxa"/>
            <w:vAlign w:val="bottom"/>
          </w:tcPr>
          <w:p>
            <w:pPr>
              <w:spacing w:after="0"/>
              <w:rPr>
                <w:sz w:val="18"/>
                <w:szCs w:val="18"/>
                <w:color w:val="auto"/>
              </w:rPr>
            </w:pPr>
          </w:p>
        </w:tc>
        <w:tc>
          <w:tcPr>
            <w:tcW w:w="560" w:type="dxa"/>
            <w:vAlign w:val="bottom"/>
            <w:vMerge w:val="restart"/>
          </w:tcPr>
          <w:p>
            <w:pPr>
              <w:spacing w:after="0"/>
              <w:rPr>
                <w:sz w:val="18"/>
                <w:szCs w:val="18"/>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8"/>
              </w:rPr>
              <w:t>zeifmans.ca</w:t>
            </w:r>
          </w:p>
        </w:tc>
        <w:tc>
          <w:tcPr>
            <w:tcW w:w="20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040" w:type="dxa"/>
            <w:vAlign w:val="bottom"/>
            <w:vMerge w:val="restart"/>
          </w:tcPr>
          <w:p>
            <w:pPr>
              <w:spacing w:after="0"/>
              <w:rPr>
                <w:sz w:val="18"/>
                <w:szCs w:val="18"/>
                <w:color w:val="auto"/>
              </w:rPr>
            </w:pPr>
          </w:p>
        </w:tc>
        <w:tc>
          <w:tcPr>
            <w:tcW w:w="23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520" w:type="dxa"/>
            <w:vAlign w:val="bottom"/>
            <w:vMerge w:val="continue"/>
          </w:tcPr>
          <w:p>
            <w:pPr>
              <w:spacing w:after="0"/>
              <w:rPr>
                <w:sz w:val="14"/>
                <w:szCs w:val="14"/>
                <w:color w:val="auto"/>
              </w:rPr>
            </w:pPr>
          </w:p>
        </w:tc>
        <w:tc>
          <w:tcPr>
            <w:tcW w:w="20" w:type="dxa"/>
            <w:vAlign w:val="bottom"/>
            <w:tcBorders>
              <w:bottom w:val="single" w:sz="8" w:color="BEBEBE"/>
            </w:tcBorders>
            <w:shd w:val="clear" w:color="auto" w:fill="BEBEB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tcBorders>
              <w:bottom w:val="single" w:sz="8" w:color="0000FF"/>
            </w:tcBorders>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0" w:type="dxa"/>
            <w:vAlign w:val="bottom"/>
            <w:tcBorders>
              <w:bottom w:val="single" w:sz="8" w:color="BEBEBE"/>
            </w:tcBorders>
            <w:shd w:val="clear" w:color="auto" w:fill="BEBEBE"/>
          </w:tcPr>
          <w:p>
            <w:pPr>
              <w:spacing w:after="0"/>
              <w:rPr>
                <w:sz w:val="14"/>
                <w:szCs w:val="14"/>
                <w:color w:val="auto"/>
              </w:rPr>
            </w:pPr>
          </w:p>
        </w:tc>
        <w:tc>
          <w:tcPr>
            <w:tcW w:w="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6A6A6"/>
              </w:rPr>
              <w:t>Ontario | M6A 1Y7 | Canada</w:t>
            </w:r>
          </w:p>
        </w:tc>
        <w:tc>
          <w:tcPr>
            <w:tcW w:w="20" w:type="dxa"/>
            <w:vAlign w:val="bottom"/>
            <w:shd w:val="clear" w:color="auto" w:fill="BEBEBE"/>
          </w:tcPr>
          <w:p>
            <w:pPr>
              <w:spacing w:after="0"/>
              <w:rPr>
                <w:sz w:val="18"/>
                <w:szCs w:val="18"/>
                <w:color w:val="auto"/>
              </w:rPr>
            </w:pPr>
          </w:p>
        </w:tc>
        <w:tc>
          <w:tcPr>
            <w:tcW w:w="5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6A6A6"/>
              </w:rPr>
              <w:t>T: 416.256.4000</w:t>
            </w:r>
          </w:p>
        </w:tc>
        <w:tc>
          <w:tcPr>
            <w:tcW w:w="20" w:type="dxa"/>
            <w:vAlign w:val="bottom"/>
            <w:shd w:val="clear" w:color="auto" w:fill="BEBEBE"/>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45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6590030</wp:posOffset>
            </wp:positionH>
            <wp:positionV relativeFrom="paragraph">
              <wp:posOffset>-477520</wp:posOffset>
            </wp:positionV>
            <wp:extent cx="570230" cy="248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570230" cy="248920"/>
                    </a:xfrm>
                    <a:prstGeom prst="rect">
                      <a:avLst/>
                    </a:prstGeom>
                    <a:noFill/>
                  </pic:spPr>
                </pic:pic>
              </a:graphicData>
            </a:graphic>
          </wp:anchor>
        </w:drawing>
      </w:r>
    </w:p>
    <w:p>
      <w:pPr>
        <w:sectPr>
          <w:pgSz w:w="11900" w:h="16838" w:orient="portrait"/>
          <w:cols w:equalWidth="0" w:num="1">
            <w:col w:w="11300"/>
          </w:cols>
          <w:pgMar w:left="300" w:top="1003" w:right="299" w:bottom="1440" w:gutter="0" w:footer="0" w:header="0"/>
        </w:sectPr>
      </w:pPr>
    </w:p>
    <w:bookmarkStart w:id="51" w:name="page52"/>
    <w:bookmarkEnd w:id="51"/>
    <w:p>
      <w:pPr>
        <w:ind w:left="1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232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2325" cy="24765"/>
                    </a:xfrm>
                    <a:prstGeom prst="rect">
                      <a:avLst/>
                    </a:prstGeom>
                    <a:noFill/>
                  </pic:spPr>
                </pic:pic>
              </a:graphicData>
            </a:graphic>
          </wp:anchor>
        </w:drawing>
        <w:t>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as Issuer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8" w:lineRule="exact"/>
        <w:rPr>
          <w:sz w:val="20"/>
          <w:szCs w:val="20"/>
          <w:color w:val="auto"/>
        </w:rPr>
      </w:pPr>
    </w:p>
    <w:p>
      <w:pPr>
        <w:ind w:left="4680" w:hanging="422"/>
        <w:spacing w:after="0"/>
        <w:tabs>
          <w:tab w:leader="none" w:pos="4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U.S. Trustee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8" w:lineRule="exact"/>
        <w:rPr>
          <w:sz w:val="20"/>
          <w:szCs w:val="20"/>
          <w:color w:val="auto"/>
        </w:rPr>
      </w:pPr>
    </w:p>
    <w:p>
      <w:pPr>
        <w:ind w:left="4660" w:hanging="425"/>
        <w:spacing w:after="0"/>
        <w:tabs>
          <w:tab w:leader="none" w:pos="4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Canadian Trustee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08" w:lineRule="exact"/>
        <w:rPr>
          <w:sz w:val="20"/>
          <w:szCs w:val="20"/>
          <w:color w:val="auto"/>
        </w:rPr>
      </w:pPr>
    </w:p>
    <w:p>
      <w:pPr>
        <w:jc w:val="cente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Dated as of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343535</wp:posOffset>
            </wp:positionV>
            <wp:extent cx="717232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Borders>
              <w:right w:val="single" w:sz="8" w:color="EEEEEE"/>
            </w:tcBorders>
            <w:gridSpan w:val="22"/>
            <w:shd w:val="clear" w:color="auto" w:fill="EEEEEE"/>
          </w:tcPr>
          <w:p>
            <w:pPr>
              <w:spacing w:after="0"/>
              <w:rPr>
                <w:sz w:val="20"/>
                <w:szCs w:val="20"/>
                <w:color w:val="auto"/>
              </w:rPr>
            </w:pPr>
            <w:r>
              <w:rPr>
                <w:rFonts w:ascii="Times New Roman" w:cs="Times New Roman" w:eastAsia="Times New Roman" w:hAnsi="Times New Roman"/>
                <w:sz w:val="15"/>
                <w:szCs w:val="15"/>
                <w:b w:val="1"/>
                <w:bCs w:val="1"/>
                <w:color w:val="0000EE"/>
              </w:rPr>
              <w:t>ARTICLE ONE DEFINITIONS AND OTHER PROVISIONS OF GENERAL APPLICATION</w:t>
            </w:r>
          </w:p>
        </w:tc>
        <w:tc>
          <w:tcPr>
            <w:tcW w:w="4880" w:type="dxa"/>
            <w:vAlign w:val="bottom"/>
            <w:gridSpan w:val="3"/>
            <w:shd w:val="clear" w:color="auto" w:fill="EEEEEE"/>
          </w:tcPr>
          <w:p>
            <w:pPr>
              <w:spacing w:after="0"/>
              <w:rPr>
                <w:sz w:val="15"/>
                <w:szCs w:val="15"/>
                <w:color w:val="auto"/>
              </w:rPr>
            </w:pP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1</w:t>
            </w:r>
          </w:p>
        </w:tc>
      </w:tr>
      <w:tr>
        <w:trPr>
          <w:trHeight w:val="35"/>
        </w:trPr>
        <w:tc>
          <w:tcPr>
            <w:tcW w:w="26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60" w:type="dxa"/>
            <w:vAlign w:val="bottom"/>
            <w:tcBorders>
              <w:right w:val="single" w:sz="8" w:color="0000EE"/>
            </w:tcBorders>
            <w:shd w:val="clear" w:color="auto" w:fill="0000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1.01</w:t>
            </w:r>
          </w:p>
        </w:tc>
        <w:tc>
          <w:tcPr>
            <w:tcW w:w="4260" w:type="dxa"/>
            <w:vAlign w:val="bottom"/>
            <w:gridSpan w:val="19"/>
          </w:tcPr>
          <w:p>
            <w:pPr>
              <w:spacing w:after="0" w:line="150" w:lineRule="exact"/>
              <w:rPr>
                <w:sz w:val="20"/>
                <w:szCs w:val="20"/>
                <w:color w:val="auto"/>
              </w:rPr>
            </w:pPr>
            <w:r>
              <w:rPr>
                <w:rFonts w:ascii="Times New Roman" w:cs="Times New Roman" w:eastAsia="Times New Roman" w:hAnsi="Times New Roman"/>
                <w:sz w:val="15"/>
                <w:szCs w:val="15"/>
                <w:color w:val="0000EE"/>
              </w:rPr>
              <w:t>Definitions</w:t>
            </w:r>
          </w:p>
        </w:tc>
        <w:tc>
          <w:tcPr>
            <w:tcW w:w="4880" w:type="dxa"/>
            <w:vAlign w:val="bottom"/>
            <w:gridSpan w:val="3"/>
          </w:tcPr>
          <w:p>
            <w:pPr>
              <w:spacing w:after="0"/>
              <w:rPr>
                <w:sz w:val="13"/>
                <w:szCs w:val="13"/>
                <w:color w:val="auto"/>
              </w:rPr>
            </w:pP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1</w:t>
            </w:r>
          </w:p>
        </w:tc>
      </w:tr>
      <w:tr>
        <w:trPr>
          <w:trHeight w:val="20"/>
        </w:trPr>
        <w:tc>
          <w:tcPr>
            <w:tcW w:w="2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4"/>
        </w:trPr>
        <w:tc>
          <w:tcPr>
            <w:tcW w:w="260" w:type="dxa"/>
            <w:vAlign w:val="bottom"/>
            <w:shd w:val="clear" w:color="auto" w:fill="EEEEEE"/>
          </w:tcPr>
          <w:p>
            <w:pPr>
              <w:spacing w:after="0"/>
              <w:rPr>
                <w:sz w:val="14"/>
                <w:szCs w:val="14"/>
                <w:color w:val="auto"/>
              </w:rPr>
            </w:pPr>
          </w:p>
        </w:tc>
        <w:tc>
          <w:tcPr>
            <w:tcW w:w="1700" w:type="dxa"/>
            <w:vAlign w:val="bottom"/>
            <w:gridSpan w:val="2"/>
            <w:shd w:val="clear" w:color="auto" w:fill="EEEEEE"/>
          </w:tcPr>
          <w:p>
            <w:pPr>
              <w:spacing w:after="0" w:line="164" w:lineRule="exact"/>
              <w:rPr>
                <w:sz w:val="20"/>
                <w:szCs w:val="20"/>
                <w:color w:val="auto"/>
              </w:rPr>
            </w:pPr>
            <w:r>
              <w:rPr>
                <w:rFonts w:ascii="Times New Roman" w:cs="Times New Roman" w:eastAsia="Times New Roman" w:hAnsi="Times New Roman"/>
                <w:sz w:val="15"/>
                <w:szCs w:val="15"/>
                <w:color w:val="0000EE"/>
              </w:rPr>
              <w:t>SECTION 1.02</w:t>
            </w:r>
          </w:p>
        </w:tc>
        <w:tc>
          <w:tcPr>
            <w:tcW w:w="9140" w:type="dxa"/>
            <w:vAlign w:val="bottom"/>
            <w:gridSpan w:val="22"/>
            <w:shd w:val="clear" w:color="auto" w:fill="EEEEEE"/>
          </w:tcPr>
          <w:p>
            <w:pPr>
              <w:spacing w:after="0" w:line="164" w:lineRule="exact"/>
              <w:rPr>
                <w:sz w:val="20"/>
                <w:szCs w:val="20"/>
                <w:color w:val="auto"/>
              </w:rPr>
            </w:pPr>
            <w:r>
              <w:rPr>
                <w:rFonts w:ascii="Times New Roman" w:cs="Times New Roman" w:eastAsia="Times New Roman" w:hAnsi="Times New Roman"/>
                <w:sz w:val="15"/>
                <w:szCs w:val="15"/>
                <w:color w:val="0000EE"/>
              </w:rPr>
              <w:t>Rules of Construction</w:t>
            </w:r>
          </w:p>
        </w:tc>
        <w:tc>
          <w:tcPr>
            <w:tcW w:w="160" w:type="dxa"/>
            <w:vAlign w:val="bottom"/>
            <w:gridSpan w:val="2"/>
            <w:shd w:val="clear" w:color="auto" w:fill="EEEEEE"/>
          </w:tcPr>
          <w:p>
            <w:pPr>
              <w:jc w:val="right"/>
              <w:spacing w:after="0" w:line="164" w:lineRule="exact"/>
              <w:rPr>
                <w:sz w:val="20"/>
                <w:szCs w:val="20"/>
                <w:color w:val="auto"/>
              </w:rPr>
            </w:pPr>
            <w:r>
              <w:rPr>
                <w:rFonts w:ascii="Times New Roman" w:cs="Times New Roman" w:eastAsia="Times New Roman" w:hAnsi="Times New Roman"/>
                <w:sz w:val="15"/>
                <w:szCs w:val="15"/>
                <w:color w:val="0000EE"/>
              </w:rPr>
              <w:t>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1.03</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Compliance Certificates and Opinions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1.04</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Form of Documents Delivered to Trustees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1.05</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Acts of Holders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1.06</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Notices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EEEEEE"/>
            </w:tcBorders>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1.07</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Notice to Holders; Waiver</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1.08</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Effect of Headings and Table of Contents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1.09</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Successors and Assigns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Severability Clause</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EEEEEE"/>
            </w:tcBorders>
            <w:shd w:val="clear" w:color="auto" w:fill="0000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96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5"/>
                <w:szCs w:val="15"/>
                <w:color w:val="0000EE"/>
              </w:rPr>
              <w:t>SECTION 1.11</w:t>
            </w:r>
          </w:p>
        </w:tc>
        <w:tc>
          <w:tcPr>
            <w:tcW w:w="740" w:type="dxa"/>
            <w:vAlign w:val="bottom"/>
          </w:tcPr>
          <w:p>
            <w:pPr>
              <w:spacing w:after="0"/>
              <w:rPr>
                <w:sz w:val="13"/>
                <w:szCs w:val="13"/>
                <w:color w:val="auto"/>
              </w:rPr>
            </w:pPr>
          </w:p>
        </w:tc>
        <w:tc>
          <w:tcPr>
            <w:tcW w:w="124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5"/>
                <w:szCs w:val="15"/>
                <w:color w:val="0000EE"/>
                <w:w w:val="94"/>
              </w:rPr>
              <w:t>Benefits of Indenture</w:t>
            </w:r>
          </w:p>
        </w:tc>
        <w:tc>
          <w:tcPr>
            <w:tcW w:w="7900" w:type="dxa"/>
            <w:vAlign w:val="bottom"/>
            <w:gridSpan w:val="16"/>
          </w:tcPr>
          <w:p>
            <w:pPr>
              <w:spacing w:after="0"/>
              <w:rPr>
                <w:sz w:val="13"/>
                <w:szCs w:val="13"/>
                <w:color w:val="auto"/>
              </w:rPr>
            </w:pPr>
          </w:p>
        </w:tc>
        <w:tc>
          <w:tcPr>
            <w:tcW w:w="160" w:type="dxa"/>
            <w:vAlign w:val="bottom"/>
            <w:tcBorders>
              <w:bottom w:val="single" w:sz="8" w:color="0000EE"/>
            </w:tcBorders>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13</w:t>
            </w: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1.12</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Governing Law</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1.13</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Legal Holidays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1.14</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Agent for Service; Submission to Jurisdiction; Waiver of Immunities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14</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60" w:type="dxa"/>
            <w:vAlign w:val="bottom"/>
            <w:tcBorders>
              <w:right w:val="single" w:sz="8" w:color="EEEEEE"/>
            </w:tcBorders>
            <w:shd w:val="clear" w:color="auto" w:fill="0000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1.15</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Conversion of Judgment Currency</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14</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1.16</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Currency Equivalent</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15</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1.17</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Conflict with Trust Indenture Legislation</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1.18</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Incorporators, Shareholders, Officers and Directors of the Company Exempt from Individual Liability</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60" w:type="dxa"/>
            <w:vAlign w:val="bottom"/>
            <w:tcBorders>
              <w:right w:val="single" w:sz="8" w:color="0000EE"/>
            </w:tcBorders>
            <w:shd w:val="clear" w:color="auto" w:fill="0000EE"/>
          </w:tcPr>
          <w:p>
            <w:pPr>
              <w:spacing w:after="0"/>
              <w:rPr>
                <w:sz w:val="3"/>
                <w:szCs w:val="3"/>
                <w:color w:val="auto"/>
              </w:rPr>
            </w:pPr>
          </w:p>
        </w:tc>
        <w:tc>
          <w:tcPr>
            <w:tcW w:w="15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1.19</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Waiver of Jury Trial</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1.20</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Counterparts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1.21</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Force Majeure</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16</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460" w:type="dxa"/>
            <w:vAlign w:val="bottom"/>
            <w:tcBorders>
              <w:top w:val="single" w:sz="8" w:color="0000EE"/>
            </w:tcBorders>
            <w:shd w:val="clear" w:color="auto" w:fill="EEEEEE"/>
          </w:tcPr>
          <w:p>
            <w:pPr>
              <w:spacing w:after="0"/>
              <w:rPr>
                <w:sz w:val="16"/>
                <w:szCs w:val="16"/>
                <w:color w:val="auto"/>
              </w:rPr>
            </w:pPr>
          </w:p>
        </w:tc>
        <w:tc>
          <w:tcPr>
            <w:tcW w:w="24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left w:val="single" w:sz="8" w:color="EEEEEE"/>
              <w:right w:val="single" w:sz="8" w:color="EEEEEE"/>
            </w:tcBorders>
            <w:shd w:val="clear" w:color="auto" w:fill="EEEEEE"/>
          </w:tcPr>
          <w:p>
            <w:pPr>
              <w:spacing w:after="0"/>
              <w:rPr>
                <w:sz w:val="16"/>
                <w:szCs w:val="16"/>
                <w:color w:val="auto"/>
              </w:rPr>
            </w:pPr>
          </w:p>
        </w:tc>
        <w:tc>
          <w:tcPr>
            <w:tcW w:w="16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right w:val="single" w:sz="8" w:color="EEEEEE"/>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80" w:type="dxa"/>
            <w:vAlign w:val="bottom"/>
            <w:tcBorders>
              <w:left w:val="single" w:sz="8" w:color="EEEEEE"/>
            </w:tcBorders>
            <w:shd w:val="clear" w:color="auto" w:fill="EEEEEE"/>
          </w:tcPr>
          <w:p>
            <w:pPr>
              <w:spacing w:after="0"/>
              <w:rPr>
                <w:sz w:val="16"/>
                <w:szCs w:val="16"/>
                <w:color w:val="auto"/>
              </w:rPr>
            </w:pPr>
          </w:p>
        </w:tc>
        <w:tc>
          <w:tcPr>
            <w:tcW w:w="80" w:type="dxa"/>
            <w:vAlign w:val="bottom"/>
            <w:tcBorders>
              <w:left w:val="single" w:sz="8" w:color="EEEEEE"/>
            </w:tcBorders>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60" w:type="dxa"/>
            <w:vAlign w:val="bottom"/>
            <w:tcBorders>
              <w:right w:val="single" w:sz="8" w:color="EEEEEE"/>
            </w:tcBorders>
            <w:shd w:val="clear" w:color="auto" w:fill="EEEEEE"/>
          </w:tcPr>
          <w:p>
            <w:pPr>
              <w:spacing w:after="0"/>
              <w:rPr>
                <w:sz w:val="16"/>
                <w:szCs w:val="16"/>
                <w:color w:val="auto"/>
              </w:rPr>
            </w:pPr>
          </w:p>
        </w:tc>
        <w:tc>
          <w:tcPr>
            <w:tcW w:w="156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880" w:type="dxa"/>
            <w:vAlign w:val="bottom"/>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r>
      <w:tr>
        <w:trPr>
          <w:trHeight w:val="150"/>
        </w:trPr>
        <w:tc>
          <w:tcPr>
            <w:tcW w:w="11100" w:type="dxa"/>
            <w:vAlign w:val="bottom"/>
            <w:gridSpan w:val="25"/>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TWO SECURITIES FORMS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16</w:t>
            </w:r>
          </w:p>
        </w:tc>
      </w:tr>
      <w:tr>
        <w:trPr>
          <w:trHeight w:val="27"/>
        </w:trPr>
        <w:tc>
          <w:tcPr>
            <w:tcW w:w="2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2.01</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Forms Generally</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EEEEEE"/>
            </w:tcBorders>
            <w:shd w:val="clear" w:color="auto" w:fill="0000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2.02</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Form of Trustee's Certificate of Authentication</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17</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2.03</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Securities Issuable in Global Form</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18</w:t>
            </w:r>
          </w:p>
        </w:tc>
      </w:tr>
      <w:tr>
        <w:trPr>
          <w:trHeight w:val="184"/>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060" w:type="dxa"/>
            <w:vAlign w:val="bottom"/>
            <w:tcBorders>
              <w:top w:val="single" w:sz="8" w:color="EEEEEE"/>
            </w:tcBorders>
          </w:tcPr>
          <w:p>
            <w:pPr>
              <w:spacing w:after="0"/>
              <w:rPr>
                <w:sz w:val="16"/>
                <w:szCs w:val="16"/>
                <w:color w:val="auto"/>
              </w:rPr>
            </w:pPr>
          </w:p>
        </w:tc>
        <w:tc>
          <w:tcPr>
            <w:tcW w:w="1560" w:type="dxa"/>
            <w:vAlign w:val="bottom"/>
            <w:tcBorders>
              <w:top w:val="single" w:sz="8" w:color="EEEEEE"/>
            </w:tcBorders>
          </w:tcPr>
          <w:p>
            <w:pPr>
              <w:spacing w:after="0"/>
              <w:rPr>
                <w:sz w:val="16"/>
                <w:szCs w:val="16"/>
                <w:color w:val="auto"/>
              </w:rPr>
            </w:pPr>
          </w:p>
        </w:tc>
        <w:tc>
          <w:tcPr>
            <w:tcW w:w="440" w:type="dxa"/>
            <w:vAlign w:val="bottom"/>
            <w:tcBorders>
              <w:top w:val="single" w:sz="8" w:color="EEEEEE"/>
            </w:tcBorders>
          </w:tcPr>
          <w:p>
            <w:pPr>
              <w:spacing w:after="0"/>
              <w:rPr>
                <w:sz w:val="16"/>
                <w:szCs w:val="16"/>
                <w:color w:val="auto"/>
              </w:rPr>
            </w:pPr>
          </w:p>
        </w:tc>
        <w:tc>
          <w:tcPr>
            <w:tcW w:w="28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164"/>
        </w:trPr>
        <w:tc>
          <w:tcPr>
            <w:tcW w:w="2660" w:type="dxa"/>
            <w:vAlign w:val="bottom"/>
            <w:tcBorders>
              <w:bottom w:val="single" w:sz="8" w:color="0000EE"/>
              <w:right w:val="single" w:sz="8" w:color="EEEEEE"/>
            </w:tcBorders>
            <w:gridSpan w:val="5"/>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THREE THE SECURITIES</w:t>
            </w:r>
          </w:p>
        </w:tc>
        <w:tc>
          <w:tcPr>
            <w:tcW w:w="8440" w:type="dxa"/>
            <w:vAlign w:val="bottom"/>
            <w:tcBorders>
              <w:bottom w:val="single" w:sz="8" w:color="EEEEEE"/>
            </w:tcBorders>
            <w:gridSpan w:val="20"/>
            <w:shd w:val="clear" w:color="auto" w:fill="EEEEEE"/>
          </w:tcPr>
          <w:p>
            <w:pPr>
              <w:spacing w:after="0"/>
              <w:rPr>
                <w:sz w:val="14"/>
                <w:szCs w:val="14"/>
                <w:color w:val="auto"/>
              </w:rPr>
            </w:pPr>
          </w:p>
        </w:tc>
        <w:tc>
          <w:tcPr>
            <w:tcW w:w="160" w:type="dxa"/>
            <w:vAlign w:val="bottom"/>
            <w:tcBorders>
              <w:bottom w:val="single" w:sz="8" w:color="0000EE"/>
            </w:tcBorders>
            <w:gridSpan w:val="2"/>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18</w:t>
            </w: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3.01</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Issuable in Series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3.02</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Denominations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21</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3.03</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Execution, Authentication, Delivery and Dating</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22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3.04</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Temporary Securities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23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EEEE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3.05</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Registration, Registration of Transfer and Exchange</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25</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3.06</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Mutilated, Destroyed, Lost and Stolen Securities</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27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3.07</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Payment of Principal, Premium and Interest; Interest Rights Preserved; Optional Interest Reset</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28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60" w:type="dxa"/>
            <w:vAlign w:val="bottom"/>
            <w:tcBorders>
              <w:right w:val="single" w:sz="8" w:color="0000EE"/>
            </w:tcBorders>
            <w:shd w:val="clear" w:color="auto" w:fill="0000EE"/>
          </w:tcPr>
          <w:p>
            <w:pPr>
              <w:spacing w:after="0"/>
              <w:rPr>
                <w:sz w:val="2"/>
                <w:szCs w:val="2"/>
                <w:color w:val="auto"/>
              </w:rPr>
            </w:pPr>
          </w:p>
        </w:tc>
        <w:tc>
          <w:tcPr>
            <w:tcW w:w="156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3.08</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Optional Extension of Stated Maturity</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30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3.09</w:t>
            </w: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Persons Deemed Owners</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3.10</w:t>
            </w: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Cancellation</w:t>
            </w:r>
          </w:p>
        </w:tc>
        <w:tc>
          <w:tcPr>
            <w:tcW w:w="16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31</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EEEEEE"/>
            </w:tcBorders>
            <w:shd w:val="clear" w:color="auto" w:fill="0000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6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28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960" w:type="dxa"/>
            <w:vAlign w:val="bottom"/>
          </w:tcPr>
          <w:p>
            <w:pPr>
              <w:spacing w:after="0" w:line="150" w:lineRule="exact"/>
              <w:rPr>
                <w:sz w:val="20"/>
                <w:szCs w:val="20"/>
                <w:color w:val="auto"/>
              </w:rPr>
            </w:pPr>
            <w:r>
              <w:rPr>
                <w:rFonts w:ascii="Times New Roman" w:cs="Times New Roman" w:eastAsia="Times New Roman" w:hAnsi="Times New Roman"/>
                <w:sz w:val="15"/>
                <w:szCs w:val="15"/>
                <w:color w:val="0000EE"/>
              </w:rPr>
              <w:t>SECTION 3.11</w:t>
            </w:r>
          </w:p>
        </w:tc>
        <w:tc>
          <w:tcPr>
            <w:tcW w:w="74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Computation of Interest</w:t>
            </w:r>
          </w:p>
        </w:tc>
        <w:tc>
          <w:tcPr>
            <w:tcW w:w="1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32</w:t>
            </w:r>
          </w:p>
        </w:tc>
      </w:tr>
      <w:tr>
        <w:trPr>
          <w:trHeight w:val="20"/>
        </w:trPr>
        <w:tc>
          <w:tcPr>
            <w:tcW w:w="2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260" w:type="dxa"/>
            <w:vAlign w:val="bottom"/>
            <w:shd w:val="clear" w:color="auto" w:fill="EEEEEE"/>
          </w:tcPr>
          <w:p>
            <w:pPr>
              <w:spacing w:after="0"/>
              <w:rPr>
                <w:sz w:val="15"/>
                <w:szCs w:val="15"/>
                <w:color w:val="auto"/>
              </w:rPr>
            </w:pPr>
          </w:p>
        </w:tc>
        <w:tc>
          <w:tcPr>
            <w:tcW w:w="1700" w:type="dxa"/>
            <w:vAlign w:val="bottom"/>
            <w:tcBorders>
              <w:right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5"/>
                <w:szCs w:val="15"/>
                <w:color w:val="0000EE"/>
              </w:rPr>
              <w:t>SECTION 3.12</w:t>
            </w:r>
          </w:p>
        </w:tc>
        <w:tc>
          <w:tcPr>
            <w:tcW w:w="9140" w:type="dxa"/>
            <w:vAlign w:val="bottom"/>
            <w:gridSpan w:val="26"/>
            <w:shd w:val="clear" w:color="auto" w:fill="EEEEEE"/>
          </w:tcPr>
          <w:p>
            <w:pPr>
              <w:spacing w:after="0"/>
              <w:rPr>
                <w:sz w:val="20"/>
                <w:szCs w:val="20"/>
                <w:color w:val="auto"/>
              </w:rPr>
            </w:pPr>
            <w:r>
              <w:rPr>
                <w:rFonts w:ascii="Times New Roman" w:cs="Times New Roman" w:eastAsia="Times New Roman" w:hAnsi="Times New Roman"/>
                <w:sz w:val="15"/>
                <w:szCs w:val="15"/>
                <w:color w:val="0000EE"/>
              </w:rPr>
              <w:t>Currency and Manner of Payments in Respect of Securities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32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3.13</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Appointment and Resignation of Successor Exchange Rate Agent</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35</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740" w:type="dxa"/>
            <w:vAlign w:val="bottom"/>
            <w:tcBorders>
              <w:right w:val="single" w:sz="8" w:color="EEEEEE"/>
            </w:tcBorders>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640" w:type="dxa"/>
            <w:vAlign w:val="bottom"/>
            <w:tcBorders>
              <w:top w:val="single" w:sz="8" w:color="0000EE"/>
            </w:tcBorders>
            <w:shd w:val="clear" w:color="auto" w:fill="EEEEEE"/>
          </w:tcPr>
          <w:p>
            <w:pPr>
              <w:spacing w:after="0"/>
              <w:rPr>
                <w:sz w:val="16"/>
                <w:szCs w:val="16"/>
                <w:color w:val="auto"/>
              </w:rPr>
            </w:pPr>
          </w:p>
        </w:tc>
        <w:tc>
          <w:tcPr>
            <w:tcW w:w="28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top w:val="single" w:sz="8" w:color="0000EE"/>
              <w:lef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40" w:type="dxa"/>
            <w:vAlign w:val="bottom"/>
            <w:tcBorders>
              <w:top w:val="single" w:sz="8" w:color="0000EE"/>
              <w:right w:val="single" w:sz="8" w:color="EEEE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18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120" w:type="dxa"/>
            <w:vAlign w:val="bottom"/>
            <w:tcBorders>
              <w:top w:val="single" w:sz="8" w:color="0000EE"/>
              <w:left w:val="single" w:sz="8" w:color="EEEE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14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320" w:type="dxa"/>
            <w:vAlign w:val="bottom"/>
            <w:tcBorders>
              <w:top w:val="single" w:sz="8" w:color="0000EE"/>
              <w:right w:val="single" w:sz="8" w:color="EEEEEE"/>
            </w:tcBorders>
            <w:shd w:val="clear" w:color="auto" w:fill="EEEEEE"/>
          </w:tcPr>
          <w:p>
            <w:pPr>
              <w:spacing w:after="0"/>
              <w:rPr>
                <w:sz w:val="16"/>
                <w:szCs w:val="16"/>
                <w:color w:val="auto"/>
              </w:rPr>
            </w:pPr>
          </w:p>
        </w:tc>
        <w:tc>
          <w:tcPr>
            <w:tcW w:w="360" w:type="dxa"/>
            <w:vAlign w:val="bottom"/>
            <w:tcBorders>
              <w:top w:val="single" w:sz="8" w:color="0000EE"/>
            </w:tcBorders>
            <w:shd w:val="clear" w:color="auto" w:fill="EEEEEE"/>
          </w:tcPr>
          <w:p>
            <w:pPr>
              <w:spacing w:after="0"/>
              <w:rPr>
                <w:sz w:val="16"/>
                <w:szCs w:val="16"/>
                <w:color w:val="auto"/>
              </w:rPr>
            </w:pPr>
          </w:p>
        </w:tc>
        <w:tc>
          <w:tcPr>
            <w:tcW w:w="200" w:type="dxa"/>
            <w:vAlign w:val="bottom"/>
            <w:tcBorders>
              <w:top w:val="single" w:sz="8" w:color="0000EE"/>
              <w:lef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top w:val="single" w:sz="8" w:color="0000EE"/>
              <w:left w:val="single" w:sz="8" w:color="EEEEEE"/>
            </w:tcBorders>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450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0"/>
        </w:trPr>
        <w:tc>
          <w:tcPr>
            <w:tcW w:w="11100" w:type="dxa"/>
            <w:vAlign w:val="bottom"/>
            <w:gridSpan w:val="29"/>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FOUR SATISFACTION AND DISCHARGE</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35</w:t>
            </w:r>
          </w:p>
        </w:tc>
      </w:tr>
      <w:tr>
        <w:trPr>
          <w:trHeight w:val="27"/>
        </w:trPr>
        <w:tc>
          <w:tcPr>
            <w:tcW w:w="2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4.01</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Satisfaction and Discharge of Indenture</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35</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EEEE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4.02</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Application of Trust Money</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36</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740" w:type="dxa"/>
            <w:vAlign w:val="bottom"/>
            <w:tcBorders>
              <w:right w:val="single" w:sz="8" w:color="EEEEEE"/>
            </w:tcBorders>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640" w:type="dxa"/>
            <w:vAlign w:val="bottom"/>
            <w:tcBorders>
              <w:top w:val="single" w:sz="8" w:color="0000EE"/>
            </w:tcBorders>
            <w:shd w:val="clear" w:color="auto" w:fill="EEEEEE"/>
          </w:tcPr>
          <w:p>
            <w:pPr>
              <w:spacing w:after="0"/>
              <w:rPr>
                <w:sz w:val="16"/>
                <w:szCs w:val="16"/>
                <w:color w:val="auto"/>
              </w:rPr>
            </w:pPr>
          </w:p>
        </w:tc>
        <w:tc>
          <w:tcPr>
            <w:tcW w:w="28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top w:val="single" w:sz="8" w:color="0000EE"/>
              <w:lef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40" w:type="dxa"/>
            <w:vAlign w:val="bottom"/>
            <w:tcBorders>
              <w:top w:val="single" w:sz="8" w:color="0000EE"/>
              <w:right w:val="single" w:sz="8" w:color="EEEE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120" w:type="dxa"/>
            <w:vAlign w:val="bottom"/>
            <w:tcBorders>
              <w:left w:val="single" w:sz="8" w:color="EEEEEE"/>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0" w:type="dxa"/>
            <w:vAlign w:val="bottom"/>
            <w:tcBorders>
              <w:lef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 w:type="dxa"/>
            <w:vAlign w:val="bottom"/>
            <w:tcBorders>
              <w:right w:val="single" w:sz="8" w:color="EEEEEE"/>
            </w:tcBorders>
            <w:shd w:val="clear" w:color="auto" w:fill="EEEEEE"/>
          </w:tcPr>
          <w:p>
            <w:pPr>
              <w:spacing w:after="0"/>
              <w:rPr>
                <w:sz w:val="16"/>
                <w:szCs w:val="16"/>
                <w:color w:val="auto"/>
              </w:rPr>
            </w:pPr>
          </w:p>
        </w:tc>
        <w:tc>
          <w:tcPr>
            <w:tcW w:w="140" w:type="dxa"/>
            <w:vAlign w:val="bottom"/>
            <w:tcBorders>
              <w:left w:val="single" w:sz="8" w:color="EEEEEE"/>
            </w:tcBorders>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450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1960" w:type="dxa"/>
            <w:vAlign w:val="bottom"/>
            <w:gridSpan w:val="3"/>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FIVE REMEDIES</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36</w:t>
            </w:r>
          </w:p>
        </w:tc>
      </w:tr>
      <w:tr>
        <w:trPr>
          <w:trHeight w:val="157"/>
        </w:trPr>
        <w:tc>
          <w:tcPr>
            <w:tcW w:w="260" w:type="dxa"/>
            <w:vAlign w:val="bottom"/>
            <w:tcBorders>
              <w:top w:val="single" w:sz="8" w:color="0000EE"/>
            </w:tcBorders>
            <w:shd w:val="clear" w:color="auto" w:fill="EEEEEE"/>
          </w:tcPr>
          <w:p>
            <w:pPr>
              <w:spacing w:after="0"/>
              <w:rPr>
                <w:sz w:val="13"/>
                <w:szCs w:val="13"/>
                <w:color w:val="auto"/>
              </w:rPr>
            </w:pPr>
          </w:p>
        </w:tc>
        <w:tc>
          <w:tcPr>
            <w:tcW w:w="1700" w:type="dxa"/>
            <w:vAlign w:val="bottom"/>
            <w:tcBorders>
              <w:top w:val="single" w:sz="8" w:color="0000EE"/>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5.01</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Events of Default</w:t>
            </w: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36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EEEEEE"/>
            </w:tcBorders>
            <w:shd w:val="clear" w:color="auto" w:fill="0000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5.02</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Acceleration of Maturity; Rescission and Annulment</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37</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5.03</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Collection of Debt and Suits for Enforcement by Trustees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38</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5.04</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Trustees May File Proofs of Claim</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39</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5.05</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Trustees May Enforce Claims Without Possession of Securities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5.06</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Application of Money Collected</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5.07</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Limitation on Suits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5.08</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Unconditional Right of Holders to Receive Principal, Premium and Interest</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5.09</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Restoration of Rights and Remedies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41</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5.10</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Rights and Remedies Cumulative</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41</w:t>
            </w:r>
          </w:p>
        </w:tc>
      </w:tr>
      <w:tr>
        <w:trPr>
          <w:trHeight w:val="157"/>
        </w:trPr>
        <w:tc>
          <w:tcPr>
            <w:tcW w:w="260" w:type="dxa"/>
            <w:vAlign w:val="bottom"/>
            <w:shd w:val="clear" w:color="auto" w:fill="EEEEEE"/>
          </w:tcPr>
          <w:p>
            <w:pPr>
              <w:spacing w:after="0"/>
              <w:rPr>
                <w:sz w:val="13"/>
                <w:szCs w:val="13"/>
                <w:color w:val="auto"/>
              </w:rPr>
            </w:pPr>
          </w:p>
        </w:tc>
        <w:tc>
          <w:tcPr>
            <w:tcW w:w="960" w:type="dxa"/>
            <w:vAlign w:val="bottom"/>
            <w:tcBorders>
              <w:top w:val="single" w:sz="8" w:color="0000EE"/>
            </w:tcBorders>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5.11</w:t>
            </w:r>
          </w:p>
        </w:tc>
        <w:tc>
          <w:tcPr>
            <w:tcW w:w="740" w:type="dxa"/>
            <w:vAlign w:val="bottom"/>
            <w:tcBorders>
              <w:right w:val="single" w:sz="8" w:color="EEEEEE"/>
            </w:tcBorders>
            <w:shd w:val="clear" w:color="auto" w:fill="EEEEEE"/>
          </w:tcPr>
          <w:p>
            <w:pPr>
              <w:spacing w:after="0"/>
              <w:rPr>
                <w:sz w:val="13"/>
                <w:szCs w:val="13"/>
                <w:color w:val="auto"/>
              </w:rPr>
            </w:pPr>
          </w:p>
        </w:tc>
        <w:tc>
          <w:tcPr>
            <w:tcW w:w="2100" w:type="dxa"/>
            <w:vAlign w:val="bottom"/>
            <w:tcBorders>
              <w:top w:val="single" w:sz="8" w:color="0000EE"/>
              <w:right w:val="single" w:sz="8" w:color="EEEEEE"/>
            </w:tcBorders>
            <w:gridSpan w:val="1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Delay or Omission Not Waiver</w:t>
            </w:r>
          </w:p>
        </w:tc>
        <w:tc>
          <w:tcPr>
            <w:tcW w:w="7040" w:type="dxa"/>
            <w:vAlign w:val="bottom"/>
            <w:tcBorders>
              <w:left w:val="single" w:sz="8" w:color="EEEEEE"/>
            </w:tcBorders>
            <w:gridSpan w:val="14"/>
            <w:shd w:val="clear" w:color="auto" w:fill="EEEEEE"/>
          </w:tcPr>
          <w:p>
            <w:pPr>
              <w:spacing w:after="0"/>
              <w:rPr>
                <w:sz w:val="13"/>
                <w:szCs w:val="13"/>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5.12</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Control by Holders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5.13</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Waiver of Past Defaults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EEEE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5.14</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Waiver of Stay or Extension Laws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5.15</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Undertaking for Costs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43</w:t>
            </w:r>
          </w:p>
        </w:tc>
      </w:tr>
      <w:tr>
        <w:trPr>
          <w:trHeight w:val="184"/>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360" w:type="dxa"/>
            <w:vAlign w:val="bottom"/>
            <w:tcBorders>
              <w:top w:val="single" w:sz="8" w:color="EEEEEE"/>
            </w:tcBorders>
          </w:tcPr>
          <w:p>
            <w:pPr>
              <w:spacing w:after="0"/>
              <w:rPr>
                <w:sz w:val="16"/>
                <w:szCs w:val="16"/>
                <w:color w:val="auto"/>
              </w:rPr>
            </w:pPr>
          </w:p>
        </w:tc>
        <w:tc>
          <w:tcPr>
            <w:tcW w:w="20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tcPr>
          <w:p>
            <w:pPr>
              <w:spacing w:after="0"/>
              <w:rPr>
                <w:sz w:val="16"/>
                <w:szCs w:val="16"/>
                <w:color w:val="auto"/>
              </w:rPr>
            </w:pPr>
          </w:p>
        </w:tc>
        <w:tc>
          <w:tcPr>
            <w:tcW w:w="450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50"/>
        </w:trPr>
        <w:tc>
          <w:tcPr>
            <w:tcW w:w="11100" w:type="dxa"/>
            <w:vAlign w:val="bottom"/>
            <w:gridSpan w:val="29"/>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SIX THE TRUSTEES</w:t>
            </w:r>
          </w:p>
        </w:tc>
        <w:tc>
          <w:tcPr>
            <w:tcW w:w="160" w:type="dxa"/>
            <w:vAlign w:val="bottom"/>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43</w:t>
            </w:r>
          </w:p>
        </w:tc>
      </w:tr>
      <w:tr>
        <w:trPr>
          <w:trHeight w:val="35"/>
        </w:trPr>
        <w:tc>
          <w:tcPr>
            <w:tcW w:w="26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6.01</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Notice of Defaults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6.02</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Certain Duties and Responsibilities of Trustees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EEEEEE"/>
            </w:tcBorders>
            <w:shd w:val="clear" w:color="auto" w:fill="0000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6.03</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Certain Rights of Trustees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45</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6.04</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Trustees Not Responsible for Recitals or Issuance of Securities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tcBorders>
              <w:right w:val="single" w:sz="8" w:color="EEEEEE"/>
            </w:tcBorders>
            <w:shd w:val="clear" w:color="auto" w:fill="0000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6.05</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May Hold Securities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6.06</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Money Held in Trust</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6.07</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Compensation and Reimbursement</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6.08</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Corporate Trustees Required; Eligibility</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6.09</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Resignation and Removal; Appointment of Successor</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48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6.10</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Acceptance of Appointment by Successor</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49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960" w:type="dxa"/>
            <w:vAlign w:val="bottom"/>
          </w:tcPr>
          <w:p>
            <w:pPr>
              <w:spacing w:after="0" w:line="150" w:lineRule="exact"/>
              <w:rPr>
                <w:sz w:val="20"/>
                <w:szCs w:val="20"/>
                <w:color w:val="auto"/>
              </w:rPr>
            </w:pPr>
            <w:r>
              <w:rPr>
                <w:rFonts w:ascii="Times New Roman" w:cs="Times New Roman" w:eastAsia="Times New Roman" w:hAnsi="Times New Roman"/>
                <w:sz w:val="15"/>
                <w:szCs w:val="15"/>
                <w:color w:val="0000EE"/>
              </w:rPr>
              <w:t>SECTION 6.11</w:t>
            </w:r>
          </w:p>
        </w:tc>
        <w:tc>
          <w:tcPr>
            <w:tcW w:w="740" w:type="dxa"/>
            <w:vAlign w:val="bottom"/>
          </w:tcPr>
          <w:p>
            <w:pPr>
              <w:spacing w:after="0"/>
              <w:rPr>
                <w:sz w:val="13"/>
                <w:szCs w:val="13"/>
                <w:color w:val="auto"/>
              </w:rPr>
            </w:pP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Merger, Conversion, Consolidation or Succession to Business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6.12</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Appointment of Authenticating Agent</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51</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6.13</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Joint Trustees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6.14</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Other Rights of Trustees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53</w:t>
            </w:r>
          </w:p>
        </w:tc>
      </w:tr>
      <w:tr>
        <w:trPr>
          <w:trHeight w:val="184"/>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360" w:type="dxa"/>
            <w:vAlign w:val="bottom"/>
            <w:tcBorders>
              <w:top w:val="single" w:sz="8" w:color="EEEEEE"/>
            </w:tcBorders>
          </w:tcPr>
          <w:p>
            <w:pPr>
              <w:spacing w:after="0"/>
              <w:rPr>
                <w:sz w:val="16"/>
                <w:szCs w:val="16"/>
                <w:color w:val="auto"/>
              </w:rPr>
            </w:pPr>
          </w:p>
        </w:tc>
        <w:tc>
          <w:tcPr>
            <w:tcW w:w="20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tcPr>
          <w:p>
            <w:pPr>
              <w:spacing w:after="0"/>
              <w:rPr>
                <w:sz w:val="16"/>
                <w:szCs w:val="16"/>
                <w:color w:val="auto"/>
              </w:rPr>
            </w:pPr>
          </w:p>
        </w:tc>
        <w:tc>
          <w:tcPr>
            <w:tcW w:w="450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64"/>
        </w:trPr>
        <w:tc>
          <w:tcPr>
            <w:tcW w:w="5860" w:type="dxa"/>
            <w:vAlign w:val="bottom"/>
            <w:tcBorders>
              <w:bottom w:val="single" w:sz="8" w:color="0000EE"/>
              <w:right w:val="single" w:sz="8" w:color="EEEEEE"/>
            </w:tcBorders>
            <w:gridSpan w:val="26"/>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SEVEN HOLDERS' LISTS AND REPORTS BY TRUSTEE AND COMPANY</w:t>
            </w:r>
          </w:p>
        </w:tc>
        <w:tc>
          <w:tcPr>
            <w:tcW w:w="5240" w:type="dxa"/>
            <w:vAlign w:val="bottom"/>
            <w:tcBorders>
              <w:left w:val="single" w:sz="8" w:color="EEEEEE"/>
              <w:bottom w:val="single" w:sz="8" w:color="EEEEEE"/>
            </w:tcBorders>
            <w:gridSpan w:val="3"/>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54</w:t>
            </w: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7.01</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Company to Furnish Trustees Names and Addresses of Holders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54</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tcBorders>
              <w:right w:val="single" w:sz="8" w:color="EEEE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7.02</w:t>
            </w:r>
          </w:p>
        </w:tc>
        <w:tc>
          <w:tcPr>
            <w:tcW w:w="9140" w:type="dxa"/>
            <w:vAlign w:val="bottom"/>
            <w:gridSpan w:val="2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Preservation of List of Names and Addresses of Holders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54</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2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7.03</w:t>
            </w:r>
          </w:p>
        </w:tc>
        <w:tc>
          <w:tcPr>
            <w:tcW w:w="914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color w:val="0000EE"/>
              </w:rPr>
              <w:t>Disclosure of Names and Addresses of Holders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54</w:t>
            </w:r>
          </w:p>
        </w:tc>
      </w:tr>
      <w:tr>
        <w:trPr>
          <w:trHeight w:val="20"/>
        </w:trPr>
        <w:tc>
          <w:tcPr>
            <w:tcW w:w="2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2"/>
        </w:trPr>
        <w:tc>
          <w:tcPr>
            <w:tcW w:w="260" w:type="dxa"/>
            <w:vAlign w:val="bottom"/>
            <w:shd w:val="clear" w:color="auto" w:fill="EEEEEE"/>
          </w:tcPr>
          <w:p>
            <w:pPr>
              <w:spacing w:after="0"/>
              <w:rPr>
                <w:sz w:val="15"/>
                <w:szCs w:val="15"/>
                <w:color w:val="auto"/>
              </w:rPr>
            </w:pPr>
          </w:p>
        </w:tc>
        <w:tc>
          <w:tcPr>
            <w:tcW w:w="10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5"/>
                <w:szCs w:val="15"/>
                <w:color w:val="0000EE"/>
              </w:rPr>
              <w:t>SECTION 7.04</w:t>
            </w:r>
          </w:p>
        </w:tc>
        <w:tc>
          <w:tcPr>
            <w:tcW w:w="660" w:type="dxa"/>
            <w:vAlign w:val="bottom"/>
            <w:tcBorders>
              <w:right w:val="single" w:sz="8" w:color="EEEEEE"/>
            </w:tcBorders>
            <w:shd w:val="clear" w:color="auto" w:fill="EEEEEE"/>
          </w:tcPr>
          <w:p>
            <w:pPr>
              <w:spacing w:after="0"/>
              <w:rPr>
                <w:sz w:val="15"/>
                <w:szCs w:val="15"/>
                <w:color w:val="auto"/>
              </w:rPr>
            </w:pPr>
          </w:p>
        </w:tc>
        <w:tc>
          <w:tcPr>
            <w:tcW w:w="9140" w:type="dxa"/>
            <w:vAlign w:val="bottom"/>
            <w:gridSpan w:val="22"/>
            <w:shd w:val="clear" w:color="auto" w:fill="EEEEEE"/>
          </w:tcPr>
          <w:p>
            <w:pPr>
              <w:spacing w:after="0"/>
              <w:rPr>
                <w:sz w:val="20"/>
                <w:szCs w:val="20"/>
                <w:color w:val="auto"/>
              </w:rPr>
            </w:pPr>
            <w:r>
              <w:rPr>
                <w:rFonts w:ascii="Times New Roman" w:cs="Times New Roman" w:eastAsia="Times New Roman" w:hAnsi="Times New Roman"/>
                <w:sz w:val="15"/>
                <w:szCs w:val="15"/>
                <w:color w:val="0000EE"/>
              </w:rPr>
              <w:t>Reports by Trustees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w w:val="93"/>
              </w:rPr>
              <w:t>55</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7.05</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Reports by the Company</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55</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4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left w:val="single" w:sz="8" w:color="EEEE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300" w:type="dxa"/>
            <w:vAlign w:val="bottom"/>
            <w:tcBorders>
              <w:right w:val="single" w:sz="8" w:color="EEEEEE"/>
            </w:tcBorders>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tcBorders>
              <w:right w:val="single" w:sz="8" w:color="EEEEEE"/>
            </w:tcBorders>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88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1110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EIGHT CONSOLIDATION, MERGER, CONVEYANCE, TRANSFER OR LEASE</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56</w:t>
            </w:r>
          </w:p>
        </w:tc>
      </w:tr>
      <w:tr>
        <w:trPr>
          <w:trHeight w:val="157"/>
        </w:trPr>
        <w:tc>
          <w:tcPr>
            <w:tcW w:w="260" w:type="dxa"/>
            <w:vAlign w:val="bottom"/>
            <w:tcBorders>
              <w:top w:val="single" w:sz="8" w:color="0000EE"/>
            </w:tcBorders>
            <w:shd w:val="clear" w:color="auto" w:fill="EEEEEE"/>
          </w:tcPr>
          <w:p>
            <w:pPr>
              <w:spacing w:after="0"/>
              <w:rPr>
                <w:sz w:val="13"/>
                <w:szCs w:val="13"/>
                <w:color w:val="auto"/>
              </w:rPr>
            </w:pPr>
          </w:p>
        </w:tc>
        <w:tc>
          <w:tcPr>
            <w:tcW w:w="1040" w:type="dxa"/>
            <w:vAlign w:val="bottom"/>
            <w:tcBorders>
              <w:top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8.01</w:t>
            </w:r>
          </w:p>
        </w:tc>
        <w:tc>
          <w:tcPr>
            <w:tcW w:w="660" w:type="dxa"/>
            <w:vAlign w:val="bottom"/>
            <w:tcBorders>
              <w:top w:val="single" w:sz="8" w:color="0000EE"/>
              <w:right w:val="single" w:sz="8" w:color="EEEEEE"/>
            </w:tcBorders>
            <w:shd w:val="clear" w:color="auto" w:fill="EEEEEE"/>
          </w:tcPr>
          <w:p>
            <w:pPr>
              <w:spacing w:after="0"/>
              <w:rPr>
                <w:sz w:val="13"/>
                <w:szCs w:val="13"/>
                <w:color w:val="auto"/>
              </w:rPr>
            </w:pPr>
          </w:p>
        </w:tc>
        <w:tc>
          <w:tcPr>
            <w:tcW w:w="4260" w:type="dxa"/>
            <w:vAlign w:val="bottom"/>
            <w:tcBorders>
              <w:top w:val="single" w:sz="8" w:color="0000EE"/>
            </w:tcBorders>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Company May Consolidate, Etc., Only on Certain Terms</w:t>
            </w:r>
          </w:p>
        </w:tc>
        <w:tc>
          <w:tcPr>
            <w:tcW w:w="4880" w:type="dxa"/>
            <w:vAlign w:val="bottom"/>
            <w:shd w:val="clear" w:color="auto" w:fill="EEEEEE"/>
          </w:tcPr>
          <w:p>
            <w:pPr>
              <w:spacing w:after="0"/>
              <w:rPr>
                <w:sz w:val="13"/>
                <w:szCs w:val="13"/>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8.02</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Successor Person Substituted</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56</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4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left w:val="single" w:sz="8" w:color="EEEE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260" w:type="dxa"/>
            <w:vAlign w:val="bottom"/>
            <w:tcBorders>
              <w:top w:val="single" w:sz="8" w:color="0000EE"/>
              <w:right w:val="single" w:sz="8" w:color="EEEEEE"/>
            </w:tcBorders>
            <w:shd w:val="clear" w:color="auto" w:fill="EEEEEE"/>
          </w:tcPr>
          <w:p>
            <w:pPr>
              <w:spacing w:after="0"/>
              <w:rPr>
                <w:sz w:val="16"/>
                <w:szCs w:val="16"/>
                <w:color w:val="auto"/>
              </w:rPr>
            </w:pPr>
          </w:p>
        </w:tc>
        <w:tc>
          <w:tcPr>
            <w:tcW w:w="300" w:type="dxa"/>
            <w:vAlign w:val="bottom"/>
            <w:tcBorders>
              <w:right w:val="single" w:sz="8" w:color="EEEEEE"/>
            </w:tcBorders>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tcBorders>
              <w:right w:val="single" w:sz="8" w:color="EEEEEE"/>
            </w:tcBorders>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88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0"/>
        </w:trPr>
        <w:tc>
          <w:tcPr>
            <w:tcW w:w="11100" w:type="dxa"/>
            <w:vAlign w:val="bottom"/>
            <w:gridSpan w:val="26"/>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NINE SUPPLEMENTAL INDENTURES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57</w:t>
            </w:r>
          </w:p>
        </w:tc>
      </w:tr>
      <w:tr>
        <w:trPr>
          <w:trHeight w:val="27"/>
        </w:trPr>
        <w:tc>
          <w:tcPr>
            <w:tcW w:w="2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9.01</w:t>
            </w:r>
          </w:p>
        </w:tc>
        <w:tc>
          <w:tcPr>
            <w:tcW w:w="660" w:type="dxa"/>
            <w:vAlign w:val="bottom"/>
            <w:tcBorders>
              <w:right w:val="single" w:sz="8" w:color="EEEEEE"/>
            </w:tcBorders>
            <w:shd w:val="clear" w:color="auto" w:fill="EEEEEE"/>
          </w:tcPr>
          <w:p>
            <w:pPr>
              <w:spacing w:after="0"/>
              <w:rPr>
                <w:sz w:val="13"/>
                <w:szCs w:val="13"/>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Supplemental Indentures Without Consent of Holders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EEEEEE"/>
            </w:tcBorders>
            <w:shd w:val="clear" w:color="auto" w:fill="0000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9.02</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Supplemental Indentures with Consent of Holders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9.03</w:t>
            </w:r>
          </w:p>
        </w:tc>
        <w:tc>
          <w:tcPr>
            <w:tcW w:w="660" w:type="dxa"/>
            <w:vAlign w:val="bottom"/>
            <w:tcBorders>
              <w:right w:val="single" w:sz="8" w:color="EEEEEE"/>
            </w:tcBorders>
            <w:shd w:val="clear" w:color="auto" w:fill="EEEEEE"/>
          </w:tcPr>
          <w:p>
            <w:pPr>
              <w:spacing w:after="0"/>
              <w:rPr>
                <w:sz w:val="13"/>
                <w:szCs w:val="13"/>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Execution of Supplemental Indentures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EEEEEE"/>
            </w:tcBorders>
            <w:shd w:val="clear" w:color="auto" w:fill="0000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9.04</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Effect of Supplemental Indentures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59</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9.05</w:t>
            </w:r>
          </w:p>
        </w:tc>
        <w:tc>
          <w:tcPr>
            <w:tcW w:w="660" w:type="dxa"/>
            <w:vAlign w:val="bottom"/>
            <w:tcBorders>
              <w:right w:val="single" w:sz="8" w:color="EEEEEE"/>
            </w:tcBorders>
            <w:shd w:val="clear" w:color="auto" w:fill="EEEEEE"/>
          </w:tcPr>
          <w:p>
            <w:pPr>
              <w:spacing w:after="0"/>
              <w:rPr>
                <w:sz w:val="13"/>
                <w:szCs w:val="13"/>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Conformity with Trust Indenture Legislation</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9.06</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Reference in Securities to Supplemental Indentures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9.07</w:t>
            </w:r>
          </w:p>
        </w:tc>
        <w:tc>
          <w:tcPr>
            <w:tcW w:w="660" w:type="dxa"/>
            <w:vAlign w:val="bottom"/>
            <w:tcBorders>
              <w:right w:val="single" w:sz="8" w:color="EEEEEE"/>
            </w:tcBorders>
            <w:shd w:val="clear" w:color="auto" w:fill="EEEEEE"/>
          </w:tcPr>
          <w:p>
            <w:pPr>
              <w:spacing w:after="0"/>
              <w:rPr>
                <w:sz w:val="14"/>
                <w:szCs w:val="14"/>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Notice of Supplemental Indentures</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60</w:t>
            </w:r>
          </w:p>
        </w:tc>
      </w:tr>
      <w:tr>
        <w:trPr>
          <w:trHeight w:val="184"/>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66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7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88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50"/>
        </w:trPr>
        <w:tc>
          <w:tcPr>
            <w:tcW w:w="11100" w:type="dxa"/>
            <w:vAlign w:val="bottom"/>
            <w:gridSpan w:val="26"/>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TEN COVENANTS</w:t>
            </w:r>
          </w:p>
        </w:tc>
        <w:tc>
          <w:tcPr>
            <w:tcW w:w="160" w:type="dxa"/>
            <w:vAlign w:val="bottom"/>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60</w:t>
            </w:r>
          </w:p>
        </w:tc>
      </w:tr>
      <w:tr>
        <w:trPr>
          <w:trHeight w:val="35"/>
        </w:trPr>
        <w:tc>
          <w:tcPr>
            <w:tcW w:w="26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10.01</w:t>
            </w:r>
          </w:p>
        </w:tc>
        <w:tc>
          <w:tcPr>
            <w:tcW w:w="660" w:type="dxa"/>
            <w:vAlign w:val="bottom"/>
          </w:tcPr>
          <w:p>
            <w:pPr>
              <w:spacing w:after="0"/>
              <w:rPr>
                <w:sz w:val="13"/>
                <w:szCs w:val="13"/>
                <w:color w:val="auto"/>
              </w:rPr>
            </w:pPr>
          </w:p>
        </w:tc>
        <w:tc>
          <w:tcPr>
            <w:tcW w:w="274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5"/>
                <w:szCs w:val="15"/>
                <w:color w:val="0000EE"/>
              </w:rPr>
              <w:t>Payment of Principal, Premium and Interest</w:t>
            </w:r>
          </w:p>
        </w:tc>
        <w:tc>
          <w:tcPr>
            <w:tcW w:w="6400" w:type="dxa"/>
            <w:vAlign w:val="bottom"/>
            <w:gridSpan w:val="7"/>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60</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10.02</w:t>
            </w:r>
          </w:p>
        </w:tc>
        <w:tc>
          <w:tcPr>
            <w:tcW w:w="660" w:type="dxa"/>
            <w:vAlign w:val="bottom"/>
            <w:tcBorders>
              <w:bottom w:val="single" w:sz="8" w:color="EEEEEE"/>
              <w:right w:val="single" w:sz="8" w:color="EEEEEE"/>
            </w:tcBorders>
            <w:shd w:val="clear" w:color="auto" w:fill="EEEEEE"/>
          </w:tcPr>
          <w:p>
            <w:pPr>
              <w:spacing w:after="0"/>
              <w:rPr>
                <w:sz w:val="14"/>
                <w:szCs w:val="14"/>
                <w:color w:val="auto"/>
              </w:rPr>
            </w:pPr>
          </w:p>
        </w:tc>
        <w:tc>
          <w:tcPr>
            <w:tcW w:w="2100" w:type="dxa"/>
            <w:vAlign w:val="bottom"/>
            <w:tcBorders>
              <w:bottom w:val="single" w:sz="8" w:color="0000EE"/>
              <w:right w:val="single" w:sz="8" w:color="EEEEEE"/>
            </w:tcBorders>
            <w:gridSpan w:val="1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Maintenance of Office or Agency</w:t>
            </w:r>
          </w:p>
        </w:tc>
        <w:tc>
          <w:tcPr>
            <w:tcW w:w="7040" w:type="dxa"/>
            <w:vAlign w:val="bottom"/>
            <w:tcBorders>
              <w:bottom w:val="single" w:sz="8" w:color="EEEEEE"/>
            </w:tcBorders>
            <w:gridSpan w:val="12"/>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60</w:t>
            </w: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10.03</w:t>
            </w:r>
          </w:p>
        </w:tc>
        <w:tc>
          <w:tcPr>
            <w:tcW w:w="660" w:type="dxa"/>
            <w:vAlign w:val="bottom"/>
          </w:tcPr>
          <w:p>
            <w:pPr>
              <w:spacing w:after="0"/>
              <w:rPr>
                <w:sz w:val="13"/>
                <w:szCs w:val="13"/>
                <w:color w:val="auto"/>
              </w:rPr>
            </w:pPr>
          </w:p>
        </w:tc>
        <w:tc>
          <w:tcPr>
            <w:tcW w:w="316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5"/>
                <w:szCs w:val="15"/>
                <w:color w:val="0000EE"/>
              </w:rPr>
              <w:t>Money for Securities Payments to Be Held in Trust</w:t>
            </w:r>
          </w:p>
        </w:tc>
        <w:tc>
          <w:tcPr>
            <w:tcW w:w="5980" w:type="dxa"/>
            <w:vAlign w:val="bottom"/>
            <w:gridSpan w:val="5"/>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61</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10.04</w:t>
            </w:r>
          </w:p>
        </w:tc>
        <w:tc>
          <w:tcPr>
            <w:tcW w:w="660" w:type="dxa"/>
            <w:vAlign w:val="bottom"/>
            <w:tcBorders>
              <w:right w:val="single" w:sz="8" w:color="EEEEEE"/>
            </w:tcBorders>
            <w:shd w:val="clear" w:color="auto" w:fill="EEEEEE"/>
          </w:tcPr>
          <w:p>
            <w:pPr>
              <w:spacing w:after="0"/>
              <w:rPr>
                <w:sz w:val="13"/>
                <w:szCs w:val="13"/>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Statement as to Compliance</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EEEEEE"/>
            </w:tcBorders>
            <w:shd w:val="clear" w:color="auto" w:fill="0000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10.05</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Waiver of Certain Covenants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62</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4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left w:val="single" w:sz="8" w:color="EEEE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260" w:type="dxa"/>
            <w:vAlign w:val="bottom"/>
            <w:tcBorders>
              <w:top w:val="single" w:sz="8" w:color="0000EE"/>
              <w:right w:val="single" w:sz="8" w:color="EEEEEE"/>
            </w:tcBorders>
            <w:shd w:val="clear" w:color="auto" w:fill="EEEEEE"/>
          </w:tcPr>
          <w:p>
            <w:pPr>
              <w:spacing w:after="0"/>
              <w:rPr>
                <w:sz w:val="16"/>
                <w:szCs w:val="16"/>
                <w:color w:val="auto"/>
              </w:rPr>
            </w:pPr>
          </w:p>
        </w:tc>
        <w:tc>
          <w:tcPr>
            <w:tcW w:w="300" w:type="dxa"/>
            <w:vAlign w:val="bottom"/>
            <w:tcBorders>
              <w:right w:val="single" w:sz="8" w:color="EEEEEE"/>
            </w:tcBorders>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tcBorders>
              <w:right w:val="single" w:sz="8" w:color="EEEEEE"/>
            </w:tcBorders>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88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376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ELEVEN REDEMPTION OF SECURITIES</w:t>
            </w:r>
          </w:p>
        </w:tc>
        <w:tc>
          <w:tcPr>
            <w:tcW w:w="7340" w:type="dxa"/>
            <w:vAlign w:val="bottom"/>
            <w:gridSpan w:val="13"/>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62</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11.01</w:t>
            </w:r>
          </w:p>
        </w:tc>
        <w:tc>
          <w:tcPr>
            <w:tcW w:w="9800" w:type="dxa"/>
            <w:vAlign w:val="bottom"/>
            <w:gridSpan w:val="23"/>
            <w:shd w:val="clear" w:color="auto" w:fill="EEEEEE"/>
          </w:tcPr>
          <w:p>
            <w:pPr>
              <w:ind w:left="640"/>
              <w:spacing w:after="0" w:line="157" w:lineRule="exact"/>
              <w:rPr>
                <w:sz w:val="20"/>
                <w:szCs w:val="20"/>
                <w:color w:val="auto"/>
              </w:rPr>
            </w:pPr>
            <w:r>
              <w:rPr>
                <w:rFonts w:ascii="Times New Roman" w:cs="Times New Roman" w:eastAsia="Times New Roman" w:hAnsi="Times New Roman"/>
                <w:sz w:val="15"/>
                <w:szCs w:val="15"/>
                <w:color w:val="0000EE"/>
              </w:rPr>
              <w:t>Applicability of Article</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11.02</w:t>
            </w:r>
          </w:p>
        </w:tc>
        <w:tc>
          <w:tcPr>
            <w:tcW w:w="9800" w:type="dxa"/>
            <w:vAlign w:val="bottom"/>
            <w:gridSpan w:val="23"/>
          </w:tcPr>
          <w:p>
            <w:pPr>
              <w:ind w:left="640"/>
              <w:spacing w:after="0" w:line="150" w:lineRule="exact"/>
              <w:rPr>
                <w:sz w:val="20"/>
                <w:szCs w:val="20"/>
                <w:color w:val="auto"/>
              </w:rPr>
            </w:pPr>
            <w:r>
              <w:rPr>
                <w:rFonts w:ascii="Times New Roman" w:cs="Times New Roman" w:eastAsia="Times New Roman" w:hAnsi="Times New Roman"/>
                <w:sz w:val="15"/>
                <w:szCs w:val="15"/>
                <w:color w:val="0000EE"/>
              </w:rPr>
              <w:t>Election to Redeem; Notice to Trustees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6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11.03</w:t>
            </w:r>
          </w:p>
        </w:tc>
        <w:tc>
          <w:tcPr>
            <w:tcW w:w="9800" w:type="dxa"/>
            <w:vAlign w:val="bottom"/>
            <w:gridSpan w:val="23"/>
            <w:shd w:val="clear" w:color="auto" w:fill="EEEEEE"/>
          </w:tcPr>
          <w:p>
            <w:pPr>
              <w:ind w:left="640"/>
              <w:spacing w:after="0" w:line="157" w:lineRule="exact"/>
              <w:rPr>
                <w:sz w:val="20"/>
                <w:szCs w:val="20"/>
                <w:color w:val="auto"/>
              </w:rPr>
            </w:pPr>
            <w:r>
              <w:rPr>
                <w:rFonts w:ascii="Times New Roman" w:cs="Times New Roman" w:eastAsia="Times New Roman" w:hAnsi="Times New Roman"/>
                <w:sz w:val="15"/>
                <w:szCs w:val="15"/>
                <w:color w:val="0000EE"/>
              </w:rPr>
              <w:t>Selection by Trustees of Securities to Be Redeemed</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11.04</w:t>
            </w:r>
          </w:p>
        </w:tc>
        <w:tc>
          <w:tcPr>
            <w:tcW w:w="9800" w:type="dxa"/>
            <w:vAlign w:val="bottom"/>
            <w:gridSpan w:val="23"/>
          </w:tcPr>
          <w:p>
            <w:pPr>
              <w:ind w:left="640"/>
              <w:spacing w:after="0" w:line="150" w:lineRule="exact"/>
              <w:rPr>
                <w:sz w:val="20"/>
                <w:szCs w:val="20"/>
                <w:color w:val="auto"/>
              </w:rPr>
            </w:pPr>
            <w:r>
              <w:rPr>
                <w:rFonts w:ascii="Times New Roman" w:cs="Times New Roman" w:eastAsia="Times New Roman" w:hAnsi="Times New Roman"/>
                <w:sz w:val="15"/>
                <w:szCs w:val="15"/>
                <w:color w:val="0000EE"/>
              </w:rPr>
              <w:t>Notice of Redemption</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6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11.05</w:t>
            </w:r>
          </w:p>
        </w:tc>
        <w:tc>
          <w:tcPr>
            <w:tcW w:w="9800" w:type="dxa"/>
            <w:vAlign w:val="bottom"/>
            <w:gridSpan w:val="23"/>
            <w:shd w:val="clear" w:color="auto" w:fill="EEEEEE"/>
          </w:tcPr>
          <w:p>
            <w:pPr>
              <w:ind w:left="640"/>
              <w:spacing w:after="0" w:line="157" w:lineRule="exact"/>
              <w:rPr>
                <w:sz w:val="20"/>
                <w:szCs w:val="20"/>
                <w:color w:val="auto"/>
              </w:rPr>
            </w:pPr>
            <w:r>
              <w:rPr>
                <w:rFonts w:ascii="Times New Roman" w:cs="Times New Roman" w:eastAsia="Times New Roman" w:hAnsi="Times New Roman"/>
                <w:sz w:val="15"/>
                <w:szCs w:val="15"/>
                <w:color w:val="0000EE"/>
              </w:rPr>
              <w:t>Deposit of Redemption Price</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64</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11.06</w:t>
            </w:r>
          </w:p>
        </w:tc>
        <w:tc>
          <w:tcPr>
            <w:tcW w:w="9800" w:type="dxa"/>
            <w:vAlign w:val="bottom"/>
            <w:gridSpan w:val="23"/>
          </w:tcPr>
          <w:p>
            <w:pPr>
              <w:ind w:left="640"/>
              <w:spacing w:after="0" w:line="150" w:lineRule="exact"/>
              <w:rPr>
                <w:sz w:val="20"/>
                <w:szCs w:val="20"/>
                <w:color w:val="auto"/>
              </w:rPr>
            </w:pPr>
            <w:r>
              <w:rPr>
                <w:rFonts w:ascii="Times New Roman" w:cs="Times New Roman" w:eastAsia="Times New Roman" w:hAnsi="Times New Roman"/>
                <w:sz w:val="15"/>
                <w:szCs w:val="15"/>
                <w:color w:val="0000EE"/>
              </w:rPr>
              <w:t>Securities Payable on Redemption Date</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64</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6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11.07</w:t>
            </w:r>
          </w:p>
        </w:tc>
        <w:tc>
          <w:tcPr>
            <w:tcW w:w="9800" w:type="dxa"/>
            <w:vAlign w:val="bottom"/>
            <w:gridSpan w:val="23"/>
            <w:shd w:val="clear" w:color="auto" w:fill="EEEEEE"/>
          </w:tcPr>
          <w:p>
            <w:pPr>
              <w:ind w:left="640"/>
              <w:spacing w:after="0" w:line="157" w:lineRule="exact"/>
              <w:rPr>
                <w:sz w:val="20"/>
                <w:szCs w:val="20"/>
                <w:color w:val="auto"/>
              </w:rPr>
            </w:pPr>
            <w:r>
              <w:rPr>
                <w:rFonts w:ascii="Times New Roman" w:cs="Times New Roman" w:eastAsia="Times New Roman" w:hAnsi="Times New Roman"/>
                <w:sz w:val="15"/>
                <w:szCs w:val="15"/>
                <w:color w:val="0000EE"/>
              </w:rPr>
              <w:t>Securities Redeemed in Part</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65</w:t>
            </w:r>
          </w:p>
        </w:tc>
      </w:tr>
      <w:tr>
        <w:trPr>
          <w:trHeight w:val="184"/>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6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7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88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64"/>
        </w:trPr>
        <w:tc>
          <w:tcPr>
            <w:tcW w:w="2640" w:type="dxa"/>
            <w:vAlign w:val="bottom"/>
            <w:tcBorders>
              <w:bottom w:val="single" w:sz="8" w:color="0000EE"/>
            </w:tcBorders>
            <w:gridSpan w:val="6"/>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TWELVE SINKING FUNDS</w:t>
            </w:r>
          </w:p>
        </w:tc>
        <w:tc>
          <w:tcPr>
            <w:tcW w:w="8460" w:type="dxa"/>
            <w:vAlign w:val="bottom"/>
            <w:tcBorders>
              <w:bottom w:val="single" w:sz="8" w:color="EEEEEE"/>
            </w:tcBorders>
            <w:gridSpan w:val="20"/>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65</w:t>
            </w: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12.01</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Applicability of Article</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65</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6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12.02</w:t>
            </w:r>
          </w:p>
        </w:tc>
        <w:tc>
          <w:tcPr>
            <w:tcW w:w="660" w:type="dxa"/>
            <w:vAlign w:val="bottom"/>
            <w:tcBorders>
              <w:bottom w:val="single" w:sz="8" w:color="EEEEEE"/>
              <w:right w:val="single" w:sz="8" w:color="EEEEEE"/>
            </w:tcBorders>
            <w:shd w:val="clear" w:color="auto" w:fill="EEEEEE"/>
          </w:tcPr>
          <w:p>
            <w:pPr>
              <w:spacing w:after="0"/>
              <w:rPr>
                <w:sz w:val="14"/>
                <w:szCs w:val="14"/>
                <w:color w:val="auto"/>
              </w:rPr>
            </w:pPr>
          </w:p>
        </w:tc>
        <w:tc>
          <w:tcPr>
            <w:tcW w:w="3340" w:type="dxa"/>
            <w:vAlign w:val="bottom"/>
            <w:tcBorders>
              <w:bottom w:val="single" w:sz="8" w:color="0000EE"/>
              <w:right w:val="single" w:sz="8" w:color="EEEEEE"/>
            </w:tcBorders>
            <w:gridSpan w:val="18"/>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Satisfaction of Sinking Fund Payments with Securities</w:t>
            </w:r>
          </w:p>
        </w:tc>
        <w:tc>
          <w:tcPr>
            <w:tcW w:w="5800" w:type="dxa"/>
            <w:vAlign w:val="bottom"/>
            <w:tcBorders>
              <w:bottom w:val="single" w:sz="8" w:color="EEEEEE"/>
            </w:tcBorders>
            <w:gridSpan w:val="4"/>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65</w:t>
            </w: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12.03</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Redemption of Securities for Sinking Fund</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65</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4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left w:val="single" w:sz="8" w:color="EEEE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260" w:type="dxa"/>
            <w:vAlign w:val="bottom"/>
            <w:tcBorders>
              <w:top w:val="single" w:sz="8" w:color="0000EE"/>
              <w:right w:val="single" w:sz="8" w:color="EEEEEE"/>
            </w:tcBorders>
            <w:shd w:val="clear" w:color="auto" w:fill="EEEEEE"/>
          </w:tcPr>
          <w:p>
            <w:pPr>
              <w:spacing w:after="0"/>
              <w:rPr>
                <w:sz w:val="16"/>
                <w:szCs w:val="16"/>
                <w:color w:val="auto"/>
              </w:rPr>
            </w:pPr>
          </w:p>
        </w:tc>
        <w:tc>
          <w:tcPr>
            <w:tcW w:w="300" w:type="dxa"/>
            <w:vAlign w:val="bottom"/>
            <w:tcBorders>
              <w:top w:val="single" w:sz="8" w:color="0000EE"/>
              <w:right w:val="single" w:sz="8" w:color="EEEE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26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left w:val="single" w:sz="8" w:color="EEEEEE"/>
            </w:tcBorders>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tcBorders>
              <w:right w:val="single" w:sz="8" w:color="EEEEEE"/>
            </w:tcBorders>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88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446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THIRTEEN REPAYMENT AT OPTION OF HOLDERS</w:t>
            </w:r>
          </w:p>
        </w:tc>
        <w:tc>
          <w:tcPr>
            <w:tcW w:w="6640" w:type="dxa"/>
            <w:vAlign w:val="bottom"/>
            <w:gridSpan w:val="9"/>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66</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13.01</w:t>
            </w:r>
          </w:p>
        </w:tc>
        <w:tc>
          <w:tcPr>
            <w:tcW w:w="660" w:type="dxa"/>
            <w:vAlign w:val="bottom"/>
            <w:tcBorders>
              <w:right w:val="single" w:sz="8" w:color="EEEEEE"/>
            </w:tcBorders>
            <w:shd w:val="clear" w:color="auto" w:fill="EEEEEE"/>
          </w:tcPr>
          <w:p>
            <w:pPr>
              <w:spacing w:after="0"/>
              <w:rPr>
                <w:sz w:val="13"/>
                <w:szCs w:val="13"/>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Applicability of Article</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13.02</w:t>
            </w:r>
          </w:p>
        </w:tc>
        <w:tc>
          <w:tcPr>
            <w:tcW w:w="660" w:type="dxa"/>
            <w:vAlign w:val="bottom"/>
          </w:tcPr>
          <w:p>
            <w:pPr>
              <w:spacing w:after="0"/>
              <w:rPr>
                <w:sz w:val="13"/>
                <w:szCs w:val="13"/>
                <w:color w:val="auto"/>
              </w:rPr>
            </w:pPr>
          </w:p>
        </w:tc>
        <w:tc>
          <w:tcPr>
            <w:tcW w:w="150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5"/>
                <w:szCs w:val="15"/>
                <w:color w:val="0000EE"/>
              </w:rPr>
              <w:t>Repayment of Securities</w:t>
            </w:r>
          </w:p>
        </w:tc>
        <w:tc>
          <w:tcPr>
            <w:tcW w:w="7640" w:type="dxa"/>
            <w:vAlign w:val="bottom"/>
            <w:gridSpan w:val="15"/>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66</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13.03</w:t>
            </w:r>
          </w:p>
        </w:tc>
        <w:tc>
          <w:tcPr>
            <w:tcW w:w="660" w:type="dxa"/>
            <w:vAlign w:val="bottom"/>
            <w:tcBorders>
              <w:right w:val="single" w:sz="8" w:color="EEEEEE"/>
            </w:tcBorders>
            <w:shd w:val="clear" w:color="auto" w:fill="EEEEEE"/>
          </w:tcPr>
          <w:p>
            <w:pPr>
              <w:spacing w:after="0"/>
              <w:rPr>
                <w:sz w:val="13"/>
                <w:szCs w:val="13"/>
                <w:color w:val="auto"/>
              </w:rPr>
            </w:pPr>
          </w:p>
        </w:tc>
        <w:tc>
          <w:tcPr>
            <w:tcW w:w="9140" w:type="dxa"/>
            <w:vAlign w:val="bottom"/>
            <w:gridSpan w:val="2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Exercise of Option</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30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6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8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13.04</w:t>
            </w:r>
          </w:p>
        </w:tc>
        <w:tc>
          <w:tcPr>
            <w:tcW w:w="660" w:type="dxa"/>
            <w:vAlign w:val="bottom"/>
          </w:tcPr>
          <w:p>
            <w:pPr>
              <w:spacing w:after="0"/>
              <w:rPr>
                <w:sz w:val="13"/>
                <w:szCs w:val="13"/>
                <w:color w:val="auto"/>
              </w:rPr>
            </w:pPr>
          </w:p>
        </w:tc>
        <w:tc>
          <w:tcPr>
            <w:tcW w:w="914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When Securities Presented for Repayment Become Due and Payable</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67</w:t>
            </w:r>
          </w:p>
        </w:tc>
      </w:tr>
      <w:tr>
        <w:trPr>
          <w:trHeight w:val="172"/>
        </w:trPr>
        <w:tc>
          <w:tcPr>
            <w:tcW w:w="260" w:type="dxa"/>
            <w:vAlign w:val="bottom"/>
            <w:shd w:val="clear" w:color="auto" w:fill="EEEEEE"/>
          </w:tcPr>
          <w:p>
            <w:pPr>
              <w:spacing w:after="0"/>
              <w:rPr>
                <w:sz w:val="14"/>
                <w:szCs w:val="14"/>
                <w:color w:val="auto"/>
              </w:rPr>
            </w:pPr>
          </w:p>
        </w:tc>
        <w:tc>
          <w:tcPr>
            <w:tcW w:w="1040" w:type="dxa"/>
            <w:vAlign w:val="bottom"/>
            <w:tcBorders>
              <w:top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13.05</w:t>
            </w:r>
          </w:p>
        </w:tc>
        <w:tc>
          <w:tcPr>
            <w:tcW w:w="660" w:type="dxa"/>
            <w:vAlign w:val="bottom"/>
            <w:tcBorders>
              <w:right w:val="single" w:sz="8" w:color="EEEEEE"/>
            </w:tcBorders>
            <w:shd w:val="clear" w:color="auto" w:fill="EEEEEE"/>
          </w:tcPr>
          <w:p>
            <w:pPr>
              <w:spacing w:after="0"/>
              <w:rPr>
                <w:sz w:val="14"/>
                <w:szCs w:val="14"/>
                <w:color w:val="auto"/>
              </w:rPr>
            </w:pPr>
          </w:p>
        </w:tc>
        <w:tc>
          <w:tcPr>
            <w:tcW w:w="4200" w:type="dxa"/>
            <w:vAlign w:val="bottom"/>
            <w:tcBorders>
              <w:top w:val="single" w:sz="8" w:color="0000EE"/>
            </w:tcBorders>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Securities Repaid in Part</w:t>
            </w:r>
          </w:p>
        </w:tc>
        <w:tc>
          <w:tcPr>
            <w:tcW w:w="4940" w:type="dxa"/>
            <w:vAlign w:val="bottom"/>
            <w:gridSpan w:val="2"/>
            <w:shd w:val="clear" w:color="auto" w:fill="EEEEEE"/>
          </w:tcPr>
          <w:p>
            <w:pPr>
              <w:spacing w:after="0"/>
              <w:rPr>
                <w:sz w:val="14"/>
                <w:szCs w:val="14"/>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68</w:t>
            </w:r>
          </w:p>
        </w:tc>
      </w:tr>
      <w:tr>
        <w:trPr>
          <w:trHeight w:val="184"/>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6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7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88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64"/>
        </w:trPr>
        <w:tc>
          <w:tcPr>
            <w:tcW w:w="5040" w:type="dxa"/>
            <w:vAlign w:val="bottom"/>
            <w:tcBorders>
              <w:bottom w:val="single" w:sz="8" w:color="0000EE"/>
              <w:right w:val="single" w:sz="8" w:color="EEEEEE"/>
            </w:tcBorders>
            <w:gridSpan w:val="20"/>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FOURTEEN DEFEASANCE AND COVENANT DEFEASANCE</w:t>
            </w:r>
          </w:p>
        </w:tc>
        <w:tc>
          <w:tcPr>
            <w:tcW w:w="6060" w:type="dxa"/>
            <w:vAlign w:val="bottom"/>
            <w:tcBorders>
              <w:bottom w:val="single" w:sz="8" w:color="EEEEEE"/>
            </w:tcBorders>
            <w:gridSpan w:val="6"/>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68</w:t>
            </w:r>
          </w:p>
        </w:tc>
      </w:tr>
    </w:tbl>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0"/>
        </w:trPr>
        <w:tc>
          <w:tcPr>
            <w:tcW w:w="2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5"/>
                <w:szCs w:val="15"/>
                <w:color w:val="0000EE"/>
              </w:rPr>
              <w:t>SECTION 14.01</w:t>
            </w:r>
          </w:p>
        </w:tc>
        <w:tc>
          <w:tcPr>
            <w:tcW w:w="640" w:type="dxa"/>
            <w:vAlign w:val="bottom"/>
          </w:tcPr>
          <w:p>
            <w:pPr>
              <w:spacing w:after="0"/>
              <w:rPr>
                <w:sz w:val="15"/>
                <w:szCs w:val="15"/>
                <w:color w:val="auto"/>
              </w:rPr>
            </w:pPr>
          </w:p>
        </w:tc>
        <w:tc>
          <w:tcPr>
            <w:tcW w:w="9160" w:type="dxa"/>
            <w:vAlign w:val="bottom"/>
            <w:gridSpan w:val="7"/>
          </w:tcPr>
          <w:p>
            <w:pPr>
              <w:spacing w:after="0"/>
              <w:rPr>
                <w:sz w:val="20"/>
                <w:szCs w:val="20"/>
                <w:color w:val="auto"/>
              </w:rPr>
            </w:pPr>
            <w:r>
              <w:rPr>
                <w:rFonts w:ascii="Times New Roman" w:cs="Times New Roman" w:eastAsia="Times New Roman" w:hAnsi="Times New Roman"/>
                <w:sz w:val="15"/>
                <w:szCs w:val="15"/>
                <w:color w:val="0000EE"/>
              </w:rPr>
              <w:t>Company's Option to Effect Defeasance or Covenant Defeasance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0000EE"/>
                <w:w w:val="93"/>
              </w:rPr>
              <w:t>68</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top w:val="single" w:sz="8" w:color="0000EE"/>
              <w:bottom w:val="single" w:sz="8" w:color="0000EE"/>
            </w:tcBorders>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14.02</w:t>
            </w:r>
          </w:p>
        </w:tc>
        <w:tc>
          <w:tcPr>
            <w:tcW w:w="640" w:type="dxa"/>
            <w:vAlign w:val="bottom"/>
            <w:tcBorders>
              <w:bottom w:val="single" w:sz="8" w:color="EEEEEE"/>
            </w:tcBorders>
            <w:shd w:val="clear" w:color="auto" w:fill="EEEEEE"/>
          </w:tcPr>
          <w:p>
            <w:pPr>
              <w:spacing w:after="0"/>
              <w:rPr>
                <w:sz w:val="14"/>
                <w:szCs w:val="14"/>
                <w:color w:val="auto"/>
              </w:rPr>
            </w:pPr>
          </w:p>
        </w:tc>
        <w:tc>
          <w:tcPr>
            <w:tcW w:w="1640" w:type="dxa"/>
            <w:vAlign w:val="bottom"/>
            <w:tcBorders>
              <w:top w:val="single" w:sz="8" w:color="0000EE"/>
              <w:bottom w:val="single" w:sz="8" w:color="0000EE"/>
            </w:tcBorders>
            <w:gridSpan w:val="3"/>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Defeasance and Discharge</w:t>
            </w:r>
          </w:p>
        </w:tc>
        <w:tc>
          <w:tcPr>
            <w:tcW w:w="2360" w:type="dxa"/>
            <w:vAlign w:val="bottom"/>
            <w:tcBorders>
              <w:top w:val="single" w:sz="8" w:color="0000EE"/>
              <w:bottom w:val="single" w:sz="8" w:color="EEEEEE"/>
            </w:tcBorders>
            <w:gridSpan w:val="2"/>
            <w:shd w:val="clear" w:color="auto" w:fill="EEEEEE"/>
          </w:tcPr>
          <w:p>
            <w:pPr>
              <w:spacing w:after="0"/>
              <w:rPr>
                <w:sz w:val="14"/>
                <w:szCs w:val="14"/>
                <w:color w:val="auto"/>
              </w:rPr>
            </w:pPr>
          </w:p>
        </w:tc>
        <w:tc>
          <w:tcPr>
            <w:tcW w:w="5160" w:type="dxa"/>
            <w:vAlign w:val="bottom"/>
            <w:tcBorders>
              <w:bottom w:val="single" w:sz="8" w:color="EEEEEE"/>
            </w:tcBorders>
            <w:gridSpan w:val="2"/>
            <w:shd w:val="clear" w:color="auto" w:fill="EEEEEE"/>
          </w:tcPr>
          <w:p>
            <w:pPr>
              <w:spacing w:after="0"/>
              <w:rPr>
                <w:sz w:val="14"/>
                <w:szCs w:val="14"/>
                <w:color w:val="auto"/>
              </w:rPr>
            </w:pPr>
          </w:p>
        </w:tc>
        <w:tc>
          <w:tcPr>
            <w:tcW w:w="160" w:type="dxa"/>
            <w:vAlign w:val="bottom"/>
            <w:tcBorders>
              <w:top w:val="single" w:sz="8" w:color="0000EE"/>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68</w:t>
            </w: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5"/>
                <w:szCs w:val="15"/>
                <w:color w:val="0000EE"/>
              </w:rPr>
              <w:t>SECTION 14.03</w:t>
            </w:r>
          </w:p>
        </w:tc>
        <w:tc>
          <w:tcPr>
            <w:tcW w:w="640" w:type="dxa"/>
            <w:vAlign w:val="bottom"/>
          </w:tcPr>
          <w:p>
            <w:pPr>
              <w:spacing w:after="0"/>
              <w:rPr>
                <w:sz w:val="13"/>
                <w:szCs w:val="13"/>
                <w:color w:val="auto"/>
              </w:rPr>
            </w:pPr>
          </w:p>
        </w:tc>
        <w:tc>
          <w:tcPr>
            <w:tcW w:w="13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Covenant Defeasance</w:t>
            </w:r>
          </w:p>
        </w:tc>
        <w:tc>
          <w:tcPr>
            <w:tcW w:w="7820" w:type="dxa"/>
            <w:vAlign w:val="bottom"/>
            <w:gridSpan w:val="5"/>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68</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14.04</w:t>
            </w:r>
          </w:p>
        </w:tc>
        <w:tc>
          <w:tcPr>
            <w:tcW w:w="640" w:type="dxa"/>
            <w:vAlign w:val="bottom"/>
            <w:shd w:val="clear" w:color="auto" w:fill="EEEEEE"/>
          </w:tcPr>
          <w:p>
            <w:pPr>
              <w:spacing w:after="0"/>
              <w:rPr>
                <w:sz w:val="13"/>
                <w:szCs w:val="13"/>
                <w:color w:val="auto"/>
              </w:rPr>
            </w:pPr>
          </w:p>
        </w:tc>
        <w:tc>
          <w:tcPr>
            <w:tcW w:w="9160" w:type="dxa"/>
            <w:vAlign w:val="bottom"/>
            <w:gridSpan w:val="7"/>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Conditions to Defeasance or Covenant Defeasance</w:t>
            </w:r>
          </w:p>
        </w:tc>
        <w:tc>
          <w:tcPr>
            <w:tcW w:w="160" w:type="dxa"/>
            <w:vAlign w:val="bottom"/>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69</w:t>
            </w:r>
          </w:p>
        </w:tc>
      </w:tr>
      <w:tr>
        <w:trPr>
          <w:trHeight w:val="35"/>
        </w:trPr>
        <w:tc>
          <w:tcPr>
            <w:tcW w:w="260" w:type="dxa"/>
            <w:vAlign w:val="bottom"/>
            <w:shd w:val="clear" w:color="auto" w:fill="EEEE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640" w:type="dxa"/>
            <w:vAlign w:val="bottom"/>
            <w:shd w:val="clear" w:color="auto" w:fill="EEEE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880" w:type="dxa"/>
            <w:vAlign w:val="bottom"/>
            <w:shd w:val="clear" w:color="auto" w:fill="EEEEEE"/>
          </w:tcPr>
          <w:p>
            <w:pPr>
              <w:spacing w:after="0"/>
              <w:rPr>
                <w:sz w:val="3"/>
                <w:szCs w:val="3"/>
                <w:color w:val="auto"/>
              </w:rPr>
            </w:pPr>
          </w:p>
        </w:tc>
        <w:tc>
          <w:tcPr>
            <w:tcW w:w="2180" w:type="dxa"/>
            <w:vAlign w:val="bottom"/>
            <w:shd w:val="clear" w:color="auto" w:fill="EEEEEE"/>
          </w:tcPr>
          <w:p>
            <w:pPr>
              <w:spacing w:after="0"/>
              <w:rPr>
                <w:sz w:val="3"/>
                <w:szCs w:val="3"/>
                <w:color w:val="auto"/>
              </w:rPr>
            </w:pPr>
          </w:p>
        </w:tc>
        <w:tc>
          <w:tcPr>
            <w:tcW w:w="29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tcPr>
          <w:p>
            <w:pPr>
              <w:spacing w:after="0" w:line="150" w:lineRule="exact"/>
              <w:rPr>
                <w:sz w:val="20"/>
                <w:szCs w:val="20"/>
                <w:color w:val="auto"/>
              </w:rPr>
            </w:pPr>
            <w:r>
              <w:rPr>
                <w:rFonts w:ascii="Times New Roman" w:cs="Times New Roman" w:eastAsia="Times New Roman" w:hAnsi="Times New Roman"/>
                <w:sz w:val="15"/>
                <w:szCs w:val="15"/>
                <w:color w:val="0000EE"/>
              </w:rPr>
              <w:t>SECTION 14.05</w:t>
            </w:r>
          </w:p>
        </w:tc>
        <w:tc>
          <w:tcPr>
            <w:tcW w:w="640" w:type="dxa"/>
            <w:vAlign w:val="bottom"/>
          </w:tcPr>
          <w:p>
            <w:pPr>
              <w:spacing w:after="0"/>
              <w:rPr>
                <w:sz w:val="13"/>
                <w:szCs w:val="13"/>
                <w:color w:val="auto"/>
              </w:rPr>
            </w:pPr>
          </w:p>
        </w:tc>
        <w:tc>
          <w:tcPr>
            <w:tcW w:w="9160" w:type="dxa"/>
            <w:vAlign w:val="bottom"/>
            <w:gridSpan w:val="7"/>
          </w:tcPr>
          <w:p>
            <w:pPr>
              <w:spacing w:after="0" w:line="150" w:lineRule="exact"/>
              <w:rPr>
                <w:sz w:val="20"/>
                <w:szCs w:val="20"/>
                <w:color w:val="auto"/>
              </w:rPr>
            </w:pPr>
            <w:r>
              <w:rPr>
                <w:rFonts w:ascii="Times New Roman" w:cs="Times New Roman" w:eastAsia="Times New Roman" w:hAnsi="Times New Roman"/>
                <w:sz w:val="15"/>
                <w:szCs w:val="15"/>
                <w:color w:val="0000EE"/>
              </w:rPr>
              <w:t>Deposited Money and Government Obligations to Be Held in Trust; Other Miscellaneous Provisions</w:t>
            </w:r>
          </w:p>
        </w:tc>
        <w:tc>
          <w:tcPr>
            <w:tcW w:w="1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70</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tcBorders>
              <w:top w:val="single" w:sz="8" w:color="0000EE"/>
            </w:tcBorders>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14.06</w:t>
            </w:r>
          </w:p>
        </w:tc>
        <w:tc>
          <w:tcPr>
            <w:tcW w:w="640" w:type="dxa"/>
            <w:vAlign w:val="bottom"/>
            <w:shd w:val="clear" w:color="auto" w:fill="EEEEEE"/>
          </w:tcPr>
          <w:p>
            <w:pPr>
              <w:spacing w:after="0"/>
              <w:rPr>
                <w:sz w:val="13"/>
                <w:szCs w:val="13"/>
                <w:color w:val="auto"/>
              </w:rPr>
            </w:pPr>
          </w:p>
        </w:tc>
        <w:tc>
          <w:tcPr>
            <w:tcW w:w="6180" w:type="dxa"/>
            <w:vAlign w:val="bottom"/>
            <w:tcBorders>
              <w:top w:val="single" w:sz="8" w:color="0000EE"/>
            </w:tcBorders>
            <w:gridSpan w:val="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Reinstatement</w:t>
            </w:r>
          </w:p>
        </w:tc>
        <w:tc>
          <w:tcPr>
            <w:tcW w:w="2980" w:type="dxa"/>
            <w:vAlign w:val="bottom"/>
            <w:shd w:val="clear" w:color="auto" w:fill="EEEEEE"/>
          </w:tcPr>
          <w:p>
            <w:pPr>
              <w:spacing w:after="0"/>
              <w:rPr>
                <w:sz w:val="13"/>
                <w:szCs w:val="13"/>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71</w:t>
            </w:r>
          </w:p>
        </w:tc>
      </w:tr>
      <w:tr>
        <w:trPr>
          <w:trHeight w:val="35"/>
        </w:trPr>
        <w:tc>
          <w:tcPr>
            <w:tcW w:w="260" w:type="dxa"/>
            <w:vAlign w:val="bottom"/>
            <w:shd w:val="clear" w:color="auto" w:fill="EEEE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640" w:type="dxa"/>
            <w:vAlign w:val="bottom"/>
            <w:shd w:val="clear" w:color="auto" w:fill="EEEE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480" w:type="dxa"/>
            <w:vAlign w:val="bottom"/>
            <w:shd w:val="clear" w:color="auto" w:fill="EEEEEE"/>
          </w:tcPr>
          <w:p>
            <w:pPr>
              <w:spacing w:after="0"/>
              <w:rPr>
                <w:sz w:val="3"/>
                <w:szCs w:val="3"/>
                <w:color w:val="auto"/>
              </w:rPr>
            </w:pPr>
          </w:p>
        </w:tc>
        <w:tc>
          <w:tcPr>
            <w:tcW w:w="880" w:type="dxa"/>
            <w:vAlign w:val="bottom"/>
            <w:shd w:val="clear" w:color="auto" w:fill="EEEEEE"/>
          </w:tcPr>
          <w:p>
            <w:pPr>
              <w:spacing w:after="0"/>
              <w:rPr>
                <w:sz w:val="3"/>
                <w:szCs w:val="3"/>
                <w:color w:val="auto"/>
              </w:rPr>
            </w:pPr>
          </w:p>
        </w:tc>
        <w:tc>
          <w:tcPr>
            <w:tcW w:w="2180" w:type="dxa"/>
            <w:vAlign w:val="bottom"/>
            <w:shd w:val="clear" w:color="auto" w:fill="EEEEEE"/>
          </w:tcPr>
          <w:p>
            <w:pPr>
              <w:spacing w:after="0"/>
              <w:rPr>
                <w:sz w:val="3"/>
                <w:szCs w:val="3"/>
                <w:color w:val="auto"/>
              </w:rPr>
            </w:pPr>
          </w:p>
        </w:tc>
        <w:tc>
          <w:tcPr>
            <w:tcW w:w="29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bl>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6" w:name="page57"/>
    <w:bookmarkEnd w:id="56"/>
    <w:tbl>
      <w:tblPr>
        <w:tblLayout w:type="fixed"/>
        <w:tblInd w:w="112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CROSS-REFERENCE TABLE</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09"/>
        </w:trPr>
        <w:tc>
          <w:tcPr>
            <w:tcW w:w="2280" w:type="dxa"/>
            <w:vAlign w:val="bottom"/>
          </w:tcPr>
          <w:p>
            <w:pPr>
              <w:spacing w:after="0"/>
              <w:rPr>
                <w:sz w:val="24"/>
                <w:szCs w:val="24"/>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TIA</w:t>
            </w:r>
          </w:p>
        </w:tc>
        <w:tc>
          <w:tcPr>
            <w:tcW w:w="284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Indenture</w:t>
            </w:r>
          </w:p>
        </w:tc>
      </w:tr>
      <w:tr>
        <w:trPr>
          <w:trHeight w:val="164"/>
        </w:trPr>
        <w:tc>
          <w:tcPr>
            <w:tcW w:w="6160" w:type="dxa"/>
            <w:vAlign w:val="bottom"/>
            <w:gridSpan w:val="3"/>
          </w:tcPr>
          <w:p>
            <w:pPr>
              <w:ind w:left="2220"/>
              <w:spacing w:after="0" w:line="164" w:lineRule="exact"/>
              <w:rPr>
                <w:sz w:val="20"/>
                <w:szCs w:val="20"/>
                <w:color w:val="auto"/>
              </w:rPr>
            </w:pPr>
            <w:r>
              <w:rPr>
                <w:rFonts w:ascii="Times New Roman" w:cs="Times New Roman" w:eastAsia="Times New Roman" w:hAnsi="Times New Roman"/>
                <w:sz w:val="15"/>
                <w:szCs w:val="15"/>
                <w:color w:val="auto"/>
              </w:rPr>
              <w:t>Section</w:t>
            </w:r>
          </w:p>
        </w:tc>
        <w:tc>
          <w:tcPr>
            <w:tcW w:w="2840" w:type="dxa"/>
            <w:vAlign w:val="bottom"/>
            <w:gridSpan w:val="3"/>
          </w:tcPr>
          <w:p>
            <w:pPr>
              <w:ind w:left="560"/>
              <w:spacing w:after="0" w:line="164" w:lineRule="exact"/>
              <w:rPr>
                <w:sz w:val="20"/>
                <w:szCs w:val="20"/>
                <w:color w:val="auto"/>
              </w:rPr>
            </w:pPr>
            <w:r>
              <w:rPr>
                <w:rFonts w:ascii="Times New Roman" w:cs="Times New Roman" w:eastAsia="Times New Roman" w:hAnsi="Times New Roman"/>
                <w:sz w:val="15"/>
                <w:szCs w:val="15"/>
                <w:color w:val="auto"/>
              </w:rPr>
              <w:t>Section</w:t>
            </w:r>
          </w:p>
        </w:tc>
      </w:tr>
      <w:tr>
        <w:trPr>
          <w:trHeight w:val="27"/>
        </w:trPr>
        <w:tc>
          <w:tcPr>
            <w:tcW w:w="22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192"/>
        </w:trPr>
        <w:tc>
          <w:tcPr>
            <w:tcW w:w="22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6.08(1)</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6.09</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(c)</w:t>
            </w:r>
          </w:p>
        </w:tc>
        <w:tc>
          <w:tcPr>
            <w:tcW w:w="2840" w:type="dxa"/>
            <w:vAlign w:val="bottom"/>
            <w:gridSpan w:val="3"/>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4"/>
        </w:trPr>
        <w:tc>
          <w:tcPr>
            <w:tcW w:w="2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6.05</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6.05</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w:t>
            </w:r>
          </w:p>
        </w:tc>
        <w:tc>
          <w:tcPr>
            <w:tcW w:w="284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4"/>
        </w:trPr>
        <w:tc>
          <w:tcPr>
            <w:tcW w:w="22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7.05</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7.03</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(c)</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7.03</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7.04</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7.04</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7.04</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(d)</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7.05</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7.05</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(a)(4)</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10.04</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284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(c)(1)</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1.03</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(c)(2)</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1.03</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(d)</w:t>
            </w:r>
          </w:p>
        </w:tc>
        <w:tc>
          <w:tcPr>
            <w:tcW w:w="2840" w:type="dxa"/>
            <w:vAlign w:val="bottom"/>
            <w:gridSpan w:val="3"/>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(e)</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1.03</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(f)</w:t>
            </w:r>
          </w:p>
        </w:tc>
        <w:tc>
          <w:tcPr>
            <w:tcW w:w="2840" w:type="dxa"/>
            <w:vAlign w:val="bottom"/>
            <w:gridSpan w:val="3"/>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4"/>
        </w:trPr>
        <w:tc>
          <w:tcPr>
            <w:tcW w:w="2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6.02</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6.01</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6.02</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(d)</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6.02</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(e)</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5.15</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(a)(last sentence)</w:t>
            </w:r>
          </w:p>
        </w:tc>
        <w:tc>
          <w:tcPr>
            <w:tcW w:w="2840" w:type="dxa"/>
            <w:vAlign w:val="bottom"/>
            <w:gridSpan w:val="3"/>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1.01 ("Outstanding")</w:t>
            </w: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(a)(1)(A)</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5.12</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(a)(1)(B)</w:t>
            </w:r>
          </w:p>
        </w:tc>
        <w:tc>
          <w:tcPr>
            <w:tcW w:w="2840" w:type="dxa"/>
            <w:vAlign w:val="bottom"/>
            <w:gridSpan w:val="3"/>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5.02, 5.13</w:t>
            </w: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(a)(2)</w:t>
            </w:r>
          </w:p>
        </w:tc>
        <w:tc>
          <w:tcPr>
            <w:tcW w:w="284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5.08</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w:t>
            </w:r>
          </w:p>
        </w:tc>
        <w:tc>
          <w:tcPr>
            <w:tcW w:w="284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1.04(e)</w:t>
            </w:r>
          </w:p>
        </w:tc>
      </w:tr>
      <w:tr>
        <w:trPr>
          <w:trHeight w:val="184"/>
        </w:trPr>
        <w:tc>
          <w:tcPr>
            <w:tcW w:w="22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(a)(1)</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5.03</w:t>
            </w:r>
          </w:p>
        </w:tc>
        <w:tc>
          <w:tcPr>
            <w:tcW w:w="1820" w:type="dxa"/>
            <w:vAlign w:val="bottom"/>
            <w:shd w:val="clear" w:color="auto" w:fill="E6EFFF"/>
          </w:tcPr>
          <w:p>
            <w:pPr>
              <w:spacing w:after="0"/>
              <w:rPr>
                <w:sz w:val="16"/>
                <w:szCs w:val="16"/>
                <w:color w:val="auto"/>
              </w:rPr>
            </w:pPr>
          </w:p>
        </w:tc>
      </w:tr>
      <w:tr>
        <w:trPr>
          <w:trHeight w:val="184"/>
        </w:trPr>
        <w:tc>
          <w:tcPr>
            <w:tcW w:w="2280" w:type="dxa"/>
            <w:vAlign w:val="bottom"/>
          </w:tcPr>
          <w:p>
            <w:pPr>
              <w:spacing w:after="0"/>
              <w:rPr>
                <w:sz w:val="16"/>
                <w:szCs w:val="16"/>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(a)(2)</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5.04</w:t>
            </w:r>
          </w:p>
        </w:tc>
        <w:tc>
          <w:tcPr>
            <w:tcW w:w="1820" w:type="dxa"/>
            <w:vAlign w:val="bottom"/>
          </w:tcPr>
          <w:p>
            <w:pPr>
              <w:spacing w:after="0"/>
              <w:rPr>
                <w:sz w:val="16"/>
                <w:szCs w:val="16"/>
                <w:color w:val="auto"/>
              </w:rPr>
            </w:pPr>
          </w:p>
        </w:tc>
      </w:tr>
      <w:tr>
        <w:trPr>
          <w:trHeight w:val="184"/>
        </w:trPr>
        <w:tc>
          <w:tcPr>
            <w:tcW w:w="2280" w:type="dxa"/>
            <w:vAlign w:val="bottom"/>
            <w:tcBorders>
              <w:right w:val="single" w:sz="8" w:color="E6EFFF"/>
            </w:tcBorders>
            <w:shd w:val="clear" w:color="auto" w:fill="E6EFFF"/>
          </w:tcPr>
          <w:p>
            <w:pPr>
              <w:spacing w:after="0"/>
              <w:rPr>
                <w:sz w:val="16"/>
                <w:szCs w:val="16"/>
                <w:color w:val="auto"/>
              </w:rPr>
            </w:pPr>
          </w:p>
        </w:tc>
        <w:tc>
          <w:tcPr>
            <w:tcW w:w="388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5"/>
                <w:szCs w:val="15"/>
                <w:color w:val="auto"/>
              </w:rPr>
              <w:t>(b)</w:t>
            </w:r>
          </w:p>
        </w:tc>
        <w:tc>
          <w:tcPr>
            <w:tcW w:w="1020" w:type="dxa"/>
            <w:vAlign w:val="bottom"/>
            <w:gridSpan w:val="2"/>
            <w:shd w:val="clear" w:color="auto" w:fill="E6EFFF"/>
          </w:tcPr>
          <w:p>
            <w:pPr>
              <w:ind w:left="540"/>
              <w:spacing w:after="0"/>
              <w:rPr>
                <w:sz w:val="20"/>
                <w:szCs w:val="20"/>
                <w:color w:val="auto"/>
              </w:rPr>
            </w:pPr>
            <w:r>
              <w:rPr>
                <w:rFonts w:ascii="Times New Roman" w:cs="Times New Roman" w:eastAsia="Times New Roman" w:hAnsi="Times New Roman"/>
                <w:sz w:val="15"/>
                <w:szCs w:val="15"/>
                <w:color w:val="auto"/>
              </w:rPr>
              <w:t>10.03</w:t>
            </w:r>
          </w:p>
        </w:tc>
        <w:tc>
          <w:tcPr>
            <w:tcW w:w="1820" w:type="dxa"/>
            <w:vAlign w:val="bottom"/>
            <w:shd w:val="clear" w:color="auto" w:fill="E6EFFF"/>
          </w:tcPr>
          <w:p>
            <w:pPr>
              <w:spacing w:after="0"/>
              <w:rPr>
                <w:sz w:val="16"/>
                <w:szCs w:val="16"/>
                <w:color w:val="auto"/>
              </w:rPr>
            </w:pPr>
          </w:p>
        </w:tc>
      </w:tr>
      <w:tr>
        <w:trPr>
          <w:trHeight w:val="199"/>
        </w:trPr>
        <w:tc>
          <w:tcPr>
            <w:tcW w:w="2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1.16</w:t>
            </w:r>
          </w:p>
        </w:tc>
        <w:tc>
          <w:tcPr>
            <w:tcW w:w="1820" w:type="dxa"/>
            <w:vAlign w:val="bottom"/>
          </w:tcPr>
          <w:p>
            <w:pPr>
              <w:spacing w:after="0"/>
              <w:rPr>
                <w:sz w:val="17"/>
                <w:szCs w:val="17"/>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Cross-Reference Table shall not, for any purpose, be deemed to be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57" w:name="page58"/>
    <w:bookmarkEnd w:id="57"/>
    <w:p>
      <w:pPr>
        <w:ind w:left="540"/>
        <w:spacing w:after="0"/>
        <w:rPr>
          <w:sz w:val="20"/>
          <w:szCs w:val="20"/>
          <w:color w:val="auto"/>
        </w:rPr>
      </w:pPr>
      <w:r>
        <w:rPr>
          <w:rFonts w:ascii="Times New Roman" w:cs="Times New Roman" w:eastAsia="Times New Roman" w:hAnsi="Times New Roman"/>
          <w:sz w:val="18"/>
          <w:szCs w:val="18"/>
          <w:color w:val="auto"/>
        </w:rPr>
        <w:t>This INDENTURE, dated as of ____________________, is entered into by and among Cybin Inc., a corporation duly continued and existing</w:t>
      </w:r>
    </w:p>
    <w:p>
      <w:pPr>
        <w:spacing w:after="0" w:line="2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under the laws of the Province of Ontario, Canada (herein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having its principal office at 100 King Street West, Suite 5600, Toronto, Ontario, Canada, M5X 1C9, and ______________________, a ______________________, organized under the laws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 as U.S. trustee (herein called the "</w:t>
      </w:r>
      <w:r>
        <w:rPr>
          <w:rFonts w:ascii="Times New Roman" w:cs="Times New Roman" w:eastAsia="Times New Roman" w:hAnsi="Times New Roman"/>
          <w:sz w:val="18"/>
          <w:szCs w:val="18"/>
          <w:b w:val="1"/>
          <w:bCs w:val="1"/>
          <w:color w:val="auto"/>
        </w:rPr>
        <w:t>U.S. Trustee</w:t>
      </w:r>
      <w:r>
        <w:rPr>
          <w:rFonts w:ascii="Times New Roman" w:cs="Times New Roman" w:eastAsia="Times New Roman" w:hAnsi="Times New Roman"/>
          <w:sz w:val="18"/>
          <w:szCs w:val="18"/>
          <w:color w:val="auto"/>
        </w:rPr>
        <w:t>"), and ______________________, a ______________________, organized</w:t>
      </w:r>
    </w:p>
    <w:p>
      <w:pPr>
        <w:spacing w:after="0"/>
        <w:rPr>
          <w:sz w:val="20"/>
          <w:szCs w:val="20"/>
          <w:color w:val="auto"/>
        </w:rPr>
      </w:pPr>
      <w:r>
        <w:rPr>
          <w:rFonts w:ascii="Times New Roman" w:cs="Times New Roman" w:eastAsia="Times New Roman" w:hAnsi="Times New Roman"/>
          <w:sz w:val="18"/>
          <w:szCs w:val="18"/>
          <w:color w:val="auto"/>
        </w:rPr>
        <w:t>under the laws of ______________________, as Canadian trustee (the "</w:t>
      </w:r>
      <w:r>
        <w:rPr>
          <w:rFonts w:ascii="Times New Roman" w:cs="Times New Roman" w:eastAsia="Times New Roman" w:hAnsi="Times New Roman"/>
          <w:sz w:val="18"/>
          <w:szCs w:val="18"/>
          <w:b w:val="1"/>
          <w:bCs w:val="1"/>
          <w:color w:val="auto"/>
        </w:rPr>
        <w:t>Canadian Trustee</w:t>
      </w:r>
      <w:r>
        <w:rPr>
          <w:rFonts w:ascii="Times New Roman" w:cs="Times New Roman" w:eastAsia="Times New Roman" w:hAnsi="Times New Roman"/>
          <w:sz w:val="18"/>
          <w:szCs w:val="18"/>
          <w:color w:val="auto"/>
        </w:rPr>
        <w:t>" and, together with the U.S. Trustee, the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debentures, notes, bonds or other evidences of indebtedness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which may be convertible into or exchangeable for any securities of any Person (including the Company), to be issued in one or more series as in this Indenture provided.</w:t>
      </w:r>
    </w:p>
    <w:p>
      <w:pPr>
        <w:spacing w:after="0" w:line="102"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This Indenture is subject to the provisions of Trust Indenture Legislation that are required to be part of this Indenture and shall, to the extent applicable, be governed by such provisions.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50"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150"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4"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means any Person authorized by the applicable Trustee pursuant to Section 6.12 to act on behalf of such Trustee to authenticate Securities.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has the meaning specified in Section 1.14.</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7232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58" w:name="page59"/>
    <w:bookmarkEnd w:id="58"/>
    <w:p>
      <w:pPr>
        <w:jc w:val="both"/>
        <w:ind w:firstLine="55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Corporate Secretary or an Assistant Secretary of the Company to have been duly adopted by the Board of Directors and to be in full force and effect on the date of such certification, and delivered to the Trustees.</w:t>
      </w:r>
    </w:p>
    <w:p>
      <w:pPr>
        <w:spacing w:after="0" w:line="77"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w:t>
      </w:r>
    </w:p>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period</w:t>
      </w:r>
      <w:r>
        <w:rPr>
          <w:rFonts w:ascii="Times New Roman" w:cs="Times New Roman" w:eastAsia="Times New Roman" w:hAnsi="Times New Roman"/>
          <w:sz w:val="18"/>
          <w:szCs w:val="18"/>
          <w:color w:val="auto"/>
        </w:rPr>
        <w:t>" has the meaning specified in Section 3.11.</w:t>
      </w:r>
    </w:p>
    <w:p>
      <w:pPr>
        <w:spacing w:after="0" w:line="150"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Trustee</w:t>
      </w:r>
      <w:r>
        <w:rPr>
          <w:rFonts w:ascii="Times New Roman" w:cs="Times New Roman" w:eastAsia="Times New Roman" w:hAnsi="Times New Roman"/>
          <w:sz w:val="18"/>
          <w:szCs w:val="18"/>
          <w:color w:val="auto"/>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at any time there is more than one such Person, "Canadian Trustee" as used with respect to the Securities of any series shall mean only the Canadian Trustee with respect to Securities of that series.</w:t>
      </w:r>
    </w:p>
    <w:p>
      <w:pPr>
        <w:spacing w:after="0" w:line="103"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08"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76"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an Officer and delivered to the Trustees.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Component Currency</w:t>
      </w:r>
      <w:r>
        <w:rPr>
          <w:rFonts w:ascii="Times New Roman" w:cs="Times New Roman" w:eastAsia="Times New Roman" w:hAnsi="Times New Roman"/>
          <w:sz w:val="18"/>
          <w:szCs w:val="18"/>
          <w:color w:val="auto"/>
        </w:rPr>
        <w:t>" has the meaning specified in Section 3.12(h).</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has the meaning specified in Section 3.12(d).</w:t>
      </w:r>
    </w:p>
    <w:p>
      <w:pPr>
        <w:spacing w:after="0" w:line="150" w:lineRule="exact"/>
        <w:rPr>
          <w:sz w:val="20"/>
          <w:szCs w:val="20"/>
          <w:color w:val="auto"/>
        </w:rPr>
      </w:pPr>
    </w:p>
    <w:p>
      <w:pPr>
        <w:jc w:val="both"/>
        <w:ind w:firstLine="55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Event</w:t>
      </w:r>
      <w:r>
        <w:rPr>
          <w:rFonts w:ascii="Times New Roman" w:cs="Times New Roman" w:eastAsia="Times New Roman" w:hAnsi="Times New Roman"/>
          <w:sz w:val="18"/>
          <w:szCs w:val="18"/>
          <w:color w:val="auto"/>
        </w:rPr>
        <w: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w:t>
      </w:r>
    </w:p>
    <w:p>
      <w:pPr>
        <w:spacing w:after="0" w:line="317"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corporate trust office of the U.S. Trustee or the Canadian Trustee, as applicable, at which at any particular time its corporate trust business may be administered, such an office on the date of execution of this Indenture of the U.S. Trustee is located at</w:t>
      </w: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_________________________, Attention:</w:t>
        <w:tab/>
        <w:t>_______________________, and of the Canadian Trustee is located at ______________________,</w:t>
      </w: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____________________________, except that with respect to presentation of Securities for payment or for registration of transfer or</w:t>
      </w: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such term shall mean the office or agency of the U.S. Trustee or the Canadian Trustee, as applicable, designated in writing to the Company at which, at any particular time, its corporate agency business shall be conducted.</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9" w:name="page60"/>
    <w:bookmarkEnd w:id="59"/>
    <w:p>
      <w:pPr>
        <w:jc w:val="both"/>
        <w:ind w:right="20" w:firstLine="55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means any currency or currencies, composite currency or Currency unit or Currency units, including, without limitation, the Euro, issued by the government of one or more countries or by any recognized confederation or association of such governments.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has the meaning specified in Section 14.02.</w:t>
      </w:r>
    </w:p>
    <w:p>
      <w:pPr>
        <w:spacing w:after="0" w:line="150"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Securities of any series issuable or issued in global form,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14"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shall be legal tender for the payment of public and private debts.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 of the Currency Unit</w:t>
      </w:r>
      <w:r>
        <w:rPr>
          <w:rFonts w:ascii="Times New Roman" w:cs="Times New Roman" w:eastAsia="Times New Roman" w:hAnsi="Times New Roman"/>
          <w:sz w:val="18"/>
          <w:szCs w:val="18"/>
          <w:color w:val="auto"/>
        </w:rPr>
        <w:t>" has the meaning specified in Section 3.12(g).</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 of the Foreign Currency</w:t>
      </w:r>
      <w:r>
        <w:rPr>
          <w:rFonts w:ascii="Times New Roman" w:cs="Times New Roman" w:eastAsia="Times New Roman" w:hAnsi="Times New Roman"/>
          <w:sz w:val="18"/>
          <w:szCs w:val="18"/>
          <w:color w:val="auto"/>
        </w:rPr>
        <w:t>" has the meaning specified in Section 3.12(f).</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 has the meaning specified in Section 3.12(h).</w:t>
      </w:r>
    </w:p>
    <w:p>
      <w:pPr>
        <w:spacing w:after="0" w:line="150"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means the single currency of the participating member states from time to time of the European Union described in legislation of the European Counsel for the operation of a single unified European currency (whether known as the Euro or otherwise).</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has the meaning specified in Section 3.04.</w:t>
      </w:r>
    </w:p>
    <w:p>
      <w:pPr>
        <w:spacing w:after="0" w:line="150"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 Agent</w:t>
      </w:r>
      <w:r>
        <w:rPr>
          <w:rFonts w:ascii="Times New Roman" w:cs="Times New Roman" w:eastAsia="Times New Roman" w:hAnsi="Times New Roman"/>
          <w:sz w:val="18"/>
          <w:szCs w:val="18"/>
          <w:color w:val="auto"/>
        </w:rPr>
        <w:t>" means, with respect to Securities of or within any series, unless otherwise specified with respect to any Securities pursuant to Section 3.01, a New York clearing house bank, designated pursuant to Section 3.01 or Section 3.13.</w:t>
      </w:r>
    </w:p>
    <w:p>
      <w:pPr>
        <w:spacing w:after="0" w:line="88" w:lineRule="exact"/>
        <w:rPr>
          <w:sz w:val="20"/>
          <w:szCs w:val="20"/>
          <w:color w:val="auto"/>
        </w:rPr>
      </w:pPr>
    </w:p>
    <w:p>
      <w:pPr>
        <w:jc w:val="both"/>
        <w:ind w:firstLine="55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 Officer's Certificate</w:t>
      </w:r>
      <w:r>
        <w:rPr>
          <w:rFonts w:ascii="Times New Roman" w:cs="Times New Roman" w:eastAsia="Times New Roman" w:hAnsi="Times New Roman"/>
          <w:sz w:val="18"/>
          <w:szCs w:val="18"/>
          <w:color w:val="auto"/>
        </w:rPr>
        <w:t>" means a tested telex or a certificate setting forth (i) the applicable Market Exchange Rate and (ii) the Dollar or Foreign Currency amounts of principal,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w:t>
      </w:r>
    </w:p>
    <w:p>
      <w:pPr>
        <w:spacing w:after="0" w:line="1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has the meaning specified in Section 3.08.</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has the meaning specified in Section 3.08.</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0" w:name="page61"/>
    <w:bookmarkEnd w:id="60"/>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w:t>
      </w:r>
      <w:r>
        <w:rPr>
          <w:rFonts w:ascii="Times New Roman" w:cs="Times New Roman" w:eastAsia="Times New Roman" w:hAnsi="Times New Roman"/>
          <w:sz w:val="18"/>
          <w:szCs w:val="18"/>
          <w:color w:val="auto"/>
        </w:rPr>
        <w:t>" has the meaning specified in Section 3.08.</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has the meaning specified in Section 1.15.</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any Currency other than Currency of the United States.</w:t>
      </w:r>
    </w:p>
    <w:p>
      <w:pPr>
        <w:spacing w:after="0" w:line="150"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Obligations</w:t>
      </w:r>
      <w:r>
        <w:rPr>
          <w:rFonts w:ascii="Times New Roman" w:cs="Times New Roman" w:eastAsia="Times New Roman" w:hAnsi="Times New Roman"/>
          <w:sz w:val="18"/>
          <w:szCs w:val="18"/>
          <w:color w:val="auto"/>
        </w:rPr>
        <w:t xml:space="preserve">"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a Security is registered in the Security Register.</w:t>
      </w:r>
    </w:p>
    <w:p>
      <w:pPr>
        <w:spacing w:after="0" w:line="162"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14"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76"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means interest payable after Maturity at the rate prescribed in such Original Issue Discount Security.</w:t>
      </w:r>
    </w:p>
    <w:p>
      <w:pPr>
        <w:spacing w:after="0" w:line="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has the meaning specified in Section 1.14.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1" w:name="page62"/>
    <w:bookmarkEnd w:id="61"/>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162" w:lineRule="exact"/>
        <w:rPr>
          <w:sz w:val="20"/>
          <w:szCs w:val="20"/>
          <w:color w:val="auto"/>
        </w:rPr>
      </w:pPr>
    </w:p>
    <w:p>
      <w:pPr>
        <w:jc w:val="both"/>
        <w:ind w:firstLine="553"/>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Exchange Rate</w:t>
      </w:r>
      <w:r>
        <w:rPr>
          <w:rFonts w:ascii="Times New Roman" w:cs="Times New Roman" w:eastAsia="Times New Roman" w:hAnsi="Times New Roman"/>
          <w:sz w:val="18"/>
          <w:szCs w:val="18"/>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16" w:lineRule="exact"/>
        <w:rPr>
          <w:sz w:val="20"/>
          <w:szCs w:val="20"/>
          <w:color w:val="auto"/>
        </w:rPr>
      </w:pPr>
    </w:p>
    <w:p>
      <w:pPr>
        <w:jc w:val="both"/>
        <w:ind w:right="20"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has the meaning specified in Section 5.01.</w:t>
      </w:r>
    </w:p>
    <w:p>
      <w:pPr>
        <w:spacing w:after="0" w:line="162" w:lineRule="exact"/>
        <w:rPr>
          <w:sz w:val="20"/>
          <w:szCs w:val="20"/>
          <w:color w:val="auto"/>
        </w:rPr>
      </w:pPr>
    </w:p>
    <w:p>
      <w:pPr>
        <w:jc w:val="both"/>
        <w:ind w:right="20"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 of the Board of Directors, the Chief Executive Officer, the President, the Chief Financial Officer, the Chief Operating Officer, any Executive Vice President, any Vice President, the Treasurer or the Corporate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which shall comply with this Indenture, signed by an Officer and delivered to the Trustees.</w:t>
      </w:r>
    </w:p>
    <w:p>
      <w:pPr>
        <w:spacing w:after="0" w:line="150"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counsel, who may be counsel for the Company, including an employee of the Company, which opinion may contain customary exceptions and qualifications as to the matters set forth therein.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2" w:name="page63"/>
    <w:bookmarkEnd w:id="62"/>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Reset Date</w:t>
      </w:r>
      <w:r>
        <w:rPr>
          <w:rFonts w:ascii="Times New Roman" w:cs="Times New Roman" w:eastAsia="Times New Roman" w:hAnsi="Times New Roman"/>
          <w:sz w:val="18"/>
          <w:szCs w:val="18"/>
          <w:color w:val="auto"/>
        </w:rPr>
        <w:t>" has the meaning specified in Section 3.07.</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162" w:lineRule="exact"/>
        <w:rPr>
          <w:sz w:val="20"/>
          <w:szCs w:val="20"/>
          <w:color w:val="auto"/>
        </w:rPr>
      </w:pPr>
    </w:p>
    <w:p>
      <w:pPr>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Discount Security</w:t>
      </w:r>
      <w:r>
        <w:rPr>
          <w:rFonts w:ascii="Times New Roman" w:cs="Times New Roman" w:eastAsia="Times New Roman" w:hAnsi="Times New Roman"/>
          <w:sz w:val="18"/>
          <w:szCs w:val="18"/>
          <w:color w:val="auto"/>
        </w:rPr>
        <w:t>" means any Security which provides for an amount less than the principal amount thereof to be due and payable upon a declaration of acceleration of the Maturity thereof pursuant to Section 5.02.</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Stated Maturity</w:t>
      </w:r>
      <w:r>
        <w:rPr>
          <w:rFonts w:ascii="Times New Roman" w:cs="Times New Roman" w:eastAsia="Times New Roman" w:hAnsi="Times New Roman"/>
          <w:sz w:val="18"/>
          <w:szCs w:val="18"/>
          <w:color w:val="auto"/>
        </w:rPr>
        <w:t>" has the meaning specified in Section 3.08.</w:t>
      </w:r>
    </w:p>
    <w:p>
      <w:pPr>
        <w:spacing w:after="0" w:line="150" w:lineRule="exact"/>
        <w:rPr>
          <w:sz w:val="20"/>
          <w:szCs w:val="20"/>
          <w:color w:val="auto"/>
        </w:rPr>
      </w:pPr>
    </w:p>
    <w:p>
      <w:pPr>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92" w:lineRule="exact"/>
        <w:rPr>
          <w:sz w:val="20"/>
          <w:szCs w:val="20"/>
          <w:color w:val="auto"/>
        </w:rPr>
      </w:pPr>
    </w:p>
    <w:p>
      <w:pPr>
        <w:ind w:left="1120" w:hanging="575"/>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either Trustee or delivered to either Trustee for cancellation;</w:t>
      </w:r>
    </w:p>
    <w:p>
      <w:pPr>
        <w:spacing w:after="0" w:line="150" w:lineRule="exact"/>
        <w:rPr>
          <w:rFonts w:ascii="Times New Roman" w:cs="Times New Roman" w:eastAsia="Times New Roman" w:hAnsi="Times New Roman"/>
          <w:sz w:val="18"/>
          <w:szCs w:val="18"/>
          <w:color w:val="auto"/>
        </w:rPr>
      </w:pPr>
    </w:p>
    <w:p>
      <w:pPr>
        <w:jc w:val="both"/>
        <w:ind w:left="1100" w:hanging="555"/>
        <w:spacing w:after="0" w:line="250" w:lineRule="auto"/>
        <w:tabs>
          <w:tab w:leader="none" w:pos="11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or repayment at the option of the Holder, money in the necessary amount has been theretofore deposited with either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Securities are to be redeemed, notice of such redemption has been duly given pursuant to this Indenture or provision therefor satisfactory to the Trustees has been made;</w:t>
      </w:r>
    </w:p>
    <w:p>
      <w:pPr>
        <w:spacing w:after="0" w:line="108"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 14.02 and Section 14.03, with respect to which the Company has effected defeasance and/or covenant defeasance as provided in Article Fourteen; and</w:t>
      </w:r>
    </w:p>
    <w:p>
      <w:pPr>
        <w:spacing w:after="0" w:line="96"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bona fide purchaser in whose hands such Securities are valid obligations of the Company;</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authorization, direction, notice, consent or waiver hereunder,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3" w:name="page64"/>
    <w:bookmarkEnd w:id="63"/>
    <w:p>
      <w:pPr>
        <w:jc w:val="both"/>
        <w:ind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any Person (including the Company acting as Paying Agent) authorized by the Company to pay the principal of, premium (if any) or interest (if any) on any Securities on behalf of the Company. Such Person must be capable of making payment in the Currency of the issued Security.</w:t>
      </w:r>
    </w:p>
    <w:p>
      <w:pPr>
        <w:spacing w:after="0" w:line="95" w:lineRule="exact"/>
        <w:rPr>
          <w:sz w:val="20"/>
          <w:szCs w:val="20"/>
          <w:color w:val="auto"/>
        </w:rPr>
      </w:pPr>
    </w:p>
    <w:p>
      <w:pPr>
        <w:jc w:val="both"/>
        <w:ind w:right="20"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body corporate, partnership, limited partnership, limited liability partnership, joint venture, limited liability company, unlimited liability company, association, joint-stock company, trust, unincorporated organization or government or any agency or political subdivision thereof.</w:t>
      </w:r>
    </w:p>
    <w:p>
      <w:pPr>
        <w:spacing w:after="0" w:line="108"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 of Payment</w:t>
      </w:r>
      <w:r>
        <w:rPr>
          <w:rFonts w:ascii="Times New Roman" w:cs="Times New Roman" w:eastAsia="Times New Roman" w:hAnsi="Times New Roman"/>
          <w:sz w:val="18"/>
          <w:szCs w:val="18"/>
          <w:color w:val="auto"/>
        </w:rPr>
        <w:t>" means, when used with respect to the Securities of or within any series, each place where the principal of, premium (if any) and interest (if any) on such Securities are payable as specified as contemplated by Sections 3.01 and 10.02.</w:t>
      </w:r>
    </w:p>
    <w:p>
      <w:pPr>
        <w:spacing w:after="0" w:line="76"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has the meaning specified in Section 6.14.</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rate(s) of exchange</w:t>
      </w:r>
      <w:r>
        <w:rPr>
          <w:rFonts w:ascii="Times New Roman" w:cs="Times New Roman" w:eastAsia="Times New Roman" w:hAnsi="Times New Roman"/>
          <w:sz w:val="18"/>
          <w:szCs w:val="18"/>
          <w:color w:val="auto"/>
        </w:rPr>
        <w:t>" has the meaning specified in Section 1.14.</w:t>
      </w:r>
    </w:p>
    <w:p>
      <w:pPr>
        <w:spacing w:after="0" w:line="150"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76"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when used with respect to any Security to be redeemed, in whole or in part, means the price at which it is to be redeemed pursuant to this Indenture, plus accrued and unpaid interest thereon to the Redemption Date.</w:t>
      </w:r>
    </w:p>
    <w:p>
      <w:pPr>
        <w:spacing w:after="0" w:line="88"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for the interest payable on any Interest Payment Date on the Securities of or within any series means the date specified for that purpose as contemplated by Section 3.01.</w:t>
      </w:r>
    </w:p>
    <w:p>
      <w:pPr>
        <w:spacing w:after="0" w:line="76"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pursuant to this Indenture.</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Reset Notice</w:t>
      </w:r>
      <w:r>
        <w:rPr>
          <w:rFonts w:ascii="Times New Roman" w:cs="Times New Roman" w:eastAsia="Times New Roman" w:hAnsi="Times New Roman"/>
          <w:sz w:val="18"/>
          <w:szCs w:val="18"/>
          <w:color w:val="auto"/>
        </w:rPr>
        <w:t>" has the meaning specified in Section 3.07.</w:t>
      </w:r>
    </w:p>
    <w:p>
      <w:pPr>
        <w:spacing w:after="0" w:line="162" w:lineRule="exact"/>
        <w:rPr>
          <w:sz w:val="20"/>
          <w:szCs w:val="20"/>
          <w:color w:val="auto"/>
        </w:rPr>
      </w:pPr>
    </w:p>
    <w:p>
      <w:pPr>
        <w:jc w:val="both"/>
        <w:ind w:firstLine="55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4" w:name="page65"/>
    <w:bookmarkEnd w:id="64"/>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has the meaning stated in the first recital of this Indenture and more particularly means any Securities authenticated and delivered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162"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Record Date</w:t>
      </w:r>
      <w:r>
        <w:rPr>
          <w:rFonts w:ascii="Times New Roman" w:cs="Times New Roman" w:eastAsia="Times New Roman" w:hAnsi="Times New Roman"/>
          <w:sz w:val="18"/>
          <w:szCs w:val="18"/>
          <w:color w:val="auto"/>
        </w:rPr>
        <w:t>" for the payment of any Defaulted Interest on the Securities of or within any series means a date fixed by the Trustees pursuant to Section 3.07.</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has the meaning specified in Section 3.12(h).</w:t>
      </w:r>
    </w:p>
    <w:p>
      <w:pPr>
        <w:spacing w:after="0" w:line="150" w:lineRule="exact"/>
        <w:rPr>
          <w:sz w:val="20"/>
          <w:szCs w:val="20"/>
          <w:color w:val="auto"/>
        </w:rPr>
      </w:pPr>
    </w:p>
    <w:p>
      <w:pPr>
        <w:jc w:val="both"/>
        <w:ind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 (if applicable).</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Interest Period</w:t>
      </w:r>
      <w:r>
        <w:rPr>
          <w:rFonts w:ascii="Times New Roman" w:cs="Times New Roman" w:eastAsia="Times New Roman" w:hAnsi="Times New Roman"/>
          <w:sz w:val="18"/>
          <w:szCs w:val="18"/>
          <w:color w:val="auto"/>
        </w:rPr>
        <w:t>" has the meaning specified in Section 3.07.</w:t>
      </w:r>
    </w:p>
    <w:p>
      <w:pPr>
        <w:spacing w:after="0" w:line="150" w:lineRule="exact"/>
        <w:rPr>
          <w:sz w:val="20"/>
          <w:szCs w:val="20"/>
          <w:color w:val="auto"/>
        </w:rPr>
      </w:pPr>
    </w:p>
    <w:p>
      <w:pPr>
        <w:jc w:val="both"/>
        <w:ind w:firstLine="553"/>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the United States Trust Indenture Act of 1939, as amended, as in force at the date as of which this Indenture was executed, except as provided in Section 9.05.</w:t>
      </w:r>
    </w:p>
    <w:p>
      <w:pPr>
        <w:spacing w:after="0" w:line="76" w:lineRule="exact"/>
        <w:rPr>
          <w:sz w:val="20"/>
          <w:szCs w:val="20"/>
          <w:color w:val="auto"/>
        </w:rPr>
      </w:pPr>
    </w:p>
    <w:p>
      <w:pPr>
        <w:jc w:val="both"/>
        <w:ind w:firstLine="55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Legislation</w:t>
      </w:r>
      <w:r>
        <w:rPr>
          <w:rFonts w:ascii="Times New Roman" w:cs="Times New Roman" w:eastAsia="Times New Roman" w:hAnsi="Times New Roman"/>
          <w:sz w:val="18"/>
          <w:szCs w:val="18"/>
          <w:color w:val="auto"/>
        </w:rPr>
        <w:t>" means, at any time, the provisions of (i) any applicable statute of Canada or any province or territory thereof and the regulations thereunder as amended or re-enacted from time to time, but only to the extent applicable, or (ii) the Trust Indenture Act and regulations thereunder, but only to the extent applicable,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w:t>
      </w:r>
    </w:p>
    <w:p>
      <w:pPr>
        <w:spacing w:after="0" w:line="115" w:lineRule="exact"/>
        <w:rPr>
          <w:sz w:val="20"/>
          <w:szCs w:val="20"/>
          <w:color w:val="auto"/>
        </w:rPr>
      </w:pPr>
    </w:p>
    <w:p>
      <w:pPr>
        <w:jc w:val="both"/>
        <w:ind w:firstLine="55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pursuant to the applicable provisions of this Indenture. Except to the extent otherwise indicated, "Trustees" shall refer to the Canadian Trustee (if appointed and still serving) and the U.S. Trustee, both jointly and individually.</w:t>
      </w:r>
    </w:p>
    <w:p>
      <w:pPr>
        <w:spacing w:after="0" w:line="1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Federal Bankruptcy Code</w:t>
      </w:r>
      <w:r>
        <w:rPr>
          <w:rFonts w:ascii="Times New Roman" w:cs="Times New Roman" w:eastAsia="Times New Roman" w:hAnsi="Times New Roman"/>
          <w:sz w:val="18"/>
          <w:szCs w:val="18"/>
          <w:color w:val="auto"/>
        </w:rPr>
        <w:t>" means the Bankruptcy Act of Title 11 of the United States Code, as amended from time to time.</w:t>
      </w:r>
    </w:p>
    <w:p>
      <w:pPr>
        <w:spacing w:after="0" w:line="150"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Trustee</w:t>
      </w:r>
      <w:r>
        <w:rPr>
          <w:rFonts w:ascii="Times New Roman" w:cs="Times New Roman" w:eastAsia="Times New Roman" w:hAnsi="Times New Roman"/>
          <w:sz w:val="18"/>
          <w:szCs w:val="18"/>
          <w:color w:val="auto"/>
        </w:rPr>
        <w:t xml:space="preserv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there is more than one such Person, "U.S. Trustee" as used with respect to the Securities of any series shall mean only the U.S. Trustee with respect to Securities of that series.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5" w:name="page66"/>
    <w:bookmarkEnd w:id="65"/>
    <w:p>
      <w:pPr>
        <w:jc w:val="both"/>
        <w:ind w:firstLine="55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77" w:lineRule="exact"/>
        <w:rPr>
          <w:sz w:val="20"/>
          <w:szCs w:val="20"/>
          <w:color w:val="auto"/>
        </w:rPr>
      </w:pPr>
    </w:p>
    <w:p>
      <w:pPr>
        <w:jc w:val="both"/>
        <w:ind w:firstLine="553"/>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(including any entity treated as a corporation or as a partnership for United States federal income tax purposes) or other entity created or organized in or under the laws of the United States, any state thereof or the District of Columbia,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United States Treasury Regulations to be treated as a United States person.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Date</w:t>
      </w:r>
      <w:r>
        <w:rPr>
          <w:rFonts w:ascii="Times New Roman" w:cs="Times New Roman" w:eastAsia="Times New Roman" w:hAnsi="Times New Roman"/>
          <w:sz w:val="18"/>
          <w:szCs w:val="18"/>
          <w:color w:val="auto"/>
        </w:rPr>
        <w:t>" has the meaning specified in Section 3.12(c).</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has the meaning specified in Section 6.13.</w:t>
      </w:r>
    </w:p>
    <w:p>
      <w:pPr>
        <w:spacing w:after="0" w:line="150" w:lineRule="exact"/>
        <w:rPr>
          <w:sz w:val="20"/>
          <w:szCs w:val="20"/>
          <w:color w:val="auto"/>
        </w:rPr>
      </w:pPr>
    </w:p>
    <w:p>
      <w:pPr>
        <w:jc w:val="both"/>
        <w:ind w:right="20" w:firstLine="55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0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8"/>
          <w:szCs w:val="18"/>
          <w:b w:val="1"/>
          <w:bCs w:val="1"/>
          <w:color w:val="auto"/>
        </w:rPr>
        <w:t>Rules of Construction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50" w:lineRule="exact"/>
        <w:rPr>
          <w:sz w:val="20"/>
          <w:szCs w:val="20"/>
          <w:color w:val="auto"/>
        </w:rPr>
      </w:pPr>
    </w:p>
    <w:p>
      <w:pPr>
        <w:ind w:left="1140" w:hanging="59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Indenture have the meanings assigned to them herein and include the plural as well as the singular;</w:t>
      </w:r>
    </w:p>
    <w:p>
      <w:pPr>
        <w:spacing w:after="0" w:line="161"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herein which are defined in the Trust Indenture Act, either directly or by reference therein, have the meanings assigned to them therein, and the terms "cash transaction" and "self-liquidating paper," as used in TIA Section 319, shall have the meanings assigned to them in the rules of the Commission adopted under the Trust Indenture Act;</w:t>
      </w:r>
    </w:p>
    <w:p>
      <w:pPr>
        <w:spacing w:after="0" w:line="101"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84"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61"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implying any gender shall apply to all genders;</w:t>
      </w:r>
    </w:p>
    <w:p>
      <w:pPr>
        <w:spacing w:after="0" w:line="150"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Subsection, Section and Article refer to the Subsections, Sections and Articles, respectively, of this Indenture unless otherwise noted;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6" w:name="page67"/>
    <w:bookmarkEnd w:id="66"/>
    <w:p>
      <w:pPr>
        <w:ind w:left="1140" w:hanging="59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"includes" or "including" means include, includes or including, in each case, without limitation.</w:t>
      </w:r>
    </w:p>
    <w:p>
      <w:pPr>
        <w:spacing w:after="0" w:line="147"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1.03</w:t>
      </w:r>
      <w:r>
        <w:rPr>
          <w:sz w:val="20"/>
          <w:szCs w:val="20"/>
          <w:color w:val="auto"/>
        </w:rPr>
        <w:tab/>
      </w:r>
      <w:r>
        <w:rPr>
          <w:rFonts w:ascii="Times New Roman" w:cs="Times New Roman" w:eastAsia="Times New Roman" w:hAnsi="Times New Roman"/>
          <w:sz w:val="18"/>
          <w:szCs w:val="18"/>
          <w:b w:val="1"/>
          <w:bCs w:val="1"/>
          <w:color w:val="auto"/>
        </w:rPr>
        <w:t>Compliance Certificates and Opinions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Every certificate or opinion with respect to compliance with a covenant or condition provided for in this Indenture (other than pursuant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10.04) shall include:</w:t>
      </w:r>
    </w:p>
    <w:p>
      <w:pPr>
        <w:spacing w:after="0" w:line="130" w:lineRule="exact"/>
        <w:rPr>
          <w:sz w:val="20"/>
          <w:szCs w:val="20"/>
          <w:color w:val="auto"/>
        </w:rPr>
      </w:pPr>
    </w:p>
    <w:p>
      <w:pPr>
        <w:ind w:left="1100" w:hanging="555"/>
        <w:spacing w:after="0" w:line="278" w:lineRule="auto"/>
        <w:tabs>
          <w:tab w:leader="none" w:pos="11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 thereto;</w:t>
      </w:r>
    </w:p>
    <w:p>
      <w:pPr>
        <w:spacing w:after="0" w:line="96"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84"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84"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covenant or condition has been complied with.</w:t>
      </w:r>
    </w:p>
    <w:p>
      <w:pPr>
        <w:spacing w:after="0" w:line="15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1.04</w:t>
      </w:r>
      <w:r>
        <w:rPr>
          <w:sz w:val="20"/>
          <w:szCs w:val="20"/>
          <w:color w:val="auto"/>
        </w:rPr>
        <w:tab/>
      </w:r>
      <w:r>
        <w:rPr>
          <w:rFonts w:ascii="Times New Roman" w:cs="Times New Roman" w:eastAsia="Times New Roman" w:hAnsi="Times New Roman"/>
          <w:sz w:val="18"/>
          <w:szCs w:val="18"/>
          <w:b w:val="1"/>
          <w:bCs w:val="1"/>
          <w:color w:val="auto"/>
        </w:rPr>
        <w:t>Form of Documents Delivered to Trustees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with respect to other matters, and any such Person may certify or give an opinion as to such matters in one or several documents.</w:t>
      </w:r>
    </w:p>
    <w:p>
      <w:pPr>
        <w:spacing w:after="0" w:line="106"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22"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Any certificate or opinion of an officer of the Company or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67" w:name="page68"/>
    <w:bookmarkEnd w:id="67"/>
    <w:p>
      <w:pPr>
        <w:ind w:right="20" w:firstLine="553"/>
        <w:spacing w:after="0" w:line="280"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7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1.05</w:t>
      </w:r>
      <w:r>
        <w:rPr>
          <w:sz w:val="20"/>
          <w:szCs w:val="20"/>
          <w:color w:val="auto"/>
        </w:rPr>
        <w:tab/>
      </w:r>
      <w:r>
        <w:rPr>
          <w:rFonts w:ascii="Times New Roman" w:cs="Times New Roman" w:eastAsia="Times New Roman" w:hAnsi="Times New Roman"/>
          <w:sz w:val="18"/>
          <w:szCs w:val="18"/>
          <w:b w:val="1"/>
          <w:bCs w:val="1"/>
          <w:color w:val="auto"/>
        </w:rPr>
        <w:t>Acts of Holders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45"/>
        <w:spacing w:after="0" w:line="245" w:lineRule="auto"/>
        <w:tabs>
          <w:tab w:leader="none" w:pos="11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1.05. The Trustees may make reasonable rules for action by or at a meeting of Holders.</w:t>
      </w:r>
    </w:p>
    <w:p>
      <w:pPr>
        <w:spacing w:after="0" w:line="113" w:lineRule="exact"/>
        <w:rPr>
          <w:rFonts w:ascii="Times New Roman" w:cs="Times New Roman" w:eastAsia="Times New Roman" w:hAnsi="Times New Roman"/>
          <w:sz w:val="18"/>
          <w:szCs w:val="18"/>
          <w:color w:val="auto"/>
        </w:rPr>
      </w:pPr>
    </w:p>
    <w:p>
      <w:pPr>
        <w:jc w:val="both"/>
        <w:ind w:right="20" w:firstLine="545"/>
        <w:spacing w:after="0" w:line="250" w:lineRule="auto"/>
        <w:tabs>
          <w:tab w:leader="none" w:pos="11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Trustees deem sufficient.</w:t>
      </w:r>
    </w:p>
    <w:p>
      <w:pPr>
        <w:spacing w:after="0" w:line="108" w:lineRule="exact"/>
        <w:rPr>
          <w:rFonts w:ascii="Times New Roman" w:cs="Times New Roman" w:eastAsia="Times New Roman" w:hAnsi="Times New Roman"/>
          <w:sz w:val="18"/>
          <w:szCs w:val="18"/>
          <w:color w:val="auto"/>
        </w:rPr>
      </w:pPr>
    </w:p>
    <w:p>
      <w:pPr>
        <w:ind w:left="1120" w:hanging="575"/>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the Securities, including the principal amount  and the date of holding the same, shall be proved by the Security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w:t>
      </w:r>
    </w:p>
    <w:p>
      <w:pPr>
        <w:spacing w:after="0" w:line="141" w:lineRule="exact"/>
        <w:rPr>
          <w:rFonts w:ascii="Times New Roman" w:cs="Times New Roman" w:eastAsia="Times New Roman" w:hAnsi="Times New Roman"/>
          <w:sz w:val="18"/>
          <w:szCs w:val="18"/>
          <w:color w:val="auto"/>
        </w:rPr>
      </w:pPr>
    </w:p>
    <w:p>
      <w:pPr>
        <w:jc w:val="both"/>
        <w:ind w:firstLine="545"/>
        <w:spacing w:after="0" w:line="244" w:lineRule="auto"/>
        <w:tabs>
          <w:tab w:leader="none" w:pos="11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Trust Indenture Legislation, including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8" w:name="page69"/>
    <w:bookmarkEnd w:id="68"/>
    <w:p>
      <w:pPr>
        <w:jc w:val="both"/>
        <w:ind w:firstLine="545"/>
        <w:spacing w:after="0" w:line="253" w:lineRule="auto"/>
        <w:tabs>
          <w:tab w:leader="none" w:pos="11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w:t>
      </w:r>
    </w:p>
    <w:p>
      <w:pPr>
        <w:spacing w:after="0" w:line="10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1.06</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documents provided or permitted by this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be made upon, given or furnished to, or filed with:</w:t>
      </w:r>
    </w:p>
    <w:p>
      <w:pPr>
        <w:spacing w:after="0" w:line="130" w:lineRule="exact"/>
        <w:rPr>
          <w:sz w:val="20"/>
          <w:szCs w:val="20"/>
          <w:color w:val="auto"/>
        </w:rPr>
      </w:pPr>
    </w:p>
    <w:p>
      <w:pPr>
        <w:ind w:left="1100" w:right="20" w:hanging="555"/>
        <w:spacing w:after="0" w:line="278" w:lineRule="auto"/>
        <w:tabs>
          <w:tab w:leader="none" w:pos="11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Trustee, by the Canadian Trustee, any Holder or by the Company shall be sufficient for every purpose hereunder if made, given, furnished or filed in writing to or with the U.S. Trustee at its Corporate Trust Office, Attention: ________________, or</w:t>
      </w:r>
    </w:p>
    <w:p>
      <w:pPr>
        <w:spacing w:after="0" w:line="84"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Trustee, by the U.S. Trustee, any Holder or by the Company shall be sufficient for every purpose hereunder if made, given, furnished or filed in writing to or with the Canadian Trustee at its Corporate Trust Office, Attention: ________________, or</w:t>
      </w:r>
    </w:p>
    <w:p>
      <w:pPr>
        <w:spacing w:after="0" w:line="96"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either Trustee or any Holder shall be sufficient for every purpose hereunder (unless otherwise herein expressly provided) if in writing and mailed, first-class postage prepaid, or sent by overnight courier, to the Company at 100 King Street West, Suite 5600, Toronto, Ontario, Canada M5X 1C9, Attention: Corporate Secretary or such other address and/or officer as the Company may designate on written notice to the Trustees.</w:t>
      </w:r>
    </w:p>
    <w:p>
      <w:pPr>
        <w:spacing w:after="0" w:line="10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1.07</w:t>
      </w:r>
      <w:r>
        <w:rPr>
          <w:sz w:val="20"/>
          <w:szCs w:val="20"/>
          <w:color w:val="auto"/>
        </w:rPr>
        <w:tab/>
      </w:r>
      <w:r>
        <w:rPr>
          <w:rFonts w:ascii="Times New Roman" w:cs="Times New Roman" w:eastAsia="Times New Roman" w:hAnsi="Times New Roman"/>
          <w:sz w:val="18"/>
          <w:szCs w:val="18"/>
          <w:b w:val="1"/>
          <w:bCs w:val="1"/>
          <w:color w:val="auto"/>
        </w:rPr>
        <w:t>Notice to Holders; Waiver</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Where this Indenture provides for notice of any event to Holders of Securities by the Company or the Trustees, such notice shall be sufficiently given (unless otherwise herein expressly provided) if in writing and mailed, first-class postage prepaid, to each such Holder affected by such event, at his address as it appears in the Security Register. In any case where notice to Holders of Securities is given by mail, neither the failure to mail such notice, nor any defect in any notice so mailed, to any particular Holder shall affect the sufficiency of such notice with respect to other Holders of Securities. Any notice mailed to a Holder in the manner herein prescribed shall be conclusively deemed to have been received by such Holder, whether or not such Holder actually receives such notice.</w:t>
      </w:r>
    </w:p>
    <w:p>
      <w:pPr>
        <w:spacing w:after="0" w:line="122"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or by reason of any other cause, it shall be impractical to mail notice of any event to Holders of Securities when such notice is required to be given pursuant to any provision of this Indenture, then any manner of giving such notice as shall be satisfactory to the Trustees shall be deemed to be sufficient giving of such notice for every purpose hereunder.</w:t>
      </w:r>
    </w:p>
    <w:p>
      <w:pPr>
        <w:spacing w:after="0" w:line="102"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69" w:name="page70"/>
    <w:bookmarkEnd w:id="69"/>
    <w:p>
      <w:pPr>
        <w:jc w:val="both"/>
        <w:ind w:firstLine="553"/>
        <w:spacing w:after="0" w:line="260"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w:t>
      </w:r>
    </w:p>
    <w:p>
      <w:pPr>
        <w:spacing w:after="0" w:line="9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1.08</w:t>
      </w:r>
      <w:r>
        <w:rPr>
          <w:sz w:val="20"/>
          <w:szCs w:val="20"/>
          <w:color w:val="auto"/>
        </w:rPr>
        <w:tab/>
      </w:r>
      <w:r>
        <w:rPr>
          <w:rFonts w:ascii="Times New Roman" w:cs="Times New Roman" w:eastAsia="Times New Roman" w:hAnsi="Times New Roman"/>
          <w:sz w:val="18"/>
          <w:szCs w:val="18"/>
          <w:b w:val="1"/>
          <w:bCs w:val="1"/>
          <w:color w:val="auto"/>
        </w:rPr>
        <w:t>Effect of Headings and Table of Contents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14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1.09</w:t>
      </w:r>
      <w:r>
        <w:rPr>
          <w:sz w:val="20"/>
          <w:szCs w:val="20"/>
          <w:color w:val="auto"/>
        </w:rPr>
        <w:tab/>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covenants and agreements in this Indenture by the Company and the Trustees shall bind their successors and assigns, whether so expressed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not.</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w:t>
      </w:r>
      <w:r>
        <w:rPr>
          <w:sz w:val="20"/>
          <w:szCs w:val="20"/>
          <w:color w:val="auto"/>
        </w:rPr>
        <w:tab/>
      </w:r>
      <w:r>
        <w:rPr>
          <w:rFonts w:ascii="Times New Roman" w:cs="Times New Roman" w:eastAsia="Times New Roman" w:hAnsi="Times New Roman"/>
          <w:sz w:val="18"/>
          <w:szCs w:val="18"/>
          <w:b w:val="1"/>
          <w:bCs w:val="1"/>
          <w:color w:val="auto"/>
        </w:rPr>
        <w:t>Severability Clause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8"/>
          <w:szCs w:val="18"/>
          <w:b w:val="1"/>
          <w:bCs w:val="1"/>
          <w:color w:val="auto"/>
        </w:rPr>
        <w:t>Benefits of Indenture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to any Person, other than the parties hereto, any Authenticating Agent, any Paying Agent, any Securities Registrar and their successors hereunder and the Holders of Securities,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w:t>
      </w:r>
    </w:p>
    <w:p>
      <w:pPr>
        <w:spacing w:after="0" w:line="10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6" w:lineRule="auto"/>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 of the State of New York, but without giving effect to applicable principles of conflicts of law to the extent that the application of the law of another jurisdiction would be required thereby. Notwithstanding the preceding sentence, the exercise, performance or discharge by the Canadian Trustee of any of its rights, powers, duties or responsibilities hereunder shall be construed in accordance with the laws of the Province of Ontario and the federal laws of Canada applicable thereto. This Indenture is subject to the provisions of Trust Indenture Legislation that are required to be part of this Indenture and shall, to the extent applicable, be governed by such provisions. Each Trustee and the Company agrees to comply with all provisions of Trust Indenture Legislation applicable to or binding upon it in connection with this Indenture and any action to be taken hereunder.</w:t>
      </w:r>
    </w:p>
    <w:p>
      <w:pPr>
        <w:spacing w:after="0" w:line="12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1.13</w:t>
      </w:r>
      <w:r>
        <w:rPr>
          <w:sz w:val="20"/>
          <w:szCs w:val="20"/>
          <w:color w:val="auto"/>
        </w:rPr>
        <w:tab/>
      </w:r>
      <w:r>
        <w:rPr>
          <w:rFonts w:ascii="Times New Roman" w:cs="Times New Roman" w:eastAsia="Times New Roman" w:hAnsi="Times New Roman"/>
          <w:sz w:val="18"/>
          <w:szCs w:val="18"/>
          <w:b w:val="1"/>
          <w:bCs w:val="1"/>
          <w:color w:val="auto"/>
        </w:rPr>
        <w:t>Legal Holidays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other than a provision in the Securities of any series which specifically states that such provision shall apply in lieu of this Section 1.13), payment of principal,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shall accrue for the period from and after such Interest Payment Date, Redemption Date, sinking fund payment date, Stated Maturity or Maturity, as the case may be.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0" w:name="page71"/>
    <w:bookmarkEnd w:id="70"/>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1.14</w:t>
      </w:r>
      <w:r>
        <w:rPr>
          <w:sz w:val="20"/>
          <w:szCs w:val="20"/>
          <w:color w:val="auto"/>
        </w:rPr>
        <w:tab/>
      </w:r>
      <w:r>
        <w:rPr>
          <w:rFonts w:ascii="Times New Roman" w:cs="Times New Roman" w:eastAsia="Times New Roman" w:hAnsi="Times New Roman"/>
          <w:sz w:val="18"/>
          <w:szCs w:val="18"/>
          <w:b w:val="1"/>
          <w:bCs w:val="1"/>
          <w:color w:val="auto"/>
        </w:rPr>
        <w:t>Agent for Service; Submission to Jurisdiction; Waiver of Immunities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the execution and delivery of this Indenture, the Company (i) acknowledges that it has irrevocably designated and appointed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 as its authorized agent upon which process may be served in any suit, action or proceeding arising out of or relating to the</w:t>
      </w:r>
    </w:p>
    <w:p>
      <w:pPr>
        <w:jc w:val="both"/>
        <w:spacing w:after="0"/>
        <w:rPr>
          <w:sz w:val="20"/>
          <w:szCs w:val="20"/>
          <w:color w:val="auto"/>
        </w:rPr>
      </w:pPr>
      <w:r>
        <w:rPr>
          <w:rFonts w:ascii="Times New Roman" w:cs="Times New Roman" w:eastAsia="Times New Roman" w:hAnsi="Times New Roman"/>
          <w:sz w:val="18"/>
          <w:szCs w:val="18"/>
          <w:color w:val="auto"/>
        </w:rPr>
        <w:t>Securities or this Indenture that may be instituted in any United States federal or New York state court located in The Borough of Manhattan, The City of New York, or brought by the Trustees (whether in their individual capacity or in their capacity as Trustees hereunder), (ii) irrevocably submits to the non-exclusive jurisdiction of any such court in any such suit or proceeding, and (iii) agrees that service of process upon _____________________ and</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written notice of said service to the Company (mailed or delivered to the Company at 100 King Street West, Suite 5600, Toronto, Ontario, Canada M5X 1C9, Attention: Corporate Secretary or such other address and/or officer as the Company may designate on written notice to the Trustees),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_____________________ in full force and effect so long as this Indenture shall be in full force and effect.</w:t>
      </w:r>
    </w:p>
    <w:p>
      <w:pPr>
        <w:spacing w:after="0" w:line="12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w:t>
      </w:r>
    </w:p>
    <w:p>
      <w:pPr>
        <w:spacing w:after="0" w:line="102"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any such action, suit or proceeding in any such court.</w:t>
      </w:r>
    </w:p>
    <w:p>
      <w:pPr>
        <w:spacing w:after="0" w:line="31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8"/>
          <w:szCs w:val="18"/>
          <w:b w:val="1"/>
          <w:bCs w:val="1"/>
          <w:color w:val="auto"/>
        </w:rPr>
        <w:t>Conversion of Judgment Currency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firstLine="545"/>
        <w:spacing w:after="0" w:line="278" w:lineRule="auto"/>
        <w:tabs>
          <w:tab w:leader="none" w:pos="11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the following provisions shall apply to conversion of Currency in the case of the Securities and this Indenture, to the fullest extent permitted by applicable law:</w:t>
      </w:r>
    </w:p>
    <w:p>
      <w:pPr>
        <w:spacing w:after="0" w:line="84" w:lineRule="exact"/>
        <w:rPr>
          <w:rFonts w:ascii="Times New Roman" w:cs="Times New Roman" w:eastAsia="Times New Roman" w:hAnsi="Times New Roman"/>
          <w:sz w:val="18"/>
          <w:szCs w:val="18"/>
          <w:color w:val="auto"/>
        </w:rPr>
      </w:pPr>
    </w:p>
    <w:p>
      <w:pPr>
        <w:jc w:val="both"/>
        <w:ind w:left="540" w:firstLine="558"/>
        <w:spacing w:after="0" w:line="253" w:lineRule="auto"/>
        <w:tabs>
          <w:tab w:leader="none" w:pos="1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purposes of obtaining judgment in, or enforcing the judgment of, any court in any country, it becomes necessary to convert into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or contingently due in any other Currency under the Securities of any series and this Indenture (the "</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then the conversion shall be made at the rate of exchange prevailing on the Business Day before the day on which the final judgment is given or the order of enforcement is made, as the case may be (unless a court shall otherwise determine).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1" w:name="page72"/>
    <w:bookmarkEnd w:id="71"/>
    <w:p>
      <w:pPr>
        <w:jc w:val="both"/>
        <w:ind w:left="540" w:firstLine="558"/>
        <w:spacing w:after="0" w:line="250" w:lineRule="auto"/>
        <w:tabs>
          <w:tab w:leader="none" w:pos="1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Business Day before the day on which the judgment referred to in (i) 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09" w:lineRule="exact"/>
        <w:rPr>
          <w:rFonts w:ascii="Times New Roman" w:cs="Times New Roman" w:eastAsia="Times New Roman" w:hAnsi="Times New Roman"/>
          <w:sz w:val="18"/>
          <w:szCs w:val="18"/>
          <w:color w:val="auto"/>
        </w:rPr>
      </w:pPr>
    </w:p>
    <w:p>
      <w:pPr>
        <w:jc w:val="both"/>
        <w:ind w:firstLine="545"/>
        <w:spacing w:after="0" w:line="245" w:lineRule="auto"/>
        <w:tabs>
          <w:tab w:leader="none" w:pos="11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w:t>
      </w:r>
    </w:p>
    <w:p>
      <w:pPr>
        <w:spacing w:after="0" w:line="129" w:lineRule="exact"/>
        <w:rPr>
          <w:rFonts w:ascii="Times New Roman" w:cs="Times New Roman" w:eastAsia="Times New Roman" w:hAnsi="Times New Roman"/>
          <w:sz w:val="18"/>
          <w:szCs w:val="18"/>
          <w:color w:val="auto"/>
        </w:rPr>
      </w:pPr>
    </w:p>
    <w:p>
      <w:pPr>
        <w:jc w:val="both"/>
        <w:ind w:firstLine="545"/>
        <w:spacing w:after="0" w:line="245" w:lineRule="auto"/>
        <w:tabs>
          <w:tab w:leader="none" w:pos="11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contained in Subsections (a)(ii) and (b) of this Section 1.15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w:t>
      </w:r>
    </w:p>
    <w:p>
      <w:pPr>
        <w:spacing w:after="0" w:line="114"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rate(s) of exchange</w:t>
      </w:r>
      <w:r>
        <w:rPr>
          <w:rFonts w:ascii="Times New Roman" w:cs="Times New Roman" w:eastAsia="Times New Roman" w:hAnsi="Times New Roman"/>
          <w:sz w:val="18"/>
          <w:szCs w:val="18"/>
          <w:color w:val="auto"/>
        </w:rPr>
        <w:t>" shall mean the rate of exchange quoted by a Canadian chartered bank as may be designated in writing by the Company to the Trustees from time to time, at its central foreign exchange desk in its main office in Toronto at 12:00 noon (Toronto time) on the relevant date for purchases of the Base Currency with the Judgment Currency and includes any premiums and costs of exchange payable. The Trustees shall have no duty or liability with respect to monitoring or enforcing this Section 1.15.</w:t>
      </w:r>
    </w:p>
    <w:p>
      <w:pPr>
        <w:spacing w:after="0" w:line="10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1.16</w:t>
      </w:r>
      <w:r>
        <w:rPr>
          <w:sz w:val="20"/>
          <w:szCs w:val="20"/>
          <w:color w:val="auto"/>
        </w:rPr>
        <w:tab/>
      </w:r>
      <w:r>
        <w:rPr>
          <w:rFonts w:ascii="Times New Roman" w:cs="Times New Roman" w:eastAsia="Times New Roman" w:hAnsi="Times New Roman"/>
          <w:sz w:val="18"/>
          <w:szCs w:val="18"/>
          <w:b w:val="1"/>
          <w:bCs w:val="1"/>
          <w:color w:val="auto"/>
        </w:rPr>
        <w:t>Currency Equivalent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Except as otherwise provided in this Indenture, for purposes of the construction of the terms of this Indenture or of the Securities, in the event that any amount is stated herein in the Currency of one nation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as of any date such amount shall also be deemed to represent the amount in the Currency of any other relevant nation which is required to purchase such amount in the First Currency at the Bank of Canada daily average exchange rate as reported by Telerate on screen 3194 (or such other means of reporting the Bank of Canada daily average exchange rate as may be agreed upon by each of the parties to this Indenture) on the date of determination.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2" w:name="page73"/>
    <w:bookmarkEnd w:id="72"/>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1.17</w:t>
      </w:r>
      <w:r>
        <w:rPr>
          <w:sz w:val="20"/>
          <w:szCs w:val="20"/>
          <w:color w:val="auto"/>
        </w:rPr>
        <w:tab/>
      </w:r>
      <w:r>
        <w:rPr>
          <w:rFonts w:ascii="Times New Roman" w:cs="Times New Roman" w:eastAsia="Times New Roman" w:hAnsi="Times New Roman"/>
          <w:sz w:val="18"/>
          <w:szCs w:val="18"/>
          <w:b w:val="1"/>
          <w:bCs w:val="1"/>
          <w:color w:val="auto"/>
        </w:rPr>
        <w:t>Conflict with Trust Indenture Legislation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w:t>
      </w:r>
    </w:p>
    <w:p>
      <w:pPr>
        <w:spacing w:after="0" w:line="32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1.18</w:t>
      </w:r>
      <w:r>
        <w:rPr>
          <w:sz w:val="20"/>
          <w:szCs w:val="20"/>
          <w:color w:val="auto"/>
        </w:rPr>
        <w:tab/>
      </w:r>
      <w:r>
        <w:rPr>
          <w:rFonts w:ascii="Times New Roman" w:cs="Times New Roman" w:eastAsia="Times New Roman" w:hAnsi="Times New Roman"/>
          <w:sz w:val="18"/>
          <w:szCs w:val="18"/>
          <w:b w:val="1"/>
          <w:bCs w:val="1"/>
          <w:color w:val="auto"/>
        </w:rPr>
        <w:t>Incorporators, Shareholders, Officers and Directors of the Company Exempt from Individual Liability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0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1.19</w:t>
      </w:r>
      <w:r>
        <w:rPr>
          <w:sz w:val="20"/>
          <w:szCs w:val="20"/>
          <w:color w:val="auto"/>
        </w:rPr>
        <w:tab/>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Each of the Company and the Trustees hereby irrevocably waives, to the fullest extent permitted by applicable law, any and all right to trial by jury in any legal proceeding arising out of or relating to this Indenture, the Securities or the transactions contemplated hereby.</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1.20</w:t>
      </w:r>
      <w:r>
        <w:rPr>
          <w:sz w:val="20"/>
          <w:szCs w:val="20"/>
          <w:color w:val="auto"/>
        </w:rPr>
        <w:tab/>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(either by facsimile or by original manual signature), each of which so executed shall be deemed to be an original, but all such counterparts shall together constitute but one and the same Indenture.</w:t>
      </w:r>
    </w:p>
    <w:p>
      <w:pPr>
        <w:spacing w:after="0" w:line="9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1.21.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FORMS</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2.01</w:t>
      </w:r>
      <w:r>
        <w:rPr>
          <w:sz w:val="20"/>
          <w:szCs w:val="20"/>
          <w:color w:val="auto"/>
        </w:rPr>
        <w:tab/>
      </w:r>
      <w:r>
        <w:rPr>
          <w:rFonts w:ascii="Times New Roman" w:cs="Times New Roman" w:eastAsia="Times New Roman" w:hAnsi="Times New Roman"/>
          <w:sz w:val="18"/>
          <w:szCs w:val="18"/>
          <w:b w:val="1"/>
          <w:bCs w:val="1"/>
          <w:color w:val="auto"/>
        </w:rPr>
        <w:t>Forms Generally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The Securities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 as evidenced by the execution of such Securities by such Officer. If the forms of Securities of any series are established by action taken pursuant to a Board Resolution, a copy of an appropriate record of such action shall be certified by the Corporate Secretary or an Assistant Secretary of the Company and delivered to the Trustees at or prior to the delivery of the Company Order contemplated by Section 3.03 for the authentication and delivery of such Securities. Any portion of the text of any Security may be set forth on the reverse thereof, with an appropriate reference thereto on the face of the Security.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3" w:name="page74"/>
    <w:bookmarkEnd w:id="73"/>
    <w:p>
      <w:pPr>
        <w:ind w:left="540"/>
        <w:spacing w:after="0"/>
        <w:rPr>
          <w:sz w:val="20"/>
          <w:szCs w:val="20"/>
          <w:color w:val="auto"/>
        </w:rPr>
      </w:pPr>
      <w:r>
        <w:rPr>
          <w:rFonts w:ascii="Times New Roman" w:cs="Times New Roman" w:eastAsia="Times New Roman" w:hAnsi="Times New Roman"/>
          <w:sz w:val="18"/>
          <w:szCs w:val="18"/>
          <w:color w:val="auto"/>
        </w:rPr>
        <w:t>Either Trustee's certificate of authentication shall be in substantially the form set forth in this Article Two.</w:t>
      </w:r>
    </w:p>
    <w:p>
      <w:pPr>
        <w:spacing w:after="0" w:line="14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2.02</w:t>
      </w:r>
      <w:r>
        <w:rPr>
          <w:sz w:val="20"/>
          <w:szCs w:val="20"/>
          <w:color w:val="auto"/>
        </w:rPr>
        <w:tab/>
      </w:r>
      <w:r>
        <w:rPr>
          <w:rFonts w:ascii="Times New Roman" w:cs="Times New Roman" w:eastAsia="Times New Roman" w:hAnsi="Times New Roman"/>
          <w:sz w:val="18"/>
          <w:szCs w:val="18"/>
          <w:b w:val="1"/>
          <w:bCs w:val="1"/>
          <w:color w:val="auto"/>
        </w:rPr>
        <w:t>Form of Trustee's Certificate of Authentication</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Section 6.12, either Trustee's certificate of authentication shall be in substantially the following form:</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Authentication may be executed by either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 as U.S. Trustee, certifies that this is one of the Securities of the series designated therein referred to in the within-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___________________________________________________,</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as U.S. Trustee</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-108585</wp:posOffset>
            </wp:positionV>
            <wp:extent cx="33566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 as Canadian Trustee, certifies that this is one of the Securities of the series designated therein referred to in the within-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___________________________________________________,</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as Canadian Trustee</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-108585</wp:posOffset>
            </wp:positionV>
            <wp:extent cx="33566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4" w:name="page75"/>
    <w:bookmarkEnd w:id="74"/>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8"/>
          <w:szCs w:val="18"/>
          <w:b w:val="1"/>
          <w:bCs w:val="1"/>
          <w:color w:val="auto"/>
        </w:rPr>
        <w:t>Securities Issuable in Global Form</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the Holder or its nominee as shall be specified therein or in the Company Order to be delivered to the Trustees pursuant to Sections 3.03 or 3.04. Subject to the provisions of Sections 3.03 and 3.04 (if applicable), the Trustees shall deliver and redeliver any Security in global form in the manner and upon instructions given by the Holder or its nominee as shall be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337"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premium (if any) and interest (if any) on any Security in permanent global form shall be made to the Holder or its nominee specified therein.</w:t>
      </w:r>
    </w:p>
    <w:p>
      <w:pPr>
        <w:spacing w:after="0" w:line="85"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Notwithstanding Section 3.09 and except as provided in the preceding paragraph, the Company, the Trustees and any agent of the Company and the Trustees shall treat as the Holder of such principal amount of Outstanding Securities represented by a permanent global Security, the Holder of such permanent global Security.</w:t>
      </w:r>
    </w:p>
    <w:p>
      <w:pPr>
        <w:spacing w:after="0" w:line="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3.01</w:t>
      </w:r>
      <w:r>
        <w:rPr>
          <w:sz w:val="20"/>
          <w:szCs w:val="20"/>
          <w:color w:val="auto"/>
        </w:rPr>
        <w:tab/>
      </w:r>
      <w:r>
        <w:rPr>
          <w:rFonts w:ascii="Times New Roman" w:cs="Times New Roman" w:eastAsia="Times New Roman" w:hAnsi="Times New Roman"/>
          <w:sz w:val="18"/>
          <w:szCs w:val="18"/>
          <w:b w:val="1"/>
          <w:bCs w:val="1"/>
          <w:color w:val="auto"/>
        </w:rPr>
        <w:t>Issuable in Series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aggregate principal amount of Securities which may be authenticated and delivered under this Indenture is unlimited.</w:t>
      </w:r>
    </w:p>
    <w:p>
      <w:pPr>
        <w:spacing w:after="0" w:line="150"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The Securities may be issued in one or more series and may be denominated and payable in Dollars or any Foreign Currency. The principal amount of any series of Securities may be increased and issued under this Indenture. There shall be established in one or more Board Resolutions or pursuant to authority granted by one or more Board Resolutions and set forth in, or determined in the manner provided in, an Officer's Certificate, or established in one or more indentures supplemental hereto, prior to the issuance of Securities of any series, any or all of the following, as applicable:</w:t>
      </w:r>
    </w:p>
    <w:p>
      <w:pPr>
        <w:spacing w:after="0" w:line="118" w:lineRule="exact"/>
        <w:rPr>
          <w:sz w:val="20"/>
          <w:szCs w:val="20"/>
          <w:color w:val="auto"/>
        </w:rPr>
      </w:pPr>
    </w:p>
    <w:p>
      <w:pPr>
        <w:ind w:left="1140" w:hanging="59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such series from the Securities of all other series);</w:t>
      </w:r>
    </w:p>
    <w:p>
      <w:pPr>
        <w:spacing w:after="0" w:line="150" w:lineRule="exact"/>
        <w:rPr>
          <w:rFonts w:ascii="Times New Roman" w:cs="Times New Roman" w:eastAsia="Times New Roman" w:hAnsi="Times New Roman"/>
          <w:sz w:val="18"/>
          <w:szCs w:val="18"/>
          <w:color w:val="auto"/>
        </w:rPr>
      </w:pPr>
    </w:p>
    <w:p>
      <w:pPr>
        <w:jc w:val="both"/>
        <w:ind w:left="1100" w:hanging="555"/>
        <w:spacing w:after="0" w:line="246" w:lineRule="auto"/>
        <w:tabs>
          <w:tab w:leader="none" w:pos="11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the series and any limit upon the aggregate principal amount of the Securities of the series that may be authenticated and delivered under this Indenture (except for Securities authenticated and delivered upon registration of transfer (including any restriction or condition on the transferability of the Securities of such series) of, or in exchange for, or in lieu of, other Securities of the series pursuant to Section 3.04, 3.05, 3.06, 9.06, 11.07 or 13.05) and, in the event that no limit upon the aggregate principal amount of the Securities of that series is specified, the Company shall have the right, subject to any terms, conditions or other provisions specified pursuant to this Section 3.01 with respect to the Securities of such series, to re-open such series for the issuance of additional Securities of such series from time to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5" w:name="page76"/>
    <w:bookmarkEnd w:id="75"/>
    <w:p>
      <w:pPr>
        <w:jc w:val="both"/>
        <w:ind w:left="560" w:hanging="555"/>
        <w:spacing w:after="0" w:line="260" w:lineRule="auto"/>
        <w:tabs>
          <w:tab w:leader="none" w:pos="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w:t>
      </w:r>
    </w:p>
    <w:p>
      <w:pPr>
        <w:spacing w:after="0" w:line="99" w:lineRule="exact"/>
        <w:rPr>
          <w:rFonts w:ascii="Times New Roman" w:cs="Times New Roman" w:eastAsia="Times New Roman" w:hAnsi="Times New Roman"/>
          <w:sz w:val="18"/>
          <w:szCs w:val="18"/>
          <w:color w:val="auto"/>
        </w:rPr>
      </w:pPr>
    </w:p>
    <w:p>
      <w:pPr>
        <w:ind w:left="600" w:hanging="595"/>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or percentages of principal amount at which the Securities of the series will be issued;</w:t>
      </w:r>
    </w:p>
    <w:p>
      <w:pPr>
        <w:spacing w:after="0" w:line="161" w:lineRule="exact"/>
        <w:rPr>
          <w:rFonts w:ascii="Times New Roman" w:cs="Times New Roman" w:eastAsia="Times New Roman" w:hAnsi="Times New Roman"/>
          <w:sz w:val="18"/>
          <w:szCs w:val="18"/>
          <w:color w:val="auto"/>
        </w:rPr>
      </w:pPr>
    </w:p>
    <w:p>
      <w:pPr>
        <w:jc w:val="both"/>
        <w:ind w:left="560" w:hanging="555"/>
        <w:spacing w:after="0" w:line="259" w:lineRule="auto"/>
        <w:tabs>
          <w:tab w:leader="none" w:pos="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by which such date or dates will be determined or extended, on which the Securities of the series may be issued and the date or dates, or the method by which such date or dates will be determined or extended, on which the principal of and premium (if any) on the Securities of the series is payable;</w:t>
      </w:r>
    </w:p>
    <w:p>
      <w:pPr>
        <w:spacing w:after="0" w:line="101" w:lineRule="exact"/>
        <w:rPr>
          <w:rFonts w:ascii="Times New Roman" w:cs="Times New Roman" w:eastAsia="Times New Roman" w:hAnsi="Times New Roman"/>
          <w:sz w:val="18"/>
          <w:szCs w:val="18"/>
          <w:color w:val="auto"/>
        </w:rPr>
      </w:pPr>
    </w:p>
    <w:p>
      <w:pPr>
        <w:jc w:val="both"/>
        <w:ind w:left="560" w:hanging="555"/>
        <w:spacing w:after="0" w:line="246" w:lineRule="auto"/>
        <w:tabs>
          <w:tab w:leader="none" w:pos="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whether fixed or variable (if any), or the method by which such rate or rates shall be determined, whether such interest shall be payable in cash or additional Securities of the same series or shall accrue and increase the aggregate principal amount outstanding of such series, the date or dates from which such interest shall accrue, or the method by which such date or dates shall be determined, the Interest Payment Dates on which such interest shall be payable and the Regular Record Date, if any, for the interest payable on any Security on any Interest Payment Date, or the method by which such date or dates shall be determined, and the basis upon which interest shall be calculated if other than on the basis of a 360-day year of twelve 30-day months;</w:t>
      </w:r>
    </w:p>
    <w:p>
      <w:pPr>
        <w:spacing w:after="0" w:line="327" w:lineRule="exact"/>
        <w:rPr>
          <w:rFonts w:ascii="Times New Roman" w:cs="Times New Roman" w:eastAsia="Times New Roman" w:hAnsi="Times New Roman"/>
          <w:sz w:val="18"/>
          <w:szCs w:val="18"/>
          <w:color w:val="auto"/>
        </w:rPr>
      </w:pPr>
    </w:p>
    <w:p>
      <w:pPr>
        <w:jc w:val="both"/>
        <w:ind w:left="560" w:hanging="555"/>
        <w:spacing w:after="0" w:line="248" w:lineRule="auto"/>
        <w:tabs>
          <w:tab w:leader="none" w:pos="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The City of New York, where the principal of,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1.06, the place or places where notices or demands to or upon the Company in respect of the Securities of the series and this Indenture may be served;</w:t>
      </w:r>
    </w:p>
    <w:p>
      <w:pPr>
        <w:spacing w:after="0" w:line="335" w:lineRule="exact"/>
        <w:rPr>
          <w:rFonts w:ascii="Times New Roman" w:cs="Times New Roman" w:eastAsia="Times New Roman" w:hAnsi="Times New Roman"/>
          <w:sz w:val="18"/>
          <w:szCs w:val="18"/>
          <w:color w:val="auto"/>
        </w:rPr>
      </w:pPr>
    </w:p>
    <w:p>
      <w:pPr>
        <w:jc w:val="both"/>
        <w:ind w:left="560" w:hanging="555"/>
        <w:spacing w:after="0" w:line="259" w:lineRule="auto"/>
        <w:tabs>
          <w:tab w:leader="none" w:pos="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date or dates on which, the price or prices at which, the Currency in which, and other terms and conditions upon which Securities of the series may be redeemed, in whole or in part, at the option of the Company, if the Company is to have that option;</w:t>
      </w:r>
    </w:p>
    <w:p>
      <w:pPr>
        <w:spacing w:after="0" w:line="101" w:lineRule="exact"/>
        <w:rPr>
          <w:rFonts w:ascii="Times New Roman" w:cs="Times New Roman" w:eastAsia="Times New Roman" w:hAnsi="Times New Roman"/>
          <w:sz w:val="18"/>
          <w:szCs w:val="18"/>
          <w:color w:val="auto"/>
        </w:rPr>
      </w:pPr>
    </w:p>
    <w:p>
      <w:pPr>
        <w:jc w:val="both"/>
        <w:ind w:left="560" w:hanging="555"/>
        <w:spacing w:after="0" w:line="253" w:lineRule="auto"/>
        <w:tabs>
          <w:tab w:leader="none" w:pos="6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Securities of the series pursuant to any sinking fund, amortization or analogous provisions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w:t>
      </w:r>
    </w:p>
    <w:p>
      <w:pPr>
        <w:spacing w:after="0" w:line="106" w:lineRule="exact"/>
        <w:rPr>
          <w:rFonts w:ascii="Times New Roman" w:cs="Times New Roman" w:eastAsia="Times New Roman" w:hAnsi="Times New Roman"/>
          <w:sz w:val="18"/>
          <w:szCs w:val="18"/>
          <w:color w:val="auto"/>
        </w:rPr>
      </w:pPr>
    </w:p>
    <w:p>
      <w:pPr>
        <w:ind w:left="560" w:hanging="555"/>
        <w:spacing w:after="0" w:line="278" w:lineRule="auto"/>
        <w:tabs>
          <w:tab w:leader="none" w:pos="6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 or denominations in which any Securities of the series shall be issuable;</w:t>
      </w:r>
    </w:p>
    <w:p>
      <w:pPr>
        <w:spacing w:after="0" w:line="9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107315</wp:posOffset>
            </wp:positionV>
            <wp:extent cx="717232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720"/>
          </w:cols>
          <w:pgMar w:left="860" w:top="115" w:right="319" w:bottom="1440" w:gutter="0" w:footer="0" w:header="0"/>
        </w:sectPr>
      </w:pPr>
    </w:p>
    <w:bookmarkStart w:id="76" w:name="page77"/>
    <w:bookmarkEnd w:id="76"/>
    <w:p>
      <w:pPr>
        <w:ind w:left="595" w:hanging="595"/>
        <w:spacing w:after="0"/>
        <w:tabs>
          <w:tab w:leader="none" w:pos="5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Security Registrar and/or Paying Agent;</w:t>
      </w:r>
    </w:p>
    <w:p>
      <w:pPr>
        <w:spacing w:after="0" w:line="150" w:lineRule="exact"/>
        <w:rPr>
          <w:rFonts w:ascii="Times New Roman" w:cs="Times New Roman" w:eastAsia="Times New Roman" w:hAnsi="Times New Roman"/>
          <w:sz w:val="18"/>
          <w:szCs w:val="18"/>
          <w:color w:val="auto"/>
        </w:rPr>
      </w:pPr>
    </w:p>
    <w:p>
      <w:pPr>
        <w:ind w:left="555" w:right="20" w:hanging="555"/>
        <w:spacing w:after="0" w:line="278"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96" w:lineRule="exact"/>
        <w:rPr>
          <w:rFonts w:ascii="Times New Roman" w:cs="Times New Roman" w:eastAsia="Times New Roman" w:hAnsi="Times New Roman"/>
          <w:sz w:val="18"/>
          <w:szCs w:val="18"/>
          <w:color w:val="auto"/>
        </w:rPr>
      </w:pPr>
    </w:p>
    <w:p>
      <w:pPr>
        <w:jc w:val="both"/>
        <w:ind w:left="555" w:right="20" w:hanging="555"/>
        <w:spacing w:after="0" w:line="259"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Foreign Currency in which payment of the principal of, premium (if any) or interest (if any) on the Securities of the series shall be payable or in which the Securities of the series shall be denominated and the particular provisions applicable thereto in accordance with, in addition to or in lieu of any of the provisions of Section 3.12;</w:t>
      </w:r>
    </w:p>
    <w:p>
      <w:pPr>
        <w:spacing w:after="0" w:line="101" w:lineRule="exact"/>
        <w:rPr>
          <w:rFonts w:ascii="Times New Roman" w:cs="Times New Roman" w:eastAsia="Times New Roman" w:hAnsi="Times New Roman"/>
          <w:sz w:val="18"/>
          <w:szCs w:val="18"/>
          <w:color w:val="auto"/>
        </w:rPr>
      </w:pPr>
    </w:p>
    <w:p>
      <w:pPr>
        <w:jc w:val="both"/>
        <w:ind w:left="555" w:right="20" w:hanging="555"/>
        <w:spacing w:after="0" w:line="259"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01" w:lineRule="exact"/>
        <w:rPr>
          <w:rFonts w:ascii="Times New Roman" w:cs="Times New Roman" w:eastAsia="Times New Roman" w:hAnsi="Times New Roman"/>
          <w:sz w:val="18"/>
          <w:szCs w:val="18"/>
          <w:color w:val="auto"/>
        </w:rPr>
      </w:pPr>
    </w:p>
    <w:p>
      <w:pPr>
        <w:jc w:val="both"/>
        <w:ind w:left="555" w:hanging="555"/>
        <w:spacing w:after="0" w:line="248"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payable, in each case in accordance with, in addition to or in lieu of any of the provisions of Section 3.12;</w:t>
      </w:r>
    </w:p>
    <w:p>
      <w:pPr>
        <w:spacing w:after="0" w:line="121" w:lineRule="exact"/>
        <w:rPr>
          <w:rFonts w:ascii="Times New Roman" w:cs="Times New Roman" w:eastAsia="Times New Roman" w:hAnsi="Times New Roman"/>
          <w:sz w:val="18"/>
          <w:szCs w:val="18"/>
          <w:color w:val="auto"/>
        </w:rPr>
      </w:pPr>
    </w:p>
    <w:p>
      <w:pPr>
        <w:ind w:left="595" w:hanging="595"/>
        <w:spacing w:after="0"/>
        <w:tabs>
          <w:tab w:leader="none" w:pos="5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initial Exchange Rate Agent, if any;</w:t>
      </w:r>
    </w:p>
    <w:p>
      <w:pPr>
        <w:spacing w:after="0" w:line="150" w:lineRule="exact"/>
        <w:rPr>
          <w:rFonts w:ascii="Times New Roman" w:cs="Times New Roman" w:eastAsia="Times New Roman" w:hAnsi="Times New Roman"/>
          <w:sz w:val="18"/>
          <w:szCs w:val="18"/>
          <w:color w:val="auto"/>
        </w:rPr>
      </w:pPr>
    </w:p>
    <w:p>
      <w:pPr>
        <w:ind w:left="555" w:right="20" w:hanging="555"/>
        <w:spacing w:after="0" w:line="278"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Sections 14.02 and/or 14.03 to the Securities of the series and any provisions in modification of, in addition to or in lieu of any of the provisions of Article Fourteen that shall be applicable to the Securities of the series;</w:t>
      </w:r>
    </w:p>
    <w:p>
      <w:pPr>
        <w:spacing w:after="0" w:line="84" w:lineRule="exact"/>
        <w:rPr>
          <w:rFonts w:ascii="Times New Roman" w:cs="Times New Roman" w:eastAsia="Times New Roman" w:hAnsi="Times New Roman"/>
          <w:sz w:val="18"/>
          <w:szCs w:val="18"/>
          <w:color w:val="auto"/>
        </w:rPr>
      </w:pPr>
    </w:p>
    <w:p>
      <w:pPr>
        <w:ind w:left="555" w:hanging="555"/>
        <w:spacing w:after="0" w:line="259"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352" w:lineRule="exact"/>
        <w:rPr>
          <w:rFonts w:ascii="Times New Roman" w:cs="Times New Roman" w:eastAsia="Times New Roman" w:hAnsi="Times New Roman"/>
          <w:sz w:val="18"/>
          <w:szCs w:val="18"/>
          <w:color w:val="auto"/>
        </w:rPr>
      </w:pPr>
    </w:p>
    <w:p>
      <w:pPr>
        <w:jc w:val="both"/>
        <w:ind w:left="555" w:hanging="555"/>
        <w:spacing w:after="0" w:line="259"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w:t>
      </w:r>
    </w:p>
    <w:p>
      <w:pPr>
        <w:spacing w:after="0" w:line="101" w:lineRule="exact"/>
        <w:rPr>
          <w:rFonts w:ascii="Times New Roman" w:cs="Times New Roman" w:eastAsia="Times New Roman" w:hAnsi="Times New Roman"/>
          <w:sz w:val="18"/>
          <w:szCs w:val="18"/>
          <w:color w:val="auto"/>
        </w:rPr>
      </w:pPr>
    </w:p>
    <w:p>
      <w:pPr>
        <w:jc w:val="both"/>
        <w:ind w:left="555" w:hanging="555"/>
        <w:spacing w:after="0" w:line="248" w:lineRule="auto"/>
        <w:tabs>
          <w:tab w:leader="none" w:pos="6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of the series,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circumstances under which and the place or places where any such exchanges may be made and, if Securities of the series are to be issuable in global form, the designation of any Depositary therefor;</w:t>
      </w:r>
    </w:p>
    <w:p>
      <w:pPr>
        <w:spacing w:after="0" w:line="110" w:lineRule="exact"/>
        <w:rPr>
          <w:sz w:val="20"/>
          <w:szCs w:val="20"/>
          <w:color w:val="auto"/>
        </w:rPr>
      </w:pPr>
    </w:p>
    <w:p>
      <w:pPr>
        <w:ind w:left="4995"/>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114300</wp:posOffset>
            </wp:positionV>
            <wp:extent cx="717232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715"/>
          </w:cols>
          <w:pgMar w:left="865" w:top="115" w:right="319" w:bottom="1440" w:gutter="0" w:footer="0" w:header="0"/>
        </w:sectPr>
      </w:pPr>
    </w:p>
    <w:bookmarkStart w:id="77" w:name="page78"/>
    <w:bookmarkEnd w:id="77"/>
    <w:p>
      <w:pPr>
        <w:ind w:left="1100" w:hanging="555"/>
        <w:spacing w:after="0" w:line="279" w:lineRule="auto"/>
        <w:tabs>
          <w:tab w:leader="none" w:pos="1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temporary global Security of the series shall be dated if other than the date of original issuance of the first Security of the series to be issued;</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p>
      <w:pPr>
        <w:spacing w:after="0" w:line="117" w:lineRule="exact"/>
        <w:rPr>
          <w:rFonts w:ascii="Times New Roman" w:cs="Times New Roman" w:eastAsia="Times New Roman" w:hAnsi="Times New Roman"/>
          <w:sz w:val="18"/>
          <w:szCs w:val="18"/>
          <w:color w:val="auto"/>
        </w:rPr>
      </w:pPr>
    </w:p>
    <w:p>
      <w:pPr>
        <w:jc w:val="both"/>
        <w:ind w:left="1100" w:right="20" w:hanging="555"/>
        <w:spacing w:after="0" w:line="259" w:lineRule="auto"/>
        <w:tabs>
          <w:tab w:leader="none" w:pos="1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w:t>
      </w:r>
    </w:p>
    <w:p>
      <w:pPr>
        <w:spacing w:after="0" w:line="101"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issued upon the exercise of warrants or subscription receipts, the time, manner and place for such Securities to be authenticated and delivered;</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to permit or facilitate such conversion or exchange;</w:t>
      </w:r>
    </w:p>
    <w:p>
      <w:pPr>
        <w:spacing w:after="0" w:line="113"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any rights or terms attaching to the Securities;</w:t>
      </w:r>
    </w:p>
    <w:p>
      <w:pPr>
        <w:spacing w:after="0" w:line="150"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secured or unsecured and the nature and priority of any security; and</w:t>
      </w:r>
    </w:p>
    <w:p>
      <w:pPr>
        <w:spacing w:after="0" w:line="150" w:lineRule="exact"/>
        <w:rPr>
          <w:rFonts w:ascii="Times New Roman" w:cs="Times New Roman" w:eastAsia="Times New Roman" w:hAnsi="Times New Roman"/>
          <w:sz w:val="18"/>
          <w:szCs w:val="18"/>
          <w:color w:val="auto"/>
        </w:rPr>
      </w:pPr>
    </w:p>
    <w:p>
      <w:pPr>
        <w:ind w:left="1100" w:hanging="555"/>
        <w:spacing w:after="0" w:line="278" w:lineRule="auto"/>
        <w:tabs>
          <w:tab w:leader="none" w:pos="1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relating to the series (which terms shall not be inconsistent with the requirements of Trust Indenture Legislation or the provisions of this Indenture).</w:t>
      </w:r>
    </w:p>
    <w:p>
      <w:pPr>
        <w:spacing w:after="0" w:line="9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w:t>
      </w:r>
    </w:p>
    <w:p>
      <w:pPr>
        <w:spacing w:after="0" w:line="106"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one or more Board Resolutions, such Board Resolutions shall be delivered to the Trustees at or prior to the delivery of the Officer's Certificate setting forth the terms of the series.</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3.02</w:t>
      </w:r>
      <w:r>
        <w:rPr>
          <w:sz w:val="20"/>
          <w:szCs w:val="20"/>
          <w:color w:val="auto"/>
        </w:rPr>
        <w:tab/>
      </w:r>
      <w:r>
        <w:rPr>
          <w:rFonts w:ascii="Times New Roman" w:cs="Times New Roman" w:eastAsia="Times New Roman" w:hAnsi="Times New Roman"/>
          <w:sz w:val="18"/>
          <w:szCs w:val="18"/>
          <w:b w:val="1"/>
          <w:bCs w:val="1"/>
          <w:color w:val="auto"/>
        </w:rPr>
        <w:t>Denominations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The Securities of each series shall be issuable in such denominations as shall be specified as contemplated by Section 3.01. With respect to Securities of any series denominated in Dollars, in the absence of any such provisions, the Securities of such series, other than Securities issued in global form (which may be of any denomination), shall be issuable in denominations of $1,000 and any integral multiple thereof.</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8" w:name="page79"/>
    <w:bookmarkEnd w:id="78"/>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3.03</w:t>
      </w:r>
      <w:r>
        <w:rPr>
          <w:sz w:val="20"/>
          <w:szCs w:val="20"/>
          <w:color w:val="auto"/>
        </w:rPr>
        <w:tab/>
      </w:r>
      <w:r>
        <w:rPr>
          <w:rFonts w:ascii="Times New Roman" w:cs="Times New Roman" w:eastAsia="Times New Roman" w:hAnsi="Times New Roman"/>
          <w:sz w:val="18"/>
          <w:szCs w:val="18"/>
          <w:b w:val="1"/>
          <w:bCs w:val="1"/>
          <w:color w:val="auto"/>
        </w:rPr>
        <w:t>Execution, Authentication, Delivery and Dating</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an Officer. The signature of an Officer on the Securities may be the manual or facsimile signatures of the present or any future such authorized officer and may be imprinted or otherwise reproduced on the Securities.</w:t>
      </w:r>
    </w:p>
    <w:p>
      <w:pPr>
        <w:spacing w:after="0" w:line="9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02"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applicable Trustee for authentication, together with a Company Order for the authentication and delivery of such Securities, and the applicable Trustee in accordance with such Company Order shall authenticate and deliver such Securities. If not all the Securities of any series are to be issued at one time and if the Board Resolution or supplemental indenture establishing such series shall so permit, such Company Order may set forth procedures acceptable to the Trustees for the issuance of such Securities and determining terms of particular Securities of such series such as interest rate, Stated Maturity, date of issuance and date from which interest shall accrue.</w:t>
      </w:r>
    </w:p>
    <w:p>
      <w:pPr>
        <w:spacing w:after="0" w:line="110"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Trustees shall be entitled to receive, and (subject to Trust Indenture Legislation, including TIA Sections 315(a) through 315(d)) shall be fully protected in relying upon, an Opinion of Counsel stating:</w:t>
      </w:r>
    </w:p>
    <w:p>
      <w:pPr>
        <w:spacing w:after="0" w:line="113" w:lineRule="exact"/>
        <w:rPr>
          <w:sz w:val="20"/>
          <w:szCs w:val="20"/>
          <w:color w:val="auto"/>
        </w:rPr>
      </w:pPr>
    </w:p>
    <w:p>
      <w:pPr>
        <w:ind w:left="1120" w:hanging="575"/>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form or forms of such Securities have been established in conformity with the provisions of this Indenture;</w:t>
      </w:r>
    </w:p>
    <w:p>
      <w:pPr>
        <w:spacing w:after="0" w:line="150" w:lineRule="exact"/>
        <w:rPr>
          <w:rFonts w:ascii="Times New Roman" w:cs="Times New Roman" w:eastAsia="Times New Roman" w:hAnsi="Times New Roman"/>
          <w:sz w:val="18"/>
          <w:szCs w:val="18"/>
          <w:color w:val="auto"/>
        </w:rPr>
      </w:pPr>
    </w:p>
    <w:p>
      <w:pPr>
        <w:ind w:left="1120" w:hanging="575"/>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conformity with the provisions of this Indenture;</w:t>
      </w:r>
    </w:p>
    <w:p>
      <w:pPr>
        <w:spacing w:after="0" w:line="150" w:lineRule="exact"/>
        <w:rPr>
          <w:rFonts w:ascii="Times New Roman" w:cs="Times New Roman" w:eastAsia="Times New Roman" w:hAnsi="Times New Roman"/>
          <w:sz w:val="18"/>
          <w:szCs w:val="18"/>
          <w:color w:val="auto"/>
        </w:rPr>
      </w:pPr>
    </w:p>
    <w:p>
      <w:pPr>
        <w:jc w:val="both"/>
        <w:ind w:firstLine="545"/>
        <w:spacing w:after="0" w:line="253" w:lineRule="auto"/>
        <w:tabs>
          <w:tab w:leader="none" w:pos="11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completed by appropriate insertions and executed and delivered by the Company to the applicable Trustee for authentication in accordance with this Indenture, authenticated and delivered by the applicable Trustee in accordance with this Indenture and issued by the Company in the manner and subject to any conditions specified in such Opinion of Counsel, will constitute the legal, valid and binding obligations of the Company, enforceable in accordance with their terms;</w:t>
      </w:r>
    </w:p>
    <w:p>
      <w:pPr>
        <w:spacing w:after="0" w:line="117" w:lineRule="exact"/>
        <w:rPr>
          <w:rFonts w:ascii="Times New Roman" w:cs="Times New Roman" w:eastAsia="Times New Roman" w:hAnsi="Times New Roman"/>
          <w:sz w:val="18"/>
          <w:szCs w:val="18"/>
          <w:color w:val="auto"/>
        </w:rPr>
      </w:pPr>
    </w:p>
    <w:p>
      <w:pPr>
        <w:ind w:firstLine="545"/>
        <w:spacing w:after="0" w:line="278" w:lineRule="auto"/>
        <w:tabs>
          <w:tab w:leader="none" w:pos="11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such Securities and any supplemental indenture will not contravene the articles of incorporation or continuance, or such other constating documents then in effect, if any, or the by-laws of the Company, or violate applicable laws; and</w:t>
      </w:r>
    </w:p>
    <w:p>
      <w:pPr>
        <w:spacing w:after="0" w:line="84" w:lineRule="exact"/>
        <w:rPr>
          <w:rFonts w:ascii="Times New Roman" w:cs="Times New Roman" w:eastAsia="Times New Roman" w:hAnsi="Times New Roman"/>
          <w:sz w:val="18"/>
          <w:szCs w:val="18"/>
          <w:color w:val="auto"/>
        </w:rPr>
      </w:pPr>
    </w:p>
    <w:p>
      <w:pPr>
        <w:ind w:left="1120" w:hanging="575"/>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the corporate power to issue such Securities, and has duly taken all necessary corporate action with respect to such</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9" w:name="page80"/>
    <w:bookmarkEnd w:id="79"/>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if such documents are delivered prior to or at the time of issuance of the first Security of such series and with respect to all Securities of such series.</w:t>
      </w:r>
    </w:p>
    <w:p>
      <w:pPr>
        <w:spacing w:after="0" w:line="107"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150"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No Security shall entitle a Holder to any benefit under this Indenture or be valid or obligatory for any purpose unless there appears on such Security a certificate of authentication substantially in the form provided for herein duly executed by the applicable Trustee by manual signature of an authorized officer thereof,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w:t>
      </w:r>
    </w:p>
    <w:p>
      <w:pPr>
        <w:spacing w:after="0" w:line="11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3.04</w:t>
      </w:r>
      <w:r>
        <w:rPr>
          <w:sz w:val="20"/>
          <w:szCs w:val="20"/>
          <w:color w:val="auto"/>
        </w:rPr>
        <w:tab/>
      </w:r>
      <w:r>
        <w:rPr>
          <w:rFonts w:ascii="Times New Roman" w:cs="Times New Roman" w:eastAsia="Times New Roman" w:hAnsi="Times New Roman"/>
          <w:sz w:val="18"/>
          <w:szCs w:val="18"/>
          <w:b w:val="1"/>
          <w:bCs w:val="1"/>
          <w:color w:val="auto"/>
        </w:rPr>
        <w:t>Temporary Securities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applicable Trustee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Such temporary Securities may be in global form.</w:t>
      </w:r>
    </w:p>
    <w:p>
      <w:pPr>
        <w:spacing w:after="0" w:line="108"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applicable Trustee shall authenticate and deliver in exchange therefor a like principal amount of definitive Securities of the same series of authorized denominations and of like tenor and evidencing the same indebtedness. Until so exchanged the temporary Securities of any series shall in all respects be entitled to the same benefits under this Indenture as definitive Securities of such series.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0" w:name="page81"/>
    <w:bookmarkEnd w:id="80"/>
    <w:p>
      <w:pPr>
        <w:jc w:val="both"/>
        <w:ind w:firstLine="553"/>
        <w:spacing w:after="0" w:line="260" w:lineRule="auto"/>
        <w:rPr>
          <w:sz w:val="20"/>
          <w:szCs w:val="20"/>
          <w:color w:val="auto"/>
        </w:rPr>
      </w:pPr>
      <w:r>
        <w:rPr>
          <w:rFonts w:ascii="Times New Roman" w:cs="Times New Roman" w:eastAsia="Times New Roman" w:hAnsi="Times New Roman"/>
          <w:sz w:val="18"/>
          <w:szCs w:val="18"/>
          <w:color w:val="auto"/>
        </w:rPr>
        <w:t>If temporary Securities of any series are issued in global form, any such temporary global Security shall, unless otherwise provided therein, be delivered to the office of the Depositary for credit to the respective accounts of the beneficial owners of such Securities (or to such other accounts as they may direct).</w:t>
      </w:r>
    </w:p>
    <w:p>
      <w:pPr>
        <w:spacing w:after="0" w:line="100" w:lineRule="exact"/>
        <w:rPr>
          <w:sz w:val="20"/>
          <w:szCs w:val="20"/>
          <w:color w:val="auto"/>
        </w:rPr>
      </w:pPr>
    </w:p>
    <w:p>
      <w:pPr>
        <w:jc w:val="both"/>
        <w:ind w:firstLine="553"/>
        <w:spacing w:after="0" w:line="243" w:lineRule="auto"/>
        <w:rPr>
          <w:sz w:val="20"/>
          <w:szCs w:val="20"/>
          <w:color w:val="auto"/>
        </w:rPr>
      </w:pPr>
      <w:r>
        <w:rPr>
          <w:rFonts w:ascii="Times New Roman" w:cs="Times New Roman" w:eastAsia="Times New Roman" w:hAnsi="Times New Roman"/>
          <w:sz w:val="18"/>
          <w:szCs w:val="18"/>
          <w:color w:val="auto"/>
        </w:rPr>
        <w:t>Without unnecessary delay, but in any event not later than the date specified in, or determined pursuant to the terms of, any such temporary global Security (the "</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xml:space="preserve">"), the Company shall deliver to the Trustees definitive Securities, in aggregate principal amount equal to the principal amount of such temporary global Security and of like tenor and evidencing the same indebtedness, executed by the Company. On or after the Exchange Date, such temporary global Security shall be surrendered by the Depositary to the Trustees, as the Company's agent for such purpose, to be exchanged, in whole or from time to time in part, for definitive Securities without charge and the applicable Trustee shall authenticate and deliver, in exchange for each portion of such temporary global Security, an equal aggregate principal amount of definitive Securities of the same series of authorized denominations and of like tenor and evidencing the same indebtedness as the portion of such temporary global Security to be exchanged. The definitive Securities to be delivered in exchange for any such temporary global Security shall be in registered form or permanent global registered form, or any combination thereof, as specified as contemplated by Section 3.01, and, if any combination thereof is so specified, as requested by the beneficial owner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otherwise specified in such temporary global Security, upon such presentation by the Depositary, such temporary global Security is accompanied by a certificate dated the Exchange Date or a subsequent date and signed by the Depositary as to the portion of such temporary global Security held for its account then to be exchanged and a certificate dated the Exchange Date or a subsequent date, each in the form set forth in Exhibit A-2 to this Indenture (or in such other form as may be established pursuant to Section 3.01).</w:t>
      </w:r>
    </w:p>
    <w:p>
      <w:pPr>
        <w:spacing w:after="0" w:line="132"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Unless otherwise specified in such temporary global Security, the interest of a beneficial owner of Securities of a series in a temporary global Security shall be exchanged for definitive Securities of the same series and of like tenor and evidencing the same indebtedness following the Exchange Date when the account holder instructs the Depositary to request such exchange on his behalf and delivers to the Depositary a certificate in the form set forth in Exhibit A-1 to this Indenture (or in such other form as may be established pursuant to Section 3.01), dated no earlier than 15 days prior to the Exchange Date, copies of which certificate shall be available from the offices of the Depositary,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the Depositary.</w:t>
      </w:r>
    </w:p>
    <w:p>
      <w:pPr>
        <w:spacing w:after="0" w:line="325" w:lineRule="exact"/>
        <w:rPr>
          <w:sz w:val="20"/>
          <w:szCs w:val="20"/>
          <w:color w:val="auto"/>
        </w:rPr>
      </w:pPr>
    </w:p>
    <w:p>
      <w:pPr>
        <w:jc w:val="both"/>
        <w:ind w:firstLine="553"/>
        <w:spacing w:after="0" w:line="242" w:lineRule="auto"/>
        <w:rPr>
          <w:sz w:val="20"/>
          <w:szCs w:val="20"/>
          <w:color w:val="auto"/>
        </w:rPr>
      </w:pPr>
      <w:r>
        <w:rPr>
          <w:rFonts w:ascii="Times New Roman" w:cs="Times New Roman" w:eastAsia="Times New Roman" w:hAnsi="Times New Roman"/>
          <w:sz w:val="18"/>
          <w:szCs w:val="18"/>
          <w:color w:val="auto"/>
        </w:rPr>
        <w:t>Until exchanged in full as hereinabove provided, the temporary Securities of any series shall in all respects be entitled to the same benefits under this Indenture as definitive Securities of the same series and of like tenor and evidencing the same indebtedness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the Depositary on such Interest Payment Date upon delivery by the Depositary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the Depositary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3.04 and of the third paragraph of Section 3.03 and the interests of the Persons who are the beneficial owners of the temporary global Security with respect to which such certification was made will be exchanged for definitive Securities of the same series and of like tenor and evidencing the same indebtedness on the Exchange Date or the date of certification if such date occurs after the Exchange Date, without further act or deed by such beneficial owners. Except as otherwise provided in this paragraph, no payments of principal of,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the Depositary and not paid as herein provided shall be returned to the Trustees immediately prior to the expiration of two years after such Interest Payment Date in order to be repaid to the Company in accordance with Section 10.03.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1" w:name="page82"/>
    <w:bookmarkEnd w:id="81"/>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3.05</w:t>
      </w:r>
      <w:r>
        <w:rPr>
          <w:sz w:val="20"/>
          <w:szCs w:val="20"/>
          <w:color w:val="auto"/>
        </w:rPr>
        <w:tab/>
      </w:r>
      <w:r>
        <w:rPr>
          <w:rFonts w:ascii="Times New Roman" w:cs="Times New Roman" w:eastAsia="Times New Roman" w:hAnsi="Times New Roman"/>
          <w:sz w:val="18"/>
          <w:szCs w:val="18"/>
          <w:b w:val="1"/>
          <w:bCs w:val="1"/>
          <w:color w:val="auto"/>
        </w:rPr>
        <w:t>Registration, Registration of Transfer and Exchange</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43" w:lineRule="auto"/>
        <w:rPr>
          <w:sz w:val="20"/>
          <w:szCs w:val="20"/>
          <w:color w:val="auto"/>
        </w:rPr>
      </w:pPr>
      <w:r>
        <w:rPr>
          <w:rFonts w:ascii="Times New Roman" w:cs="Times New Roman" w:eastAsia="Times New Roman" w:hAnsi="Times New Roman"/>
          <w:sz w:val="18"/>
          <w:szCs w:val="18"/>
          <w:color w:val="auto"/>
        </w:rPr>
        <w:t>So long as required by Trust Indenture Legislation, the Company shall cause to be kept at the Corporate Trust Offices of the applicable Trustee a register for each series of Securities (the registers maintained in the Corporate Trust Offices of the Trustees and in any other office or agency of the Company in a Place of Payment being herein sometimes collectively referred to as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the Holders of Securities and of transfers of Securities. The Security Register shall be in written form or any other form capable of being converted into written form within a reasonable time. At all reasonable times, the Security Register shall be open to inspection by the Trustees. The Trustees are hereby initially appointed as security registrar (the "Security Registrar") for the purpose of registering Securities and transfers of Securities as herein provided. The Company shall have the right to remove and replace from time to time the Security Registrar for any series of Securities; provided, however, that, no such removal or replacement shall be effective until a successor Security Registrar with respect to such series of Securities shall have been appointed by the Company and shall have accepted such appointment by the Company. In the event that the Trustees shall not be or shall cease to be the Securities Registrar with respect to a series of Securities, they shall have the right to examine the Security Register for such series at all reasonable times. There shall be only one Securities Register for such series of Securities.</w:t>
      </w:r>
    </w:p>
    <w:p>
      <w:pPr>
        <w:spacing w:after="0" w:line="344"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any series at the office or agency in a Place of Payment for that series, the Company shall execute, and the applicable Trustee shall authenticate and deliver, in the name of the designated transferee, one or more new Securities of the same series, of any authorized denominations and of a like aggregate principal amount and tenor and evidencing the same indebtedness.</w:t>
      </w:r>
    </w:p>
    <w:p>
      <w:pPr>
        <w:spacing w:after="0" w:line="102"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For Canadian Securities, the Security must be duly endorsed for transfer or in a duly endorsed transferable form as applicable and must comply with the current industry practice in accordance with the Securities Transfer Association of Canada.</w:t>
      </w:r>
    </w:p>
    <w:p>
      <w:pPr>
        <w:spacing w:after="0" w:line="85"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of any authorized denomination and of a like aggregate principal amount and tenor and evidencing the same indebtedness, upon surrender of the Securities to be exchanged at such office or agency. Whenever any Securities are so surrendered for exchange, the Company shall execute, and the applicable Trustee shall authenticate and deliver, the Securities which the Holder making the exchange is entitled to receive.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2" w:name="page83"/>
    <w:bookmarkEnd w:id="82"/>
    <w:p>
      <w:pPr>
        <w:jc w:val="both"/>
        <w:ind w:right="20" w:firstLine="553"/>
        <w:spacing w:after="0" w:line="279" w:lineRule="auto"/>
        <w:rPr>
          <w:sz w:val="20"/>
          <w:szCs w:val="20"/>
          <w:color w:val="auto"/>
        </w:rPr>
      </w:pPr>
      <w:r>
        <w:rPr>
          <w:rFonts w:ascii="Times New Roman" w:cs="Times New Roman" w:eastAsia="Times New Roman" w:hAnsi="Times New Roman"/>
          <w:sz w:val="18"/>
          <w:szCs w:val="18"/>
          <w:color w:val="auto"/>
        </w:rPr>
        <w:t>Whenever any Securities are so surrendered for exchange, the Company shall execute, and the applicable Trustee shall authenticate and deliver, the Securities which the Holder making the exchange is entitled to receive.</w:t>
      </w:r>
    </w:p>
    <w:p>
      <w:pPr>
        <w:spacing w:after="0" w:line="84" w:lineRule="exact"/>
        <w:rPr>
          <w:sz w:val="20"/>
          <w:szCs w:val="20"/>
          <w:color w:val="auto"/>
        </w:rPr>
      </w:pPr>
    </w:p>
    <w:p>
      <w:pPr>
        <w:jc w:val="both"/>
        <w:ind w:firstLine="553"/>
        <w:spacing w:after="0" w:line="242" w:lineRule="auto"/>
        <w:rPr>
          <w:sz w:val="20"/>
          <w:szCs w:val="20"/>
          <w:color w:val="auto"/>
        </w:rPr>
      </w:pPr>
      <w:r>
        <w:rPr>
          <w:rFonts w:ascii="Times New Roman" w:cs="Times New Roman" w:eastAsia="Times New Roman" w:hAnsi="Times New Roman"/>
          <w:sz w:val="18"/>
          <w:szCs w:val="18"/>
          <w:color w:val="auto"/>
        </w:rPr>
        <w:t>Notwithstanding the foregoing, except as otherwise specified as contemplated by Section 3.01, any permanent global Security shall be exchangeable only as provided in this Section.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Trustees and the Depositary, then without unnecessary delay but in any event not later than the earliest date on which such interest may be so exchanged, the Company shall deliver to the applicable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applicable Trustee, as the Company's agent for such purpose, to be exchanged in whole or from time to time in part, for definitive Securities without charge, and the applicable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If a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345"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Transfers of global Securities shall be limited to transfers in whole, but not in part, to the Depositary, its successors or their respective nominees. If at any time the Depositary for Securities of a series notifies the Company that it is unwilling, unable or no longer qualifies to continue as Depositary for Securities of such series or if at any time the Depositary for such series shall no longer be registered or in good standing under the Exchange Act, or other applicable statute or regulation, the Company shall appoint a successor Depositary for the Securities of such series. If a successor to the Depositary for Securities of such series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18"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3" w:name="page84"/>
    <w:bookmarkEnd w:id="83"/>
    <w:p>
      <w:pPr>
        <w:jc w:val="both"/>
        <w:ind w:right="20" w:firstLine="553"/>
        <w:spacing w:after="0" w:line="253" w:lineRule="auto"/>
        <w:rPr>
          <w:sz w:val="20"/>
          <w:szCs w:val="20"/>
          <w:color w:val="auto"/>
        </w:rPr>
      </w:pPr>
      <w:r>
        <w:rPr>
          <w:rFonts w:ascii="Times New Roman" w:cs="Times New Roman" w:eastAsia="Times New Roman" w:hAnsi="Times New Roman"/>
          <w:sz w:val="18"/>
          <w:szCs w:val="18"/>
          <w:color w:val="auto"/>
        </w:rPr>
        <w:t>Upon the exchange of a global Security for Securities in definitive form, such global Security shall be cancelled by the applicable Trustee. Securities issued in exchange for a global Security pursuant to this Section 3.05 shall be registered in such names and in such authorized denominations as the Depositary for such global Security, pursuant to instructions from its direct or indirect participants or otherwise, shall instruct the applicable Trustee in writing. The applicable Trustee shall deliver such Securities to the Persons in whose names such Securities are so registered.</w:t>
      </w:r>
    </w:p>
    <w:p>
      <w:pPr>
        <w:spacing w:after="0" w:line="107"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9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w:t>
      </w:r>
    </w:p>
    <w:p>
      <w:pPr>
        <w:spacing w:after="0" w:line="102"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Any registration of transfer or exchange of Securities may be subject to service charges by the Securities Registrar and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02"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12.03 and ending at the close of business on the day of the mailing of the relevant notice of redemption or (ii) to register the transfer of or exchange any Security in definitive form so selected for redemption in whole or in part, except the unredeemed portion of any Security being redeemed in part, or (iii) to issue, register the transfer of or exchange any Security in definitive form which has been surrendered for repayment at the option of the Holder, except the portion, if any, of such Security not to be so repaid.</w:t>
      </w:r>
    </w:p>
    <w:p>
      <w:pPr>
        <w:spacing w:after="0" w:line="11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8"/>
          <w:szCs w:val="18"/>
          <w:b w:val="1"/>
          <w:bCs w:val="1"/>
          <w:color w:val="auto"/>
        </w:rPr>
        <w:t>Mutilated, Destroyed, Lost and Stolen Securities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If any mutilated Security is surrendered to the applicable Trustee, the Company shall execute and the applicable Trustee shall authenticate and deliver in exchange therefor a new Security of the same series and of like tenor and principal amount and evidencing the same indebtedness and bearing a number not contemporaneously outstanding, or, in case any such mutilated Security has become or is about to become due and payable, the Company in its discretion may, instead of issuing a new Security, , pay such Security. If there shall be delivered to the Company and to the Trustees (i) evidence to their satisfaction of the destruction, loss or theft of any Security and (ii) such security (or surety in the case of the Canadian Trustee) or indemnity as may be required by them to save each of them and any agent of either of them harmless, then, in the absence of notice to the Company or the Trustees that such Security has been acquired by a bona fide purchaser , the Company shall execute and upon Company Order the applicable Trustee shall authenticate and deliver, in lieu of any such destroyed, lost or stolen Security, a new Security of the same series and of like tenor and principal amount and evidencing the same indebtedness and bearing a number not contemporaneously outstanding.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4" w:name="page85"/>
    <w:bookmarkEnd w:id="84"/>
    <w:p>
      <w:pPr>
        <w:jc w:val="both"/>
        <w:ind w:firstLine="553"/>
        <w:spacing w:after="0" w:line="260" w:lineRule="auto"/>
        <w:rPr>
          <w:sz w:val="20"/>
          <w:szCs w:val="20"/>
          <w:color w:val="auto"/>
        </w:rPr>
      </w:pPr>
      <w:r>
        <w:rPr>
          <w:rFonts w:ascii="Times New Roman" w:cs="Times New Roman" w:eastAsia="Times New Roman" w:hAnsi="Times New Roman"/>
          <w:sz w:val="18"/>
          <w:szCs w:val="18"/>
          <w:color w:val="auto"/>
        </w:rPr>
        <w:t>Notwithstanding the provisions of the previous two paragraphs, in case any such mutilated, destroyed, lost or stolen Security has become or is about to become due and payable, the Company in its discretion may, instead of issuing a new Security appertaining to such mutilated, destroyed, lost or stolen Security, pay such Security.</w:t>
      </w:r>
    </w:p>
    <w:p>
      <w:pPr>
        <w:spacing w:after="0" w:line="100" w:lineRule="exact"/>
        <w:rPr>
          <w:sz w:val="20"/>
          <w:szCs w:val="20"/>
          <w:color w:val="auto"/>
        </w:rPr>
      </w:pPr>
    </w:p>
    <w:p>
      <w:pPr>
        <w:jc w:val="both"/>
        <w:ind w:firstLine="553"/>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Trustees) connected therewith.</w:t>
      </w:r>
    </w:p>
    <w:p>
      <w:pPr>
        <w:spacing w:after="0" w:line="324"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3.06 in lieu of any mutilated, destroyed, lost or stolen Security, shall constitute an original additional contractual obligation of the Company, whether or not the mutilated, destroyed, lost or stolen Security shall be at any time enforceable by anyone, and the Holders of such Security shall be entitled to all the benefits of this Indenture equally and proportionately with the Holders of any and all other Securities of that series duly issued hereunder.</w:t>
      </w:r>
    </w:p>
    <w:p>
      <w:pPr>
        <w:spacing w:after="0" w:line="10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The provisions of this Section 3.06 as amended or supplemented pursuant to this Indenture with respect to a particular series of Securities or generally are exclusive and shall preclude (to the extent lawful) all other rights and remedies with respect to the replacement or payment of mutilated, destroyed, lost or stolen Securities.</w:t>
      </w:r>
    </w:p>
    <w:p>
      <w:pPr>
        <w:spacing w:after="0" w:line="9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3.07</w:t>
      </w:r>
      <w:r>
        <w:rPr>
          <w:sz w:val="20"/>
          <w:szCs w:val="20"/>
          <w:color w:val="auto"/>
        </w:rPr>
        <w:tab/>
      </w:r>
      <w:r>
        <w:rPr>
          <w:rFonts w:ascii="Times New Roman" w:cs="Times New Roman" w:eastAsia="Times New Roman" w:hAnsi="Times New Roman"/>
          <w:sz w:val="18"/>
          <w:szCs w:val="18"/>
          <w:b w:val="1"/>
          <w:bCs w:val="1"/>
          <w:color w:val="auto"/>
        </w:rPr>
        <w:t>Payment of Principal, Premium and Interest; Interest Rights Preserved; Optional Interest Reset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80" w:firstLine="1060"/>
        <w:spacing w:after="0" w:line="244" w:lineRule="auto"/>
        <w:tabs>
          <w:tab w:leader="none" w:pos="17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as contemplated by Section 3.01 with respect to any series of Securities, interest (if any) on any Security which is payable, and is punctually paid or duly provided for, on any Interest Payment Date shall be paid by the Paying Agent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installment of interest (if any) on any Security may at the Company's option be paid by (i) mailing a check for such interest, payable to or upon the written order of the Person entitled thereto pursuant to Section 3.09, to the address of such Person as it appears on the Security Register, (ii) wire transfer to an account located in the United States maintained by the Person entitled to such payment as specified in the Security Register, or (iii) as otherwise specified pursuant to Section 3.01 for the Securities of such series. Unless otherwise provided as contemplated by Section 3.01 with respect to any series of Securities, principal and premium (if any) paid in relation to any Security shall be paid to the Holder of such Security only upon presentation and surrender of such Security at the office or agency of the Company maintained for such purpose pursuant to Section 10.02.</w:t>
      </w:r>
    </w:p>
    <w:p>
      <w:pPr>
        <w:spacing w:after="0" w:line="118"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w:t>
      </w:r>
    </w:p>
    <w:p>
      <w:pPr>
        <w:spacing w:after="0" w:line="106"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Any interest on any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must be paid by the Company as provided for in either clause (1) or (2), at the Company's election: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5" w:name="page86"/>
    <w:bookmarkEnd w:id="85"/>
    <w:p>
      <w:pPr>
        <w:jc w:val="both"/>
        <w:ind w:left="1108" w:hanging="555"/>
        <w:spacing w:after="0" w:line="242" w:lineRule="auto"/>
        <w:tabs>
          <w:tab w:leader="none" w:pos="11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Security of such series and the date of the proposed payment, and at the same time the Company shall deposit with the applicable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1.07, not less than 10 days prior to such Special Record Date. Notice of the proposed payment of such Defaulted Interest and the Special Record Date therefor having been so given, such Defaulted Interest shall be paid to the Persons in whose name the Securities of such series (or their respective Predecessor Securities) are registered at the close of business on such Special Record Date and shall no longer be payable pursuant to the following clause (2).</w:t>
      </w:r>
    </w:p>
    <w:p>
      <w:pPr>
        <w:spacing w:after="0" w:line="126" w:lineRule="exact"/>
        <w:rPr>
          <w:rFonts w:ascii="Times New Roman" w:cs="Times New Roman" w:eastAsia="Times New Roman" w:hAnsi="Times New Roman"/>
          <w:sz w:val="18"/>
          <w:szCs w:val="18"/>
          <w:color w:val="auto"/>
        </w:rPr>
      </w:pPr>
    </w:p>
    <w:p>
      <w:pPr>
        <w:jc w:val="both"/>
        <w:ind w:left="1108" w:hanging="555"/>
        <w:spacing w:after="0" w:line="253" w:lineRule="auto"/>
        <w:tabs>
          <w:tab w:leader="none" w:pos="11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w:t>
      </w:r>
    </w:p>
    <w:p>
      <w:pPr>
        <w:spacing w:after="0" w:line="118" w:lineRule="exact"/>
        <w:rPr>
          <w:sz w:val="20"/>
          <w:szCs w:val="20"/>
          <w:color w:val="auto"/>
        </w:rPr>
      </w:pPr>
    </w:p>
    <w:p>
      <w:pPr>
        <w:jc w:val="both"/>
        <w:ind w:left="8" w:firstLine="545"/>
        <w:spacing w:after="0" w:line="243" w:lineRule="auto"/>
        <w:tabs>
          <w:tab w:leader="none" w:pos="113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cs="Times New Roman" w:eastAsia="Times New Roman" w:hAnsi="Times New Roman"/>
          <w:sz w:val="18"/>
          <w:szCs w:val="18"/>
          <w:b w:val="1"/>
          <w:bCs w:val="1"/>
          <w:color w:val="auto"/>
        </w:rPr>
        <w:t>Optional Reset Date</w:t>
      </w:r>
      <w:r>
        <w:rPr>
          <w:rFonts w:ascii="Times New Roman" w:cs="Times New Roman" w:eastAsia="Times New Roman" w:hAnsi="Times New Roman"/>
          <w:sz w:val="18"/>
          <w:szCs w:val="18"/>
          <w:color w:val="auto"/>
        </w:rPr>
        <w:t>"). The Company may exercise such option with respect to such Security by notifying the Trustees of such exercise at least 50 but not more than 60 days prior to an Optional Reset Date for such Security. Not later than 40 days prior to each Optional Reset Date, the Trustees shall transmit, in the manner provided for in Section 1.07, to the Holder of any such Security a notice (the "</w:t>
      </w:r>
      <w:r>
        <w:rPr>
          <w:rFonts w:ascii="Times New Roman" w:cs="Times New Roman" w:eastAsia="Times New Roman" w:hAnsi="Times New Roman"/>
          <w:sz w:val="18"/>
          <w:szCs w:val="18"/>
          <w:b w:val="1"/>
          <w:bCs w:val="1"/>
          <w:color w:val="auto"/>
        </w:rPr>
        <w:t>Reset Notice</w:t>
      </w:r>
      <w:r>
        <w:rPr>
          <w:rFonts w:ascii="Times New Roman" w:cs="Times New Roman" w:eastAsia="Times New Roman" w:hAnsi="Times New Roman"/>
          <w:sz w:val="18"/>
          <w:szCs w:val="18"/>
          <w:color w:val="auto"/>
        </w:rPr>
        <w:t>") indicating whether the Company has elected to reset the interest rate (or the spread or spread multiplier used to calculate such interest rate, if applicable), and if so</w:t>
      </w:r>
    </w:p>
    <w:p>
      <w:pPr>
        <w:spacing w:after="0" w:line="4" w:lineRule="exact"/>
        <w:rPr>
          <w:rFonts w:ascii="Times New Roman" w:cs="Times New Roman" w:eastAsia="Times New Roman" w:hAnsi="Times New Roman"/>
          <w:sz w:val="18"/>
          <w:szCs w:val="18"/>
          <w:color w:val="auto"/>
        </w:rPr>
      </w:pPr>
    </w:p>
    <w:p>
      <w:pPr>
        <w:jc w:val="both"/>
        <w:ind w:left="8" w:hanging="8"/>
        <w:spacing w:after="0" w:line="245" w:lineRule="auto"/>
        <w:tabs>
          <w:tab w:leader="none" w:pos="2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cs="Times New Roman" w:eastAsia="Times New Roman" w:hAnsi="Times New Roman"/>
          <w:sz w:val="18"/>
          <w:szCs w:val="18"/>
          <w:b w:val="1"/>
          <w:bCs w:val="1"/>
          <w:color w:val="auto"/>
        </w:rPr>
        <w:t>Subsequent Interest Period</w:t>
      </w:r>
      <w:r>
        <w:rPr>
          <w:rFonts w:ascii="Times New Roman" w:cs="Times New Roman" w:eastAsia="Times New Roman" w:hAnsi="Times New Roman"/>
          <w:sz w:val="18"/>
          <w:szCs w:val="18"/>
          <w:color w:val="auto"/>
        </w:rPr>
        <w:t>"), including the date or dates on which or the period or periods during which and the price or prices at which such redemption may occur during the Subsequent Interest Period.</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32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86" w:name="page87"/>
    <w:bookmarkEnd w:id="86"/>
    <w:p>
      <w:pPr>
        <w:jc w:val="both"/>
        <w:ind w:firstLine="553"/>
        <w:spacing w:after="0" w:line="246" w:lineRule="auto"/>
        <w:rPr>
          <w:sz w:val="20"/>
          <w:szCs w:val="20"/>
          <w:color w:val="auto"/>
        </w:rPr>
      </w:pPr>
      <w:r>
        <w:rPr>
          <w:rFonts w:ascii="Times New Roman" w:cs="Times New Roman" w:eastAsia="Times New Roman" w:hAnsi="Times New Roman"/>
          <w:sz w:val="18"/>
          <w:szCs w:val="18"/>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the spread or spread multiplier, if applicable) that is higher than the interest rate (or the spread or spread multiplier, if applicable) provided for in the Reset Notice, for the Subsequent Interest Period by causing the Trustees to transmit, in the manner provided for in Section 1.07,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12"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Trustees shall be at least 25 but not more than 35 days prior to such Optional Reset Date and except that, if the Holder has tendered any Security for repayment pursuant to the Reset Notice, the Holder may, by written notice to the Trustees, revoke such tender or repayment until the close of business on the tenth day before such Optional Reset Date.</w:t>
      </w:r>
    </w:p>
    <w:p>
      <w:pPr>
        <w:spacing w:after="0" w:line="122"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9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3.08</w:t>
      </w:r>
      <w:r>
        <w:rPr>
          <w:sz w:val="20"/>
          <w:szCs w:val="20"/>
          <w:color w:val="auto"/>
        </w:rPr>
        <w:tab/>
      </w:r>
      <w:r>
        <w:rPr>
          <w:rFonts w:ascii="Times New Roman" w:cs="Times New Roman" w:eastAsia="Times New Roman" w:hAnsi="Times New Roman"/>
          <w:sz w:val="18"/>
          <w:szCs w:val="18"/>
          <w:b w:val="1"/>
          <w:bCs w:val="1"/>
          <w:color w:val="auto"/>
        </w:rPr>
        <w:t>Optional Extension of Stated Maturity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up to but not beyond the date (the "</w:t>
      </w:r>
      <w:r>
        <w:rPr>
          <w:rFonts w:ascii="Times New Roman" w:cs="Times New Roman" w:eastAsia="Times New Roman" w:hAnsi="Times New Roman"/>
          <w:sz w:val="18"/>
          <w:szCs w:val="18"/>
          <w:b w:val="1"/>
          <w:bCs w:val="1"/>
          <w:color w:val="auto"/>
        </w:rPr>
        <w:t>Final Maturity</w:t>
      </w:r>
      <w:r>
        <w:rPr>
          <w:rFonts w:ascii="Times New Roman" w:cs="Times New Roman" w:eastAsia="Times New Roman" w:hAnsi="Times New Roman"/>
          <w:sz w:val="18"/>
          <w:szCs w:val="18"/>
          <w:color w:val="auto"/>
        </w:rPr>
        <w:t>")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w:t>
      </w:r>
      <w:r>
        <w:rPr>
          <w:rFonts w:ascii="Times New Roman" w:cs="Times New Roman" w:eastAsia="Times New Roman" w:hAnsi="Times New Roman"/>
          <w:sz w:val="18"/>
          <w:szCs w:val="18"/>
          <w:b w:val="1"/>
          <w:bCs w:val="1"/>
          <w:color w:val="auto"/>
        </w:rPr>
        <w:t>Original Stated Maturity</w:t>
      </w:r>
      <w:r>
        <w:rPr>
          <w:rFonts w:ascii="Times New Roman" w:cs="Times New Roman" w:eastAsia="Times New Roman" w:hAnsi="Times New Roman"/>
          <w:sz w:val="18"/>
          <w:szCs w:val="18"/>
          <w:color w:val="auto"/>
        </w:rPr>
        <w:t>"). If the Company exercises such option, the Trustees shall transmit, in the manner provided for in Section 1.07, to the Holder of such Security not later than 40 days prior to the Original Stated Maturity a notice (the "</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indicating (i) the election of the Company to extend the Stated Maturity, (ii) the new Stated Maturity, (iii) the interest rate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7" w:name="page88"/>
    <w:bookmarkEnd w:id="87"/>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1.07, notice of such higher interest rate to the Holder of such Security. Such notice shall be irrevocable. All Securities with respect to which the Stated Maturity is extended will bear such higher interest rate.</w:t>
      </w:r>
    </w:p>
    <w:p>
      <w:pPr>
        <w:spacing w:after="0" w:line="107"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w:t>
      </w:r>
    </w:p>
    <w:p>
      <w:pPr>
        <w:spacing w:after="0" w:line="11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3.09</w:t>
      </w:r>
      <w:r>
        <w:rPr>
          <w:sz w:val="20"/>
          <w:szCs w:val="20"/>
          <w:color w:val="auto"/>
        </w:rPr>
        <w:tab/>
      </w: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Prior to due presentment of a Security for registration of transfer, the Company, the Trustees and any agent of the Company or the Trustees may treat the Person in whose name such Security is registered as the owner of such Security for the purpose of receiving payment of principal of, premium (if any) and (subject to Sections 3.05 and 3.07) interest (if any) on such Security and for all other purposes whatsoever, whether or not such Security be overdue, and none of the Company, the Trustees or any agent of the Company or the Trustees shall be affected by notice to the contrary.</w:t>
      </w:r>
    </w:p>
    <w:p>
      <w:pPr>
        <w:spacing w:after="0" w:line="10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The Depositary for Securities may be treated by the Company, the Trustees, and any agent of the Company or the Trustees as the owner of such global Security for all purposes whatsoever. None of the 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18"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0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3.10</w:t>
      </w:r>
      <w:r>
        <w:rPr>
          <w:sz w:val="20"/>
          <w:szCs w:val="20"/>
          <w:color w:val="auto"/>
        </w:rPr>
        <w:tab/>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All Securities surrendered for payment, redemption, repayment at the option of the Holder, registration of transfer or exchange or for credit against any current or future sinking fund payment shall, if surrendered to any Person other than a Trustee, be delivered to either Trustee. All Securities so delivered to either Trustee shall be promptly cancelled by such Trustee. The Company may at any time deliver to a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either Trustee for cancellation. No Securities shall be authenticated in lieu of or in exchange for any Securities cancelled as provided in this Section 3.10, except as expressly permitted by this Indenture. All cancelled Securities held by either Trustee shall be disposed of by such Trustee in accordance with its customary procedures and certification of their disposal delivered to the Company unless by Company Order the Company shall direct that cancelled Securities be returned to it.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8" w:name="page89"/>
    <w:bookmarkEnd w:id="88"/>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3.11</w:t>
      </w:r>
      <w:r>
        <w:rPr>
          <w:sz w:val="20"/>
          <w:szCs w:val="20"/>
          <w:color w:val="auto"/>
        </w:rPr>
        <w:tab/>
      </w:r>
      <w:r>
        <w:rPr>
          <w:rFonts w:ascii="Times New Roman" w:cs="Times New Roman" w:eastAsia="Times New Roman" w:hAnsi="Times New Roman"/>
          <w:sz w:val="18"/>
          <w:szCs w:val="18"/>
          <w:b w:val="1"/>
          <w:bCs w:val="1"/>
          <w:color w:val="auto"/>
        </w:rPr>
        <w:t>Computation of Interest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w:t>
      </w:r>
      <w:r>
        <w:rPr>
          <w:rFonts w:ascii="Times New Roman" w:cs="Times New Roman" w:eastAsia="Times New Roman" w:hAnsi="Times New Roman"/>
          <w:sz w:val="18"/>
          <w:szCs w:val="18"/>
          <w:b w:val="1"/>
          <w:bCs w:val="1"/>
          <w:color w:val="auto"/>
        </w:rPr>
        <w:t>calculation period</w:t>
      </w:r>
      <w:r>
        <w:rPr>
          <w:rFonts w:ascii="Times New Roman" w:cs="Times New Roman" w:eastAsia="Times New Roman" w:hAnsi="Times New Roman"/>
          <w:sz w:val="18"/>
          <w:szCs w:val="18"/>
          <w:color w:val="auto"/>
        </w:rPr>
        <w:t>") is equivalent, is the rate payable under a Security in respect of the calculation period multiplied by a fraction the numerator of which is the actual number of days in such calendar year and the denominator of which is the actual number of days in the calculation period.</w:t>
      </w:r>
    </w:p>
    <w:p>
      <w:pPr>
        <w:spacing w:after="0" w:line="1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3.12</w:t>
      </w:r>
      <w:r>
        <w:rPr>
          <w:sz w:val="20"/>
          <w:szCs w:val="20"/>
          <w:color w:val="auto"/>
        </w:rPr>
        <w:tab/>
      </w:r>
      <w:r>
        <w:rPr>
          <w:rFonts w:ascii="Times New Roman" w:cs="Times New Roman" w:eastAsia="Times New Roman" w:hAnsi="Times New Roman"/>
          <w:sz w:val="18"/>
          <w:szCs w:val="18"/>
          <w:b w:val="1"/>
          <w:bCs w:val="1"/>
          <w:color w:val="auto"/>
        </w:rPr>
        <w:t>Currency and Manner of Payments in Respect of Securities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45"/>
        <w:spacing w:after="0" w:line="253" w:lineRule="auto"/>
        <w:tabs>
          <w:tab w:leader="none" w:pos="11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of any series not permitting the election provided for in paragraph (b) below or the Holders of which have not made the election provided for in paragraph (b) below, payment of the principal of, premium (if any) and interest (if any) on such Security of such series will be made in the Currency in which such Security is payable. The provisions of this Section 3.12 may be modified or superseded with respect to any Securities pursuant to Section 3.01.</w:t>
      </w:r>
    </w:p>
    <w:p>
      <w:pPr>
        <w:spacing w:after="0" w:line="106" w:lineRule="exact"/>
        <w:rPr>
          <w:rFonts w:ascii="Times New Roman" w:cs="Times New Roman" w:eastAsia="Times New Roman" w:hAnsi="Times New Roman"/>
          <w:sz w:val="18"/>
          <w:szCs w:val="18"/>
          <w:color w:val="auto"/>
        </w:rPr>
      </w:pPr>
    </w:p>
    <w:p>
      <w:pPr>
        <w:jc w:val="both"/>
        <w:ind w:firstLine="545"/>
        <w:spacing w:after="0" w:line="243" w:lineRule="auto"/>
        <w:tabs>
          <w:tab w:leader="none" w:pos="11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provided pursuant to Section 3.01 with respect to Securities of any series that Holders shall have the option, subject to paragraphs (d) and (e) below, to receive payments of principal of, premium (if any) or interest (if any) on such Securities in any of the Currencies which may be designated for such election by delivering to the Trustees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Securities for which Holders have made such written election.</w:t>
      </w:r>
    </w:p>
    <w:p>
      <w:pPr>
        <w:spacing w:after="0" w:line="131" w:lineRule="exact"/>
        <w:rPr>
          <w:rFonts w:ascii="Times New Roman" w:cs="Times New Roman" w:eastAsia="Times New Roman" w:hAnsi="Times New Roman"/>
          <w:sz w:val="18"/>
          <w:szCs w:val="18"/>
          <w:color w:val="auto"/>
        </w:rPr>
      </w:pPr>
    </w:p>
    <w:p>
      <w:pPr>
        <w:jc w:val="both"/>
        <w:ind w:firstLine="545"/>
        <w:spacing w:after="0" w:line="243" w:lineRule="auto"/>
        <w:tabs>
          <w:tab w:leader="none" w:pos="11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Securities of any series, the Exchange Rate Agent will deliver to the Company a written notice specifying, in the Currency in which Securities of such series are payable, the respective aggregate amounts of principal of, premium (if any) and interest (if any) on the Securities to be paid on such payment date, specifying the amounts in such Currency so payable in respect of the Securities as to which the Holders of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Securities an Exchange Rate Officer's Certificate in respect of the Dollar or Foreign Currency payments to be made on such payment date. Unless otherwise specified pursuant to Section 3.01, the Dollar or Foreign Currency amount receivable by Holders of Securities who have elected payment in a Currency as provided in paragraph (b) above shall be determined by the Company on the basis of the applicable Market Exchange Rate in effect on the third Business Day (the "</w:t>
      </w:r>
      <w:r>
        <w:rPr>
          <w:rFonts w:ascii="Times New Roman" w:cs="Times New Roman" w:eastAsia="Times New Roman" w:hAnsi="Times New Roman"/>
          <w:sz w:val="18"/>
          <w:szCs w:val="18"/>
          <w:b w:val="1"/>
          <w:bCs w:val="1"/>
          <w:color w:val="auto"/>
        </w:rPr>
        <w:t>Valuation Date</w:t>
      </w:r>
      <w:r>
        <w:rPr>
          <w:rFonts w:ascii="Times New Roman" w:cs="Times New Roman" w:eastAsia="Times New Roman" w:hAnsi="Times New Roman"/>
          <w:sz w:val="18"/>
          <w:szCs w:val="18"/>
          <w:color w:val="auto"/>
        </w:rPr>
        <w:t>") immediately preceding each payment date, and such determination shall be conclusive and binding for all purposes, absent manifest error.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9" w:name="page90"/>
    <w:bookmarkEnd w:id="89"/>
    <w:p>
      <w:pPr>
        <w:jc w:val="both"/>
        <w:ind w:firstLine="545"/>
        <w:spacing w:after="0" w:line="246" w:lineRule="auto"/>
        <w:tabs>
          <w:tab w:leader="none" w:pos="11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premium (if any) and interest (if any) on the applicable Securities denominated or payable in such Foreign Currency occurring after the last date on which such Foreign Currency was used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Dollar shall be the Currency of payment for use on each such payment 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11" w:lineRule="exact"/>
        <w:rPr>
          <w:rFonts w:ascii="Times New Roman" w:cs="Times New Roman" w:eastAsia="Times New Roman" w:hAnsi="Times New Roman"/>
          <w:sz w:val="18"/>
          <w:szCs w:val="18"/>
          <w:color w:val="auto"/>
        </w:rPr>
      </w:pPr>
    </w:p>
    <w:p>
      <w:pPr>
        <w:jc w:val="both"/>
        <w:ind w:firstLine="545"/>
        <w:spacing w:after="0" w:line="250" w:lineRule="auto"/>
        <w:tabs>
          <w:tab w:leader="none" w:pos="11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the Holder of a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115" w:lineRule="exact"/>
        <w:rPr>
          <w:rFonts w:ascii="Times New Roman" w:cs="Times New Roman" w:eastAsia="Times New Roman" w:hAnsi="Times New Roman"/>
          <w:sz w:val="18"/>
          <w:szCs w:val="18"/>
          <w:color w:val="auto"/>
        </w:rPr>
      </w:pPr>
    </w:p>
    <w:p>
      <w:pPr>
        <w:ind w:right="20" w:firstLine="545"/>
        <w:spacing w:after="0" w:line="283" w:lineRule="auto"/>
        <w:tabs>
          <w:tab w:leader="none" w:pos="11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Dollar Equivalent of the Foreign Currency</w:t>
      </w:r>
      <w:r>
        <w:rPr>
          <w:rFonts w:ascii="Times New Roman" w:cs="Times New Roman" w:eastAsia="Times New Roman" w:hAnsi="Times New Roman"/>
          <w:sz w:val="18"/>
          <w:szCs w:val="18"/>
          <w:color w:val="auto"/>
        </w:rPr>
        <w:t>" shall be determined by the Exchange Rate Agent and shall be obtained for each subsequent payment date by converting the specified Foreign Currency into Dollars at the Market Exchange Rate on the Conversion Date.</w:t>
      </w:r>
    </w:p>
    <w:p>
      <w:pPr>
        <w:spacing w:after="0" w:line="76" w:lineRule="exact"/>
        <w:rPr>
          <w:rFonts w:ascii="Times New Roman" w:cs="Times New Roman" w:eastAsia="Times New Roman" w:hAnsi="Times New Roman"/>
          <w:sz w:val="18"/>
          <w:szCs w:val="18"/>
          <w:color w:val="auto"/>
        </w:rPr>
      </w:pPr>
    </w:p>
    <w:p>
      <w:pPr>
        <w:jc w:val="both"/>
        <w:ind w:firstLine="545"/>
        <w:spacing w:after="0" w:line="261" w:lineRule="auto"/>
        <w:tabs>
          <w:tab w:leader="none" w:pos="11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Dollar Equivalent of the Currency Unit</w:t>
      </w:r>
      <w:r>
        <w:rPr>
          <w:rFonts w:ascii="Times New Roman" w:cs="Times New Roman" w:eastAsia="Times New Roman" w:hAnsi="Times New Roman"/>
          <w:sz w:val="18"/>
          <w:szCs w:val="18"/>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00" w:lineRule="exact"/>
        <w:rPr>
          <w:rFonts w:ascii="Times New Roman" w:cs="Times New Roman" w:eastAsia="Times New Roman" w:hAnsi="Times New Roman"/>
          <w:sz w:val="18"/>
          <w:szCs w:val="18"/>
          <w:color w:val="auto"/>
        </w:rPr>
      </w:pPr>
    </w:p>
    <w:p>
      <w:pPr>
        <w:ind w:left="1120" w:hanging="575"/>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3.12 the following terms shall have the following meanings:</w:t>
      </w:r>
    </w:p>
    <w:p>
      <w:pPr>
        <w:spacing w:after="0" w:line="158" w:lineRule="exact"/>
        <w:rPr>
          <w:sz w:val="20"/>
          <w:szCs w:val="20"/>
          <w:color w:val="auto"/>
        </w:rPr>
      </w:pPr>
    </w:p>
    <w:p>
      <w:pPr>
        <w:jc w:val="both"/>
        <w:ind w:right="20" w:firstLine="553"/>
        <w:spacing w:after="0" w:line="28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Component Currency</w:t>
      </w:r>
      <w:r>
        <w:rPr>
          <w:rFonts w:ascii="Times New Roman" w:cs="Times New Roman" w:eastAsia="Times New Roman" w:hAnsi="Times New Roman"/>
          <w:sz w:val="18"/>
          <w:szCs w:val="18"/>
          <w:color w:val="auto"/>
        </w:rPr>
        <w:t>" shall mean any Currency which, on the Conversion Date, was a component currency of the relevant Currency unit, including, but not limited to, the Euro.</w:t>
      </w:r>
    </w:p>
    <w:p>
      <w:pPr>
        <w:spacing w:after="0" w:line="76" w:lineRule="exact"/>
        <w:rPr>
          <w:sz w:val="20"/>
          <w:szCs w:val="20"/>
          <w:color w:val="auto"/>
        </w:rPr>
      </w:pPr>
    </w:p>
    <w:p>
      <w:pPr>
        <w:jc w:val="both"/>
        <w:ind w:firstLine="553"/>
        <w:spacing w:after="0" w:line="24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0" w:name="page91"/>
    <w:bookmarkEnd w:id="90"/>
    <w:p>
      <w:pPr>
        <w:jc w:val="both"/>
        <w:ind w:firstLine="55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 shall mean the date for any series of Securities as specified pursuant to clause (15) of Section 3.01 by which the written election referred to in paragraph (b) above may be made.</w:t>
      </w:r>
    </w:p>
    <w:p>
      <w:pPr>
        <w:spacing w:after="0" w:line="81"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w:t>
      </w:r>
    </w:p>
    <w:p>
      <w:pPr>
        <w:spacing w:after="0" w:line="120"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1.07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1.07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w:t>
      </w:r>
    </w:p>
    <w:p>
      <w:pPr>
        <w:spacing w:after="0" w:line="118"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1" w:name="page92"/>
    <w:bookmarkEnd w:id="91"/>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3.13</w:t>
      </w:r>
      <w:r>
        <w:rPr>
          <w:sz w:val="20"/>
          <w:szCs w:val="20"/>
          <w:color w:val="auto"/>
        </w:rPr>
        <w:tab/>
      </w:r>
      <w:r>
        <w:rPr>
          <w:rFonts w:ascii="Times New Roman" w:cs="Times New Roman" w:eastAsia="Times New Roman" w:hAnsi="Times New Roman"/>
          <w:sz w:val="18"/>
          <w:szCs w:val="18"/>
          <w:b w:val="1"/>
          <w:bCs w:val="1"/>
          <w:color w:val="auto"/>
        </w:rPr>
        <w:t>Appointment and Resignation of Successor Exchange Rate Agent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45"/>
        <w:spacing w:after="0" w:line="248" w:lineRule="auto"/>
        <w:tabs>
          <w:tab w:leader="none" w:pos="11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Currency into the applicable payment Currency for the payment of principal, premium (if any) and interest (if any) pursuant to Section 3.12.</w:t>
      </w:r>
    </w:p>
    <w:p>
      <w:pPr>
        <w:spacing w:after="0" w:line="121" w:lineRule="exact"/>
        <w:rPr>
          <w:rFonts w:ascii="Times New Roman" w:cs="Times New Roman" w:eastAsia="Times New Roman" w:hAnsi="Times New Roman"/>
          <w:sz w:val="18"/>
          <w:szCs w:val="18"/>
          <w:color w:val="auto"/>
        </w:rPr>
      </w:pPr>
    </w:p>
    <w:p>
      <w:pPr>
        <w:jc w:val="both"/>
        <w:ind w:right="20" w:firstLine="545"/>
        <w:spacing w:after="0" w:line="254" w:lineRule="auto"/>
        <w:tabs>
          <w:tab w:leader="none" w:pos="11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remove and replace from time to time the Exchange Rate Agent for any series of Securities. No resignation of the Exchange Rate Agent and no appointment of a successor Exchange Rate Agent pursuant to this Section 3.13 shall become effective until the acceptance of appointment by the successor Exchange Rate Agent as evidenced by a written instrument delivered to the Company and the Trustees.</w:t>
      </w:r>
    </w:p>
    <w:p>
      <w:pPr>
        <w:spacing w:after="0" w:line="321" w:lineRule="exact"/>
        <w:rPr>
          <w:rFonts w:ascii="Times New Roman" w:cs="Times New Roman" w:eastAsia="Times New Roman" w:hAnsi="Times New Roman"/>
          <w:sz w:val="18"/>
          <w:szCs w:val="18"/>
          <w:color w:val="auto"/>
        </w:rPr>
      </w:pPr>
    </w:p>
    <w:p>
      <w:pPr>
        <w:jc w:val="both"/>
        <w:ind w:firstLine="545"/>
        <w:spacing w:after="0" w:line="248" w:lineRule="auto"/>
        <w:tabs>
          <w:tab w:leader="none" w:pos="11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8"/>
          <w:szCs w:val="18"/>
          <w:b w:val="1"/>
          <w:bCs w:val="1"/>
          <w:color w:val="auto"/>
        </w:rPr>
        <w:t>Satisfaction and Discharge of Indenture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the rights of Holders of such series of Securities to receive, solely from the trust fund described in subclause (b) of clause (1) of this Section 4.01, payments in respect of the principal of, premium (if any) and interest (if any) on such Securities when such payments are due and except as provided in the last paragraph of this Section 4.01) and the Trustees, at the expense of the Company, shall execute proper instruments acknowledging satisfaction and discharge of this Indenture as to such series when</w:t>
      </w:r>
    </w:p>
    <w:p>
      <w:pPr>
        <w:spacing w:after="0" w:line="110" w:lineRule="exact"/>
        <w:rPr>
          <w:sz w:val="20"/>
          <w:szCs w:val="20"/>
          <w:color w:val="auto"/>
        </w:rPr>
      </w:pPr>
    </w:p>
    <w:p>
      <w:pPr>
        <w:ind w:left="1120" w:hanging="575"/>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62" w:lineRule="exact"/>
        <w:rPr>
          <w:sz w:val="20"/>
          <w:szCs w:val="20"/>
          <w:color w:val="auto"/>
        </w:rPr>
      </w:pPr>
    </w:p>
    <w:p>
      <w:pPr>
        <w:jc w:val="both"/>
        <w:ind w:right="20" w:firstLine="545"/>
        <w:spacing w:after="0" w:line="259" w:lineRule="auto"/>
        <w:tabs>
          <w:tab w:leader="none" w:pos="11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w:t>
      </w:r>
    </w:p>
    <w:p>
      <w:pPr>
        <w:spacing w:after="0" w:line="101" w:lineRule="exact"/>
        <w:rPr>
          <w:rFonts w:ascii="Times New Roman" w:cs="Times New Roman" w:eastAsia="Times New Roman" w:hAnsi="Times New Roman"/>
          <w:sz w:val="18"/>
          <w:szCs w:val="18"/>
          <w:color w:val="auto"/>
        </w:rPr>
      </w:pPr>
    </w:p>
    <w:p>
      <w:pPr>
        <w:ind w:left="1120" w:hanging="575"/>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not theretofore delivered to either Trustee for cancellation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2" w:name="page93"/>
    <w:bookmarkEnd w:id="92"/>
    <w:p>
      <w:pPr>
        <w:ind w:left="1680" w:hanging="582"/>
        <w:spacing w:after="0"/>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50" w:lineRule="exact"/>
        <w:rPr>
          <w:rFonts w:ascii="Times New Roman" w:cs="Times New Roman" w:eastAsia="Times New Roman" w:hAnsi="Times New Roman"/>
          <w:sz w:val="18"/>
          <w:szCs w:val="18"/>
          <w:color w:val="auto"/>
        </w:rPr>
      </w:pPr>
    </w:p>
    <w:p>
      <w:pPr>
        <w:ind w:left="1700" w:hanging="602"/>
        <w:spacing w:after="0"/>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61" w:lineRule="exact"/>
        <w:rPr>
          <w:rFonts w:ascii="Times New Roman" w:cs="Times New Roman" w:eastAsia="Times New Roman" w:hAnsi="Times New Roman"/>
          <w:sz w:val="18"/>
          <w:szCs w:val="18"/>
          <w:color w:val="auto"/>
        </w:rPr>
      </w:pPr>
    </w:p>
    <w:p>
      <w:pPr>
        <w:ind w:left="1660" w:right="20" w:hanging="562"/>
        <w:spacing w:after="0" w:line="278" w:lineRule="auto"/>
        <w:tabs>
          <w:tab w:leader="none" w:pos="17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Trustees for the giving of notice of redemption by the Trustees in the name, and at the expense, of the Company,</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premium (if any) and interest (if any) to the date of such deposit (in the case of Securities which have become due and payable) or to the Stated Maturity or Redemption Date, as the case may be;</w:t>
      </w:r>
    </w:p>
    <w:p>
      <w:pPr>
        <w:spacing w:after="0" w:line="106" w:lineRule="exact"/>
        <w:rPr>
          <w:sz w:val="20"/>
          <w:szCs w:val="20"/>
          <w:color w:val="auto"/>
        </w:rPr>
      </w:pPr>
    </w:p>
    <w:p>
      <w:pPr>
        <w:ind w:left="1140" w:hanging="59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61" w:lineRule="exact"/>
        <w:rPr>
          <w:rFonts w:ascii="Times New Roman" w:cs="Times New Roman" w:eastAsia="Times New Roman" w:hAnsi="Times New Roman"/>
          <w:sz w:val="18"/>
          <w:szCs w:val="18"/>
          <w:color w:val="auto"/>
        </w:rPr>
      </w:pPr>
    </w:p>
    <w:p>
      <w:pPr>
        <w:ind w:left="1100" w:hanging="555"/>
        <w:spacing w:after="0" w:line="278" w:lineRule="auto"/>
        <w:tabs>
          <w:tab w:leader="none" w:pos="11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Trustees an Officer's Certificate and an Opinion of Counsel, each stating that all conditions precedent herein provided for relating to the satisfaction and discharge of this Indenture as to such series have been complied with.</w:t>
      </w:r>
    </w:p>
    <w:p>
      <w:pPr>
        <w:spacing w:after="0" w:line="85" w:lineRule="exact"/>
        <w:rPr>
          <w:sz w:val="20"/>
          <w:szCs w:val="20"/>
          <w:color w:val="auto"/>
        </w:rPr>
      </w:pPr>
    </w:p>
    <w:p>
      <w:pPr>
        <w:jc w:val="both"/>
        <w:ind w:firstLine="553"/>
        <w:spacing w:after="0" w:line="254"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4.01, the obligations of the Trustees under Section 4.02, Section 6.07(3) and the last paragraph of Section 10.03 shall survive.</w:t>
      </w:r>
    </w:p>
    <w:p>
      <w:pPr>
        <w:spacing w:after="0" w:line="31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4.02</w:t>
      </w:r>
      <w:r>
        <w:rPr>
          <w:sz w:val="20"/>
          <w:szCs w:val="20"/>
          <w:color w:val="auto"/>
        </w:rPr>
        <w:tab/>
      </w:r>
      <w:r>
        <w:rPr>
          <w:rFonts w:ascii="Times New Roman" w:cs="Times New Roman" w:eastAsia="Times New Roman" w:hAnsi="Times New Roman"/>
          <w:sz w:val="18"/>
          <w:szCs w:val="18"/>
          <w:b w:val="1"/>
          <w:bCs w:val="1"/>
          <w:color w:val="auto"/>
        </w:rPr>
        <w:t>Application of Trust Money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firstLine="553"/>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deposited with the Trustees pursuant to Section 4.01 shall be held in trust and applied by it, in accordance with the provisions of the Securities and this Indenture, to the payment, either directly or through any Paying Agent (including the Company acting as its own Paying Agent) as the Trustees may determine, to the Persons entitled thereto, of the principal, premium (if any) and interest (if any) for whose payment such money has been deposited with the Trustees; but such money need not be segregated from other funds except to the extent required by law.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12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5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3" w:name="page94"/>
    <w:bookmarkEnd w:id="93"/>
    <w:p>
      <w:pPr>
        <w:ind w:left="1100" w:right="20" w:hanging="555"/>
        <w:spacing w:after="0" w:line="280"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due on any Security of that series, when such interest becomes due and payable, and continuance of such default for a period of 30 days; or</w:t>
      </w:r>
    </w:p>
    <w:p>
      <w:pPr>
        <w:spacing w:after="0" w:line="82"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or premium (if any) in respect of any Security of that series at its Maturity; or</w:t>
      </w:r>
    </w:p>
    <w:p>
      <w:pPr>
        <w:spacing w:after="0" w:line="161"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amortization or analogous payment when due by the terms of any Security of that series and Article Twelve; or</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48"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agreement of the Company in this Indenture which affects or is applicable to the Securities of that series (other than a covenant or agreement, a default in whose performance or whose breach is elsewhere in this Section 5.01 specifically dealt with), and continuance of such default or breach for a period of 60 days after there has been given (and 120 days with respect to a default or breach under Section 7.05), by registered or certified mail, to the Company by the 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w:t>
      </w:r>
    </w:p>
    <w:p>
      <w:pPr>
        <w:spacing w:after="0" w:line="110" w:lineRule="exact"/>
        <w:rPr>
          <w:rFonts w:ascii="Times New Roman" w:cs="Times New Roman" w:eastAsia="Times New Roman" w:hAnsi="Times New Roman"/>
          <w:sz w:val="18"/>
          <w:szCs w:val="18"/>
          <w:color w:val="auto"/>
        </w:rPr>
      </w:pPr>
    </w:p>
    <w:p>
      <w:pPr>
        <w:jc w:val="both"/>
        <w:ind w:left="1100" w:hanging="555"/>
        <w:spacing w:after="0" w:line="246"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w:t>
      </w:r>
    </w:p>
    <w:p>
      <w:pPr>
        <w:spacing w:after="0" w:line="127" w:lineRule="exact"/>
        <w:rPr>
          <w:rFonts w:ascii="Times New Roman" w:cs="Times New Roman" w:eastAsia="Times New Roman" w:hAnsi="Times New Roman"/>
          <w:sz w:val="18"/>
          <w:szCs w:val="18"/>
          <w:color w:val="auto"/>
        </w:rPr>
      </w:pPr>
    </w:p>
    <w:p>
      <w:pPr>
        <w:jc w:val="both"/>
        <w:ind w:left="1100" w:hanging="555"/>
        <w:spacing w:after="0" w:line="245"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w:t>
      </w:r>
    </w:p>
    <w:p>
      <w:pPr>
        <w:spacing w:after="0" w:line="329"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14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8"/>
          <w:szCs w:val="18"/>
          <w:b w:val="1"/>
          <w:bCs w:val="1"/>
          <w:color w:val="auto"/>
        </w:rPr>
        <w:t>Acceleration of Maturity; Rescission and Annulment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If an Event of Default described in clause (1), (2), (3), (4) or (7)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clause (5) or (6) of Section 5.01 occurs and is continuing, then the principal amount of all the Securities shall ipso facto become and be immediately due and payable without any declaration or other act on the part of the Trustees or any Holder.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4" w:name="page95"/>
    <w:bookmarkEnd w:id="94"/>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Five, the Holders of a majority in principal amount of the Outstanding Securities of that series (or of all series, as the case may be), by written notice to the Company and the Trustees, may rescind and annul such declaration and its consequences if:</w:t>
      </w:r>
    </w:p>
    <w:p>
      <w:pPr>
        <w:spacing w:after="0" w:line="107" w:lineRule="exact"/>
        <w:rPr>
          <w:sz w:val="20"/>
          <w:szCs w:val="20"/>
          <w:color w:val="auto"/>
        </w:rPr>
      </w:pPr>
    </w:p>
    <w:p>
      <w:pPr>
        <w:jc w:val="both"/>
        <w:ind w:left="1100" w:right="20" w:hanging="555"/>
        <w:spacing w:after="0" w:line="259" w:lineRule="auto"/>
        <w:tabs>
          <w:tab w:leader="none" w:pos="11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13" w:lineRule="exact"/>
        <w:rPr>
          <w:rFonts w:ascii="Times New Roman" w:cs="Times New Roman" w:eastAsia="Times New Roman" w:hAnsi="Times New Roman"/>
          <w:sz w:val="18"/>
          <w:szCs w:val="18"/>
          <w:color w:val="auto"/>
        </w:rPr>
      </w:pPr>
    </w:p>
    <w:p>
      <w:pPr>
        <w:ind w:left="1680" w:hanging="582"/>
        <w:spacing w:after="0"/>
        <w:tabs>
          <w:tab w:leader="none" w:pos="16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(if any) on all Outstanding Securities of that series (or of all series, as the case may be),</w:t>
      </w:r>
    </w:p>
    <w:p>
      <w:pPr>
        <w:spacing w:after="0" w:line="150" w:lineRule="exact"/>
        <w:rPr>
          <w:rFonts w:ascii="Times New Roman" w:cs="Times New Roman" w:eastAsia="Times New Roman" w:hAnsi="Times New Roman"/>
          <w:sz w:val="18"/>
          <w:szCs w:val="18"/>
          <w:color w:val="auto"/>
        </w:rPr>
      </w:pPr>
    </w:p>
    <w:p>
      <w:pPr>
        <w:jc w:val="both"/>
        <w:ind w:left="1660" w:hanging="562"/>
        <w:spacing w:after="0" w:line="259" w:lineRule="auto"/>
        <w:tabs>
          <w:tab w:leader="none" w:pos="17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w:t>
      </w:r>
    </w:p>
    <w:p>
      <w:pPr>
        <w:spacing w:after="0" w:line="101" w:lineRule="exact"/>
        <w:rPr>
          <w:rFonts w:ascii="Times New Roman" w:cs="Times New Roman" w:eastAsia="Times New Roman" w:hAnsi="Times New Roman"/>
          <w:sz w:val="18"/>
          <w:szCs w:val="18"/>
          <w:color w:val="auto"/>
        </w:rPr>
      </w:pPr>
    </w:p>
    <w:p>
      <w:pPr>
        <w:ind w:left="1660" w:hanging="562"/>
        <w:spacing w:after="0" w:line="278" w:lineRule="auto"/>
        <w:tabs>
          <w:tab w:leader="none" w:pos="16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legally enforceable, interest on overdue interest at the rate or rates prescribed therefor in such Securities, and</w:t>
      </w:r>
    </w:p>
    <w:p>
      <w:pPr>
        <w:spacing w:after="0" w:line="96" w:lineRule="exact"/>
        <w:rPr>
          <w:rFonts w:ascii="Times New Roman" w:cs="Times New Roman" w:eastAsia="Times New Roman" w:hAnsi="Times New Roman"/>
          <w:sz w:val="18"/>
          <w:szCs w:val="18"/>
          <w:color w:val="auto"/>
        </w:rPr>
      </w:pPr>
    </w:p>
    <w:p>
      <w:pPr>
        <w:ind w:left="1660" w:right="20" w:hanging="562"/>
        <w:spacing w:after="0" w:line="278" w:lineRule="auto"/>
        <w:tabs>
          <w:tab w:leader="none" w:pos="17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Trustees hereunder and the reasonable compensation, expenses, disbursements and advances of the Trustees, their agents and counsel; and</w:t>
      </w:r>
    </w:p>
    <w:p>
      <w:pPr>
        <w:spacing w:after="0" w:line="84" w:lineRule="exact"/>
        <w:rPr>
          <w:rFonts w:ascii="Times New Roman" w:cs="Times New Roman" w:eastAsia="Times New Roman" w:hAnsi="Times New Roman"/>
          <w:sz w:val="18"/>
          <w:szCs w:val="18"/>
          <w:color w:val="auto"/>
        </w:rPr>
      </w:pPr>
    </w:p>
    <w:p>
      <w:pPr>
        <w:jc w:val="both"/>
        <w:ind w:left="1100" w:right="20" w:hanging="555"/>
        <w:spacing w:after="0" w:line="259" w:lineRule="auto"/>
        <w:tabs>
          <w:tab w:leader="none" w:pos="11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(or of all series, as the case may be), other than the non-payment of amounts of principal of, premium (if any) or interest (if any) on Securities of that series (or of all series, as the case may be) which have become due solely by such declaration of acceleration, have been cured or waived as provided in Section 5.13.</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15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5.03</w:t>
      </w:r>
      <w:r>
        <w:rPr>
          <w:sz w:val="20"/>
          <w:szCs w:val="20"/>
          <w:color w:val="auto"/>
        </w:rPr>
        <w:tab/>
      </w:r>
      <w:r>
        <w:rPr>
          <w:rFonts w:ascii="Times New Roman" w:cs="Times New Roman" w:eastAsia="Times New Roman" w:hAnsi="Times New Roman"/>
          <w:sz w:val="18"/>
          <w:szCs w:val="18"/>
          <w:b w:val="1"/>
          <w:bCs w:val="1"/>
          <w:color w:val="auto"/>
        </w:rPr>
        <w:t>Collection of Debt and Suits for Enforcement by Trustees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50" w:lineRule="exact"/>
        <w:rPr>
          <w:sz w:val="20"/>
          <w:szCs w:val="20"/>
          <w:color w:val="auto"/>
        </w:rPr>
      </w:pPr>
    </w:p>
    <w:p>
      <w:pPr>
        <w:ind w:left="1100" w:right="20" w:hanging="555"/>
        <w:spacing w:after="0" w:line="278" w:lineRule="auto"/>
        <w:tabs>
          <w:tab w:leader="none" w:pos="11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when such interest becomes due and payable and such default continues for a period of 30 days, 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5" w:name="page96"/>
    <w:bookmarkEnd w:id="95"/>
    <w:p>
      <w:pPr>
        <w:ind w:left="1120" w:hanging="575"/>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any Security at the Maturity thereof,</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then the Company will, upon demand of the Trustees, pay to the applicable Trustee for the benefit of the Holders of such Securities , the whole amount then due and payable on such Securities for principal of, premium (if any) and interest (if any) and interest on any overdue principal, overdue premium (if any) and, to the extent lawful, overdue interest (if any),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w:t>
      </w:r>
    </w:p>
    <w:p>
      <w:pPr>
        <w:spacing w:after="0" w:line="124"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Trustees, in their own names as trustees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0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0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5.04</w:t>
      </w:r>
      <w:r>
        <w:rPr>
          <w:sz w:val="20"/>
          <w:szCs w:val="20"/>
          <w:color w:val="auto"/>
        </w:rPr>
        <w:tab/>
      </w:r>
      <w:r>
        <w:rPr>
          <w:rFonts w:ascii="Times New Roman" w:cs="Times New Roman" w:eastAsia="Times New Roman" w:hAnsi="Times New Roman"/>
          <w:sz w:val="18"/>
          <w:szCs w:val="18"/>
          <w:b w:val="1"/>
          <w:bCs w:val="1"/>
          <w:color w:val="auto"/>
        </w:rPr>
        <w:t>Trustees May File Proofs of Claim</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w:t>
      </w:r>
    </w:p>
    <w:p>
      <w:pPr>
        <w:spacing w:after="0" w:line="108" w:lineRule="exact"/>
        <w:rPr>
          <w:sz w:val="20"/>
          <w:szCs w:val="20"/>
          <w:color w:val="auto"/>
        </w:rPr>
      </w:pPr>
    </w:p>
    <w:p>
      <w:pPr>
        <w:jc w:val="both"/>
        <w:ind w:left="1660" w:hanging="562"/>
        <w:spacing w:after="0" w:line="249" w:lineRule="auto"/>
        <w:tabs>
          <w:tab w:leader="none" w:pos="16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w:t>
      </w:r>
    </w:p>
    <w:p>
      <w:pPr>
        <w:spacing w:after="0" w:line="112" w:lineRule="exact"/>
        <w:rPr>
          <w:rFonts w:ascii="Times New Roman" w:cs="Times New Roman" w:eastAsia="Times New Roman" w:hAnsi="Times New Roman"/>
          <w:sz w:val="18"/>
          <w:szCs w:val="18"/>
          <w:color w:val="auto"/>
        </w:rPr>
      </w:pPr>
    </w:p>
    <w:p>
      <w:pPr>
        <w:ind w:left="1700" w:hanging="602"/>
        <w:spacing w:after="0"/>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16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6" w:name="page97"/>
    <w:bookmarkEnd w:id="96"/>
    <w:p>
      <w:pPr>
        <w:jc w:val="both"/>
        <w:ind w:right="20" w:firstLine="553"/>
        <w:spacing w:after="0" w:line="260"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w:t>
      </w:r>
    </w:p>
    <w:p>
      <w:pPr>
        <w:spacing w:after="0" w:line="9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5.05</w:t>
      </w:r>
      <w:r>
        <w:rPr>
          <w:sz w:val="20"/>
          <w:szCs w:val="20"/>
          <w:color w:val="auto"/>
        </w:rPr>
        <w:tab/>
      </w:r>
      <w:r>
        <w:rPr>
          <w:rFonts w:ascii="Times New Roman" w:cs="Times New Roman" w:eastAsia="Times New Roman" w:hAnsi="Times New Roman"/>
          <w:sz w:val="18"/>
          <w:szCs w:val="18"/>
          <w:b w:val="1"/>
          <w:bCs w:val="1"/>
          <w:color w:val="auto"/>
        </w:rPr>
        <w:t>Trustees May Enforce Claims Without Possession of Securities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All rights of action and claims under this Indenture, the Securities may be prosecuted and enforced by the Trustees without the possession of any of the Securities or the production thereof in any proceeding relating thereto, and any such proceeding instituted by either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in respect of which such judgment has been recovered.</w:t>
      </w:r>
    </w:p>
    <w:p>
      <w:pPr>
        <w:spacing w:after="0" w:line="10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5.06</w:t>
      </w:r>
      <w:r>
        <w:rPr>
          <w:sz w:val="20"/>
          <w:szCs w:val="20"/>
          <w:color w:val="auto"/>
        </w:rPr>
        <w:tab/>
      </w:r>
      <w:r>
        <w:rPr>
          <w:rFonts w:ascii="Times New Roman" w:cs="Times New Roman" w:eastAsia="Times New Roman" w:hAnsi="Times New Roman"/>
          <w:sz w:val="18"/>
          <w:szCs w:val="18"/>
          <w:b w:val="1"/>
          <w:bCs w:val="1"/>
          <w:color w:val="auto"/>
        </w:rPr>
        <w:t>Application of Money Collected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Any money collected by either Trustee pursuant to this Article Five shall be applied in the following order, at the date or dates fixed by the Trustees and, in case of the distribution of such money on account of principal of, premium (if any) or interest (if any) upon presentation of the Securities, and the notation thereon of the payment if only partially paid and upon surrender thereof if fully paid:</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First: to the payment of all amounts due the Trustees under Section 6.07;</w:t>
      </w:r>
    </w:p>
    <w:p>
      <w:pPr>
        <w:spacing w:after="0" w:line="150"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premium (if any) and interest (if any), on the Securities in respect of which or for the benefit of which such money has been collected, ratably, without preference or priority of any kind, according to the amounts due and payable on such Securities for principal, premium (if any) and interest (if any), respectively; and</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Third: the balance, if any, to the Person or Persons entitled thereto.</w:t>
      </w:r>
    </w:p>
    <w:p>
      <w:pPr>
        <w:spacing w:after="0" w:line="15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5.07</w:t>
      </w:r>
      <w:r>
        <w:rPr>
          <w:sz w:val="20"/>
          <w:szCs w:val="20"/>
          <w:color w:val="auto"/>
        </w:rPr>
        <w:tab/>
      </w:r>
      <w:r>
        <w:rPr>
          <w:rFonts w:ascii="Times New Roman" w:cs="Times New Roman" w:eastAsia="Times New Roman" w:hAnsi="Times New Roman"/>
          <w:sz w:val="18"/>
          <w:szCs w:val="18"/>
          <w:b w:val="1"/>
          <w:bCs w:val="1"/>
          <w:color w:val="auto"/>
        </w:rPr>
        <w:t>Limitation on Suits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the Securities, or for the appointment of a receiver or trustee, or for any other remedy hereunder, unless</w:t>
      </w:r>
    </w:p>
    <w:p>
      <w:pPr>
        <w:spacing w:after="0" w:line="85" w:lineRule="exact"/>
        <w:rPr>
          <w:sz w:val="20"/>
          <w:szCs w:val="20"/>
          <w:color w:val="auto"/>
        </w:rPr>
      </w:pPr>
    </w:p>
    <w:p>
      <w:pPr>
        <w:ind w:left="1100" w:right="20" w:hanging="555"/>
        <w:spacing w:after="0" w:line="259" w:lineRule="auto"/>
        <w:tabs>
          <w:tab w:leader="none" w:pos="11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Trustees of a continuing Event of Default with respect to the Securities of that series;</w:t>
      </w:r>
    </w:p>
    <w:p>
      <w:pPr>
        <w:spacing w:after="0" w:line="352"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in the case of any Event of Default described in clause (1), (2), (3), (4) or (7) of Section 5.01, or, in the case of any Event of Default described in clause (5) or (6) of Section 5.01, the Holders of not less than 25% in principal amount of all Outstanding Securities, shall have made written request to the Trustees to institute proceedings in respect of such Event of Default in their own names as Trustees hereunder;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7" w:name="page98"/>
    <w:bookmarkEnd w:id="97"/>
    <w:p>
      <w:pPr>
        <w:ind w:left="1108" w:hanging="555"/>
        <w:spacing w:after="0" w:line="279" w:lineRule="auto"/>
        <w:tabs>
          <w:tab w:leader="none" w:pos="11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Trustees reasonable indemnity against the costs, expenses and liabilities to be incurred in compliance with such request;</w:t>
      </w:r>
    </w:p>
    <w:p>
      <w:pPr>
        <w:spacing w:after="0" w:line="84" w:lineRule="exact"/>
        <w:rPr>
          <w:rFonts w:ascii="Times New Roman" w:cs="Times New Roman" w:eastAsia="Times New Roman" w:hAnsi="Times New Roman"/>
          <w:sz w:val="18"/>
          <w:szCs w:val="18"/>
          <w:color w:val="auto"/>
        </w:rPr>
      </w:pPr>
    </w:p>
    <w:p>
      <w:pPr>
        <w:ind w:left="1148" w:hanging="595"/>
        <w:spacing w:after="0"/>
        <w:tabs>
          <w:tab w:leader="none" w:pos="11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for 60 days after their receipt of such notice, request and offer of indemnity have failed to institute any such proceeding; and</w:t>
      </w:r>
    </w:p>
    <w:p>
      <w:pPr>
        <w:spacing w:after="0" w:line="161" w:lineRule="exact"/>
        <w:rPr>
          <w:rFonts w:ascii="Times New Roman" w:cs="Times New Roman" w:eastAsia="Times New Roman" w:hAnsi="Times New Roman"/>
          <w:sz w:val="18"/>
          <w:szCs w:val="18"/>
          <w:color w:val="auto"/>
        </w:rPr>
      </w:pPr>
    </w:p>
    <w:p>
      <w:pPr>
        <w:jc w:val="both"/>
        <w:ind w:left="1108" w:right="20" w:hanging="555"/>
        <w:spacing w:after="0" w:line="251" w:lineRule="auto"/>
        <w:tabs>
          <w:tab w:leader="none" w:pos="11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Trustees during such 60-day period by the Holders of a majority or more in principal amount of the Outstanding Securities of that series in the case of any Event of Default described in clause (1), (2),</w:t>
      </w:r>
    </w:p>
    <w:p>
      <w:pPr>
        <w:spacing w:after="0" w:line="1" w:lineRule="exact"/>
        <w:rPr>
          <w:rFonts w:ascii="Times New Roman" w:cs="Times New Roman" w:eastAsia="Times New Roman" w:hAnsi="Times New Roman"/>
          <w:sz w:val="18"/>
          <w:szCs w:val="18"/>
          <w:color w:val="auto"/>
        </w:rPr>
      </w:pPr>
    </w:p>
    <w:p>
      <w:pPr>
        <w:ind w:left="110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(4) or (7) of Section 5.01, or in the case of any Event of Default described in clause (5) or (6) of Section 5.01, by the Holders of a majority or more in principal amount of all Outstanding Securities;</w:t>
      </w:r>
    </w:p>
    <w:p>
      <w:pPr>
        <w:spacing w:after="0" w:line="104"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or (7) of Section 5.01, or of Holders of all Securities in the case of any Event of Default described in clause</w:t>
      </w:r>
    </w:p>
    <w:p>
      <w:pPr>
        <w:jc w:val="both"/>
        <w:ind w:left="8" w:hanging="8"/>
        <w:spacing w:after="0" w:line="245" w:lineRule="auto"/>
        <w:tabs>
          <w:tab w:leader="none" w:pos="2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or (7) of Section 5.01, or of Holders of all Securities in the case of any Event of Default described in clause (5) or (6) of Section 5.01.</w:t>
      </w:r>
    </w:p>
    <w:p>
      <w:pPr>
        <w:spacing w:after="0" w:line="110" w:lineRule="exact"/>
        <w:rPr>
          <w:sz w:val="20"/>
          <w:szCs w:val="20"/>
          <w:color w:val="auto"/>
        </w:rPr>
      </w:pPr>
    </w:p>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5.08</w:t>
      </w:r>
      <w:r>
        <w:rPr>
          <w:sz w:val="20"/>
          <w:szCs w:val="20"/>
          <w:color w:val="auto"/>
        </w:rPr>
        <w:tab/>
      </w:r>
      <w:r>
        <w:rPr>
          <w:rFonts w:ascii="Times New Roman" w:cs="Times New Roman" w:eastAsia="Times New Roman" w:hAnsi="Times New Roman"/>
          <w:sz w:val="18"/>
          <w:szCs w:val="18"/>
          <w:b w:val="1"/>
          <w:bCs w:val="1"/>
          <w:color w:val="auto"/>
        </w:rPr>
        <w:t>Unconditional Right of Holders to Receive Principal, Premium and Interest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8" w:firstLine="553"/>
        <w:spacing w:after="0" w:line="248"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on the respective Stated Maturities expressed in such Security (or, in the case of redemption, on the Redemption Date or, in the case of repayment at the option of the Holder as contemplated by Article Twelve, on the Repayment Date) and subject to the limitations on a Holder's ability to institute suit contained Section 5.07, to institute suit for the enforcement of any such payment, and such rights shall not be impaired without the consent of such Holder.</w:t>
      </w:r>
    </w:p>
    <w:p>
      <w:pPr>
        <w:spacing w:after="0" w:line="106" w:lineRule="exact"/>
        <w:rPr>
          <w:sz w:val="20"/>
          <w:szCs w:val="20"/>
          <w:color w:val="auto"/>
        </w:rPr>
      </w:pPr>
    </w:p>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5.09</w:t>
      </w:r>
      <w:r>
        <w:rPr>
          <w:sz w:val="20"/>
          <w:szCs w:val="20"/>
          <w:color w:val="auto"/>
        </w:rPr>
        <w:tab/>
      </w:r>
      <w:r>
        <w:rPr>
          <w:rFonts w:ascii="Times New Roman" w:cs="Times New Roman" w:eastAsia="Times New Roman" w:hAnsi="Times New Roman"/>
          <w:sz w:val="18"/>
          <w:szCs w:val="18"/>
          <w:b w:val="1"/>
          <w:bCs w:val="1"/>
          <w:color w:val="auto"/>
        </w:rPr>
        <w:t>Restoration of Rights and Remedies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left="8" w:firstLine="553"/>
        <w:spacing w:after="0" w:line="250" w:lineRule="auto"/>
        <w:rPr>
          <w:sz w:val="20"/>
          <w:szCs w:val="20"/>
          <w:color w:val="auto"/>
        </w:rPr>
      </w:pPr>
      <w:r>
        <w:rPr>
          <w:rFonts w:ascii="Times New Roman" w:cs="Times New Roman" w:eastAsia="Times New Roman" w:hAnsi="Times New Roman"/>
          <w:sz w:val="18"/>
          <w:szCs w:val="18"/>
          <w:color w:val="auto"/>
        </w:rPr>
        <w:t>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shall be restored severally and respectively to their former positions hereunder and thereafter all rights and remedies of the Trustees and the Holders shall continue as though no such proceeding had been instituted.</w:t>
      </w:r>
    </w:p>
    <w:p>
      <w:pPr>
        <w:spacing w:after="0" w:line="331" w:lineRule="exact"/>
        <w:rPr>
          <w:sz w:val="20"/>
          <w:szCs w:val="20"/>
          <w:color w:val="auto"/>
        </w:rPr>
      </w:pPr>
    </w:p>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5.10</w:t>
      </w:r>
      <w:r>
        <w:rPr>
          <w:sz w:val="20"/>
          <w:szCs w:val="20"/>
          <w:color w:val="auto"/>
        </w:rPr>
        <w:tab/>
      </w:r>
      <w:r>
        <w:rPr>
          <w:rFonts w:ascii="Times New Roman" w:cs="Times New Roman" w:eastAsia="Times New Roman" w:hAnsi="Times New Roman"/>
          <w:sz w:val="18"/>
          <w:szCs w:val="18"/>
          <w:b w:val="1"/>
          <w:bCs w:val="1"/>
          <w:color w:val="auto"/>
        </w:rPr>
        <w:t>Rights and Remedies Cumulative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left="8" w:firstLine="553"/>
        <w:spacing w:after="0" w:line="250"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the last paragraph of Section 3.06, no right or remedy herein conferred upon or reserved to the Trustees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17232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98" w:name="page99"/>
    <w:bookmarkEnd w:id="98"/>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5.11</w:t>
      </w:r>
      <w:r>
        <w:rPr>
          <w:sz w:val="20"/>
          <w:szCs w:val="20"/>
          <w:color w:val="auto"/>
        </w:rPr>
        <w:tab/>
      </w:r>
      <w:r>
        <w:rPr>
          <w:rFonts w:ascii="Times New Roman" w:cs="Times New Roman" w:eastAsia="Times New Roman" w:hAnsi="Times New Roman"/>
          <w:sz w:val="18"/>
          <w:szCs w:val="18"/>
          <w:b w:val="1"/>
          <w:bCs w:val="1"/>
          <w:color w:val="auto"/>
        </w:rPr>
        <w:t>Delay or Omission Not Waiver</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No delay or omission of the Trustees or of any Holder of any Security to exercise any right or remedy accruing upon any Event of Default shall impair any such right or remedy or constitute a waiver of any such Event of Default or an acquiescence therein. Every right and remedy given by this Article Five or by law to the Trustees or to the Holders may be exercised from time to time, and as often as may be deemed expedient, by the Trustees or by the Holders, as the case may be.</w:t>
      </w:r>
    </w:p>
    <w:p>
      <w:pPr>
        <w:spacing w:after="0" w:line="11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5.12</w:t>
      </w:r>
      <w:r>
        <w:rPr>
          <w:sz w:val="20"/>
          <w:szCs w:val="20"/>
          <w:color w:val="auto"/>
        </w:rPr>
        <w:tab/>
      </w:r>
      <w:r>
        <w:rPr>
          <w:rFonts w:ascii="Times New Roman" w:cs="Times New Roman" w:eastAsia="Times New Roman" w:hAnsi="Times New Roman"/>
          <w:sz w:val="18"/>
          <w:szCs w:val="18"/>
          <w:b w:val="1"/>
          <w:bCs w:val="1"/>
          <w:color w:val="auto"/>
        </w:rPr>
        <w:t>Control by Holders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 (3), (4) or (7)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 (2), (3), (4) or (7) of Section 5.01,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w:t>
      </w:r>
    </w:p>
    <w:p>
      <w:pPr>
        <w:spacing w:after="0" w:line="110" w:lineRule="exact"/>
        <w:rPr>
          <w:sz w:val="20"/>
          <w:szCs w:val="20"/>
          <w:color w:val="auto"/>
        </w:rPr>
      </w:pPr>
    </w:p>
    <w:p>
      <w:pPr>
        <w:ind w:left="1140" w:hanging="595"/>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61"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take any other action deemed proper by the Trustees which is not inconsistent with such direction, and</w:t>
      </w:r>
    </w:p>
    <w:p>
      <w:pPr>
        <w:spacing w:after="0" w:line="150"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need not take any action which might involve them in personal liability or be unjustly prejudicial to the Holders of Securities of such series not consenting.</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5.13</w:t>
      </w:r>
      <w:r>
        <w:rPr>
          <w:sz w:val="20"/>
          <w:szCs w:val="20"/>
          <w:color w:val="auto"/>
        </w:rPr>
        <w:tab/>
      </w:r>
      <w:r>
        <w:rPr>
          <w:rFonts w:ascii="Times New Roman" w:cs="Times New Roman" w:eastAsia="Times New Roman" w:hAnsi="Times New Roman"/>
          <w:sz w:val="18"/>
          <w:szCs w:val="18"/>
          <w:b w:val="1"/>
          <w:bCs w:val="1"/>
          <w:color w:val="auto"/>
        </w:rPr>
        <w:t>Waiver of Past Defaults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Subject to Section 5.02, the Holders of not less than a majority in principal amount of the Outstanding Securities of any series may on behalf of the Holders of all the Securities of such series waive any past Default described in clause (1), (2), (3), (4) or (7) of Section 5.01 (or, in the case of a Default described in clause (5) or (6) of Section 5.01, the Holders of not less than a majority in principal amount of all Outstanding Securities may waive any such past Default), and its consequences, except a default</w:t>
      </w:r>
    </w:p>
    <w:p>
      <w:pPr>
        <w:spacing w:after="0" w:line="106" w:lineRule="exact"/>
        <w:rPr>
          <w:sz w:val="20"/>
          <w:szCs w:val="20"/>
          <w:color w:val="auto"/>
        </w:rPr>
      </w:pPr>
    </w:p>
    <w:p>
      <w:pPr>
        <w:ind w:left="1140" w:hanging="595"/>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payment of the principal of, premium (if any) or interest (if any) on any Security, or</w:t>
      </w:r>
    </w:p>
    <w:p>
      <w:pPr>
        <w:spacing w:after="0" w:line="150"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herein which under Article Nine cannot be modified or amended without the consent of the Holder of each outstanding Security of such series affected.</w:t>
      </w:r>
    </w:p>
    <w:p>
      <w:pPr>
        <w:spacing w:after="0" w:line="9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9" w:name="page100"/>
    <w:bookmarkEnd w:id="99"/>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5.14</w:t>
      </w:r>
      <w:r>
        <w:rPr>
          <w:sz w:val="20"/>
          <w:szCs w:val="20"/>
          <w:color w:val="auto"/>
        </w:rPr>
        <w:tab/>
      </w:r>
      <w:r>
        <w:rPr>
          <w:rFonts w:ascii="Times New Roman" w:cs="Times New Roman" w:eastAsia="Times New Roman" w:hAnsi="Times New Roman"/>
          <w:sz w:val="18"/>
          <w:szCs w:val="18"/>
          <w:b w:val="1"/>
          <w:bCs w:val="1"/>
          <w:color w:val="auto"/>
        </w:rPr>
        <w:t>Waiver of Stay or Extension Laws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Trustees, but will suffer and permit the execution of every such power as though no such law had been enacted.</w:t>
      </w:r>
    </w:p>
    <w:p>
      <w:pPr>
        <w:spacing w:after="0" w:line="1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5.15</w:t>
      </w:r>
      <w:r>
        <w:rPr>
          <w:sz w:val="20"/>
          <w:szCs w:val="20"/>
          <w:color w:val="auto"/>
        </w:rPr>
        <w:tab/>
      </w:r>
      <w:r>
        <w:rPr>
          <w:rFonts w:ascii="Times New Roman" w:cs="Times New Roman" w:eastAsia="Times New Roman" w:hAnsi="Times New Roman"/>
          <w:sz w:val="18"/>
          <w:szCs w:val="18"/>
          <w:b w:val="1"/>
          <w:bCs w:val="1"/>
          <w:color w:val="auto"/>
        </w:rPr>
        <w:t>Undertaking for Costs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neither this Section 5.15 nor the provisions of TIA Section 315(e)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on any such Securities.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TRUSTEES</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6.01</w:t>
      </w:r>
      <w:r>
        <w:rPr>
          <w:sz w:val="20"/>
          <w:szCs w:val="20"/>
          <w:color w:val="auto"/>
        </w:rPr>
        <w:tab/>
      </w:r>
      <w:r>
        <w:rPr>
          <w:rFonts w:ascii="Times New Roman" w:cs="Times New Roman" w:eastAsia="Times New Roman" w:hAnsi="Times New Roman"/>
          <w:sz w:val="18"/>
          <w:szCs w:val="18"/>
          <w:b w:val="1"/>
          <w:bCs w:val="1"/>
          <w:color w:val="auto"/>
        </w:rPr>
        <w:t>Notice of Defaults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including TIA Section 313(c), notice to the Holders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in the case of a Default in the payment of the principal of,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Default of the character specified in clause (4) of Section 5.01 with respect to Securities of such series, no such notice to Holders shall be given until at least 30 days after the occurrence thereof.</w:t>
      </w:r>
    </w:p>
    <w:p>
      <w:pPr>
        <w:spacing w:after="0" w:line="11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8"/>
          <w:szCs w:val="18"/>
          <w:b w:val="1"/>
          <w:bCs w:val="1"/>
          <w:color w:val="auto"/>
        </w:rPr>
        <w:t>Certain Duties and Responsibilities of Trustees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45"/>
        <w:spacing w:after="0" w:line="259" w:lineRule="auto"/>
        <w:tabs>
          <w:tab w:leader="none" w:pos="11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0" w:name="page101"/>
    <w:bookmarkEnd w:id="100"/>
    <w:p>
      <w:pPr>
        <w:jc w:val="both"/>
        <w:ind w:firstLine="545"/>
        <w:spacing w:after="0" w:line="253" w:lineRule="auto"/>
        <w:tabs>
          <w:tab w:leader="none" w:pos="11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instances, in the exercise of the powers, rights, duties and discharge of obligations prescribed or conferred by the terms of this Indenture, each Trustee shall act honestly and in good faith with a view to the best interests of the Holders and exercise that degree of care, diligence and skill that a reasonably prudent trustee in respect of indentures for the purpose of issuing corporate debt obligations would exercise in comparable circumstances.</w:t>
      </w:r>
    </w:p>
    <w:p>
      <w:pPr>
        <w:spacing w:after="0" w:line="107" w:lineRule="exact"/>
        <w:rPr>
          <w:rFonts w:ascii="Times New Roman" w:cs="Times New Roman" w:eastAsia="Times New Roman" w:hAnsi="Times New Roman"/>
          <w:sz w:val="18"/>
          <w:szCs w:val="18"/>
          <w:color w:val="auto"/>
        </w:rPr>
      </w:pPr>
    </w:p>
    <w:p>
      <w:pPr>
        <w:ind w:firstLine="545"/>
        <w:spacing w:after="0" w:line="278" w:lineRule="auto"/>
        <w:tabs>
          <w:tab w:leader="none" w:pos="11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each Trustee from liability for its own actions or failure to act in accordance with Subsection 6.02(b), except that:</w:t>
      </w:r>
    </w:p>
    <w:p>
      <w:pPr>
        <w:spacing w:after="0" w:line="96" w:lineRule="exact"/>
        <w:rPr>
          <w:rFonts w:ascii="Times New Roman" w:cs="Times New Roman" w:eastAsia="Times New Roman" w:hAnsi="Times New Roman"/>
          <w:sz w:val="18"/>
          <w:szCs w:val="18"/>
          <w:color w:val="auto"/>
        </w:rPr>
      </w:pPr>
    </w:p>
    <w:p>
      <w:pPr>
        <w:ind w:left="1660" w:hanging="562"/>
        <w:spacing w:after="0" w:line="259" w:lineRule="auto"/>
        <w:tabs>
          <w:tab w:leader="none" w:pos="16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such Events of Default that may have occurred:</w:t>
      </w:r>
    </w:p>
    <w:p>
      <w:pPr>
        <w:spacing w:after="0" w:line="340" w:lineRule="exact"/>
        <w:rPr>
          <w:rFonts w:ascii="Times New Roman" w:cs="Times New Roman" w:eastAsia="Times New Roman" w:hAnsi="Times New Roman"/>
          <w:sz w:val="18"/>
          <w:szCs w:val="18"/>
          <w:color w:val="auto"/>
        </w:rPr>
      </w:pPr>
    </w:p>
    <w:p>
      <w:pPr>
        <w:jc w:val="both"/>
        <w:ind w:left="2200" w:hanging="549"/>
        <w:spacing w:after="0" w:line="253" w:lineRule="auto"/>
        <w:tabs>
          <w:tab w:leader="none" w:pos="223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w:t>
      </w:r>
    </w:p>
    <w:p>
      <w:pPr>
        <w:spacing w:after="0" w:line="106" w:lineRule="exact"/>
        <w:rPr>
          <w:rFonts w:ascii="Times New Roman" w:cs="Times New Roman" w:eastAsia="Times New Roman" w:hAnsi="Times New Roman"/>
          <w:sz w:val="18"/>
          <w:szCs w:val="18"/>
          <w:color w:val="auto"/>
        </w:rPr>
      </w:pPr>
    </w:p>
    <w:p>
      <w:pPr>
        <w:jc w:val="both"/>
        <w:ind w:left="2200" w:hanging="549"/>
        <w:spacing w:after="0" w:line="245" w:lineRule="auto"/>
        <w:tabs>
          <w:tab w:leader="none" w:pos="223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Canadian Trustee shall not be required to determine whether the certificates or opinions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 conform to the Trust Indenture Act and the U.S. Trustee shall not be required to determine whether the certificates or opinions presented to it conform to Canadian Trust Indenture Legislation.</w:t>
      </w:r>
    </w:p>
    <w:p>
      <w:pPr>
        <w:spacing w:after="0" w:line="129" w:lineRule="exact"/>
        <w:rPr>
          <w:rFonts w:ascii="Times New Roman" w:cs="Times New Roman" w:eastAsia="Times New Roman" w:hAnsi="Times New Roman"/>
          <w:sz w:val="18"/>
          <w:szCs w:val="18"/>
          <w:color w:val="auto"/>
        </w:rPr>
      </w:pPr>
    </w:p>
    <w:p>
      <w:pPr>
        <w:jc w:val="both"/>
        <w:ind w:left="1660" w:right="20" w:hanging="562"/>
        <w:spacing w:after="0" w:line="253" w:lineRule="auto"/>
        <w:tabs>
          <w:tab w:leader="none" w:pos="170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w:t>
      </w:r>
    </w:p>
    <w:p>
      <w:pPr>
        <w:spacing w:after="0" w:line="106" w:lineRule="exact"/>
        <w:rPr>
          <w:rFonts w:ascii="Times New Roman" w:cs="Times New Roman" w:eastAsia="Times New Roman" w:hAnsi="Times New Roman"/>
          <w:sz w:val="18"/>
          <w:szCs w:val="18"/>
          <w:color w:val="auto"/>
        </w:rPr>
      </w:pPr>
    </w:p>
    <w:p>
      <w:pPr>
        <w:ind w:left="1660" w:hanging="562"/>
        <w:spacing w:after="0" w:line="278" w:lineRule="auto"/>
        <w:tabs>
          <w:tab w:leader="none" w:pos="17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either Trustee to expend or risk their own funds or otherwise incur personal or any financial liability in the performance of any of their duties or in the exercise of any of their rights or powers; and</w:t>
      </w:r>
    </w:p>
    <w:p>
      <w:pPr>
        <w:spacing w:after="0" w:line="84" w:lineRule="exact"/>
        <w:rPr>
          <w:rFonts w:ascii="Times New Roman" w:cs="Times New Roman" w:eastAsia="Times New Roman" w:hAnsi="Times New Roman"/>
          <w:sz w:val="18"/>
          <w:szCs w:val="18"/>
          <w:color w:val="auto"/>
        </w:rPr>
      </w:pPr>
    </w:p>
    <w:p>
      <w:pPr>
        <w:jc w:val="both"/>
        <w:ind w:left="1660" w:hanging="562"/>
        <w:spacing w:after="0" w:line="259" w:lineRule="auto"/>
        <w:tabs>
          <w:tab w:leader="none" w:pos="17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except to the extent expressly provided herein to the contrary, every provision of this Indenture relating to the conduct or effecting the liability or affording protection to the Trustees shall be subject to the provisions of this Section 6.02.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1" w:name="page102"/>
    <w:bookmarkEnd w:id="101"/>
    <w:p>
      <w:pPr>
        <w:jc w:val="both"/>
        <w:ind w:firstLine="545"/>
        <w:spacing w:after="0" w:line="255" w:lineRule="auto"/>
        <w:tabs>
          <w:tab w:leader="none" w:pos="11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w:t>
      </w:r>
    </w:p>
    <w:p>
      <w:pPr>
        <w:spacing w:after="0" w:line="3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8"/>
          <w:szCs w:val="18"/>
          <w:b w:val="1"/>
          <w:bCs w:val="1"/>
          <w:color w:val="auto"/>
        </w:rPr>
        <w:t>Certain Rights of Trustees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the provisions of TIA Sections 315(a) through 315(d):</w:t>
      </w:r>
    </w:p>
    <w:p>
      <w:pPr>
        <w:spacing w:after="0" w:line="150" w:lineRule="exact"/>
        <w:rPr>
          <w:sz w:val="20"/>
          <w:szCs w:val="20"/>
          <w:color w:val="auto"/>
        </w:rPr>
      </w:pPr>
    </w:p>
    <w:p>
      <w:pPr>
        <w:jc w:val="both"/>
        <w:ind w:left="1100" w:hanging="555"/>
        <w:spacing w:after="0" w:line="259" w:lineRule="auto"/>
        <w:tabs>
          <w:tab w:leader="none" w:pos="11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rely and shall be protected in acting or refraining from acting upon any resolution, certificate, statement, instrument, opinion, report, notice, request, direction, consent, order, bond, debenture, note, other evidence of indebtedness or other paper or document believed by them to be genuine and to have been signed or presented by the proper party or parties;</w:t>
      </w:r>
    </w:p>
    <w:p>
      <w:pPr>
        <w:spacing w:after="0" w:line="101"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96"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w:t>
      </w:r>
    </w:p>
    <w:p>
      <w:pPr>
        <w:spacing w:after="0" w:line="101" w:lineRule="exact"/>
        <w:rPr>
          <w:rFonts w:ascii="Times New Roman" w:cs="Times New Roman" w:eastAsia="Times New Roman" w:hAnsi="Times New Roman"/>
          <w:sz w:val="18"/>
          <w:szCs w:val="18"/>
          <w:color w:val="auto"/>
        </w:rPr>
      </w:pPr>
    </w:p>
    <w:p>
      <w:pPr>
        <w:ind w:left="1100" w:hanging="555"/>
        <w:spacing w:after="0" w:line="278" w:lineRule="auto"/>
        <w:tabs>
          <w:tab w:leader="none" w:pos="11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consult with counsel and the written advice of such counsel or any opinion of Counsel shall be full and complete authorization and protection in respect of any action taken, suffered or omitted by them hereunder in good faith and in reliance thereon;</w:t>
      </w:r>
    </w:p>
    <w:p>
      <w:pPr>
        <w:spacing w:after="0" w:line="84" w:lineRule="exact"/>
        <w:rPr>
          <w:rFonts w:ascii="Times New Roman" w:cs="Times New Roman" w:eastAsia="Times New Roman" w:hAnsi="Times New Roman"/>
          <w:sz w:val="18"/>
          <w:szCs w:val="18"/>
          <w:color w:val="auto"/>
        </w:rPr>
      </w:pPr>
    </w:p>
    <w:p>
      <w:pPr>
        <w:jc w:val="both"/>
        <w:ind w:left="1100" w:right="20" w:hanging="555"/>
        <w:spacing w:after="0" w:line="253" w:lineRule="auto"/>
        <w:tabs>
          <w:tab w:leader="none" w:pos="11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be under no obligation to exercise any of the rights or powers vested in it by this Indenture at the request or direction of any of the Holders of Securities of any series pursuant to this Indenture, unless such Holders shall have offered to the Trustees reasonable security or indemnity against the costs, expenses and liabilities which might be incurred by them in compliance with such request or direction;</w:t>
      </w:r>
    </w:p>
    <w:p>
      <w:pPr>
        <w:spacing w:after="0" w:line="117" w:lineRule="exact"/>
        <w:rPr>
          <w:rFonts w:ascii="Times New Roman" w:cs="Times New Roman" w:eastAsia="Times New Roman" w:hAnsi="Times New Roman"/>
          <w:sz w:val="18"/>
          <w:szCs w:val="18"/>
          <w:color w:val="auto"/>
        </w:rPr>
      </w:pPr>
    </w:p>
    <w:p>
      <w:pPr>
        <w:jc w:val="both"/>
        <w:ind w:left="1100" w:hanging="555"/>
        <w:spacing w:after="0" w:line="250" w:lineRule="auto"/>
        <w:tabs>
          <w:tab w:leader="none" w:pos="11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w:t>
      </w:r>
    </w:p>
    <w:p>
      <w:pPr>
        <w:spacing w:after="0" w:line="108"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Event of Default, the Trustees' powers shall not be infringed upon so long as they act in accordance with Section 6.02(b);</w:t>
      </w:r>
    </w:p>
    <w:p>
      <w:pPr>
        <w:spacing w:after="0" w:line="150"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2" w:name="page103"/>
    <w:bookmarkEnd w:id="102"/>
    <w:p>
      <w:pPr>
        <w:jc w:val="both"/>
        <w:ind w:left="1100" w:hanging="555"/>
        <w:spacing w:after="0" w:line="266" w:lineRule="auto"/>
        <w:tabs>
          <w:tab w:leader="none" w:pos="11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not be liable for any action taken, suffered or omitted by them in good faith and believed by them to be authorized or within the discretion or rights or powers conferred upon them by this Indenture, so long as they act in accordance with this Section 6.02(b).</w:t>
      </w:r>
    </w:p>
    <w:p>
      <w:pPr>
        <w:spacing w:after="0" w:line="310"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6.04</w:t>
      </w:r>
      <w:r>
        <w:rPr>
          <w:sz w:val="20"/>
          <w:szCs w:val="20"/>
          <w:color w:val="auto"/>
        </w:rPr>
        <w:tab/>
      </w:r>
      <w:r>
        <w:rPr>
          <w:rFonts w:ascii="Times New Roman" w:cs="Times New Roman" w:eastAsia="Times New Roman" w:hAnsi="Times New Roman"/>
          <w:sz w:val="18"/>
          <w:szCs w:val="18"/>
          <w:b w:val="1"/>
          <w:bCs w:val="1"/>
          <w:color w:val="auto"/>
        </w:rPr>
        <w:t>Trustees Not Responsible for Recitals or Issuance of Securities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for a Trustee's certificate of authentication, shall be taken as the statements of the Company, and neither Trustee nor any Authenticating Agent assumes any responsibility for their correctness. The Trustees make no representations as to the validity or sufficiency of this Indenture or of the Securities , except 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w:t>
      </w:r>
    </w:p>
    <w:p>
      <w:pPr>
        <w:spacing w:after="0" w:line="11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8"/>
          <w:szCs w:val="18"/>
          <w:b w:val="1"/>
          <w:bCs w:val="1"/>
          <w:color w:val="auto"/>
        </w:rPr>
        <w:t>May Hold Securities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The Trustees, any Authenticating Agent, any Paying Agent, any Security Registrar or any other agent of the Company or of the Trustees, in their individual or any other capacity, may become the owner or pledgee of Securities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is removed shall remain subject to TIA Section 311(a) to the extent provided therein.</w:t>
      </w:r>
    </w:p>
    <w:p>
      <w:pPr>
        <w:spacing w:after="0" w:line="1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6.06</w:t>
      </w:r>
      <w:r>
        <w:rPr>
          <w:sz w:val="20"/>
          <w:szCs w:val="20"/>
          <w:color w:val="auto"/>
        </w:rPr>
        <w:tab/>
      </w:r>
      <w:r>
        <w:rPr>
          <w:rFonts w:ascii="Times New Roman" w:cs="Times New Roman" w:eastAsia="Times New Roman" w:hAnsi="Times New Roman"/>
          <w:sz w:val="18"/>
          <w:szCs w:val="18"/>
          <w:b w:val="1"/>
          <w:bCs w:val="1"/>
          <w:color w:val="auto"/>
        </w:rPr>
        <w:t>Money Held in Trust</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Money held by the Trustees in trust hereunder need not be segregated from other funds except to the extent required by law. The Trustees shall be under no liability for interest on any money received by them hereunder except as otherwise agreed with the Company.</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8"/>
          <w:szCs w:val="18"/>
          <w:b w:val="1"/>
          <w:bCs w:val="1"/>
          <w:color w:val="auto"/>
        </w:rPr>
        <w:t>Compensation and Reimbursement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agrees:</w:t>
      </w:r>
    </w:p>
    <w:p>
      <w:pPr>
        <w:spacing w:after="0" w:line="150" w:lineRule="exact"/>
        <w:rPr>
          <w:sz w:val="20"/>
          <w:szCs w:val="20"/>
          <w:color w:val="auto"/>
        </w:rPr>
      </w:pPr>
    </w:p>
    <w:p>
      <w:pPr>
        <w:ind w:left="1100" w:right="20" w:hanging="555"/>
        <w:spacing w:after="0" w:line="278" w:lineRule="auto"/>
        <w:tabs>
          <w:tab w:leader="none" w:pos="11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Trustees from time to time reasonable compensation for all services rendered by them hereunder (which compensation shall not be limited by any provision of law in regard to the compensation of a trustee of an express trust);</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0" w:lineRule="auto"/>
        <w:tabs>
          <w:tab w:leader="none" w:pos="11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 U.S. Trustee's gross negligence or bad faith or the Canadian Trustee's gross negligence or willful misconduct, respectively; and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3" w:name="page104"/>
    <w:bookmarkEnd w:id="103"/>
    <w:p>
      <w:pPr>
        <w:jc w:val="both"/>
        <w:ind w:left="1100" w:hanging="555"/>
        <w:spacing w:after="0" w:line="250" w:lineRule="auto"/>
        <w:tabs>
          <w:tab w:leader="none" w:pos="11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Trustees for, and to hold them and their directors, officers, agents, representatives, successors, assigns and employees harmless against, any loss, liability or expense incurred without gross negligence or bad faith on the part of the U.S. Trustee, or gross negligence or willful misconduct on the part of the Canadian Trustee, respectively,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w:t>
      </w:r>
    </w:p>
    <w:p>
      <w:pPr>
        <w:spacing w:after="0" w:line="109"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The obligations of the Company under this Section 6.07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premium (if any) or interest (if any) on particular Securities.</w:t>
      </w:r>
    </w:p>
    <w:p>
      <w:pPr>
        <w:spacing w:after="0" w:line="120"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When the Trustees incur expenses or render services in connection with an Event of Default specified in clause (5) or (6) of Section 5.01, the expenses (including reasonable charges and expense of its counsel) of and the compensation for such services are intended to constitute expenses of administration under any applicable United States or Canadian federal, state or provincial bankruptcy, insolvency or other similar law.</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provisions of this Section 6.07 shall survive the termination of this Indenture.</w:t>
      </w:r>
    </w:p>
    <w:p>
      <w:pPr>
        <w:spacing w:after="0" w:line="14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6.08</w:t>
      </w:r>
      <w:r>
        <w:rPr>
          <w:sz w:val="20"/>
          <w:szCs w:val="20"/>
          <w:color w:val="auto"/>
        </w:rPr>
        <w:tab/>
      </w:r>
      <w:r>
        <w:rPr>
          <w:rFonts w:ascii="Times New Roman" w:cs="Times New Roman" w:eastAsia="Times New Roman" w:hAnsi="Times New Roman"/>
          <w:sz w:val="18"/>
          <w:szCs w:val="18"/>
          <w:b w:val="1"/>
          <w:bCs w:val="1"/>
          <w:color w:val="auto"/>
        </w:rPr>
        <w:t>Corporate Trustees Required; Eligibility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1100" w:hanging="555"/>
        <w:spacing w:after="0" w:line="246" w:lineRule="auto"/>
        <w:tabs>
          <w:tab w:leader="none" w:pos="11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at all times a U.S. Trustee hereunder which shall be eligible to act as Trustee under TIA Section 310(a)(1) and, together with its immediate parent, shall have a combined capital and surplus of at least $50,000,000. If the U.S. Trustee publishes reports of condition at least annually, pursuant to law or to the requirements of United States federal, state, territorial or District of Columbia supervising or examining authority, then for the purposes of this Section 6.08, the combined capital and surplus of U.S. Trustee shall be deemed to be its combined capital and surplus as set forth in its most recent report of condition so published. If at any time the U.S. Trustee shall cease to be eligible in accordance with the provisions of this Section 6.08, it shall resign immediately in the manner and with the effect hereinafter specified in this Article Six.</w:t>
      </w:r>
    </w:p>
    <w:p>
      <w:pPr>
        <w:spacing w:after="0" w:line="115" w:lineRule="exact"/>
        <w:rPr>
          <w:rFonts w:ascii="Times New Roman" w:cs="Times New Roman" w:eastAsia="Times New Roman" w:hAnsi="Times New Roman"/>
          <w:sz w:val="18"/>
          <w:szCs w:val="18"/>
          <w:color w:val="auto"/>
        </w:rPr>
      </w:pPr>
    </w:p>
    <w:p>
      <w:pPr>
        <w:jc w:val="both"/>
        <w:ind w:left="1100" w:hanging="555"/>
        <w:spacing w:after="0" w:line="246" w:lineRule="auto"/>
        <w:tabs>
          <w:tab w:leader="none" w:pos="11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w:t>
      </w:r>
    </w:p>
    <w:p>
      <w:pPr>
        <w:spacing w:after="0" w:line="115"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will not be required to give any bond or security in respect of the execution of the trusts and powers set out in this Indenture or otherwise in respect of the premises.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4" w:name="page105"/>
    <w:bookmarkEnd w:id="104"/>
    <w:p>
      <w:pPr>
        <w:ind w:left="1100" w:hanging="555"/>
        <w:spacing w:after="0" w:line="280" w:lineRule="auto"/>
        <w:tabs>
          <w:tab w:leader="none" w:pos="114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Trustee nor any Affiliate of either Trustee shall be appointed a receiver or receiver and manager or liquidator of all or any part of the assets or undertaking of the Company.</w:t>
      </w:r>
    </w:p>
    <w:p>
      <w:pPr>
        <w:spacing w:after="0" w:line="7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6.09</w:t>
      </w:r>
      <w:r>
        <w:rPr>
          <w:sz w:val="20"/>
          <w:szCs w:val="20"/>
          <w:color w:val="auto"/>
        </w:rPr>
        <w:tab/>
      </w:r>
      <w:r>
        <w:rPr>
          <w:rFonts w:ascii="Times New Roman" w:cs="Times New Roman" w:eastAsia="Times New Roman" w:hAnsi="Times New Roman"/>
          <w:sz w:val="18"/>
          <w:szCs w:val="18"/>
          <w:b w:val="1"/>
          <w:bCs w:val="1"/>
          <w:color w:val="auto"/>
        </w:rPr>
        <w:t>Resignation and Removal; Appointment of Successor</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1100" w:right="20" w:hanging="555"/>
        <w:spacing w:after="0" w:line="278" w:lineRule="auto"/>
        <w:tabs>
          <w:tab w:leader="none" w:pos="11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either Trustee and no appointment of a successor Trustee pursuant to this Article Six shall become effective until the acceptance of appointment by the successor Trustee in accordance with the applicable requirements of Section 6.10.</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w:t>
      </w:r>
    </w:p>
    <w:p>
      <w:pPr>
        <w:spacing w:after="0" w:line="106"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may be removed following 30 days notice at any time with respect to the Securities of any series by Act of the Holders of not less than a majority in principal amount of the Outstanding Securities of such series, delivered to such Trustee and to the Company.</w:t>
      </w:r>
    </w:p>
    <w:p>
      <w:pPr>
        <w:spacing w:after="0" w:line="96"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50" w:lineRule="exact"/>
        <w:rPr>
          <w:rFonts w:ascii="Times New Roman" w:cs="Times New Roman" w:eastAsia="Times New Roman" w:hAnsi="Times New Roman"/>
          <w:sz w:val="18"/>
          <w:szCs w:val="18"/>
          <w:color w:val="auto"/>
        </w:rPr>
      </w:pPr>
    </w:p>
    <w:p>
      <w:pPr>
        <w:ind w:left="1660" w:right="20" w:hanging="562"/>
        <w:spacing w:after="0" w:line="278" w:lineRule="auto"/>
        <w:tabs>
          <w:tab w:leader="none" w:pos="16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acquire any conflicting interest as defined in TIA Section 310(b) and fail to comply with the provisions of TIA Section 310(b)(i), or</w:t>
      </w:r>
    </w:p>
    <w:p>
      <w:pPr>
        <w:spacing w:after="0" w:line="84" w:lineRule="exact"/>
        <w:rPr>
          <w:rFonts w:ascii="Times New Roman" w:cs="Times New Roman" w:eastAsia="Times New Roman" w:hAnsi="Times New Roman"/>
          <w:sz w:val="18"/>
          <w:szCs w:val="18"/>
          <w:color w:val="auto"/>
        </w:rPr>
      </w:pPr>
    </w:p>
    <w:p>
      <w:pPr>
        <w:ind w:left="1660" w:right="20" w:hanging="562"/>
        <w:spacing w:after="0" w:line="278" w:lineRule="auto"/>
        <w:tabs>
          <w:tab w:leader="none" w:pos="170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fail to comply with the provisions of TIA Section 310(b) after written request therefor by the Company or by any Holder who has been a bona fide Holder of a Security for at least six months, or</w:t>
      </w:r>
    </w:p>
    <w:p>
      <w:pPr>
        <w:spacing w:after="0" w:line="96" w:lineRule="exact"/>
        <w:rPr>
          <w:rFonts w:ascii="Times New Roman" w:cs="Times New Roman" w:eastAsia="Times New Roman" w:hAnsi="Times New Roman"/>
          <w:sz w:val="18"/>
          <w:szCs w:val="18"/>
          <w:color w:val="auto"/>
        </w:rPr>
      </w:pPr>
    </w:p>
    <w:p>
      <w:pPr>
        <w:ind w:left="1660" w:right="20" w:hanging="562"/>
        <w:spacing w:after="0" w:line="278" w:lineRule="auto"/>
        <w:tabs>
          <w:tab w:leader="none" w:pos="170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cease to be eligible under Section 6.08 and shall fail to resign after written request therefor by the Company or by any Holder who has been a bona fide Holder of a Security for at least six months, or</w:t>
      </w:r>
    </w:p>
    <w:p>
      <w:pPr>
        <w:spacing w:after="0" w:line="84" w:lineRule="exact"/>
        <w:rPr>
          <w:rFonts w:ascii="Times New Roman" w:cs="Times New Roman" w:eastAsia="Times New Roman" w:hAnsi="Times New Roman"/>
          <w:sz w:val="18"/>
          <w:szCs w:val="18"/>
          <w:color w:val="auto"/>
        </w:rPr>
      </w:pPr>
    </w:p>
    <w:p>
      <w:pPr>
        <w:jc w:val="both"/>
        <w:ind w:left="1660" w:right="20" w:hanging="562"/>
        <w:spacing w:after="0" w:line="259" w:lineRule="auto"/>
        <w:tabs>
          <w:tab w:leader="none" w:pos="170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02" w:lineRule="exact"/>
        <w:rPr>
          <w:sz w:val="20"/>
          <w:szCs w:val="20"/>
          <w:color w:val="auto"/>
        </w:rPr>
      </w:pPr>
    </w:p>
    <w:p>
      <w:pPr>
        <w:jc w:val="both"/>
        <w:ind w:left="1100"/>
        <w:spacing w:after="0" w:line="253" w:lineRule="auto"/>
        <w:rPr>
          <w:sz w:val="20"/>
          <w:szCs w:val="20"/>
          <w:color w:val="auto"/>
        </w:rPr>
      </w:pPr>
      <w:r>
        <w:rPr>
          <w:rFonts w:ascii="Times New Roman" w:cs="Times New Roman" w:eastAsia="Times New Roman" w:hAnsi="Times New Roman"/>
          <w:sz w:val="18"/>
          <w:szCs w:val="18"/>
          <w:color w:val="auto"/>
        </w:rPr>
        <w:t>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w:t>
      </w:r>
    </w:p>
    <w:p>
      <w:pPr>
        <w:spacing w:after="0" w:line="118" w:lineRule="exact"/>
        <w:rPr>
          <w:sz w:val="20"/>
          <w:szCs w:val="20"/>
          <w:color w:val="auto"/>
        </w:rPr>
      </w:pPr>
    </w:p>
    <w:p>
      <w:pPr>
        <w:jc w:val="both"/>
        <w:ind w:left="1100" w:hanging="555"/>
        <w:spacing w:after="0" w:line="243" w:lineRule="auto"/>
        <w:tabs>
          <w:tab w:leader="none" w:pos="11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appoint a successor Trustee to the Canadian Trustee if 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5" w:name="page106"/>
    <w:bookmarkEnd w:id="105"/>
    <w:p>
      <w:pPr>
        <w:jc w:val="both"/>
        <w:ind w:left="1100" w:hanging="555"/>
        <w:spacing w:after="0" w:line="253" w:lineRule="auto"/>
        <w:tabs>
          <w:tab w:leader="none" w:pos="11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1.07. Each notice shall include the name of the successor Trustee with respect to the Securities of such series and the address of its Corporate Trust Office.</w:t>
      </w:r>
    </w:p>
    <w:p>
      <w:pPr>
        <w:spacing w:after="0" w:line="107"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Canadian Trustee under this Indenture is no longer required by Trust Indenture Legislation, then the Company by a Board Resolution may remove the Canadian Trustee.</w:t>
      </w:r>
    </w:p>
    <w:p>
      <w:pPr>
        <w:spacing w:after="0" w:line="9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6.10</w:t>
      </w:r>
      <w:r>
        <w:rPr>
          <w:sz w:val="20"/>
          <w:szCs w:val="20"/>
          <w:color w:val="auto"/>
        </w:rPr>
        <w:tab/>
      </w:r>
      <w:r>
        <w:rPr>
          <w:rFonts w:ascii="Times New Roman" w:cs="Times New Roman" w:eastAsia="Times New Roman" w:hAnsi="Times New Roman"/>
          <w:sz w:val="18"/>
          <w:szCs w:val="18"/>
          <w:b w:val="1"/>
          <w:bCs w:val="1"/>
          <w:color w:val="auto"/>
        </w:rPr>
        <w:t>Acceptance of Appointment by Successor</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left="1100" w:hanging="555"/>
        <w:spacing w:after="0" w:line="246" w:lineRule="auto"/>
        <w:tabs>
          <w:tab w:leader="none" w:pos="11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15" w:lineRule="exact"/>
        <w:rPr>
          <w:rFonts w:ascii="Times New Roman" w:cs="Times New Roman" w:eastAsia="Times New Roman" w:hAnsi="Times New Roman"/>
          <w:sz w:val="18"/>
          <w:szCs w:val="18"/>
          <w:color w:val="auto"/>
        </w:rPr>
      </w:pPr>
    </w:p>
    <w:p>
      <w:pPr>
        <w:jc w:val="both"/>
        <w:ind w:left="1100" w:hanging="555"/>
        <w:spacing w:after="0" w:line="242" w:lineRule="auto"/>
        <w:tabs>
          <w:tab w:leader="none" w:pos="11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6" w:name="page107"/>
    <w:bookmarkEnd w:id="106"/>
    <w:p>
      <w:pPr>
        <w:jc w:val="both"/>
        <w:ind w:left="1100" w:hanging="555"/>
        <w:spacing w:after="0" w:line="260" w:lineRule="auto"/>
        <w:tabs>
          <w:tab w:leader="none" w:pos="11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such successor Trustee, the Company shall execute any and all instruments for more fully and certainly vesting in and confirming to such successor Trustee all rights, powers and trusts referred to in paragraph (1) or (2) of this Section 6.10, as the case may be.</w:t>
      </w:r>
    </w:p>
    <w:p>
      <w:pPr>
        <w:spacing w:after="0" w:line="99"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Six.</w:t>
      </w:r>
    </w:p>
    <w:p>
      <w:pPr>
        <w:spacing w:after="0" w:line="9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6.11</w:t>
      </w:r>
      <w:r>
        <w:rPr>
          <w:sz w:val="20"/>
          <w:szCs w:val="20"/>
          <w:color w:val="auto"/>
        </w:rPr>
        <w:tab/>
      </w:r>
      <w:r>
        <w:rPr>
          <w:rFonts w:ascii="Times New Roman" w:cs="Times New Roman" w:eastAsia="Times New Roman" w:hAnsi="Times New Roman"/>
          <w:sz w:val="18"/>
          <w:szCs w:val="18"/>
          <w:b w:val="1"/>
          <w:bCs w:val="1"/>
          <w:color w:val="auto"/>
        </w:rPr>
        <w:t>Merger, Conversion, Consolidation or Succession to Business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Six,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adopt the certificate of authentication of any predecessor Trustee or to authenticate Securities in the name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Trustee shall apply only to its successor or successors by merger, conversion or consolidation.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7" w:name="page108"/>
    <w:bookmarkEnd w:id="107"/>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6.12</w:t>
      </w:r>
      <w:r>
        <w:rPr>
          <w:sz w:val="20"/>
          <w:szCs w:val="20"/>
          <w:color w:val="auto"/>
        </w:rPr>
        <w:tab/>
      </w:r>
      <w:r>
        <w:rPr>
          <w:rFonts w:ascii="Times New Roman" w:cs="Times New Roman" w:eastAsia="Times New Roman" w:hAnsi="Times New Roman"/>
          <w:sz w:val="18"/>
          <w:szCs w:val="18"/>
          <w:b w:val="1"/>
          <w:bCs w:val="1"/>
          <w:color w:val="auto"/>
        </w:rPr>
        <w:t>Appointment of Authenticating Agent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42" w:lineRule="auto"/>
        <w:rPr>
          <w:sz w:val="20"/>
          <w:szCs w:val="20"/>
          <w:color w:val="auto"/>
        </w:rPr>
      </w:pPr>
      <w:r>
        <w:rPr>
          <w:rFonts w:ascii="Times New Roman" w:cs="Times New Roman" w:eastAsia="Times New Roman" w:hAnsi="Times New Roman"/>
          <w:sz w:val="18"/>
          <w:szCs w:val="18"/>
          <w:color w:val="auto"/>
        </w:rPr>
        <w:t>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 such Authenticating Agent will serve, in the manner provided for in Section 1.07. Securities so authenticated shall be entitled to the benefits of this Indenture and shall be valid and obligatory for all purposes as if authenticated by the applicable Trustee hereunder. Any such appointment shall be evidenced by an instrument in writing signed by a Responsible Officer of the Trustees, and a copy of such instrument shall be promptly furnished to the Company.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$50,000,000 and subject to supervision or examination by United States federal or state or Canadian federal or provincial authority. If such corporation publishes reports of condition at least annually, pursuant to law or to the requirements of said supervising or examining authority, then for the purposes of this Section 6.12,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6.12, it shall resign immediately in the manner and with the effect specified in this Section 6.12.</w:t>
      </w:r>
    </w:p>
    <w:p>
      <w:pPr>
        <w:spacing w:after="0" w:line="139"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eligible under this Section 6.12, without the execution or filing of any paper or any further act on the part of the Trustees or the Authenticating Agent.</w:t>
      </w:r>
    </w:p>
    <w:p>
      <w:pPr>
        <w:spacing w:after="0" w:line="32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18"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The Trustees agree to pay to each Authenticating Agent from time to time reasonable compensation for its services under this Section 6.12, and the Trustees shall be entitled to be reimbursed for such payments, subject to the provisions of Section 6.07.</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8" w:name="page109"/>
    <w:bookmarkEnd w:id="108"/>
    <w:p>
      <w:pPr>
        <w:jc w:val="both"/>
        <w:ind w:firstLine="553"/>
        <w:spacing w:after="0" w:line="280"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6.12, the Securities of such series may have endorsed thereon, in addition to either Trustee's certificate of authentication, an alternate certificate of authentication in the following form: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Authentication may be executed by either Trustee)</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 as U.S. Trustee, certifies that this is one of the Securities of the series designated therein referred to in the within-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_______________________________________________,</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as U.S. Trustee</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5"/>
          <w:szCs w:val="15"/>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-108585</wp:posOffset>
            </wp:positionV>
            <wp:extent cx="33566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1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-108585</wp:posOffset>
            </wp:positionV>
            <wp:extent cx="33566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 as Canadian Trustee, certifies that this is one of the Securities of the series designated therein referred to in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9680" w:type="dxa"/>
            <w:vAlign w:val="bottom"/>
            <w:gridSpan w:val="2"/>
          </w:tcPr>
          <w:p>
            <w:pPr>
              <w:ind w:left="4060"/>
              <w:spacing w:after="0"/>
              <w:rPr>
                <w:sz w:val="20"/>
                <w:szCs w:val="20"/>
                <w:color w:val="auto"/>
              </w:rPr>
            </w:pPr>
            <w:r>
              <w:rPr>
                <w:rFonts w:ascii="Times New Roman" w:cs="Times New Roman" w:eastAsia="Times New Roman" w:hAnsi="Times New Roman"/>
                <w:sz w:val="15"/>
                <w:szCs w:val="15"/>
                <w:color w:val="auto"/>
              </w:rPr>
              <w:t>_______________________________________________,</w:t>
            </w:r>
          </w:p>
        </w:tc>
      </w:tr>
      <w:tr>
        <w:trPr>
          <w:trHeight w:val="199"/>
        </w:trPr>
        <w:tc>
          <w:tcPr>
            <w:tcW w:w="1580" w:type="dxa"/>
            <w:vAlign w:val="bottom"/>
          </w:tcPr>
          <w:p>
            <w:pPr>
              <w:spacing w:after="0"/>
              <w:rPr>
                <w:sz w:val="17"/>
                <w:szCs w:val="17"/>
                <w:color w:val="auto"/>
              </w:rPr>
            </w:pPr>
          </w:p>
        </w:tc>
        <w:tc>
          <w:tcPr>
            <w:tcW w:w="9680" w:type="dxa"/>
            <w:vAlign w:val="bottom"/>
            <w:gridSpan w:val="2"/>
          </w:tcPr>
          <w:p>
            <w:pPr>
              <w:ind w:left="4060"/>
              <w:spacing w:after="0"/>
              <w:rPr>
                <w:sz w:val="20"/>
                <w:szCs w:val="20"/>
                <w:color w:val="auto"/>
              </w:rPr>
            </w:pPr>
            <w:r>
              <w:rPr>
                <w:rFonts w:ascii="Times New Roman" w:cs="Times New Roman" w:eastAsia="Times New Roman" w:hAnsi="Times New Roman"/>
                <w:sz w:val="15"/>
                <w:szCs w:val="15"/>
                <w:color w:val="auto"/>
              </w:rPr>
              <w:t>as Canadian Trustee</w:t>
            </w:r>
          </w:p>
        </w:tc>
      </w:tr>
      <w:tr>
        <w:trPr>
          <w:trHeight w:val="369"/>
        </w:trPr>
        <w:tc>
          <w:tcPr>
            <w:tcW w:w="1580" w:type="dxa"/>
            <w:vAlign w:val="bottom"/>
          </w:tcPr>
          <w:p>
            <w:pPr>
              <w:spacing w:after="0"/>
              <w:rPr>
                <w:sz w:val="24"/>
                <w:szCs w:val="24"/>
                <w:color w:val="auto"/>
              </w:rPr>
            </w:pPr>
          </w:p>
        </w:tc>
        <w:tc>
          <w:tcPr>
            <w:tcW w:w="9680" w:type="dxa"/>
            <w:vAlign w:val="bottom"/>
            <w:gridSpan w:val="2"/>
          </w:tcPr>
          <w:p>
            <w:pPr>
              <w:ind w:left="4060"/>
              <w:spacing w:after="0"/>
              <w:rPr>
                <w:sz w:val="20"/>
                <w:szCs w:val="20"/>
                <w:color w:val="auto"/>
              </w:rPr>
            </w:pPr>
            <w:r>
              <w:rPr>
                <w:rFonts w:ascii="Times New Roman" w:cs="Times New Roman" w:eastAsia="Times New Roman" w:hAnsi="Times New Roman"/>
                <w:sz w:val="15"/>
                <w:szCs w:val="15"/>
                <w:color w:val="auto"/>
              </w:rPr>
              <w:t>By:</w:t>
            </w:r>
          </w:p>
        </w:tc>
      </w:tr>
      <w:tr>
        <w:trPr>
          <w:trHeight w:val="190"/>
        </w:trPr>
        <w:tc>
          <w:tcPr>
            <w:tcW w:w="1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As Authenticating Agent</w:t>
            </w:r>
          </w:p>
        </w:tc>
      </w:tr>
      <w:tr>
        <w:trPr>
          <w:trHeight w:val="354"/>
        </w:trPr>
        <w:tc>
          <w:tcPr>
            <w:tcW w:w="1580" w:type="dxa"/>
            <w:vAlign w:val="bottom"/>
          </w:tcPr>
          <w:p>
            <w:pPr>
              <w:spacing w:after="0"/>
              <w:rPr>
                <w:sz w:val="24"/>
                <w:szCs w:val="24"/>
                <w:color w:val="auto"/>
              </w:rPr>
            </w:pPr>
          </w:p>
        </w:tc>
        <w:tc>
          <w:tcPr>
            <w:tcW w:w="9680" w:type="dxa"/>
            <w:vAlign w:val="bottom"/>
            <w:gridSpan w:val="2"/>
          </w:tcPr>
          <w:p>
            <w:pPr>
              <w:ind w:left="4060"/>
              <w:spacing w:after="0"/>
              <w:rPr>
                <w:sz w:val="20"/>
                <w:szCs w:val="20"/>
                <w:color w:val="auto"/>
              </w:rPr>
            </w:pPr>
            <w:r>
              <w:rPr>
                <w:rFonts w:ascii="Times New Roman" w:cs="Times New Roman" w:eastAsia="Times New Roman" w:hAnsi="Times New Roman"/>
                <w:sz w:val="15"/>
                <w:szCs w:val="15"/>
                <w:color w:val="auto"/>
              </w:rPr>
              <w:t>By:</w:t>
            </w:r>
          </w:p>
        </w:tc>
      </w:tr>
      <w:tr>
        <w:trPr>
          <w:trHeight w:val="190"/>
        </w:trPr>
        <w:tc>
          <w:tcPr>
            <w:tcW w:w="1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Authorized Officer</w:t>
            </w:r>
          </w:p>
        </w:tc>
      </w:tr>
      <w:tr>
        <w:trPr>
          <w:trHeight w:val="364"/>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96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Joint Trustees</w:t>
            </w: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applicable Trustee shall make the decision in accordance with its applicable legislation. Unless the context implies or requires otherwise, any written notice, request, direction, certificate, instruction, opinion or other document (each such document, a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xml:space="preserve">")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failure of such trustee in receipt of such Writing to so notify such other Trustee shall not be deemed as a deficiency in the delivery of such Writing to the Trustee.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9" w:name="page110"/>
    <w:bookmarkEnd w:id="109"/>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6.14</w:t>
      </w:r>
      <w:r>
        <w:rPr>
          <w:sz w:val="20"/>
          <w:szCs w:val="20"/>
          <w:color w:val="auto"/>
        </w:rPr>
        <w:tab/>
      </w:r>
      <w:r>
        <w:rPr>
          <w:rFonts w:ascii="Times New Roman" w:cs="Times New Roman" w:eastAsia="Times New Roman" w:hAnsi="Times New Roman"/>
          <w:sz w:val="18"/>
          <w:szCs w:val="18"/>
          <w:b w:val="1"/>
          <w:bCs w:val="1"/>
          <w:color w:val="auto"/>
        </w:rPr>
        <w:t>Other Rights of Trustees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8" w:firstLine="553"/>
        <w:spacing w:after="0" w:line="246" w:lineRule="auto"/>
        <w:rPr>
          <w:sz w:val="20"/>
          <w:szCs w:val="20"/>
          <w:color w:val="auto"/>
        </w:rPr>
      </w:pPr>
      <w:r>
        <w:rPr>
          <w:rFonts w:ascii="Times New Roman" w:cs="Times New Roman" w:eastAsia="Times New Roman" w:hAnsi="Times New Roman"/>
          <w:sz w:val="18"/>
          <w:szCs w:val="18"/>
          <w:color w:val="auto"/>
        </w:rPr>
        <w:t>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w:t>
      </w:r>
    </w:p>
    <w:p>
      <w:pPr>
        <w:spacing w:after="0" w:line="127" w:lineRule="exact"/>
        <w:rPr>
          <w:sz w:val="20"/>
          <w:szCs w:val="20"/>
          <w:color w:val="auto"/>
        </w:rPr>
      </w:pPr>
    </w:p>
    <w:p>
      <w:pPr>
        <w:jc w:val="both"/>
        <w:ind w:left="8" w:firstLine="553"/>
        <w:spacing w:after="0" w:line="242" w:lineRule="auto"/>
        <w:rPr>
          <w:sz w:val="20"/>
          <w:szCs w:val="20"/>
          <w:color w:val="auto"/>
        </w:rPr>
      </w:pPr>
      <w:r>
        <w:rPr>
          <w:rFonts w:ascii="Times New Roman" w:cs="Times New Roman" w:eastAsia="Times New Roman" w:hAnsi="Times New Roman"/>
          <w:sz w:val="18"/>
          <w:szCs w:val="18"/>
          <w:color w:val="auto"/>
        </w:rPr>
        <w:t>The parties hereto acknowledge that Canadian federal and provincial legislation addressing the protection of individuals' personal information (collectively,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w:t>
      </w:r>
    </w:p>
    <w:p>
      <w:pPr>
        <w:spacing w:after="0" w:line="7" w:lineRule="exact"/>
        <w:rPr>
          <w:sz w:val="20"/>
          <w:szCs w:val="20"/>
          <w:color w:val="auto"/>
        </w:rPr>
      </w:pPr>
    </w:p>
    <w:p>
      <w:pPr>
        <w:ind w:left="8" w:right="20" w:hanging="8"/>
        <w:spacing w:after="0" w:line="255" w:lineRule="auto"/>
        <w:tabs>
          <w:tab w:leader="none" w:pos="3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sell or otherwise improperly disclose personal information to any third party; and (v) use employee administrative, physical and technological safeguards to reasonably secure and protect personal information against loss, theft or unauthorized access, use or modification.</w:t>
      </w:r>
    </w:p>
    <w:p>
      <w:pPr>
        <w:spacing w:after="0" w:line="104" w:lineRule="exact"/>
        <w:rPr>
          <w:sz w:val="20"/>
          <w:szCs w:val="20"/>
          <w:color w:val="auto"/>
        </w:rPr>
      </w:pPr>
    </w:p>
    <w:p>
      <w:pPr>
        <w:jc w:val="both"/>
        <w:ind w:left="8" w:firstLine="553"/>
        <w:spacing w:after="0" w:line="259" w:lineRule="auto"/>
        <w:rPr>
          <w:sz w:val="20"/>
          <w:szCs w:val="20"/>
          <w:color w:val="auto"/>
        </w:rPr>
      </w:pPr>
      <w:r>
        <w:rPr>
          <w:rFonts w:ascii="Times New Roman" w:cs="Times New Roman" w:eastAsia="Times New Roman" w:hAnsi="Times New Roman"/>
          <w:sz w:val="18"/>
          <w:szCs w:val="18"/>
          <w:color w:val="auto"/>
        </w:rPr>
        <w:t>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w:t>
      </w:r>
    </w:p>
    <w:p>
      <w:pPr>
        <w:spacing w:after="0" w:line="102" w:lineRule="exact"/>
        <w:rPr>
          <w:sz w:val="20"/>
          <w:szCs w:val="20"/>
          <w:color w:val="auto"/>
        </w:rPr>
      </w:pPr>
    </w:p>
    <w:p>
      <w:pPr>
        <w:ind w:left="1688" w:hanging="582"/>
        <w:spacing w:after="0"/>
        <w:tabs>
          <w:tab w:leader="none" w:pos="16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services required under this Indenture and other services that may be requested from time to time;</w:t>
      </w:r>
    </w:p>
    <w:p>
      <w:pPr>
        <w:spacing w:after="0" w:line="161" w:lineRule="exact"/>
        <w:rPr>
          <w:rFonts w:ascii="Times New Roman" w:cs="Times New Roman" w:eastAsia="Times New Roman" w:hAnsi="Times New Roman"/>
          <w:sz w:val="18"/>
          <w:szCs w:val="18"/>
          <w:color w:val="auto"/>
        </w:rPr>
      </w:pPr>
    </w:p>
    <w:p>
      <w:pPr>
        <w:ind w:left="1708" w:hanging="602"/>
        <w:spacing w:after="0"/>
        <w:tabs>
          <w:tab w:leader="none" w:pos="17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the Canadian Trustee manage its servicing relationships with such individuals;</w:t>
      </w:r>
    </w:p>
    <w:p>
      <w:pPr>
        <w:spacing w:after="0" w:line="150" w:lineRule="exact"/>
        <w:rPr>
          <w:rFonts w:ascii="Times New Roman" w:cs="Times New Roman" w:eastAsia="Times New Roman" w:hAnsi="Times New Roman"/>
          <w:sz w:val="18"/>
          <w:szCs w:val="18"/>
          <w:color w:val="auto"/>
        </w:rPr>
      </w:pPr>
    </w:p>
    <w:p>
      <w:pPr>
        <w:ind w:left="1708" w:hanging="602"/>
        <w:spacing w:after="0"/>
        <w:tabs>
          <w:tab w:leader="none" w:pos="17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the Canadian Trustee's legal and regulatory requirements; and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17232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110" w:name="page111"/>
    <w:bookmarkEnd w:id="110"/>
    <w:p>
      <w:pPr>
        <w:ind w:left="1660" w:right="20" w:hanging="562"/>
        <w:spacing w:after="0" w:line="279" w:lineRule="auto"/>
        <w:tabs>
          <w:tab w:leader="none" w:pos="17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social insurance numbers are collected by the Canadian Trustee, to perform tax reporting and to assist in verification of an individual's identity for security purposes.</w:t>
      </w:r>
    </w:p>
    <w:p>
      <w:pPr>
        <w:spacing w:after="0" w:line="84"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aforementioned uses and disclosures. Notwithstanding anything to the contrary herein, the Company and the Trustees may, without liability, disclose information about the Holders and beneficial owners or potential Holders or potential beneficial owners of the Securities pursuant to subpoena or other order issued by a court of competent jurisdiction or when otherwise required by applicable law.</w:t>
      </w:r>
    </w:p>
    <w:p>
      <w:pPr>
        <w:spacing w:after="0" w:line="120"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12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8"/>
          <w:szCs w:val="18"/>
          <w:b w:val="1"/>
          <w:bCs w:val="1"/>
          <w:color w:val="auto"/>
        </w:rPr>
        <w:t>Company to Furnish Trustees Names and Addresses of Holders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 xml:space="preserve">The Company will furnish or cause to be furnished to the Trustees (1) not more than 15 days after each Regular Record Date, or such lesser time as required by the Trustees, a list, in such form as the Trustees may reasonably require, of the names and addresses of Holders as of such Regular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furnish or cause to be furnished such list at any time that the list shall not differ in any respect from the most recent list furnished to the Trustees by the Company or at such times as either Trustee is acting as Security Registrar for the applicable series of Securities and (2) at such other times as the Trustees may request in writing within 30 days after the receipt by the Company of any such request, a list of similar form and content as of a date not more than 15 days prior to the time such list is furnished.</w:t>
      </w:r>
    </w:p>
    <w:p>
      <w:pPr>
        <w:spacing w:after="0" w:line="10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8"/>
          <w:szCs w:val="18"/>
          <w:b w:val="1"/>
          <w:bCs w:val="1"/>
          <w:color w:val="auto"/>
        </w:rPr>
        <w:t>Preservation of List of Names and Addresses of Holders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The Trustees shall preserve, in as current a form as is reasonably practicable, all information as to the names and addresses of the Holders contained in the most recent list furnished to them as provided in Section 7.01 and as to the names and addresses of Holders received by either Trustee in its capacity as Security Registrar for the applicable series of Securities (if acting in such capacity).</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Trustees may destroy any list furnished as provided in Section 7.01 upon receipt of a new list so furnished.</w:t>
      </w:r>
    </w:p>
    <w:p>
      <w:pPr>
        <w:spacing w:after="0" w:line="150"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Holders may communicate as provided in TIA Section 312(b) with other Holders with respect to their rights under this Indenture or under the Securities.</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7.03</w:t>
      </w:r>
      <w:r>
        <w:rPr>
          <w:sz w:val="20"/>
          <w:szCs w:val="20"/>
          <w:color w:val="auto"/>
        </w:rPr>
        <w:tab/>
      </w:r>
      <w:r>
        <w:rPr>
          <w:rFonts w:ascii="Times New Roman" w:cs="Times New Roman" w:eastAsia="Times New Roman" w:hAnsi="Times New Roman"/>
          <w:sz w:val="18"/>
          <w:szCs w:val="18"/>
          <w:b w:val="1"/>
          <w:bCs w:val="1"/>
          <w:color w:val="auto"/>
        </w:rPr>
        <w:t>Disclosure of Names and Addresses of Holders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Every Holder of Securities ,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regardless of the source from which such information was derived, and that the Trustees shall not be held accountable by reason of mailing any material pursuant to a request made under TIA Section 312(b).</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1" w:name="page112"/>
    <w:bookmarkEnd w:id="111"/>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7.04</w:t>
      </w:r>
      <w:r>
        <w:rPr>
          <w:sz w:val="20"/>
          <w:szCs w:val="20"/>
          <w:color w:val="auto"/>
        </w:rPr>
        <w:tab/>
      </w:r>
      <w:r>
        <w:rPr>
          <w:rFonts w:ascii="Times New Roman" w:cs="Times New Roman" w:eastAsia="Times New Roman" w:hAnsi="Times New Roman"/>
          <w:sz w:val="18"/>
          <w:szCs w:val="18"/>
          <w:b w:val="1"/>
          <w:bCs w:val="1"/>
          <w:color w:val="auto"/>
        </w:rPr>
        <w:t>Reports by Trustees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1100" w:hanging="555"/>
        <w:spacing w:after="0" w:line="259" w:lineRule="auto"/>
        <w:tabs>
          <w:tab w:leader="none" w:pos="11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May 15 of each year commencing with the first year after the first issuance of Securities pursuant to this Indenture, the U.S. Trustee shall transmit to the Holders of Securities, in the manner and to the extent provided in TIA Section 313(c), a brief report dated as of such reporting date, if required by TIA Section 313(a).</w:t>
      </w:r>
    </w:p>
    <w:p>
      <w:pPr>
        <w:spacing w:after="0" w:line="113"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Trustee shall comply with TIA Sections 313(b) and 313(c).</w:t>
      </w:r>
    </w:p>
    <w:p>
      <w:pPr>
        <w:spacing w:after="0" w:line="150"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such report shall, at the time of such transmission to the Holders, be filed by the U.S. Trustee with the Company, with each securities exchange upon which any of the Securities are listed (if so listed) and also with the Commission. The Company agrees to notify the Trustees when the Securities become listed on any securities exchange.</w:t>
      </w:r>
    </w:p>
    <w:p>
      <w:pPr>
        <w:spacing w:after="0" w:line="9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8"/>
          <w:szCs w:val="18"/>
          <w:b w:val="1"/>
          <w:bCs w:val="1"/>
          <w:color w:val="auto"/>
        </w:rPr>
        <w:t>Reports by the Company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1100" w:hanging="555"/>
        <w:spacing w:after="0" w:line="245" w:lineRule="auto"/>
        <w:tabs>
          <w:tab w:leader="none" w:pos="11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file with the Trustees, within 20 days after filing with or furnishing to the Commission, copies of its annual reports and of the information, documents and other reports (or copies of such portions of any of the foregoing as the Commission may by rules and regulations prescribe) which the Company is required to file or furnish with the Commission pursuant to Section 13 or 15(d) of the Exchange Act or, if the Company is not required to file information, documents or reports pursuant to either of such sections, then to file with the Trustees and the Commission, in accordance with rules and regulations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reports, information or documents filed with the Commission pursuant to its Electronic Data Gathering, Analysis and Retrieval (EDGAR) system shall be deemed filed with the Trustees.</w:t>
      </w:r>
    </w:p>
    <w:p>
      <w:pPr>
        <w:spacing w:after="0" w:line="113"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transmit to all Holders, in the manner and to the extent provided in TIA Section 313(c), within 30 days after the filing thereof with the Trustees, such summaries of any information, documents and reports required to be filed by the Company pursuant to paragraph (1) of this Section 7.05 as may be required by rules and regulations prescribed from time to time by the Commission.</w:t>
      </w:r>
    </w:p>
    <w:p>
      <w:pPr>
        <w:spacing w:after="0" w:line="101"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Securities are guaranteed by a direct or indirect parent of the Company, and such parent has furnished the reports required by this Section 7.05 with respect to parent as required by this Section 7.05 as if parent were the Company (including any financial information required hereby), the Company shall be deemed to be in compliance with this Section 7.05.</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CONVEYANCE, TRANSFER OR LEASE</w:t>
      </w:r>
    </w:p>
    <w:p>
      <w:pPr>
        <w:spacing w:after="0" w:line="12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8"/>
          <w:szCs w:val="18"/>
          <w:b w:val="1"/>
          <w:bCs w:val="1"/>
          <w:color w:val="auto"/>
        </w:rPr>
        <w:t>Company May Consolidate, Etc., Only on Certain Terms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right="20" w:firstLine="553"/>
        <w:spacing w:after="0" w:line="278" w:lineRule="auto"/>
        <w:rPr>
          <w:sz w:val="20"/>
          <w:szCs w:val="20"/>
          <w:color w:val="auto"/>
        </w:rPr>
      </w:pPr>
      <w:r>
        <w:rPr>
          <w:rFonts w:ascii="Times New Roman" w:cs="Times New Roman" w:eastAsia="Times New Roman" w:hAnsi="Times New Roman"/>
          <w:sz w:val="18"/>
          <w:szCs w:val="18"/>
          <w:color w:val="auto"/>
        </w:rPr>
        <w:t>The Company shall not amalgamate or consolidate with or merge into or enter into any statutory arrangement with any other Person, or, directly or indirectly, convey, transfer or lease all or substantially all of its properties and assets to any Person, unless:</w:t>
      </w:r>
    </w:p>
    <w:p>
      <w:pPr>
        <w:spacing w:after="0" w:line="85" w:lineRule="exact"/>
        <w:rPr>
          <w:sz w:val="20"/>
          <w:szCs w:val="20"/>
          <w:color w:val="auto"/>
        </w:rPr>
      </w:pPr>
    </w:p>
    <w:p>
      <w:pPr>
        <w:jc w:val="both"/>
        <w:ind w:left="1100" w:hanging="555"/>
        <w:spacing w:after="0" w:line="245" w:lineRule="auto"/>
        <w:tabs>
          <w:tab w:leader="none" w:pos="11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continuing from such amalgamation or consolidation or into which the Company is merged or with which it enters into such statutory arrangement or the Person which acquires by operation of law or by conveyance or transfer, or which 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consolidation, merger,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premium (if any) and interest (if any) on all the Securities and the performance and observance of every covenant of this Indenture on the part of the Company to be performed or observed;</w:t>
      </w:r>
    </w:p>
    <w:p>
      <w:pPr>
        <w:spacing w:after="0" w:line="113"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happened and be continuing; and</w:t>
      </w:r>
    </w:p>
    <w:p>
      <w:pPr>
        <w:spacing w:after="0" w:line="161"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Person shall have delivered to the Trustees an Officer's Certificate and an Opinion of Counsel, each stating that such amalgamation, consolidation, merger, statutory arrangement or other transaction and such supplemental indenture comply with this Article Eight and that all conditions precedent herein provided for relating to such transaction have been complied with.</w:t>
      </w:r>
    </w:p>
    <w:p>
      <w:pPr>
        <w:spacing w:after="0" w:line="102"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Notwithstanding the above, the Company may consolidate with, amalgamate with, undergo an arrangement with, merge with or into an Affiliate of the Company solely for the purpose of reincorporating the Company in a state of the United States or the District of Columbia or in another province or territory of Canada.</w:t>
      </w:r>
    </w:p>
    <w:p>
      <w:pPr>
        <w:spacing w:after="0" w:line="102"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This Section 8.01 shall only apply to a merger, consolidation or amalgamation in which the Company is not the surviving Person and to conveyances, leases and transfers by the Company as transferor or lessor.</w:t>
      </w:r>
    </w:p>
    <w:p>
      <w:pPr>
        <w:spacing w:after="0" w:line="9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8.02</w:t>
      </w:r>
      <w:r>
        <w:rPr>
          <w:sz w:val="20"/>
          <w:szCs w:val="20"/>
          <w:color w:val="auto"/>
        </w:rPr>
        <w:tab/>
      </w:r>
      <w:r>
        <w:rPr>
          <w:rFonts w:ascii="Times New Roman" w:cs="Times New Roman" w:eastAsia="Times New Roman" w:hAnsi="Times New Roman"/>
          <w:sz w:val="18"/>
          <w:szCs w:val="18"/>
          <w:b w:val="1"/>
          <w:bCs w:val="1"/>
          <w:color w:val="auto"/>
        </w:rPr>
        <w:t>Successor Person Substituted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Upon any amalgamation or consolidation by the Company with or merger by the Company into any other corporation or a statutory arrangement or any conveyance, transfer or lease of all or substantially all of the properties and assets of the Company to any Person in accordance with Section 8.01, the successor Person formed by such amalgamation or consolidation or into which the Company is merged or statutory arrangement,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may be dissolved and liquidated.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12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8"/>
          <w:szCs w:val="18"/>
          <w:b w:val="1"/>
          <w:bCs w:val="1"/>
          <w:color w:val="auto"/>
        </w:rPr>
        <w:t>Supplemental Indentures Without Consent of Holders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Notwithstanding Section 9.02, without the consent of any Holders, the Company, when authorized by or pursuant to a Board Resolution, and the Trustees, at any time and from time to time, may enter into one or more indentures supplemental hereto, in form satisfactory to the Trustees, for any of the following purposes:</w:t>
      </w:r>
    </w:p>
    <w:p>
      <w:pPr>
        <w:spacing w:after="0" w:line="102" w:lineRule="exact"/>
        <w:rPr>
          <w:sz w:val="20"/>
          <w:szCs w:val="20"/>
          <w:color w:val="auto"/>
        </w:rPr>
      </w:pPr>
    </w:p>
    <w:p>
      <w:pPr>
        <w:ind w:left="1100" w:hanging="555"/>
        <w:spacing w:after="0" w:line="278" w:lineRule="auto"/>
        <w:tabs>
          <w:tab w:leader="none" w:pos="11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13" w:lineRule="exact"/>
        <w:rPr>
          <w:rFonts w:ascii="Times New Roman" w:cs="Times New Roman" w:eastAsia="Times New Roman" w:hAnsi="Times New Roman"/>
          <w:sz w:val="18"/>
          <w:szCs w:val="18"/>
          <w:color w:val="auto"/>
        </w:rPr>
      </w:pPr>
    </w:p>
    <w:p>
      <w:pPr>
        <w:ind w:left="1100" w:hanging="555"/>
        <w:spacing w:after="0" w:line="278" w:lineRule="auto"/>
        <w:tabs>
          <w:tab w:leader="none" w:pos="11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(and if such Events of Default are to be for the benefit of less than all series of Securities, stating that such Events of Default are being included solely for the benefit of such series); or</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delete or modify any Events of Default with respect to a series of the Securities, the form and terms of which are being established pursuant to such supplemental indenture as permitted in Section 3.01 (and if such Events of Default are to be for the benefit of less than all series of Securities, stating that such Events of Default are being included solely for the benefit of such series, and to specify the rights and remedies of the Trustees and the Holders of such Securities in connection therewith); or</w:t>
      </w:r>
    </w:p>
    <w:p>
      <w:pPr>
        <w:spacing w:after="0" w:line="102" w:lineRule="exact"/>
        <w:rPr>
          <w:rFonts w:ascii="Times New Roman" w:cs="Times New Roman" w:eastAsia="Times New Roman" w:hAnsi="Times New Roman"/>
          <w:sz w:val="18"/>
          <w:szCs w:val="18"/>
          <w:color w:val="auto"/>
        </w:rPr>
      </w:pPr>
    </w:p>
    <w:p>
      <w:pPr>
        <w:jc w:val="both"/>
        <w:ind w:left="1100" w:right="20" w:hanging="555"/>
        <w:spacing w:after="0" w:line="261" w:lineRule="auto"/>
        <w:tabs>
          <w:tab w:leader="none" w:pos="11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11"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Sections 2.01 and 3.01; or</w:t>
      </w:r>
    </w:p>
    <w:p>
      <w:pPr>
        <w:spacing w:after="0" w:line="150"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4" w:name="page115"/>
    <w:bookmarkEnd w:id="114"/>
    <w:p>
      <w:pPr>
        <w:ind w:left="1140" w:hanging="595"/>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this Indenture with respect to the authentication and delivery of additional series of Securities; or</w:t>
      </w:r>
    </w:p>
    <w:p>
      <w:pPr>
        <w:spacing w:after="0" w:line="150" w:lineRule="exact"/>
        <w:rPr>
          <w:rFonts w:ascii="Times New Roman" w:cs="Times New Roman" w:eastAsia="Times New Roman" w:hAnsi="Times New Roman"/>
          <w:sz w:val="18"/>
          <w:szCs w:val="18"/>
          <w:color w:val="auto"/>
        </w:rPr>
      </w:pPr>
    </w:p>
    <w:p>
      <w:pPr>
        <w:jc w:val="both"/>
        <w:ind w:left="1100" w:hanging="555"/>
        <w:spacing w:after="0" w:line="250" w:lineRule="auto"/>
        <w:tabs>
          <w:tab w:leader="none" w:pos="114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or</w:t>
      </w:r>
    </w:p>
    <w:p>
      <w:pPr>
        <w:spacing w:after="0" w:line="335" w:lineRule="exact"/>
        <w:rPr>
          <w:rFonts w:ascii="Times New Roman" w:cs="Times New Roman" w:eastAsia="Times New Roman" w:hAnsi="Times New Roman"/>
          <w:sz w:val="18"/>
          <w:szCs w:val="18"/>
          <w:color w:val="auto"/>
        </w:rPr>
      </w:pPr>
    </w:p>
    <w:p>
      <w:pPr>
        <w:ind w:left="1100" w:hanging="555"/>
        <w:spacing w:after="0" w:line="278" w:lineRule="auto"/>
        <w:tabs>
          <w:tab w:leader="none" w:pos="11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any series of Securities that does not adversely affect in any material respect the rights of the Holders of such Securities; or</w:t>
      </w:r>
    </w:p>
    <w:p>
      <w:pPr>
        <w:spacing w:after="0" w:line="84"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this Indenture as shall be necessary or desirable in accordance with any amendments to the Trust Indenture Act; or</w:t>
      </w:r>
    </w:p>
    <w:p>
      <w:pPr>
        <w:spacing w:after="0" w:line="84"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or any other series of Securities in any material respect; or</w:t>
      </w:r>
    </w:p>
    <w:p>
      <w:pPr>
        <w:spacing w:after="0" w:line="113" w:lineRule="exact"/>
        <w:rPr>
          <w:rFonts w:ascii="Times New Roman" w:cs="Times New Roman" w:eastAsia="Times New Roman" w:hAnsi="Times New Roman"/>
          <w:sz w:val="18"/>
          <w:szCs w:val="18"/>
          <w:color w:val="auto"/>
        </w:rPr>
      </w:pPr>
    </w:p>
    <w:p>
      <w:pPr>
        <w:jc w:val="both"/>
        <w:ind w:left="1100" w:right="20" w:hanging="555"/>
        <w:spacing w:after="0" w:line="259" w:lineRule="auto"/>
        <w:tabs>
          <w:tab w:leader="none" w:pos="11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w:t>
      </w:r>
    </w:p>
    <w:p>
      <w:pPr>
        <w:spacing w:after="0" w:line="9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8"/>
          <w:szCs w:val="18"/>
          <w:b w:val="1"/>
          <w:bCs w:val="1"/>
          <w:color w:val="auto"/>
        </w:rPr>
        <w:t>Supplemental Indentures with Consent of Holders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 xml:space="preserve">Except as provided in Section 9.01 and this Section 9.02, with the consent of the Holders of not less than a majority in principal amount of all Outstanding Securities affected by such supplemental indenture, by Act of said Holders delivered to the Company and the Trustees, the Company, when authorized by or pursuant to a Board 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supplemental indenture shall, without the consent of the Holder of each Outstanding Security of such series,</w:t>
      </w:r>
    </w:p>
    <w:p>
      <w:pPr>
        <w:spacing w:after="0" w:line="122" w:lineRule="exact"/>
        <w:rPr>
          <w:sz w:val="20"/>
          <w:szCs w:val="20"/>
          <w:color w:val="auto"/>
        </w:rPr>
      </w:pPr>
    </w:p>
    <w:p>
      <w:pPr>
        <w:jc w:val="both"/>
        <w:ind w:left="1100" w:hanging="555"/>
        <w:spacing w:after="0" w:line="245" w:lineRule="auto"/>
        <w:tabs>
          <w:tab w:leader="none" w:pos="11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premium (if any) or any installment of interest (if any) on any Security of such series, or reduce the principal amount thereof, premium (if any) or the rate of interest (if any) thereon,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5" w:name="page116"/>
    <w:bookmarkEnd w:id="115"/>
    <w:p>
      <w:pPr>
        <w:jc w:val="both"/>
        <w:ind w:left="1100" w:hanging="555"/>
        <w:spacing w:after="0" w:line="260" w:lineRule="auto"/>
        <w:tabs>
          <w:tab w:leader="none" w:pos="114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w:t>
      </w:r>
    </w:p>
    <w:p>
      <w:pPr>
        <w:spacing w:after="0" w:line="99"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9.02 Section, Section 5.13 or Section 10.09, except to increase any such percentage or to provide that certain other provisions of this Indenture which affect such series cannot be modified or waived without the consent of the Holder of each Outstanding Security of such series.</w:t>
      </w:r>
    </w:p>
    <w:p>
      <w:pPr>
        <w:spacing w:after="0" w:line="113"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w:t>
      </w:r>
    </w:p>
    <w:p>
      <w:pPr>
        <w:spacing w:after="0" w:line="324"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9.02 Section to approve the particular form of any proposed supplemental indenture, but it shall be sufficient if such Act shall approve the substance thereof.</w:t>
      </w:r>
    </w:p>
    <w:p>
      <w:pPr>
        <w:spacing w:after="0" w:line="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9.03</w:t>
      </w:r>
      <w:r>
        <w:rPr>
          <w:sz w:val="20"/>
          <w:szCs w:val="20"/>
          <w:color w:val="auto"/>
        </w:rPr>
        <w:tab/>
      </w:r>
      <w:r>
        <w:rPr>
          <w:rFonts w:ascii="Times New Roman" w:cs="Times New Roman" w:eastAsia="Times New Roman" w:hAnsi="Times New Roman"/>
          <w:sz w:val="18"/>
          <w:szCs w:val="18"/>
          <w:b w:val="1"/>
          <w:bCs w:val="1"/>
          <w:color w:val="auto"/>
        </w:rPr>
        <w:t>Execution of Supplemental Indentures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Nine or the modifications thereby of the trusts created by this Indenture, the Trustees shall be entitled to receive,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w:t>
      </w:r>
    </w:p>
    <w:p>
      <w:pPr>
        <w:spacing w:after="0" w:line="10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8"/>
          <w:szCs w:val="18"/>
          <w:b w:val="1"/>
          <w:bCs w:val="1"/>
          <w:color w:val="auto"/>
        </w:rPr>
        <w:t>Effect of Supplemental Indentures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0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9.05</w:t>
      </w:r>
      <w:r>
        <w:rPr>
          <w:sz w:val="20"/>
          <w:szCs w:val="20"/>
          <w:color w:val="auto"/>
        </w:rPr>
        <w:tab/>
      </w:r>
      <w:r>
        <w:rPr>
          <w:rFonts w:ascii="Times New Roman" w:cs="Times New Roman" w:eastAsia="Times New Roman" w:hAnsi="Times New Roman"/>
          <w:sz w:val="18"/>
          <w:szCs w:val="18"/>
          <w:b w:val="1"/>
          <w:bCs w:val="1"/>
          <w:color w:val="auto"/>
        </w:rPr>
        <w:t>Conformity with Trust Indenture Legislation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Every supplemental indenture executed pursuant to this Article Nine shall conform to the requirements of Trust Indenture Legislation as then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6" w:name="page117"/>
    <w:bookmarkEnd w:id="116"/>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9.06</w:t>
      </w:r>
      <w:r>
        <w:rPr>
          <w:sz w:val="20"/>
          <w:szCs w:val="20"/>
          <w:color w:val="auto"/>
        </w:rPr>
        <w:tab/>
      </w:r>
      <w:r>
        <w:rPr>
          <w:rFonts w:ascii="Times New Roman" w:cs="Times New Roman" w:eastAsia="Times New Roman" w:hAnsi="Times New Roman"/>
          <w:sz w:val="18"/>
          <w:szCs w:val="18"/>
          <w:b w:val="1"/>
          <w:bCs w:val="1"/>
          <w:color w:val="auto"/>
        </w:rPr>
        <w:t>Reference in Securities to Supplemental Indentures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Securities of any series authenticated and delivered after the execution of any supplemental indenture pursuant to this Article Nine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w:t>
      </w:r>
    </w:p>
    <w:p>
      <w:pPr>
        <w:spacing w:after="0" w:line="1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9.07</w:t>
      </w:r>
      <w:r>
        <w:rPr>
          <w:sz w:val="20"/>
          <w:szCs w:val="20"/>
          <w:color w:val="auto"/>
        </w:rPr>
        <w:tab/>
      </w:r>
      <w:r>
        <w:rPr>
          <w:rFonts w:ascii="Times New Roman" w:cs="Times New Roman" w:eastAsia="Times New Roman" w:hAnsi="Times New Roman"/>
          <w:sz w:val="18"/>
          <w:szCs w:val="18"/>
          <w:b w:val="1"/>
          <w:bCs w:val="1"/>
          <w:color w:val="auto"/>
        </w:rPr>
        <w:t>Notice of Supplemental Indentures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59"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Trustees of any supplemental indenture pursuant to the provisions of Section 9.02, the Company shall give notice thereof to the Holders of each outstanding Security affected, in the manner provided for in Section 1.07, setting forth in general terms the substance of such supplemental indenture.</w:t>
      </w:r>
    </w:p>
    <w:p>
      <w:pPr>
        <w:spacing w:after="0" w:line="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38"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8"/>
          <w:szCs w:val="18"/>
          <w:b w:val="1"/>
          <w:bCs w:val="1"/>
          <w:color w:val="auto"/>
        </w:rPr>
        <w:t>Payment of Principal, Premium and Interest</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premium (if any) and interest (if any), on the Securities of that series in accordance with the terms of the Securities and this Indenture.</w:t>
      </w:r>
    </w:p>
    <w:p>
      <w:pPr>
        <w:spacing w:after="0" w:line="8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10.02</w:t>
      </w:r>
      <w:r>
        <w:rPr>
          <w:sz w:val="20"/>
          <w:szCs w:val="20"/>
          <w:color w:val="auto"/>
        </w:rPr>
        <w:tab/>
      </w:r>
      <w:r>
        <w:rPr>
          <w:rFonts w:ascii="Times New Roman" w:cs="Times New Roman" w:eastAsia="Times New Roman" w:hAnsi="Times New Roman"/>
          <w:sz w:val="18"/>
          <w:szCs w:val="18"/>
          <w:b w:val="1"/>
          <w:bCs w:val="1"/>
          <w:color w:val="auto"/>
        </w:rPr>
        <w:t>Maintenance of Office or Agency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1100" w:hanging="555"/>
        <w:spacing w:after="0" w:line="253" w:lineRule="auto"/>
        <w:tabs>
          <w:tab w:leader="none" w:pos="11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spacing w:after="0" w:line="106"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w:t>
      </w:r>
    </w:p>
    <w:p>
      <w:pPr>
        <w:spacing w:after="0" w:line="101" w:lineRule="exact"/>
        <w:rPr>
          <w:rFonts w:ascii="Times New Roman" w:cs="Times New Roman" w:eastAsia="Times New Roman" w:hAnsi="Times New Roman"/>
          <w:sz w:val="18"/>
          <w:szCs w:val="18"/>
          <w:color w:val="auto"/>
        </w:rPr>
      </w:pPr>
    </w:p>
    <w:p>
      <w:pPr>
        <w:jc w:val="both"/>
        <w:ind w:left="1100" w:right="20" w:hanging="555"/>
        <w:spacing w:after="0" w:line="245" w:lineRule="auto"/>
        <w:tabs>
          <w:tab w:leader="none" w:pos="11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7" w:name="page118"/>
    <w:bookmarkEnd w:id="117"/>
    <w:p>
      <w:pPr>
        <w:jc w:val="both"/>
        <w:ind w:left="1100" w:hanging="555"/>
        <w:spacing w:after="0" w:line="253" w:lineRule="auto"/>
        <w:tabs>
          <w:tab w:leader="none" w:pos="11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spacing w:after="0" w:line="103"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10.03</w:t>
      </w:r>
      <w:r>
        <w:rPr>
          <w:sz w:val="20"/>
          <w:szCs w:val="20"/>
          <w:color w:val="auto"/>
        </w:rPr>
        <w:tab/>
      </w:r>
      <w:r>
        <w:rPr>
          <w:rFonts w:ascii="Times New Roman" w:cs="Times New Roman" w:eastAsia="Times New Roman" w:hAnsi="Times New Roman"/>
          <w:sz w:val="18"/>
          <w:szCs w:val="18"/>
          <w:b w:val="1"/>
          <w:bCs w:val="1"/>
          <w:color w:val="auto"/>
        </w:rPr>
        <w:t>Money for Securities Payments to Be Held in Trust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Securities , it will, on or before each due date of the principal of,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premium (if any) or interest (if any) on Securities of such series so becoming due until such sums shall be paid to such Persons or otherwise disposed of as herein provided and will promptly notify the Trustees of its action or failure so to act.</w:t>
      </w:r>
    </w:p>
    <w:p>
      <w:pPr>
        <w:spacing w:after="0" w:line="110"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prior to or on each due date of the principal of, premium (if any) or interest (if any) on any Securities of that series, deposit with a Paying Agent a sum (in the Currency described in the preceding paragraph) sufficient to pay the principal, premium (if any) or interest (if any) so becoming due, such sum to be held in trust for the benefit of the Persons entitled to such principal, premium or interest, and (unless such Paying Agent is a Trustee) the Company will promptly notify the Trustees of its action or failure so to act.</w:t>
      </w:r>
    </w:p>
    <w:p>
      <w:pPr>
        <w:spacing w:after="0" w:line="108"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The Company will cause each Paying Agent (other than the Trustees) for any series of Securities to execute and deliver to the Trustees an instrument in which such Paying Agent shall agree with the Trustees, subject to the provisions of this 10.03 Section, that such Paying Agent will:</w:t>
      </w:r>
    </w:p>
    <w:p>
      <w:pPr>
        <w:spacing w:after="0" w:line="96" w:lineRule="exact"/>
        <w:rPr>
          <w:sz w:val="20"/>
          <w:szCs w:val="20"/>
          <w:color w:val="auto"/>
        </w:rPr>
      </w:pPr>
    </w:p>
    <w:p>
      <w:pPr>
        <w:ind w:left="1100" w:right="20" w:hanging="555"/>
        <w:spacing w:after="0" w:line="278" w:lineRule="auto"/>
        <w:tabs>
          <w:tab w:leader="none" w:pos="11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the principal of, premium (if any) and interest (if any) on Securities of such series in trust for the benefit of the Persons entitled thereto until such sums shall be paid to such Persons or otherwise disposed of as herein provided;</w:t>
      </w:r>
    </w:p>
    <w:p>
      <w:pPr>
        <w:spacing w:after="0" w:line="84"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Trustees notice of any default by the Company (or any other obligor upon the Securities of such series) in the making of any payment of principal of, premium (if any) or interest (if any) on the Securities of such series; and</w:t>
      </w:r>
    </w:p>
    <w:p>
      <w:pPr>
        <w:spacing w:after="0" w:line="84"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Trustees, forthwith pay to the Trustees all sums so held in trust by such Paying Agent.</w:t>
      </w:r>
    </w:p>
    <w:p>
      <w:pPr>
        <w:spacing w:after="0" w:line="9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8" w:name="page119"/>
    <w:bookmarkEnd w:id="118"/>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Except as provided in the Securities of any series, any money deposited with the Trustees or any Paying Agent, or then held by the Company, in trust for the payment of the principal of, premium (if any) or interest (if any)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Trustees or such Paying Agent with respect to such trust money, and all liability of the Company as trustee thereof, shall thereupon cease.</w:t>
      </w:r>
    </w:p>
    <w:p>
      <w:pPr>
        <w:spacing w:after="0" w:line="107"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10.04</w:t>
      </w:r>
      <w:r>
        <w:rPr>
          <w:sz w:val="20"/>
          <w:szCs w:val="20"/>
          <w:color w:val="auto"/>
        </w:rPr>
        <w:tab/>
      </w:r>
      <w:r>
        <w:rPr>
          <w:rFonts w:ascii="Times New Roman" w:cs="Times New Roman" w:eastAsia="Times New Roman" w:hAnsi="Times New Roman"/>
          <w:sz w:val="18"/>
          <w:szCs w:val="18"/>
          <w:b w:val="1"/>
          <w:bCs w:val="1"/>
          <w:color w:val="auto"/>
        </w:rPr>
        <w:t>Statement as to Compliance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The Company shall deliver to the Trustees, on or before 120 days after the end of the Company's fiscal year, an Officer's Certificate stating that a review of the activities of the Company during such fiscal year has been made under the supervision of the signing Officer with a view to determining whether the Company has kept, observed, performed and fulfilled its obligations under this Indenture, and further stating, as to such Officer,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10.04, such compliance shall be determined without regard to any period of grace or requirement of notice under this Indenture.</w:t>
      </w:r>
    </w:p>
    <w:p>
      <w:pPr>
        <w:spacing w:after="0" w:line="114"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10.05</w:t>
      </w:r>
      <w:r>
        <w:rPr>
          <w:sz w:val="20"/>
          <w:szCs w:val="20"/>
          <w:color w:val="auto"/>
        </w:rPr>
        <w:tab/>
      </w:r>
      <w:r>
        <w:rPr>
          <w:rFonts w:ascii="Times New Roman" w:cs="Times New Roman" w:eastAsia="Times New Roman" w:hAnsi="Times New Roman"/>
          <w:sz w:val="18"/>
          <w:szCs w:val="18"/>
          <w:b w:val="1"/>
          <w:bCs w:val="1"/>
          <w:color w:val="auto"/>
        </w:rPr>
        <w:t>Waiver of Certain Covenants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The Company may, with respect to any series of Securities, omit in any particular instance to comply with any term, provision or condition in any covenants of the Company added to this Article Ten pursuant to Section 3.01(19) in connection with Securities of such series, if before the time for such compliance the Holders of at least a majority in principal amount of all Outstanding Securities of any series,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12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553"/>
        <w:spacing w:after="0" w:line="278" w:lineRule="auto"/>
        <w:rPr>
          <w:sz w:val="20"/>
          <w:szCs w:val="20"/>
          <w:color w:val="auto"/>
        </w:rPr>
      </w:pPr>
      <w:r>
        <w:rPr>
          <w:rFonts w:ascii="Times New Roman" w:cs="Times New Roman" w:eastAsia="Times New Roman" w:hAnsi="Times New Roman"/>
          <w:sz w:val="18"/>
          <w:szCs w:val="18"/>
          <w:color w:val="auto"/>
        </w:rPr>
        <w:t>Securities of any series which are redeemable before their Stated Maturity shall be redeemable in accordance with the terms of such Securities and (except as otherwise specified as contemplated by Section 3.01 for Securities of any series) in accordance with this Article Eleven.</w:t>
      </w:r>
    </w:p>
    <w:p>
      <w:pPr>
        <w:spacing w:after="0" w:line="9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11.02</w:t>
      </w:r>
      <w:r>
        <w:rPr>
          <w:sz w:val="20"/>
          <w:szCs w:val="20"/>
          <w:color w:val="auto"/>
        </w:rPr>
        <w:tab/>
      </w:r>
      <w:r>
        <w:rPr>
          <w:rFonts w:ascii="Times New Roman" w:cs="Times New Roman" w:eastAsia="Times New Roman" w:hAnsi="Times New Roman"/>
          <w:sz w:val="18"/>
          <w:szCs w:val="18"/>
          <w:b w:val="1"/>
          <w:bCs w:val="1"/>
          <w:color w:val="auto"/>
        </w:rPr>
        <w:t>Election to Redeem; Notice to Trustees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6" w:lineRule="auto"/>
        <w:rPr>
          <w:sz w:val="20"/>
          <w:szCs w:val="20"/>
          <w:color w:val="auto"/>
        </w:rPr>
      </w:pPr>
      <w:r>
        <w:rPr>
          <w:rFonts w:ascii="Times New Roman" w:cs="Times New Roman" w:eastAsia="Times New Roman" w:hAnsi="Times New Roman"/>
          <w:sz w:val="18"/>
          <w:szCs w:val="18"/>
          <w:color w:val="auto"/>
        </w:rPr>
        <w:t>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Trustees), notify the Trustees of such Redemption Date and of the principal amount of Securities of such series to be redeemed and, in the case of certificated Securities, shall deliver to the Trustees such documentation and records as shall enable the Trustees to select the Securities to be redeemed pursuant to Section 11.03. In the case of any redemption of Securities prior to the expiration of any restriction on such redemption provided in the terms of such Securities or elsewhere in this Indenture, the Company shall furnish to the Trustees an Officer's Certificate evidencing compliance with such restriction.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9" w:name="page120"/>
    <w:bookmarkEnd w:id="119"/>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11.03</w:t>
      </w:r>
      <w:r>
        <w:rPr>
          <w:sz w:val="20"/>
          <w:szCs w:val="20"/>
          <w:color w:val="auto"/>
        </w:rPr>
        <w:tab/>
      </w:r>
      <w:r>
        <w:rPr>
          <w:rFonts w:ascii="Times New Roman" w:cs="Times New Roman" w:eastAsia="Times New Roman" w:hAnsi="Times New Roman"/>
          <w:sz w:val="18"/>
          <w:szCs w:val="18"/>
          <w:b w:val="1"/>
          <w:bCs w:val="1"/>
          <w:color w:val="auto"/>
        </w:rPr>
        <w:t>Selection by Trustees of Securities to Be Redeemed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in the case of certificated Securities, by such method as the Trustees shall deem fair and appropriate and which may provide for the selection for redemption of portions of the principal of Securities of such series, or in the case of Securities in global form in accordance with the policies and procedures of the applicable Depositary;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partial redemption shall reduce the portion of the principal amount of a Security not redeemed to less than the minimum authorized denomination for Securities of such series established pursuant to Section 3.01.</w:t>
      </w:r>
    </w:p>
    <w:p>
      <w:pPr>
        <w:spacing w:after="0" w:line="122"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The Trustees shall promptly notify the Company in writing of the Securities selected for redemption and, in the case of any Securities selected for partial redemption, the principal amount thereof to be redeemed.</w:t>
      </w:r>
    </w:p>
    <w:p>
      <w:pPr>
        <w:spacing w:after="0" w:line="85" w:lineRule="exact"/>
        <w:rPr>
          <w:sz w:val="20"/>
          <w:szCs w:val="20"/>
          <w:color w:val="auto"/>
        </w:rPr>
      </w:pPr>
    </w:p>
    <w:p>
      <w:pPr>
        <w:jc w:val="both"/>
        <w:ind w:firstLine="553"/>
        <w:spacing w:after="0" w:line="266"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0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11.04</w:t>
      </w:r>
      <w:r>
        <w:rPr>
          <w:sz w:val="20"/>
          <w:szCs w:val="20"/>
          <w:color w:val="auto"/>
        </w:rPr>
        <w:tab/>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notice of redemption shall be given in the manner provided for in Section 1.07 not less than 30 nor more than 60 days prior to the Redemption Date, to each Holder of Securities to be redeemed. Failure to give notice in the manner provided in Section 1.07 to the Holder of any Securities designated for redemption as a whole or in part, or any defect in the notice to any such Holder, shall not affect the validity of the proceedings for the redemption of any other Securities or portion thereof.</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50" w:lineRule="exact"/>
        <w:rPr>
          <w:sz w:val="20"/>
          <w:szCs w:val="20"/>
          <w:color w:val="auto"/>
        </w:rPr>
      </w:pPr>
    </w:p>
    <w:p>
      <w:pPr>
        <w:ind w:left="1140" w:hanging="595"/>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61"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accrued interest to the Redemption Date payable as provided in Section 11.06, if any,</w:t>
      </w:r>
    </w:p>
    <w:p>
      <w:pPr>
        <w:spacing w:after="0" w:line="150"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84" w:lineRule="exact"/>
        <w:rPr>
          <w:rFonts w:ascii="Times New Roman" w:cs="Times New Roman" w:eastAsia="Times New Roman" w:hAnsi="Times New Roman"/>
          <w:sz w:val="18"/>
          <w:szCs w:val="18"/>
          <w:color w:val="auto"/>
        </w:rPr>
      </w:pPr>
    </w:p>
    <w:p>
      <w:pPr>
        <w:jc w:val="both"/>
        <w:ind w:left="1100" w:right="20" w:hanging="555"/>
        <w:spacing w:after="0" w:line="259" w:lineRule="auto"/>
        <w:tabs>
          <w:tab w:leader="none" w:pos="11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0" w:name="page121"/>
    <w:bookmarkEnd w:id="120"/>
    <w:p>
      <w:pPr>
        <w:jc w:val="both"/>
        <w:ind w:left="1100" w:hanging="555"/>
        <w:spacing w:after="0" w:line="260" w:lineRule="auto"/>
        <w:tabs>
          <w:tab w:leader="none" w:pos="11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99"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are to be surrendered for payment of the Redemption Price and accrued interest (if any),</w:t>
      </w:r>
    </w:p>
    <w:p>
      <w:pPr>
        <w:spacing w:after="0" w:line="96"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150" w:lineRule="exact"/>
        <w:rPr>
          <w:rFonts w:ascii="Times New Roman" w:cs="Times New Roman" w:eastAsia="Times New Roman" w:hAnsi="Times New Roman"/>
          <w:sz w:val="18"/>
          <w:szCs w:val="18"/>
          <w:color w:val="auto"/>
        </w:rPr>
      </w:pPr>
    </w:p>
    <w:p>
      <w:pPr>
        <w:ind w:left="1140" w:hanging="595"/>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condition to such redemption.</w:t>
      </w:r>
    </w:p>
    <w:p>
      <w:pPr>
        <w:spacing w:after="0" w:line="150"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Trustees in the name and at the expense of the Company.</w:t>
      </w:r>
    </w:p>
    <w:p>
      <w:pPr>
        <w:spacing w:after="0" w:line="9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8"/>
          <w:szCs w:val="18"/>
          <w:b w:val="1"/>
          <w:bCs w:val="1"/>
          <w:color w:val="auto"/>
        </w:rPr>
        <w:t>Deposit of Redemption Price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Prior to any Redemption Date, the Company shall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Redemption Price of, and accrued interest (if any) on, all the Securities which are to be redeemed on that date.</w:t>
      </w:r>
    </w:p>
    <w:p>
      <w:pPr>
        <w:spacing w:after="0" w:line="10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11.06</w:t>
      </w:r>
      <w:r>
        <w:rPr>
          <w:sz w:val="20"/>
          <w:szCs w:val="20"/>
          <w:color w:val="auto"/>
        </w:rPr>
        <w:tab/>
      </w:r>
      <w:r>
        <w:rPr>
          <w:rFonts w:ascii="Times New Roman" w:cs="Times New Roman" w:eastAsia="Times New Roman" w:hAnsi="Times New Roman"/>
          <w:sz w:val="18"/>
          <w:szCs w:val="18"/>
          <w:b w:val="1"/>
          <w:bCs w:val="1"/>
          <w:color w:val="auto"/>
        </w:rPr>
        <w:t>Securities Payable on Redemption Date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installments of interest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14"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1" w:name="page122"/>
    <w:bookmarkEnd w:id="121"/>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11.07</w:t>
      </w:r>
      <w:r>
        <w:rPr>
          <w:sz w:val="20"/>
          <w:szCs w:val="20"/>
          <w:color w:val="auto"/>
        </w:rPr>
        <w:tab/>
      </w:r>
      <w:r>
        <w:rPr>
          <w:rFonts w:ascii="Times New Roman" w:cs="Times New Roman" w:eastAsia="Times New Roman" w:hAnsi="Times New Roman"/>
          <w:sz w:val="18"/>
          <w:szCs w:val="18"/>
          <w:b w:val="1"/>
          <w:bCs w:val="1"/>
          <w:color w:val="auto"/>
        </w:rPr>
        <w:t>Securities Redeemed in Part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Any Security which is to be redeemed only in part (pursuant to the provisions of this Article Eleven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the applicable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126"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Retirements of Securities of any series pursuant to any sinking fund shall be made in accordance with the terms of such Securities and (except as otherwise specified as contemplated by Section 3.01 for Securities of any series) in accordance with this Article Twelve.</w:t>
      </w:r>
    </w:p>
    <w:p>
      <w:pPr>
        <w:spacing w:after="0" w:line="92" w:lineRule="exact"/>
        <w:rPr>
          <w:sz w:val="20"/>
          <w:szCs w:val="20"/>
          <w:color w:val="auto"/>
        </w:rPr>
      </w:pPr>
    </w:p>
    <w:p>
      <w:pPr>
        <w:jc w:val="both"/>
        <w:ind w:firstLine="553"/>
        <w:spacing w:after="0" w:line="251"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sinking 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xml:space="preserve"> ".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04"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12.02</w:t>
      </w:r>
      <w:r>
        <w:rPr>
          <w:sz w:val="20"/>
          <w:szCs w:val="20"/>
          <w:color w:val="auto"/>
        </w:rPr>
        <w:tab/>
      </w:r>
      <w:r>
        <w:rPr>
          <w:rFonts w:ascii="Times New Roman" w:cs="Times New Roman" w:eastAsia="Times New Roman" w:hAnsi="Times New Roman"/>
          <w:sz w:val="18"/>
          <w:szCs w:val="18"/>
          <w:b w:val="1"/>
          <w:bCs w:val="1"/>
          <w:color w:val="auto"/>
        </w:rPr>
        <w:t>Satisfaction of Sinking Fund Payments with Securities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 xml:space="preserve">Subject to Section 12.03, in lieu of making all or any part of any mandatory sinking fund payment with respect to any Securities of a series in cash, the Company may at its option (1) deliver to the Trustees Outstanding Securities of a such series (other than any previously called for redemption) theretofore purchased or otherwise acquired by the Company, and/or (2) receive credit for the principal amount of Securities of such series which have been previously delivered to the Trustees by the Company or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w:t>
      </w:r>
    </w:p>
    <w:p>
      <w:pPr>
        <w:spacing w:after="0" w:line="12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12.03</w:t>
      </w:r>
      <w:r>
        <w:rPr>
          <w:sz w:val="20"/>
          <w:szCs w:val="20"/>
          <w:color w:val="auto"/>
        </w:rPr>
        <w:tab/>
      </w:r>
      <w:r>
        <w:rPr>
          <w:rFonts w:ascii="Times New Roman" w:cs="Times New Roman" w:eastAsia="Times New Roman" w:hAnsi="Times New Roman"/>
          <w:sz w:val="18"/>
          <w:szCs w:val="18"/>
          <w:b w:val="1"/>
          <w:bCs w:val="1"/>
          <w:color w:val="auto"/>
        </w:rPr>
        <w:t>Redemption of Securities for Sinking Fund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6" w:lineRule="auto"/>
        <w:rPr>
          <w:sz w:val="20"/>
          <w:szCs w:val="20"/>
          <w:color w:val="auto"/>
        </w:rPr>
      </w:pPr>
      <w:r>
        <w:rPr>
          <w:rFonts w:ascii="Times New Roman" w:cs="Times New Roman" w:eastAsia="Times New Roman" w:hAnsi="Times New Roman"/>
          <w:sz w:val="18"/>
          <w:szCs w:val="18"/>
          <w:color w:val="auto"/>
        </w:rPr>
        <w:t>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17232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2" w:name="page123"/>
    <w:bookmarkEnd w:id="122"/>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09"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18"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12.03 Section.</w:t>
      </w:r>
    </w:p>
    <w:p>
      <w:pPr>
        <w:spacing w:after="0" w:line="102"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AT OPTION OF HOLDERS</w:t>
      </w:r>
    </w:p>
    <w:p>
      <w:pPr>
        <w:spacing w:after="0" w:line="138"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78" w:lineRule="auto"/>
        <w:rPr>
          <w:sz w:val="20"/>
          <w:szCs w:val="20"/>
          <w:color w:val="auto"/>
        </w:rPr>
      </w:pPr>
      <w:r>
        <w:rPr>
          <w:rFonts w:ascii="Times New Roman" w:cs="Times New Roman" w:eastAsia="Times New Roman" w:hAnsi="Times New Roman"/>
          <w:sz w:val="18"/>
          <w:szCs w:val="18"/>
          <w:color w:val="auto"/>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spacing w:after="0" w:line="8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8"/>
          <w:szCs w:val="18"/>
          <w:b w:val="1"/>
          <w:bCs w:val="1"/>
          <w:color w:val="auto"/>
        </w:rPr>
        <w:t>Repayment of Securities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with respect to such Securities, on or before the Repayment Date it will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principal (or, if so provided by the terms of the Securities of any series, a percentage of the principal) of and (except if the Repayment Date shall be an Interest Payment Date) accrued interest (if any) on, all the Securities or portions thereof, as the case may be, to be repaid on such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3" w:name="page124"/>
    <w:bookmarkEnd w:id="123"/>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43" w:lineRule="auto"/>
        <w:rPr>
          <w:sz w:val="20"/>
          <w:szCs w:val="20"/>
          <w:color w:val="auto"/>
        </w:rPr>
      </w:pPr>
      <w:r>
        <w:rPr>
          <w:rFonts w:ascii="Times New Roman" w:cs="Times New Roman" w:eastAsia="Times New Roman" w:hAnsi="Times New Roman"/>
          <w:sz w:val="18"/>
          <w:szCs w:val="18"/>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30"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8"/>
          <w:szCs w:val="18"/>
          <w:b w:val="1"/>
          <w:bCs w:val="1"/>
          <w:color w:val="auto"/>
        </w:rPr>
        <w:t>When Securities Presented for Repayment Become Due and Payable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5" w:lineRule="auto"/>
        <w:rPr>
          <w:sz w:val="20"/>
          <w:szCs w:val="20"/>
          <w:color w:val="auto"/>
        </w:rPr>
      </w:pPr>
      <w:r>
        <w:rPr>
          <w:rFonts w:ascii="Times New Roman" w:cs="Times New Roman" w:eastAsia="Times New Roman" w:hAnsi="Times New Roman"/>
          <w:sz w:val="18"/>
          <w:szCs w:val="18"/>
          <w:color w:val="auto"/>
        </w:rPr>
        <w:t xml:space="preserve">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 bearing, cease to bear interest. Upon surrender of any such Security for repayment in accordance with such provisions, the principal amount of such Security so to be repaid shall be paid by the Company, together with accrued interest (if any) to the Repayment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Securities, installments of interest (if any) whose Stated Maturity is on or prior to the Repayment Date shall be payable to the Holders of such Securities, or one or more Predecessor Securities, registered as such at the close of business on the relevant Record Dates according to their terms and the provisions of Section 3.07.</w:t>
      </w:r>
    </w:p>
    <w:p>
      <w:pPr>
        <w:spacing w:after="0" w:line="325"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If any Security surrendered for repayment shall not be so repaid upon surrender thereof for repayment, the principal amount and premium (if any) shall, until paid, bear interest from the Repayment Date at the rate of interest or Yield to Maturity (in the case of Original Issue Discount Securities) set forth in such Security.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4" w:name="page125"/>
    <w:bookmarkEnd w:id="124"/>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8"/>
          <w:szCs w:val="18"/>
          <w:b w:val="1"/>
          <w:bCs w:val="1"/>
          <w:color w:val="auto"/>
        </w:rPr>
        <w:t>Securities Repaid in Part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53"/>
        <w:spacing w:after="0" w:line="253" w:lineRule="auto"/>
        <w:rPr>
          <w:sz w:val="20"/>
          <w:szCs w:val="20"/>
          <w:color w:val="auto"/>
        </w:rPr>
      </w:pPr>
      <w:r>
        <w:rPr>
          <w:rFonts w:ascii="Times New Roman" w:cs="Times New Roman" w:eastAsia="Times New Roman" w:hAnsi="Times New Roman"/>
          <w:sz w:val="18"/>
          <w:szCs w:val="18"/>
          <w:color w:val="auto"/>
        </w:rPr>
        <w:t>Upon surrender of any Security which is to be repaid in part only, the Company shall execute and the applicable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26"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14.01</w:t>
      </w:r>
      <w:r>
        <w:rPr>
          <w:sz w:val="20"/>
          <w:szCs w:val="20"/>
          <w:color w:val="auto"/>
        </w:rPr>
        <w:tab/>
      </w:r>
      <w:r>
        <w:rPr>
          <w:rFonts w:ascii="Times New Roman" w:cs="Times New Roman" w:eastAsia="Times New Roman" w:hAnsi="Times New Roman"/>
          <w:sz w:val="18"/>
          <w:szCs w:val="18"/>
          <w:b w:val="1"/>
          <w:bCs w:val="1"/>
          <w:color w:val="auto"/>
        </w:rPr>
        <w:t>Company's Option to Effect Defeasance or Covenant Defeasance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Fourteen.</w:t>
      </w:r>
    </w:p>
    <w:p>
      <w:pPr>
        <w:spacing w:after="0" w:line="10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14.02</w:t>
      </w:r>
      <w:r>
        <w:rPr>
          <w:sz w:val="20"/>
          <w:szCs w:val="20"/>
          <w:color w:val="auto"/>
        </w:rPr>
        <w:tab/>
      </w:r>
      <w:r>
        <w:rPr>
          <w:rFonts w:ascii="Times New Roman" w:cs="Times New Roman" w:eastAsia="Times New Roman" w:hAnsi="Times New Roman"/>
          <w:sz w:val="18"/>
          <w:szCs w:val="18"/>
          <w:b w:val="1"/>
          <w:bCs w:val="1"/>
          <w:color w:val="auto"/>
        </w:rPr>
        <w:t>Defeasance and Discharge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3" w:lineRule="auto"/>
        <w:rPr>
          <w:sz w:val="20"/>
          <w:szCs w:val="20"/>
          <w:color w:val="auto"/>
        </w:rPr>
      </w:pPr>
      <w:r>
        <w:rPr>
          <w:rFonts w:ascii="Times New Roman" w:cs="Times New Roman" w:eastAsia="Times New Roman" w:hAnsi="Times New Roman"/>
          <w:sz w:val="18"/>
          <w:szCs w:val="18"/>
          <w:color w:val="auto"/>
        </w:rPr>
        <w:t>Upon the Company's exercise of the above option applicable to this Section 14.02 with respect to any Securities of or within a series, the Company shall be deemed to have been discharged from its obligations with respect to such Securities on the date the conditions set forth in Section 14.04 are satisfied (hereinafter,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For this purpose, such defeasance means that the Company shall be deemed to have paid and discharged the entire indebtedness represented by such Securities, which shall thereafter be deemed to be "Outstanding" only for the purposes of Section 14.05 and the other Sections of this Indenture referred to in (A) and (B) below, and to have satisfied all of its other obligations under such Securities and this Indenture insofar as such Securities are concerned (and the Trustees,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14.04 and as more fully set forth in such Section, payments in respect of the principal of, premium (if any) and interest (if any) on such Securities when such payments are due, (B) the Company's obligations with respect to such Securities under Sections 3.05, 3.06, 10.02 and 10.03, (C) the rights, powers, trusts, duties and immunities of the Trustees hereunder and (D) this Article Fourteen. Subject to compliance with this Article Fourteen, the Company may exercise its option under this Section 14.02 notwithstanding the prior exercise of its option under Section 14.03 with respect to such Securities.</w:t>
      </w:r>
    </w:p>
    <w:p>
      <w:pPr>
        <w:spacing w:after="0" w:line="11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14.03</w:t>
      </w:r>
      <w:r>
        <w:rPr>
          <w:sz w:val="20"/>
          <w:szCs w:val="20"/>
          <w:color w:val="auto"/>
        </w:rPr>
        <w:tab/>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Upon the Company's exercise of the above option applicable to this Section 14.03 with respect to any Securities of or within a series, the Company shall be released from, if specified pursuant to Section 3.01, its obligations under any covenant, with respect to such Securities on and after the date the conditions set forth in Section 14.04 are satisfied (hereinafter,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and such Securities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or (7) of Section 5.01 or otherwise but, except as specified above, the remainder of this Indenture and such Securities shall be unaffected thereby.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5" w:name="page126"/>
    <w:bookmarkEnd w:id="125"/>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14.04</w:t>
      </w:r>
      <w:r>
        <w:rPr>
          <w:sz w:val="20"/>
          <w:szCs w:val="20"/>
          <w:color w:val="auto"/>
        </w:rPr>
        <w:tab/>
      </w:r>
      <w:r>
        <w:rPr>
          <w:rFonts w:ascii="Times New Roman" w:cs="Times New Roman" w:eastAsia="Times New Roman" w:hAnsi="Times New Roman"/>
          <w:sz w:val="18"/>
          <w:szCs w:val="18"/>
          <w:b w:val="1"/>
          <w:bCs w:val="1"/>
          <w:color w:val="auto"/>
        </w:rPr>
        <w:t>Conditions to Defeasance or Covenant Defeasance</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either Section 14.02 or Section 14.03 to any Securities of or within a series:</w:t>
      </w:r>
    </w:p>
    <w:p>
      <w:pPr>
        <w:spacing w:after="0" w:line="162" w:lineRule="exact"/>
        <w:rPr>
          <w:sz w:val="20"/>
          <w:szCs w:val="20"/>
          <w:color w:val="auto"/>
        </w:rPr>
      </w:pPr>
    </w:p>
    <w:p>
      <w:pPr>
        <w:jc w:val="both"/>
        <w:ind w:left="1100" w:hanging="555"/>
        <w:spacing w:after="0" w:line="242" w:lineRule="auto"/>
        <w:tabs>
          <w:tab w:leader="none" w:pos="11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irrevocably have deposited or caused to be deposited with either Trustee (or another trustee satisfying the requirements of Section 6.08 who shall agree to comply with the provisions of this Article Fourteen applicable to it) as trust funds in trust for the purpose of making the following payments, specifically pledged as security for, and dedicated solely to, the benefit of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money in an amount, or (C) a combination thereof, sufficient, in the opinion of a nationally recognized firm of independent public accountants expressed in a written certification thereof delivered to the Trustees, to pay and discharge, and which shall be applied by the Trustees (or another trustee satisfying the requirements of Section 6.08 who shall agree to comply with the provisions of this Article Fourteen) to pay and discharge, (i) the principal of, premium (if any) and interest (if any) on such Securities on the Stated Maturity (or Redemption Date, if applicable) of such principal of, premium (if any) or installment of interest (if any), (ii) any mandatory sinking fund payments or analogous payments applicable to such Securities on the day on which such payments are due and payable in accordance with the terms of this Indenture and of such Securities, and (iii) all amounts due the Trustees under Section 6.07;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Trustees shall have been irrevocably instructed to apply such money or the proceeds of such Government Obligations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said payments with respect to such Securities. Before such a deposit, the Company may give to the Trustees, in accordance with Section 11.02, a notice of its election to redeem all or any portion of such Securities at a future date in accordance with the terms of such Securities and Article Eleven hereof, which notice shall be irrevocable. Such irrevocable redemption notice, if given, shall be given effect in applying the foregoing.</w:t>
      </w:r>
    </w:p>
    <w:p>
      <w:pPr>
        <w:spacing w:after="0" w:line="331" w:lineRule="exact"/>
        <w:rPr>
          <w:rFonts w:ascii="Times New Roman" w:cs="Times New Roman" w:eastAsia="Times New Roman" w:hAnsi="Times New Roman"/>
          <w:sz w:val="18"/>
          <w:szCs w:val="18"/>
          <w:color w:val="auto"/>
        </w:rPr>
      </w:pPr>
    </w:p>
    <w:p>
      <w:pPr>
        <w:jc w:val="both"/>
        <w:ind w:left="1100" w:right="20" w:hanging="555"/>
        <w:spacing w:after="0" w:line="259" w:lineRule="auto"/>
        <w:tabs>
          <w:tab w:leader="none" w:pos="11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Securities shall have occurred and be continuing on the date of such deposit or, insofar as clauses (5) and (6) of Section 5.01 are concerned, at any time during the period ending on the 91st day after the date of such deposit (it being understood that this condition shall not be deemed satisfied until the expiration of such period).</w:t>
      </w:r>
    </w:p>
    <w:p>
      <w:pPr>
        <w:spacing w:after="0" w:line="101"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or an Event of Default under, this Indenture or any default under any material agreement or instrument to which the Company is a party or by which it is bound.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6" w:name="page127"/>
    <w:bookmarkEnd w:id="126"/>
    <w:p>
      <w:pPr>
        <w:jc w:val="both"/>
        <w:ind w:left="1100" w:hanging="555"/>
        <w:spacing w:after="0" w:line="248" w:lineRule="auto"/>
        <w:tabs>
          <w:tab w:leader="none" w:pos="11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United States federal income tax law, in either case to the effect that, and based thereon such opinion shall confirm that, the Holders of such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111" w:lineRule="exact"/>
        <w:rPr>
          <w:rFonts w:ascii="Times New Roman" w:cs="Times New Roman" w:eastAsia="Times New Roman" w:hAnsi="Times New Roman"/>
          <w:sz w:val="18"/>
          <w:szCs w:val="18"/>
          <w:color w:val="auto"/>
        </w:rPr>
      </w:pPr>
    </w:p>
    <w:p>
      <w:pPr>
        <w:jc w:val="both"/>
        <w:ind w:left="1100" w:hanging="555"/>
        <w:spacing w:after="0" w:line="253" w:lineRule="auto"/>
        <w:tabs>
          <w:tab w:leader="none" w:pos="11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Trustees an Opinion of Counsel in the United States to the effect that the Holders of such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117" w:lineRule="exact"/>
        <w:rPr>
          <w:rFonts w:ascii="Times New Roman" w:cs="Times New Roman" w:eastAsia="Times New Roman" w:hAnsi="Times New Roman"/>
          <w:sz w:val="18"/>
          <w:szCs w:val="18"/>
          <w:color w:val="auto"/>
        </w:rPr>
      </w:pPr>
    </w:p>
    <w:p>
      <w:pPr>
        <w:jc w:val="both"/>
        <w:ind w:left="1100" w:hanging="555"/>
        <w:spacing w:after="0" w:line="248" w:lineRule="auto"/>
        <w:tabs>
          <w:tab w:leader="none" w:pos="11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Trustees an Opinion of Counsel in Canada or a ruling from the Canada Revenue Agency to the effect that the Holders of such Securities will not recognize income, gain or loss for Canadian federal, provincial or territorial income tax or other tax purposes as a result of such defeasance or covenant defeasance, as applicable, and will be subject to Canadian federal, provincial or territorial income tax and other tax on the same amounts, in the same manner and at the same times as would have been the case had such defeasance or covenant defeasance, as applicable, not occurred (and for the purposes of such opinion, such Canadian counsel shall assume that Holders of such Securities include Holders who are not resident in Canada).</w:t>
      </w:r>
    </w:p>
    <w:p>
      <w:pPr>
        <w:spacing w:after="0" w:line="110"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w:t>
      </w:r>
    </w:p>
    <w:p>
      <w:pPr>
        <w:spacing w:after="0" w:line="101" w:lineRule="exact"/>
        <w:rPr>
          <w:rFonts w:ascii="Times New Roman" w:cs="Times New Roman" w:eastAsia="Times New Roman" w:hAnsi="Times New Roman"/>
          <w:sz w:val="18"/>
          <w:szCs w:val="18"/>
          <w:color w:val="auto"/>
        </w:rPr>
      </w:pPr>
    </w:p>
    <w:p>
      <w:pPr>
        <w:ind w:left="1100" w:right="20" w:hanging="555"/>
        <w:spacing w:after="0" w:line="278" w:lineRule="auto"/>
        <w:tabs>
          <w:tab w:leader="none" w:pos="11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14.04, such defeasance or covenant defeasance shall be effected in compliance with any additional or substitute terms, conditions or limitations in connection therewith pursuant to Section 3.01.</w:t>
      </w:r>
    </w:p>
    <w:p>
      <w:pPr>
        <w:spacing w:after="0" w:line="96" w:lineRule="exact"/>
        <w:rPr>
          <w:rFonts w:ascii="Times New Roman" w:cs="Times New Roman" w:eastAsia="Times New Roman" w:hAnsi="Times New Roman"/>
          <w:sz w:val="18"/>
          <w:szCs w:val="18"/>
          <w:color w:val="auto"/>
        </w:rPr>
      </w:pPr>
    </w:p>
    <w:p>
      <w:pPr>
        <w:jc w:val="both"/>
        <w:ind w:left="1100" w:hanging="555"/>
        <w:spacing w:after="0" w:line="259" w:lineRule="auto"/>
        <w:tabs>
          <w:tab w:leader="none" w:pos="11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98"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14.05</w:t>
      </w:r>
      <w:r>
        <w:rPr>
          <w:sz w:val="20"/>
          <w:szCs w:val="20"/>
          <w:color w:val="auto"/>
        </w:rPr>
        <w:tab/>
      </w:r>
      <w:r>
        <w:rPr>
          <w:rFonts w:ascii="Times New Roman" w:cs="Times New Roman" w:eastAsia="Times New Roman" w:hAnsi="Times New Roman"/>
          <w:sz w:val="18"/>
          <w:szCs w:val="18"/>
          <w:b w:val="1"/>
          <w:bCs w:val="1"/>
          <w:color w:val="auto"/>
        </w:rPr>
        <w:t>Deposited Money and Government Obligations to Be Held in Trust; Other Miscellaneous Provisions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6"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and Government Obligations (or other property as may be provided pursuant to Section 3.01) (including the proceeds thereof) deposited with a Trustee (or another trustee satisfying the requirements of Section 6.08 who shall agree to comply with the provisions of this Article Fourteen) pursuant to Section 14.04 in respect of such Securities shall be held in trust and applied by such Trustee, in accordance with the provisions of such Securities and this Indenture, to the payment, either directly or through any Paying Agent (including the Company acting as its own Paying Agent), to the Holders of such Securities of all sums due and to become due thereon in respect of principal, premium (if any) and interest (if any) on such Securities but such money need not be segregated from other funds except to the extent required by law.</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7" w:name="page128"/>
    <w:bookmarkEnd w:id="127"/>
    <w:p>
      <w:pPr>
        <w:jc w:val="both"/>
        <w:ind w:firstLine="553"/>
        <w:spacing w:after="0" w:line="244" w:lineRule="auto"/>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shall be deemed to have been, and will be, fully discharged and satisfied through the payment of the principal of,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19" w:lineRule="exact"/>
        <w:rPr>
          <w:sz w:val="20"/>
          <w:szCs w:val="20"/>
          <w:color w:val="auto"/>
        </w:rPr>
      </w:pPr>
    </w:p>
    <w:p>
      <w:pPr>
        <w:jc w:val="both"/>
        <w:ind w:firstLine="553"/>
        <w:spacing w:after="0" w:line="259" w:lineRule="auto"/>
        <w:rPr>
          <w:sz w:val="20"/>
          <w:szCs w:val="20"/>
          <w:color w:val="auto"/>
        </w:rPr>
      </w:pPr>
      <w:r>
        <w:rPr>
          <w:rFonts w:ascii="Times New Roman" w:cs="Times New Roman" w:eastAsia="Times New Roman" w:hAnsi="Times New Roman"/>
          <w:sz w:val="18"/>
          <w:szCs w:val="18"/>
          <w:color w:val="auto"/>
        </w:rPr>
        <w:t>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Securities.</w:t>
      </w:r>
    </w:p>
    <w:p>
      <w:pPr>
        <w:spacing w:after="0" w:line="113" w:lineRule="exact"/>
        <w:rPr>
          <w:sz w:val="20"/>
          <w:szCs w:val="20"/>
          <w:color w:val="auto"/>
        </w:rPr>
      </w:pPr>
    </w:p>
    <w:p>
      <w:pPr>
        <w:jc w:val="both"/>
        <w:ind w:firstLine="553"/>
        <w:spacing w:after="0" w:line="250" w:lineRule="auto"/>
        <w:rPr>
          <w:sz w:val="20"/>
          <w:szCs w:val="20"/>
          <w:color w:val="auto"/>
        </w:rPr>
      </w:pPr>
      <w:r>
        <w:rPr>
          <w:rFonts w:ascii="Times New Roman" w:cs="Times New Roman" w:eastAsia="Times New Roman" w:hAnsi="Times New Roman"/>
          <w:sz w:val="18"/>
          <w:szCs w:val="18"/>
          <w:color w:val="auto"/>
        </w:rPr>
        <w:t>Anything in this Article Fourteen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Fourteen.</w:t>
      </w:r>
    </w:p>
    <w:p>
      <w:pPr>
        <w:spacing w:after="0" w:line="104"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14.06</w:t>
      </w:r>
      <w:r>
        <w:rPr>
          <w:sz w:val="20"/>
          <w:szCs w:val="20"/>
          <w:color w:val="auto"/>
        </w:rPr>
        <w:tab/>
      </w:r>
      <w:r>
        <w:rPr>
          <w:rFonts w:ascii="Times New Roman" w:cs="Times New Roman" w:eastAsia="Times New Roman" w:hAnsi="Times New Roman"/>
          <w:sz w:val="18"/>
          <w:szCs w:val="18"/>
          <w:b w:val="1"/>
          <w:bCs w:val="1"/>
          <w:color w:val="auto"/>
        </w:rPr>
        <w:t>Reinstatement</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553"/>
        <w:spacing w:after="0" w:line="248" w:lineRule="auto"/>
        <w:rPr>
          <w:sz w:val="20"/>
          <w:szCs w:val="20"/>
          <w:color w:val="auto"/>
        </w:rPr>
      </w:pPr>
      <w:r>
        <w:rPr>
          <w:rFonts w:ascii="Times New Roman" w:cs="Times New Roman" w:eastAsia="Times New Roman" w:hAnsi="Times New Roman"/>
          <w:sz w:val="18"/>
          <w:szCs w:val="18"/>
          <w:color w:val="auto"/>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shall be revived and reinstated as though no deposit had occurred pursuant to Section 14.02 or 14.03, as the case may be, until such time as such Trustee or Paying Agent is permitted to apply all such money in accordance with Section 14.05;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(if any) or interest (if any) on any such Security following the reinstatement of its obligations, the Company shall be subrogated to the rights of the Holders of such Securities to receive such payment from the money held by such Trustee or Paying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1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CYBIN INC.</w:t>
      </w:r>
    </w:p>
    <w:p>
      <w:pPr>
        <w:spacing w:after="0" w:line="1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-108585</wp:posOffset>
            </wp:positionV>
            <wp:extent cx="33350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22225</wp:posOffset>
            </wp:positionV>
            <wp:extent cx="333502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3335020" cy="762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-101600</wp:posOffset>
            </wp:positionV>
            <wp:extent cx="33350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spacing w:after="0" w:line="1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______________________,</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as U.S. Trustee</w:t>
      </w:r>
    </w:p>
    <w:p>
      <w:pPr>
        <w:spacing w:after="0" w:line="18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-108585</wp:posOffset>
            </wp:positionV>
            <wp:extent cx="333502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22225</wp:posOffset>
            </wp:positionV>
            <wp:extent cx="33350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3335020" cy="762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-101600</wp:posOffset>
            </wp:positionV>
            <wp:extent cx="333502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spacing w:after="0" w:line="1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-108585</wp:posOffset>
            </wp:positionV>
            <wp:extent cx="33350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22225</wp:posOffset>
            </wp:positionV>
            <wp:extent cx="33350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3335020" cy="762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-101600</wp:posOffset>
            </wp:positionV>
            <wp:extent cx="33350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spacing w:after="0" w:line="1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______________________,</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as Canadian Trustee</w:t>
      </w:r>
    </w:p>
    <w:p>
      <w:pPr>
        <w:spacing w:after="0" w:line="18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-108585</wp:posOffset>
            </wp:positionV>
            <wp:extent cx="33350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ind w:left="5000"/>
        <w:spacing w:after="0"/>
        <w:tabs>
          <w:tab w:leader="none" w:pos="5440" w:val="left"/>
        </w:tabs>
        <w:rPr>
          <w:sz w:val="20"/>
          <w:szCs w:val="20"/>
          <w:color w:val="auto"/>
        </w:rPr>
      </w:pPr>
      <w:r>
        <w:rPr>
          <w:rFonts w:ascii="Times New Roman" w:cs="Times New Roman" w:eastAsia="Times New Roman" w:hAnsi="Times New Roman"/>
          <w:sz w:val="15"/>
          <w:szCs w:val="15"/>
          <w:color w:val="auto"/>
        </w:rPr>
        <w:t>Title:</w:t>
        <w:tab/>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-101600</wp:posOffset>
            </wp:positionV>
            <wp:extent cx="33350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spacing w:after="0" w:line="18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-108585</wp:posOffset>
            </wp:positionV>
            <wp:extent cx="33350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ind w:left="5000"/>
        <w:spacing w:after="0"/>
        <w:tabs>
          <w:tab w:leader="none" w:pos="5440" w:val="left"/>
        </w:tabs>
        <w:rPr>
          <w:sz w:val="20"/>
          <w:szCs w:val="20"/>
          <w:color w:val="auto"/>
        </w:rPr>
      </w:pPr>
      <w:r>
        <w:rPr>
          <w:rFonts w:ascii="Times New Roman" w:cs="Times New Roman" w:eastAsia="Times New Roman" w:hAnsi="Times New Roman"/>
          <w:sz w:val="15"/>
          <w:szCs w:val="15"/>
          <w:color w:val="auto"/>
        </w:rPr>
        <w:t>Title:</w:t>
        <w:tab/>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-101600</wp:posOffset>
            </wp:positionV>
            <wp:extent cx="33350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3335020" cy="7620"/>
                    </a:xfrm>
                    <a:prstGeom prst="rect">
                      <a:avLst/>
                    </a:prstGeom>
                    <a:noFill/>
                  </pic:spPr>
                </pic:pic>
              </a:graphicData>
            </a:graphic>
          </wp:anchor>
        </w:drawing>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107315</wp:posOffset>
            </wp:positionV>
            <wp:extent cx="717232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200"/>
          </w:cols>
          <w:pgMar w:left="860" w:top="115" w:right="8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1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FORM OF CERTIFICATE TO BE GIVEN BY</w:t>
      </w:r>
    </w:p>
    <w:p>
      <w:pPr>
        <w:spacing w:after="0" w:line="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PERSON ENTITLED TO OBTAIN INTEREST PAYABLE PRIOR</w:t>
      </w:r>
    </w:p>
    <w:p>
      <w:pPr>
        <w:jc w:val="center"/>
        <w:ind w:right="-7"/>
        <w:spacing w:after="0"/>
        <w:rPr>
          <w:sz w:val="20"/>
          <w:szCs w:val="20"/>
          <w:color w:val="auto"/>
        </w:rPr>
      </w:pPr>
      <w:r>
        <w:rPr>
          <w:rFonts w:ascii="Times New Roman" w:cs="Times New Roman" w:eastAsia="Times New Roman" w:hAnsi="Times New Roman"/>
          <w:sz w:val="18"/>
          <w:szCs w:val="18"/>
          <w:color w:val="auto"/>
        </w:rPr>
        <w:t>TO THE EXCHANGE DATE</w:t>
      </w:r>
    </w:p>
    <w:p>
      <w:pPr>
        <w:spacing w:after="0" w:line="1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CERTIFICATE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CYBIN INC.</w:t>
      </w:r>
    </w:p>
    <w:p>
      <w:pPr>
        <w:spacing w:after="0" w:line="20" w:lineRule="exact"/>
        <w:rPr>
          <w:sz w:val="20"/>
          <w:szCs w:val="20"/>
          <w:color w:val="auto"/>
        </w:rPr>
      </w:pPr>
    </w:p>
    <w:p>
      <w:pPr>
        <w:ind w:left="4128"/>
        <w:spacing w:after="0"/>
        <w:rPr>
          <w:sz w:val="20"/>
          <w:szCs w:val="20"/>
          <w:color w:val="auto"/>
        </w:rPr>
      </w:pPr>
      <w:r>
        <w:rPr>
          <w:rFonts w:ascii="Times New Roman" w:cs="Times New Roman" w:eastAsia="Times New Roman" w:hAnsi="Times New Roman"/>
          <w:sz w:val="18"/>
          <w:szCs w:val="18"/>
          <w:color w:val="auto"/>
        </w:rPr>
        <w:t>_____% Notes due _________________</w:t>
      </w:r>
    </w:p>
    <w:p>
      <w:pPr>
        <w:spacing w:after="0" w:line="130" w:lineRule="exact"/>
        <w:rPr>
          <w:sz w:val="20"/>
          <w:szCs w:val="20"/>
          <w:color w:val="auto"/>
        </w:rPr>
      </w:pPr>
    </w:p>
    <w:p>
      <w:pPr>
        <w:jc w:val="both"/>
        <w:ind w:left="8" w:firstLine="553"/>
        <w:spacing w:after="0" w:line="243"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persons(s)"),</w:t>
      </w:r>
    </w:p>
    <w:p>
      <w:pPr>
        <w:spacing w:after="0" w:line="4" w:lineRule="exact"/>
        <w:rPr>
          <w:sz w:val="20"/>
          <w:szCs w:val="20"/>
          <w:color w:val="auto"/>
        </w:rPr>
      </w:pPr>
    </w:p>
    <w:p>
      <w:pPr>
        <w:jc w:val="both"/>
        <w:ind w:left="8" w:hanging="8"/>
        <w:spacing w:after="0"/>
        <w:tabs>
          <w:tab w:leader="none" w:pos="2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owned by United States person(s) that are (a) foreign branches of United States financial institutions (financial institutions, as defined in United States.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Cybin inc. or its agent that such financial institution will comply with the requirements of Section 165(j)(3)(A), (B) or (C) of the United States Internal Revenue Code of 1986, as amended, and the regulations thereunder), or</w:t>
      </w:r>
    </w:p>
    <w:p>
      <w:pPr>
        <w:spacing w:after="0" w:line="1" w:lineRule="exact"/>
        <w:rPr>
          <w:rFonts w:ascii="Times New Roman" w:cs="Times New Roman" w:eastAsia="Times New Roman" w:hAnsi="Times New Roman"/>
          <w:sz w:val="18"/>
          <w:szCs w:val="18"/>
          <w:color w:val="auto"/>
        </w:rPr>
      </w:pPr>
    </w:p>
    <w:p>
      <w:pPr>
        <w:jc w:val="both"/>
        <w:ind w:left="8" w:hanging="8"/>
        <w:spacing w:after="0"/>
        <w:tabs>
          <w:tab w:leader="none" w:pos="3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w:t>
      </w:r>
    </w:p>
    <w:p>
      <w:pPr>
        <w:ind w:left="8" w:hanging="8"/>
        <w:spacing w:after="0" w:line="255" w:lineRule="auto"/>
        <w:tabs>
          <w:tab w:leader="none" w:pos="3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16" w:lineRule="exact"/>
        <w:rPr>
          <w:sz w:val="20"/>
          <w:szCs w:val="20"/>
          <w:color w:val="auto"/>
        </w:rPr>
      </w:pPr>
    </w:p>
    <w:p>
      <w:pPr>
        <w:jc w:val="both"/>
        <w:ind w:left="8" w:right="20" w:firstLine="553"/>
        <w:spacing w:after="0" w:line="278"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85" w:lineRule="exact"/>
        <w:rPr>
          <w:sz w:val="20"/>
          <w:szCs w:val="20"/>
          <w:color w:val="auto"/>
        </w:rPr>
      </w:pPr>
    </w:p>
    <w:p>
      <w:pPr>
        <w:jc w:val="both"/>
        <w:ind w:left="8" w:firstLine="553"/>
        <w:spacing w:after="0" w:line="259" w:lineRule="auto"/>
        <w:rPr>
          <w:sz w:val="20"/>
          <w:szCs w:val="20"/>
          <w:color w:val="auto"/>
        </w:rPr>
      </w:pPr>
      <w:r>
        <w:rPr>
          <w:rFonts w:ascii="Times New Roman" w:cs="Times New Roman" w:eastAsia="Times New Roman" w:hAnsi="Times New Roman"/>
          <w:sz w:val="18"/>
          <w:szCs w:val="18"/>
          <w:color w:val="auto"/>
        </w:rPr>
        <w:t>We undertake to advise you promptly in writing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02"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This certificate excepts and does not relate to U.S. $__________ of such interest in the above-captioned Securities in respect of which we are not</w:t>
      </w:r>
    </w:p>
    <w:p>
      <w:pPr>
        <w:spacing w:after="0" w:line="20" w:lineRule="exact"/>
        <w:rPr>
          <w:sz w:val="20"/>
          <w:szCs w:val="20"/>
          <w:color w:val="auto"/>
        </w:rPr>
      </w:pPr>
    </w:p>
    <w:p>
      <w:pPr>
        <w:jc w:val="both"/>
        <w:ind w:left="8" w:right="20"/>
        <w:spacing w:after="0" w:line="255" w:lineRule="auto"/>
        <w:rPr>
          <w:sz w:val="20"/>
          <w:szCs w:val="20"/>
          <w:color w:val="auto"/>
        </w:rPr>
      </w:pPr>
      <w:r>
        <w:rPr>
          <w:rFonts w:ascii="Times New Roman" w:cs="Times New Roman" w:eastAsia="Times New Roman" w:hAnsi="Times New Roman"/>
          <w:sz w:val="18"/>
          <w:szCs w:val="18"/>
          <w:color w:val="auto"/>
        </w:rPr>
        <w:t>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32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130" w:name="page131"/>
    <w:bookmarkEnd w:id="130"/>
    <w:p>
      <w:pPr>
        <w:jc w:val="both"/>
        <w:ind w:right="20" w:firstLine="553"/>
        <w:spacing w:after="0" w:line="260"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w:t>
      </w:r>
    </w:p>
    <w:p>
      <w:pPr>
        <w:spacing w:after="0" w:line="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1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[Name of Person Making Certification]</w:t>
      </w:r>
    </w:p>
    <w:p>
      <w:pPr>
        <w:spacing w:after="0" w:line="1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-108585</wp:posOffset>
            </wp:positionV>
            <wp:extent cx="33274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327400" cy="762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22225</wp:posOffset>
            </wp:positionV>
            <wp:extent cx="33274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3327400" cy="762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-101600</wp:posOffset>
            </wp:positionV>
            <wp:extent cx="33274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327400" cy="762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1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FORM OF CERTIFICATE TO BE GIVEN BY THE DEPOSITARY</w:t>
      </w:r>
    </w:p>
    <w:p>
      <w:pPr>
        <w:spacing w:after="0" w:line="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IN CONNECTION WITH THE EXCHANGE OF A PORTION OF A</w:t>
      </w:r>
    </w:p>
    <w:p>
      <w:pPr>
        <w:jc w:val="center"/>
        <w:ind w:right="-7"/>
        <w:spacing w:after="0"/>
        <w:rPr>
          <w:sz w:val="20"/>
          <w:szCs w:val="20"/>
          <w:color w:val="auto"/>
        </w:rPr>
      </w:pPr>
      <w:r>
        <w:rPr>
          <w:rFonts w:ascii="Times New Roman" w:cs="Times New Roman" w:eastAsia="Times New Roman" w:hAnsi="Times New Roman"/>
          <w:sz w:val="18"/>
          <w:szCs w:val="18"/>
          <w:color w:val="auto"/>
        </w:rPr>
        <w:t>TEMPORARY GLOBAL SECURITY OR TO OBTAIN INTEREST</w:t>
      </w:r>
    </w:p>
    <w:p>
      <w:pPr>
        <w:jc w:val="center"/>
        <w:ind w:right="-7"/>
        <w:spacing w:after="0"/>
        <w:rPr>
          <w:sz w:val="20"/>
          <w:szCs w:val="20"/>
          <w:color w:val="auto"/>
        </w:rPr>
      </w:pPr>
      <w:r>
        <w:rPr>
          <w:rFonts w:ascii="Times New Roman" w:cs="Times New Roman" w:eastAsia="Times New Roman" w:hAnsi="Times New Roman"/>
          <w:sz w:val="18"/>
          <w:szCs w:val="18"/>
          <w:color w:val="auto"/>
        </w:rPr>
        <w:t>PAYABLE PRIOR TO THE EXCHANGE DATE</w:t>
      </w:r>
    </w:p>
    <w:p>
      <w:pPr>
        <w:spacing w:after="0" w:line="1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CERTIFICATE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CYBIN INC.</w:t>
      </w:r>
    </w:p>
    <w:p>
      <w:pPr>
        <w:spacing w:after="0" w:line="20" w:lineRule="exact"/>
        <w:rPr>
          <w:sz w:val="20"/>
          <w:szCs w:val="20"/>
          <w:color w:val="auto"/>
        </w:rPr>
      </w:pPr>
    </w:p>
    <w:p>
      <w:pPr>
        <w:ind w:left="4128"/>
        <w:spacing w:after="0"/>
        <w:rPr>
          <w:sz w:val="20"/>
          <w:szCs w:val="20"/>
          <w:color w:val="auto"/>
        </w:rPr>
      </w:pPr>
      <w:r>
        <w:rPr>
          <w:rFonts w:ascii="Times New Roman" w:cs="Times New Roman" w:eastAsia="Times New Roman" w:hAnsi="Times New Roman"/>
          <w:sz w:val="18"/>
          <w:szCs w:val="18"/>
          <w:color w:val="auto"/>
        </w:rPr>
        <w:t>_____% Notes due _________________</w:t>
      </w:r>
    </w:p>
    <w:p>
      <w:pPr>
        <w:spacing w:after="0" w:line="130" w:lineRule="exact"/>
        <w:rPr>
          <w:sz w:val="20"/>
          <w:szCs w:val="20"/>
          <w:color w:val="auto"/>
        </w:rPr>
      </w:pPr>
    </w:p>
    <w:p>
      <w:pPr>
        <w:jc w:val="both"/>
        <w:ind w:left="8" w:firstLine="553"/>
        <w:spacing w:after="0" w:line="248"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or by electronic transmission from each of the persons appearing in our records as persons entitled to a portion of the principal amount set forth below (our "Member Organizations") substantially in the form attached hereto, as of the date hereof, U.S. $__________ principal amount of the above-captioned Securities (i) is owned by any person(s) that</w:t>
      </w:r>
    </w:p>
    <w:p>
      <w:pPr>
        <w:jc w:val="both"/>
        <w:ind w:left="8"/>
        <w:spacing w:after="0"/>
        <w:rPr>
          <w:sz w:val="20"/>
          <w:szCs w:val="20"/>
          <w:color w:val="auto"/>
        </w:rPr>
      </w:pPr>
      <w:r>
        <w:rPr>
          <w:rFonts w:ascii="Times New Roman" w:cs="Times New Roman" w:eastAsia="Times New Roman" w:hAnsi="Times New Roman"/>
          <w:sz w:val="18"/>
          <w:szCs w:val="18"/>
          <w:color w:val="auto"/>
        </w:rPr>
        <w:t>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 (ii) is owned by United States person(s) that are (a) foreign branches of United States financial institutions (financial institutions, as defined in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Cybin Inc. or its agent that such financial institution will comply with the requirements of Section 165(j)(3)(A),</w:t>
      </w:r>
    </w:p>
    <w:p>
      <w:pPr>
        <w:spacing w:after="0" w:line="4" w:lineRule="exact"/>
        <w:rPr>
          <w:sz w:val="20"/>
          <w:szCs w:val="20"/>
          <w:color w:val="auto"/>
        </w:rPr>
      </w:pPr>
    </w:p>
    <w:p>
      <w:pPr>
        <w:jc w:val="both"/>
        <w:ind w:left="8" w:hanging="8"/>
        <w:spacing w:after="0" w:line="244" w:lineRule="auto"/>
        <w:tabs>
          <w:tab w:leader="none" w:pos="3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 of the Internal Revenue Code of 1986, as amended, and the regulations thereunder), or (iii) 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336" w:lineRule="exact"/>
        <w:rPr>
          <w:sz w:val="20"/>
          <w:szCs w:val="20"/>
          <w:color w:val="auto"/>
        </w:rPr>
      </w:pPr>
    </w:p>
    <w:p>
      <w:pPr>
        <w:jc w:val="both"/>
        <w:ind w:left="8" w:right="20" w:firstLine="553"/>
        <w:spacing w:after="0" w:line="278"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85" w:lineRule="exact"/>
        <w:rPr>
          <w:sz w:val="20"/>
          <w:szCs w:val="20"/>
          <w:color w:val="auto"/>
        </w:rPr>
      </w:pPr>
    </w:p>
    <w:p>
      <w:pPr>
        <w:jc w:val="both"/>
        <w:ind w:left="8" w:firstLine="553"/>
        <w:spacing w:after="0" w:line="250"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17232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1" w:right="319" w:bottom="1440" w:gutter="0" w:footer="0" w:header="0"/>
        </w:sectPr>
      </w:pPr>
    </w:p>
    <w:bookmarkStart w:id="132" w:name="page133"/>
    <w:bookmarkEnd w:id="132"/>
    <w:p>
      <w:pPr>
        <w:jc w:val="both"/>
        <w:ind w:firstLine="553"/>
        <w:spacing w:after="0" w:line="260"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dated as of (i) the Exchange Date or (ii) the relevant Interest Payment Date occurring prior to the Exchange Date, as applicable]</w:t>
      </w:r>
    </w:p>
    <w:p>
      <w:pPr>
        <w:spacing w:after="0" w:line="15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[INSERT NAME OF DEPOSITARY]</w:t>
      </w:r>
    </w:p>
    <w:p>
      <w:pPr>
        <w:spacing w:after="0" w:line="1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By:</w:t>
      </w:r>
    </w:p>
    <w:p>
      <w:pPr>
        <w:spacing w:after="0" w:line="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-108585</wp:posOffset>
            </wp:positionV>
            <wp:extent cx="33274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3327400" cy="762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22225</wp:posOffset>
            </wp:positionV>
            <wp:extent cx="33274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3327400" cy="762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-101600</wp:posOffset>
            </wp:positionV>
            <wp:extent cx="33274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3327400" cy="762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232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3" w:name="page134"/>
    <w:bookmarkEnd w:id="133"/>
    <w:p>
      <w:pPr>
        <w:ind w:left="3300"/>
        <w:spacing w:after="0"/>
        <w:rPr>
          <w:sz w:val="20"/>
          <w:szCs w:val="20"/>
          <w:color w:val="auto"/>
        </w:rPr>
      </w:pPr>
      <w:r>
        <w:rPr>
          <w:rFonts w:ascii="Arial" w:cs="Arial" w:eastAsia="Arial" w:hAnsi="Arial"/>
          <w:sz w:val="31"/>
          <w:szCs w:val="31"/>
          <w:b w:val="1"/>
          <w:bCs w:val="1"/>
          <w:color w:val="auto"/>
        </w:rPr>
        <w:t>Calculation of Filing Fee Tables</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31"/>
          <w:szCs w:val="31"/>
          <w:b w:val="1"/>
          <w:bCs w:val="1"/>
          <w:color w:val="auto"/>
        </w:rPr>
        <w:t>F-10</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31"/>
          <w:szCs w:val="31"/>
          <w:b w:val="1"/>
          <w:bCs w:val="1"/>
          <w:color w:val="auto"/>
        </w:rPr>
        <w:t>CYBIN INC.</w:t>
      </w: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Table 1: Newly Registered Securities</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Proposed</w:t>
            </w:r>
          </w:p>
        </w:tc>
        <w:tc>
          <w:tcPr>
            <w:tcW w:w="20" w:type="dxa"/>
            <w:vAlign w:val="bottom"/>
          </w:tcPr>
          <w:p>
            <w:pPr>
              <w:spacing w:after="0"/>
              <w:rPr>
                <w:sz w:val="15"/>
                <w:szCs w:val="15"/>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Amount of</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9"/>
                <w:szCs w:val="9"/>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Security Class</w:t>
            </w:r>
          </w:p>
        </w:tc>
        <w:tc>
          <w:tcPr>
            <w:tcW w:w="20" w:type="dxa"/>
            <w:vAlign w:val="bottom"/>
          </w:tcPr>
          <w:p>
            <w:pPr>
              <w:spacing w:after="0"/>
              <w:rPr>
                <w:sz w:val="9"/>
                <w:szCs w:val="9"/>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Calculation</w:t>
            </w:r>
          </w:p>
        </w:tc>
        <w:tc>
          <w:tcPr>
            <w:tcW w:w="20" w:type="dxa"/>
            <w:vAlign w:val="bottom"/>
          </w:tcPr>
          <w:p>
            <w:pPr>
              <w:spacing w:after="0"/>
              <w:rPr>
                <w:sz w:val="9"/>
                <w:szCs w:val="9"/>
                <w:color w:val="auto"/>
              </w:rPr>
            </w:pPr>
          </w:p>
        </w:tc>
        <w:tc>
          <w:tcPr>
            <w:tcW w:w="1060" w:type="dxa"/>
            <w:vAlign w:val="bottom"/>
            <w:vMerge w:val="restart"/>
            <w:shd w:val="clear" w:color="auto" w:fill="9ADAF6"/>
          </w:tcPr>
          <w:p>
            <w:pPr>
              <w:jc w:val="right"/>
              <w:ind w:right="88"/>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9"/>
                <w:szCs w:val="9"/>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9"/>
                <w:szCs w:val="9"/>
                <w:color w:val="auto"/>
              </w:rPr>
            </w:pPr>
          </w:p>
        </w:tc>
        <w:tc>
          <w:tcPr>
            <w:tcW w:w="15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Fee Rate</w:t>
            </w:r>
          </w:p>
        </w:tc>
        <w:tc>
          <w:tcPr>
            <w:tcW w:w="40" w:type="dxa"/>
            <w:vAlign w:val="bottom"/>
          </w:tcPr>
          <w:p>
            <w:pPr>
              <w:spacing w:after="0"/>
              <w:rPr>
                <w:sz w:val="9"/>
                <w:szCs w:val="9"/>
                <w:color w:val="auto"/>
              </w:rPr>
            </w:pPr>
          </w:p>
        </w:tc>
        <w:tc>
          <w:tcPr>
            <w:tcW w:w="14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Registration</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Type</w:t>
            </w:r>
          </w:p>
        </w:tc>
        <w:tc>
          <w:tcPr>
            <w:tcW w:w="20" w:type="dxa"/>
            <w:vAlign w:val="bottom"/>
          </w:tcPr>
          <w:p>
            <w:pPr>
              <w:spacing w:after="0"/>
              <w:rPr>
                <w:sz w:val="9"/>
                <w:szCs w:val="9"/>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9"/>
                <w:szCs w:val="9"/>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Rule or</w:t>
            </w:r>
          </w:p>
        </w:tc>
        <w:tc>
          <w:tcPr>
            <w:tcW w:w="20" w:type="dxa"/>
            <w:vAlign w:val="bottom"/>
          </w:tcPr>
          <w:p>
            <w:pPr>
              <w:spacing w:after="0"/>
              <w:rPr>
                <w:sz w:val="9"/>
                <w:szCs w:val="9"/>
                <w:color w:val="auto"/>
              </w:rPr>
            </w:pPr>
          </w:p>
        </w:tc>
        <w:tc>
          <w:tcPr>
            <w:tcW w:w="1060" w:type="dxa"/>
            <w:vAlign w:val="bottom"/>
            <w:vMerge w:val="restart"/>
            <w:shd w:val="clear" w:color="auto" w:fill="9ADAF6"/>
          </w:tcPr>
          <w:p>
            <w:pPr>
              <w:jc w:val="right"/>
              <w:spacing w:after="0"/>
              <w:rPr>
                <w:sz w:val="20"/>
                <w:szCs w:val="20"/>
                <w:color w:val="auto"/>
              </w:rPr>
            </w:pPr>
            <w:r>
              <w:rPr>
                <w:rFonts w:ascii="Arial" w:cs="Arial" w:eastAsia="Arial" w:hAnsi="Arial"/>
                <w:sz w:val="18"/>
                <w:szCs w:val="18"/>
                <w:b w:val="1"/>
                <w:bCs w:val="1"/>
                <w:color w:val="auto"/>
              </w:rPr>
              <w:t>Registered</w:t>
            </w:r>
          </w:p>
        </w:tc>
        <w:tc>
          <w:tcPr>
            <w:tcW w:w="40" w:type="dxa"/>
            <w:vAlign w:val="bottom"/>
          </w:tcPr>
          <w:p>
            <w:pPr>
              <w:spacing w:after="0"/>
              <w:rPr>
                <w:sz w:val="9"/>
                <w:szCs w:val="9"/>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Offering Price</w:t>
            </w:r>
          </w:p>
        </w:tc>
        <w:tc>
          <w:tcPr>
            <w:tcW w:w="20" w:type="dxa"/>
            <w:vAlign w:val="bottom"/>
          </w:tcPr>
          <w:p>
            <w:pPr>
              <w:spacing w:after="0"/>
              <w:rPr>
                <w:sz w:val="9"/>
                <w:szCs w:val="9"/>
                <w:color w:val="auto"/>
              </w:rPr>
            </w:pPr>
          </w:p>
        </w:tc>
        <w:tc>
          <w:tcPr>
            <w:tcW w:w="15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Offering Price</w:t>
            </w: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Fee</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Instruction</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Per Unit</w:t>
            </w:r>
          </w:p>
        </w:tc>
        <w:tc>
          <w:tcPr>
            <w:tcW w:w="20" w:type="dxa"/>
            <w:vAlign w:val="bottom"/>
          </w:tcPr>
          <w:p>
            <w:pPr>
              <w:spacing w:after="0"/>
              <w:rPr>
                <w:sz w:val="12"/>
                <w:szCs w:val="12"/>
                <w:color w:val="auto"/>
              </w:rPr>
            </w:pPr>
          </w:p>
        </w:tc>
        <w:tc>
          <w:tcPr>
            <w:tcW w:w="15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continue"/>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shd w:val="clear" w:color="auto" w:fill="E7E7E2"/>
          </w:tcPr>
          <w:p>
            <w:pPr>
              <w:jc w:val="center"/>
              <w:spacing w:after="0" w:line="195" w:lineRule="exact"/>
              <w:rPr>
                <w:sz w:val="20"/>
                <w:szCs w:val="20"/>
                <w:color w:val="auto"/>
              </w:rPr>
            </w:pPr>
            <w:r>
              <w:rPr>
                <w:rFonts w:ascii="Arial" w:cs="Arial" w:eastAsia="Arial" w:hAnsi="Arial"/>
                <w:sz w:val="18"/>
                <w:szCs w:val="18"/>
                <w:color w:val="auto"/>
              </w:rPr>
              <w:t>Common</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shd w:val="clear" w:color="auto" w:fill="E7E7E2"/>
          </w:tcPr>
          <w:p>
            <w:pPr>
              <w:jc w:val="center"/>
              <w:spacing w:after="0"/>
              <w:rPr>
                <w:sz w:val="20"/>
                <w:szCs w:val="20"/>
                <w:color w:val="auto"/>
              </w:rPr>
            </w:pPr>
            <w:r>
              <w:rPr>
                <w:rFonts w:ascii="Arial" w:cs="Arial" w:eastAsia="Arial" w:hAnsi="Arial"/>
                <w:sz w:val="18"/>
                <w:szCs w:val="18"/>
                <w:color w:val="auto"/>
                <w:w w:val="99"/>
              </w:rPr>
              <w:t>Shares,</w:t>
            </w: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restart"/>
            <w:shd w:val="clear" w:color="auto" w:fill="E7E7E2"/>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42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Warrants, Units,</w:t>
            </w:r>
          </w:p>
        </w:tc>
        <w:tc>
          <w:tcPr>
            <w:tcW w:w="20" w:type="dxa"/>
            <w:vAlign w:val="bottom"/>
          </w:tcPr>
          <w:p>
            <w:pPr>
              <w:spacing w:after="0"/>
              <w:rPr>
                <w:sz w:val="18"/>
                <w:szCs w:val="18"/>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457(o)</w:t>
            </w: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continue"/>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Debt Securities</w:t>
            </w:r>
          </w:p>
        </w:tc>
        <w:tc>
          <w:tcPr>
            <w:tcW w:w="20" w:type="dxa"/>
            <w:vAlign w:val="bottom"/>
          </w:tcPr>
          <w:p>
            <w:pPr>
              <w:spacing w:after="0"/>
              <w:rPr>
                <w:sz w:val="12"/>
                <w:szCs w:val="12"/>
                <w:color w:val="auto"/>
              </w:rPr>
            </w:pPr>
          </w:p>
        </w:tc>
        <w:tc>
          <w:tcPr>
            <w:tcW w:w="1020" w:type="dxa"/>
            <w:vAlign w:val="bottom"/>
            <w:vMerge w:val="continue"/>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 w:type="dxa"/>
            <w:vAlign w:val="bottom"/>
            <w:tcBorders>
              <w:left w:val="single" w:sz="8" w:color="auto"/>
            </w:tcBorders>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shd w:val="clear" w:color="auto" w:fill="E7E7E2"/>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10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shd w:val="clear" w:color="auto" w:fill="E7E7E2"/>
          </w:tcPr>
          <w:p>
            <w:pPr>
              <w:jc w:val="center"/>
              <w:spacing w:after="0"/>
              <w:rPr>
                <w:sz w:val="20"/>
                <w:szCs w:val="20"/>
                <w:color w:val="auto"/>
              </w:rPr>
            </w:pPr>
            <w:r>
              <w:rPr>
                <w:rFonts w:ascii="Arial" w:cs="Arial" w:eastAsia="Arial" w:hAnsi="Arial"/>
                <w:sz w:val="18"/>
                <w:szCs w:val="18"/>
                <w:color w:val="auto"/>
                <w:w w:val="99"/>
              </w:rPr>
              <w:t>Receipts</w:t>
            </w: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10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Fees to be</w:t>
            </w:r>
          </w:p>
        </w:tc>
        <w:tc>
          <w:tcPr>
            <w:tcW w:w="4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jc w:val="center"/>
              <w:spacing w:after="0" w:line="195" w:lineRule="exact"/>
              <w:rPr>
                <w:sz w:val="20"/>
                <w:szCs w:val="20"/>
                <w:color w:val="auto"/>
              </w:rPr>
            </w:pPr>
            <w:r>
              <w:rPr>
                <w:rFonts w:ascii="Arial" w:cs="Arial" w:eastAsia="Arial" w:hAnsi="Arial"/>
                <w:sz w:val="18"/>
                <w:szCs w:val="18"/>
                <w:color w:val="auto"/>
              </w:rPr>
              <w:t>Unallocated</w:t>
            </w:r>
          </w:p>
        </w:tc>
        <w:tc>
          <w:tcPr>
            <w:tcW w:w="20" w:type="dxa"/>
            <w:vAlign w:val="bottom"/>
          </w:tcPr>
          <w:p>
            <w:pPr>
              <w:spacing w:after="0"/>
              <w:rPr>
                <w:sz w:val="16"/>
                <w:szCs w:val="16"/>
                <w:color w:val="auto"/>
              </w:rPr>
            </w:pPr>
          </w:p>
        </w:tc>
        <w:tc>
          <w:tcPr>
            <w:tcW w:w="14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106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(Universal)</w:t>
            </w:r>
          </w:p>
        </w:tc>
        <w:tc>
          <w:tcPr>
            <w:tcW w:w="20" w:type="dxa"/>
            <w:vAlign w:val="bottom"/>
          </w:tcPr>
          <w:p>
            <w:pPr>
              <w:spacing w:after="0"/>
              <w:rPr>
                <w:sz w:val="16"/>
                <w:szCs w:val="16"/>
                <w:color w:val="auto"/>
              </w:rPr>
            </w:pPr>
          </w:p>
        </w:tc>
        <w:tc>
          <w:tcPr>
            <w:tcW w:w="14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457(o)</w:t>
            </w: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$ 726,163,677.29</w:t>
            </w:r>
          </w:p>
        </w:tc>
        <w:tc>
          <w:tcPr>
            <w:tcW w:w="20" w:type="dxa"/>
            <w:vAlign w:val="bottom"/>
          </w:tcPr>
          <w:p>
            <w:pPr>
              <w:spacing w:after="0"/>
              <w:rPr>
                <w:sz w:val="16"/>
                <w:szCs w:val="16"/>
                <w:color w:val="auto"/>
              </w:rPr>
            </w:pPr>
          </w:p>
        </w:tc>
        <w:tc>
          <w:tcPr>
            <w:tcW w:w="90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0.0001531</w:t>
            </w:r>
          </w:p>
        </w:tc>
        <w:tc>
          <w:tcPr>
            <w:tcW w:w="40" w:type="dxa"/>
            <w:vAlign w:val="bottom"/>
          </w:tcPr>
          <w:p>
            <w:pPr>
              <w:spacing w:after="0"/>
              <w:rPr>
                <w:sz w:val="16"/>
                <w:szCs w:val="16"/>
                <w:color w:val="auto"/>
              </w:rPr>
            </w:pPr>
          </w:p>
        </w:tc>
        <w:tc>
          <w:tcPr>
            <w:tcW w:w="144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$ 111,175.66</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1000" w:type="dxa"/>
            <w:vAlign w:val="bottom"/>
            <w:tcBorders>
              <w:bottom w:val="single" w:sz="8" w:color="E7E7E2"/>
            </w:tcBorders>
            <w:shd w:val="clear" w:color="auto" w:fill="E7E7E2"/>
          </w:tcPr>
          <w:p>
            <w:pPr>
              <w:jc w:val="center"/>
              <w:spacing w:after="0"/>
              <w:rPr>
                <w:sz w:val="20"/>
                <w:szCs w:val="20"/>
                <w:color w:val="auto"/>
              </w:rPr>
            </w:pPr>
            <w:r>
              <w:rPr>
                <w:rFonts w:ascii="Arial" w:cs="Arial" w:eastAsia="Arial" w:hAnsi="Arial"/>
                <w:sz w:val="18"/>
                <w:szCs w:val="18"/>
                <w:color w:val="auto"/>
              </w:rPr>
              <w:t>Paid</w:t>
            </w:r>
          </w:p>
        </w:tc>
        <w:tc>
          <w:tcPr>
            <w:tcW w:w="40" w:type="dxa"/>
            <w:vAlign w:val="bottom"/>
          </w:tcPr>
          <w:p>
            <w:pPr>
              <w:spacing w:after="0"/>
              <w:rPr>
                <w:sz w:val="21"/>
                <w:szCs w:val="21"/>
                <w:color w:val="auto"/>
              </w:rPr>
            </w:pPr>
          </w:p>
        </w:tc>
        <w:tc>
          <w:tcPr>
            <w:tcW w:w="180" w:type="dxa"/>
            <w:vAlign w:val="bottom"/>
            <w:tcBorders>
              <w:bottom w:val="single" w:sz="8" w:color="E7E7E2"/>
            </w:tcBorders>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E7E7E2"/>
            </w:tcBorders>
            <w:shd w:val="clear" w:color="auto" w:fill="E7E7E2"/>
          </w:tcPr>
          <w:p>
            <w:pPr>
              <w:jc w:val="center"/>
              <w:spacing w:after="0"/>
              <w:rPr>
                <w:sz w:val="20"/>
                <w:szCs w:val="20"/>
                <w:color w:val="auto"/>
              </w:rPr>
            </w:pPr>
            <w:r>
              <w:rPr>
                <w:rFonts w:ascii="Arial" w:cs="Arial" w:eastAsia="Arial" w:hAnsi="Arial"/>
                <w:sz w:val="18"/>
                <w:szCs w:val="18"/>
                <w:color w:val="auto"/>
              </w:rPr>
              <w:t>Shelf</w:t>
            </w:r>
          </w:p>
        </w:tc>
        <w:tc>
          <w:tcPr>
            <w:tcW w:w="20" w:type="dxa"/>
            <w:vAlign w:val="bottom"/>
          </w:tcPr>
          <w:p>
            <w:pPr>
              <w:spacing w:after="0"/>
              <w:rPr>
                <w:sz w:val="21"/>
                <w:szCs w:val="21"/>
                <w:color w:val="auto"/>
              </w:rPr>
            </w:pPr>
          </w:p>
        </w:tc>
        <w:tc>
          <w:tcPr>
            <w:tcW w:w="1420" w:type="dxa"/>
            <w:vAlign w:val="bottom"/>
            <w:tcBorders>
              <w:bottom w:val="single" w:sz="8" w:color="E7E7E2"/>
            </w:tcBorders>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E7E7E2"/>
            </w:tcBorders>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E7E7E2"/>
            </w:tcBorders>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Borders>
              <w:bottom w:val="single" w:sz="8" w:color="E7E7E2"/>
            </w:tcBorders>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bottom w:val="single" w:sz="8" w:color="E7E7E2"/>
            </w:tcBorders>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E7E7E2"/>
            </w:tcBorders>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tcBorders>
              <w:bottom w:val="single" w:sz="8" w:color="E7E7E2"/>
            </w:tcBorders>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E7E7E2"/>
          </w:tcPr>
          <w:p>
            <w:pPr>
              <w:jc w:val="center"/>
              <w:spacing w:after="0" w:line="195" w:lineRule="exact"/>
              <w:rPr>
                <w:sz w:val="20"/>
                <w:szCs w:val="20"/>
                <w:color w:val="auto"/>
              </w:rPr>
            </w:pPr>
            <w:r>
              <w:rPr>
                <w:rFonts w:ascii="Arial" w:cs="Arial" w:eastAsia="Arial" w:hAnsi="Arial"/>
                <w:sz w:val="18"/>
                <w:szCs w:val="18"/>
                <w:color w:val="auto"/>
              </w:rPr>
              <w:t>Fees</w:t>
            </w:r>
          </w:p>
        </w:tc>
        <w:tc>
          <w:tcPr>
            <w:tcW w:w="4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Previously</w:t>
            </w:r>
          </w:p>
        </w:tc>
        <w:tc>
          <w:tcPr>
            <w:tcW w:w="4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Paid</w:t>
            </w:r>
          </w:p>
        </w:tc>
        <w:tc>
          <w:tcPr>
            <w:tcW w:w="40" w:type="dxa"/>
            <w:vAlign w:val="bottom"/>
          </w:tcPr>
          <w:p>
            <w:pPr>
              <w:spacing w:after="0"/>
              <w:rPr>
                <w:sz w:val="21"/>
                <w:szCs w:val="21"/>
                <w:color w:val="auto"/>
              </w:rPr>
            </w:pPr>
          </w:p>
        </w:tc>
        <w:tc>
          <w:tcPr>
            <w:tcW w:w="1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$ 726,163,677.29</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$ 111,175.66</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40" w:type="dxa"/>
            <w:vAlign w:val="bottom"/>
            <w:gridSpan w:val="5"/>
          </w:tcPr>
          <w:p>
            <w:pPr>
              <w:jc w:val="right"/>
              <w:spacing w:after="0"/>
              <w:rPr>
                <w:sz w:val="20"/>
                <w:szCs w:val="20"/>
                <w:color w:val="auto"/>
              </w:rPr>
            </w:pPr>
            <w:r>
              <w:rPr>
                <w:rFonts w:ascii="Arial" w:cs="Arial" w:eastAsia="Arial" w:hAnsi="Arial"/>
                <w:sz w:val="18"/>
                <w:szCs w:val="18"/>
                <w:color w:val="auto"/>
              </w:rPr>
              <w:t>Total Fees Previously Paid:</w:t>
            </w: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Total Fee Offsets:</w:t>
            </w: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$ 39,041.42</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Net Fee Due:</w:t>
            </w:r>
          </w:p>
        </w:tc>
        <w:tc>
          <w:tcPr>
            <w:tcW w:w="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$ 72,134.24</w:t>
            </w: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Offering Note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pacing w:after="0" w:line="56" w:lineRule="exact"/>
        <w:rPr>
          <w:sz w:val="20"/>
          <w:szCs w:val="20"/>
          <w:color w:val="auto"/>
        </w:rPr>
      </w:pPr>
    </w:p>
    <w:p>
      <w:pPr>
        <w:ind w:left="240" w:right="120"/>
        <w:spacing w:after="0" w:line="244" w:lineRule="auto"/>
        <w:rPr>
          <w:sz w:val="20"/>
          <w:szCs w:val="20"/>
          <w:color w:val="auto"/>
        </w:rPr>
      </w:pPr>
      <w:r>
        <w:rPr>
          <w:rFonts w:ascii="Arial" w:cs="Arial" w:eastAsia="Arial" w:hAnsi="Arial"/>
          <w:sz w:val="18"/>
          <w:szCs w:val="18"/>
          <w:color w:val="auto"/>
        </w:rPr>
        <w:t>There are being registered under this Registration Statement such indeterminate number of common shares, warrants, units, debt securities and subscription receipts of the Registrant, and a combination of such securities, separately or as units, as may be sold by the Registrant from time to time, which collectively shall have an aggregate initial offering price not to exceed USD$726,163,677.29 (converted from CAD$1,000,000,000 at an exchange rate of USD$1.00 = CAD$1.3771, which was the daily average exchange rate reported by the Bank of Canada on July 29, 2025).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common shares being registered hereunder as a result of stock splits, stock dividends, distributions or similar transactions. The proposed maximum initial offering price per security will be determined, from time to time, by the Registrant in connection with the sale of the securities under this Registration Statement.</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Estimated solely for the purpose of calculating the amount of the registration fee pursuant to Rule 457(o)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90170</wp:posOffset>
            </wp:positionV>
            <wp:extent cx="702437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024370" cy="400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Table 2: Fee Offset Claims and Sources</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rPr>
              <w:t>Registrant</w:t>
            </w:r>
          </w:p>
        </w:tc>
        <w:tc>
          <w:tcPr>
            <w:tcW w:w="20" w:type="dxa"/>
            <w:vAlign w:val="bottom"/>
          </w:tcPr>
          <w:p>
            <w:pPr>
              <w:spacing w:after="0"/>
              <w:rPr>
                <w:sz w:val="18"/>
                <w:szCs w:val="18"/>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Form</w:t>
            </w:r>
          </w:p>
        </w:tc>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Fee</w:t>
            </w: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Securities</w:t>
            </w: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Offering</w:t>
            </w:r>
          </w:p>
        </w:tc>
        <w:tc>
          <w:tcPr>
            <w:tcW w:w="20" w:type="dxa"/>
            <w:vAlign w:val="bottom"/>
          </w:tcPr>
          <w:p>
            <w:pPr>
              <w:spacing w:after="0"/>
              <w:rPr>
                <w:sz w:val="18"/>
                <w:szCs w:val="18"/>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Fee Paid</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w w:val="99"/>
              </w:rPr>
              <w:t>or</w:t>
            </w:r>
          </w:p>
        </w:tc>
        <w:tc>
          <w:tcPr>
            <w:tcW w:w="40" w:type="dxa"/>
            <w:vAlign w:val="bottom"/>
          </w:tcPr>
          <w:p>
            <w:pPr>
              <w:spacing w:after="0"/>
              <w:rPr>
                <w:sz w:val="16"/>
                <w:szCs w:val="16"/>
                <w:color w:val="auto"/>
              </w:rPr>
            </w:pPr>
          </w:p>
        </w:tc>
        <w:tc>
          <w:tcPr>
            <w:tcW w:w="7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16"/>
                <w:szCs w:val="16"/>
                <w:color w:val="auto"/>
              </w:rPr>
            </w:pPr>
          </w:p>
        </w:tc>
        <w:tc>
          <w:tcPr>
            <w:tcW w:w="96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6"/>
                <w:szCs w:val="16"/>
                <w:color w:val="auto"/>
              </w:rPr>
            </w:pPr>
          </w:p>
        </w:tc>
        <w:tc>
          <w:tcPr>
            <w:tcW w:w="840" w:type="dxa"/>
            <w:vAlign w:val="bottom"/>
            <w:vMerge w:val="continue"/>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rPr>
              <w:t>with 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or Filer</w:t>
            </w:r>
          </w:p>
        </w:tc>
        <w:tc>
          <w:tcPr>
            <w:tcW w:w="20" w:type="dxa"/>
            <w:vAlign w:val="bottom"/>
          </w:tcPr>
          <w:p>
            <w:pPr>
              <w:spacing w:after="0"/>
              <w:rPr>
                <w:sz w:val="18"/>
                <w:szCs w:val="18"/>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Filing</w:t>
            </w:r>
          </w:p>
        </w:tc>
        <w:tc>
          <w:tcPr>
            <w:tcW w:w="40" w:type="dxa"/>
            <w:vAlign w:val="bottom"/>
          </w:tcPr>
          <w:p>
            <w:pPr>
              <w:spacing w:after="0"/>
              <w:rPr>
                <w:sz w:val="18"/>
                <w:szCs w:val="18"/>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8"/>
                <w:szCs w:val="18"/>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with Fee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with Fee</w:t>
            </w: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8"/>
                <w:szCs w:val="18"/>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Offset</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Name</w:t>
            </w:r>
          </w:p>
        </w:tc>
        <w:tc>
          <w:tcPr>
            <w:tcW w:w="20" w:type="dxa"/>
            <w:vAlign w:val="bottom"/>
          </w:tcPr>
          <w:p>
            <w:pPr>
              <w:spacing w:after="0"/>
              <w:rPr>
                <w:sz w:val="18"/>
                <w:szCs w:val="18"/>
                <w:color w:val="auto"/>
              </w:rPr>
            </w:pPr>
          </w:p>
        </w:tc>
        <w:tc>
          <w:tcPr>
            <w:tcW w:w="5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Type</w:t>
            </w:r>
          </w:p>
        </w:tc>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40" w:type="dxa"/>
            <w:vAlign w:val="bottom"/>
          </w:tcPr>
          <w:p>
            <w:pPr>
              <w:spacing w:after="0"/>
              <w:rPr>
                <w:sz w:val="18"/>
                <w:szCs w:val="1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8"/>
                <w:szCs w:val="1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18"/>
                <w:szCs w:val="1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18"/>
                <w:szCs w:val="18"/>
                <w:color w:val="auto"/>
              </w:rPr>
            </w:pP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8"/>
                <w:szCs w:val="1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Source</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21"/>
                <w:szCs w:val="21"/>
                <w:color w:val="auto"/>
              </w:rPr>
            </w:pPr>
          </w:p>
        </w:tc>
        <w:tc>
          <w:tcPr>
            <w:tcW w:w="860" w:type="dxa"/>
            <w:vAlign w:val="bottom"/>
            <w:shd w:val="clear" w:color="auto" w:fill="9ADAF6"/>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60" w:type="dxa"/>
            <w:vAlign w:val="bottom"/>
            <w:gridSpan w:val="5"/>
          </w:tcPr>
          <w:p>
            <w:pPr>
              <w:jc w:val="center"/>
              <w:ind w:left="108"/>
              <w:spacing w:after="0"/>
              <w:rPr>
                <w:sz w:val="20"/>
                <w:szCs w:val="20"/>
                <w:color w:val="auto"/>
              </w:rPr>
            </w:pPr>
            <w:r>
              <w:rPr>
                <w:rFonts w:ascii="Arial" w:cs="Arial" w:eastAsia="Arial" w:hAnsi="Arial"/>
                <w:sz w:val="18"/>
                <w:szCs w:val="18"/>
                <w:b w:val="1"/>
                <w:bCs w:val="1"/>
                <w:color w:val="auto"/>
              </w:rPr>
              <w:t>Rules 457(b) and 0-11(a)(2)</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700" w:type="dxa"/>
            <w:vAlign w:val="bottom"/>
            <w:shd w:val="clear" w:color="auto" w:fill="E7E7E2"/>
          </w:tcPr>
          <w:p>
            <w:pPr>
              <w:ind w:left="20"/>
              <w:spacing w:after="0" w:line="201" w:lineRule="exact"/>
              <w:rPr>
                <w:sz w:val="20"/>
                <w:szCs w:val="20"/>
                <w:color w:val="auto"/>
              </w:rPr>
            </w:pPr>
            <w:r>
              <w:rPr>
                <w:rFonts w:ascii="Arial" w:cs="Arial" w:eastAsia="Arial" w:hAnsi="Arial"/>
                <w:sz w:val="18"/>
                <w:szCs w:val="18"/>
                <w:color w:val="auto"/>
              </w:rPr>
              <w:t>Fee</w:t>
            </w:r>
          </w:p>
        </w:tc>
        <w:tc>
          <w:tcPr>
            <w:tcW w:w="4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rPr>
              <w:t>Offset</w:t>
            </w: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40" w:type="dxa"/>
            <w:vAlign w:val="bottom"/>
          </w:tcPr>
          <w:p>
            <w:pPr>
              <w:spacing w:after="0"/>
              <w:rPr>
                <w:sz w:val="21"/>
                <w:szCs w:val="21"/>
                <w:color w:val="auto"/>
              </w:rPr>
            </w:pPr>
          </w:p>
        </w:tc>
        <w:tc>
          <w:tcPr>
            <w:tcW w:w="1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shd w:val="clear" w:color="auto" w:fill="E7E7E2"/>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0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rPr>
              <w:t>Fee</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rPr>
              <w:t>Offset</w:t>
            </w: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w w:val="99"/>
              </w:rPr>
              <w:t>Sources</w:t>
            </w:r>
          </w:p>
        </w:tc>
        <w:tc>
          <w:tcPr>
            <w:tcW w:w="40" w:type="dxa"/>
            <w:vAlign w:val="bottom"/>
          </w:tcPr>
          <w:p>
            <w:pPr>
              <w:spacing w:after="0"/>
              <w:rPr>
                <w:sz w:val="21"/>
                <w:szCs w:val="21"/>
                <w:color w:val="auto"/>
              </w:rPr>
            </w:pPr>
          </w:p>
        </w:tc>
        <w:tc>
          <w:tcPr>
            <w:tcW w:w="1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shd w:val="clear" w:color="auto" w:fill="E7E7E2"/>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80" w:type="dxa"/>
            <w:vAlign w:val="bottom"/>
            <w:gridSpan w:val="3"/>
          </w:tcPr>
          <w:p>
            <w:pPr>
              <w:jc w:val="center"/>
              <w:ind w:right="688"/>
              <w:spacing w:after="0"/>
              <w:rPr>
                <w:sz w:val="20"/>
                <w:szCs w:val="20"/>
                <w:color w:val="auto"/>
              </w:rPr>
            </w:pPr>
            <w:r>
              <w:rPr>
                <w:rFonts w:ascii="Arial" w:cs="Arial" w:eastAsia="Arial" w:hAnsi="Arial"/>
                <w:sz w:val="18"/>
                <w:szCs w:val="18"/>
                <w:b w:val="1"/>
                <w:bCs w:val="1"/>
                <w:color w:val="auto"/>
              </w:rPr>
              <w:t>Rule 457(p)</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rPr>
              <w:t>Fee</w:t>
            </w: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Unallocated</w:t>
            </w:r>
          </w:p>
        </w:tc>
        <w:tc>
          <w:tcPr>
            <w:tcW w:w="20" w:type="dxa"/>
            <w:vAlign w:val="bottom"/>
          </w:tcPr>
          <w:p>
            <w:pPr>
              <w:spacing w:after="0"/>
              <w:rPr>
                <w:sz w:val="18"/>
                <w:szCs w:val="18"/>
                <w:color w:val="auto"/>
              </w:rPr>
            </w:pPr>
          </w:p>
        </w:tc>
        <w:tc>
          <w:tcPr>
            <w:tcW w:w="102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Unallocated</w:t>
            </w: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8"/>
                <w:szCs w:val="18"/>
                <w:color w:val="auto"/>
              </w:rPr>
              <w:t>Offset</w:t>
            </w:r>
          </w:p>
        </w:tc>
        <w:tc>
          <w:tcPr>
            <w:tcW w:w="40" w:type="dxa"/>
            <w:vAlign w:val="bottom"/>
          </w:tcPr>
          <w:p>
            <w:pPr>
              <w:spacing w:after="0"/>
              <w:rPr>
                <w:sz w:val="16"/>
                <w:szCs w:val="16"/>
                <w:color w:val="auto"/>
              </w:rPr>
            </w:pPr>
          </w:p>
        </w:tc>
        <w:tc>
          <w:tcPr>
            <w:tcW w:w="12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5" w:lineRule="exact"/>
              <w:rPr>
                <w:sz w:val="20"/>
                <w:szCs w:val="20"/>
                <w:color w:val="auto"/>
              </w:rPr>
            </w:pPr>
            <w:r>
              <w:rPr>
                <w:rFonts w:ascii="Arial" w:cs="Arial" w:eastAsia="Arial" w:hAnsi="Arial"/>
                <w:sz w:val="18"/>
                <w:szCs w:val="18"/>
                <w:color w:val="auto"/>
              </w:rPr>
              <w:t>Cybin Inc</w:t>
            </w:r>
          </w:p>
        </w:tc>
        <w:tc>
          <w:tcPr>
            <w:tcW w:w="20" w:type="dxa"/>
            <w:vAlign w:val="bottom"/>
          </w:tcPr>
          <w:p>
            <w:pPr>
              <w:spacing w:after="0"/>
              <w:rPr>
                <w:sz w:val="16"/>
                <w:szCs w:val="16"/>
                <w:color w:val="auto"/>
              </w:rPr>
            </w:pPr>
          </w:p>
        </w:tc>
        <w:tc>
          <w:tcPr>
            <w:tcW w:w="52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F-10</w:t>
            </w:r>
          </w:p>
        </w:tc>
        <w:tc>
          <w:tcPr>
            <w:tcW w:w="40" w:type="dxa"/>
            <w:vAlign w:val="bottom"/>
          </w:tcPr>
          <w:p>
            <w:pPr>
              <w:spacing w:after="0"/>
              <w:rPr>
                <w:sz w:val="16"/>
                <w:szCs w:val="16"/>
                <w:color w:val="auto"/>
              </w:rPr>
            </w:pPr>
          </w:p>
        </w:tc>
        <w:tc>
          <w:tcPr>
            <w:tcW w:w="7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01/08/2025</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line="185" w:lineRule="exact"/>
              <w:rPr>
                <w:sz w:val="20"/>
                <w:szCs w:val="20"/>
                <w:color w:val="auto"/>
              </w:rPr>
            </w:pPr>
            <w:r>
              <w:rPr>
                <w:rFonts w:ascii="Arial" w:cs="Arial" w:eastAsia="Arial" w:hAnsi="Arial"/>
                <w:sz w:val="18"/>
                <w:szCs w:val="18"/>
                <w:color w:val="auto"/>
              </w:rPr>
              <w:t>(Universal)</w:t>
            </w:r>
          </w:p>
        </w:tc>
        <w:tc>
          <w:tcPr>
            <w:tcW w:w="20" w:type="dxa"/>
            <w:vAlign w:val="bottom"/>
          </w:tcPr>
          <w:p>
            <w:pPr>
              <w:spacing w:after="0"/>
              <w:rPr>
                <w:sz w:val="16"/>
                <w:szCs w:val="16"/>
                <w:color w:val="auto"/>
              </w:rPr>
            </w:pPr>
          </w:p>
        </w:tc>
        <w:tc>
          <w:tcPr>
            <w:tcW w:w="1020" w:type="dxa"/>
            <w:vAlign w:val="bottom"/>
            <w:shd w:val="clear" w:color="auto" w:fill="E7E7E2"/>
          </w:tcPr>
          <w:p>
            <w:pPr>
              <w:ind w:left="20"/>
              <w:spacing w:after="0" w:line="185" w:lineRule="exact"/>
              <w:rPr>
                <w:sz w:val="20"/>
                <w:szCs w:val="20"/>
                <w:color w:val="auto"/>
              </w:rPr>
            </w:pPr>
            <w:r>
              <w:rPr>
                <w:rFonts w:ascii="Arial" w:cs="Arial" w:eastAsia="Arial" w:hAnsi="Arial"/>
                <w:sz w:val="18"/>
                <w:szCs w:val="18"/>
                <w:color w:val="auto"/>
              </w:rPr>
              <w:t>(Universal)</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40" w:type="dxa"/>
            <w:vAlign w:val="bottom"/>
          </w:tcPr>
          <w:p>
            <w:pPr>
              <w:spacing w:after="0"/>
              <w:rPr>
                <w:sz w:val="23"/>
                <w:szCs w:val="23"/>
                <w:color w:val="auto"/>
              </w:rPr>
            </w:pPr>
          </w:p>
        </w:tc>
        <w:tc>
          <w:tcPr>
            <w:tcW w:w="1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284173</w:t>
            </w: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shd w:val="clear" w:color="auto" w:fill="E7E7E2"/>
          </w:tcPr>
          <w:p>
            <w:pPr>
              <w:jc w:val="right"/>
              <w:spacing w:after="0"/>
              <w:rPr>
                <w:sz w:val="20"/>
                <w:szCs w:val="20"/>
                <w:color w:val="auto"/>
              </w:rPr>
            </w:pPr>
            <w:r>
              <w:rPr>
                <w:rFonts w:ascii="Arial" w:cs="Arial" w:eastAsia="Arial" w:hAnsi="Arial"/>
                <w:sz w:val="18"/>
                <w:szCs w:val="18"/>
                <w:color w:val="auto"/>
              </w:rPr>
              <w:t>39,041.42</w:t>
            </w:r>
          </w:p>
        </w:tc>
        <w:tc>
          <w:tcPr>
            <w:tcW w:w="40" w:type="dxa"/>
            <w:vAlign w:val="bottom"/>
          </w:tcPr>
          <w:p>
            <w:pPr>
              <w:spacing w:after="0"/>
              <w:rPr>
                <w:sz w:val="23"/>
                <w:szCs w:val="23"/>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8"/>
                <w:szCs w:val="18"/>
                <w:color w:val="auto"/>
              </w:rPr>
              <w:t>Shelf</w:t>
            </w:r>
          </w:p>
        </w:tc>
        <w:tc>
          <w:tcPr>
            <w:tcW w:w="20" w:type="dxa"/>
            <w:vAlign w:val="bottom"/>
          </w:tcPr>
          <w:p>
            <w:pPr>
              <w:spacing w:after="0"/>
              <w:rPr>
                <w:sz w:val="23"/>
                <w:szCs w:val="23"/>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Shelf</w:t>
            </w: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E7E7E2"/>
          </w:tcPr>
          <w:p>
            <w:pPr>
              <w:jc w:val="right"/>
              <w:spacing w:after="0"/>
              <w:rPr>
                <w:sz w:val="20"/>
                <w:szCs w:val="20"/>
                <w:color w:val="auto"/>
              </w:rPr>
            </w:pPr>
            <w:r>
              <w:rPr>
                <w:rFonts w:ascii="Arial" w:cs="Arial" w:eastAsia="Arial" w:hAnsi="Arial"/>
                <w:sz w:val="18"/>
                <w:szCs w:val="18"/>
                <w:color w:val="auto"/>
              </w:rPr>
              <w:t>255,006,036.00</w:t>
            </w:r>
          </w:p>
        </w:tc>
        <w:tc>
          <w:tcPr>
            <w:tcW w:w="20" w:type="dxa"/>
            <w:vAlign w:val="bottom"/>
          </w:tcPr>
          <w:p>
            <w:pPr>
              <w:spacing w:after="0"/>
              <w:rPr>
                <w:sz w:val="23"/>
                <w:szCs w:val="23"/>
                <w:color w:val="auto"/>
              </w:rPr>
            </w:pPr>
          </w:p>
        </w:tc>
        <w:tc>
          <w:tcPr>
            <w:tcW w:w="8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0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rPr>
              <w:t>Fee</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Offset</w:t>
            </w:r>
          </w:p>
        </w:tc>
        <w:tc>
          <w:tcPr>
            <w:tcW w:w="4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Cybin Inc.</w:t>
            </w:r>
          </w:p>
        </w:tc>
        <w:tc>
          <w:tcPr>
            <w:tcW w:w="20" w:type="dxa"/>
            <w:vAlign w:val="bottom"/>
          </w:tcPr>
          <w:p>
            <w:pPr>
              <w:spacing w:after="0"/>
              <w:rPr>
                <w:sz w:val="9"/>
                <w:szCs w:val="9"/>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F-10</w:t>
            </w:r>
          </w:p>
        </w:tc>
        <w:tc>
          <w:tcPr>
            <w:tcW w:w="40" w:type="dxa"/>
            <w:vAlign w:val="bottom"/>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01/08/2025</w:t>
            </w: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284173</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39,041.42</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700" w:type="dxa"/>
            <w:vAlign w:val="bottom"/>
            <w:shd w:val="clear" w:color="auto" w:fill="E7E7E2"/>
          </w:tcPr>
          <w:p>
            <w:pPr>
              <w:ind w:left="20"/>
              <w:spacing w:after="0" w:line="161" w:lineRule="exact"/>
              <w:rPr>
                <w:sz w:val="20"/>
                <w:szCs w:val="20"/>
                <w:color w:val="auto"/>
              </w:rPr>
            </w:pPr>
            <w:r>
              <w:rPr>
                <w:rFonts w:ascii="Arial" w:cs="Arial" w:eastAsia="Arial" w:hAnsi="Arial"/>
                <w:sz w:val="18"/>
                <w:szCs w:val="18"/>
                <w:color w:val="auto"/>
                <w:w w:val="99"/>
              </w:rPr>
              <w:t>Sources</w:t>
            </w:r>
          </w:p>
        </w:tc>
        <w:tc>
          <w:tcPr>
            <w:tcW w:w="4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 457(p) Statement of Withdrawal, Termination, or Completion:</w:t>
      </w:r>
    </w:p>
    <w:p>
      <w:pPr>
        <w:sectPr>
          <w:pgSz w:w="11900" w:h="16838" w:orient="portrait"/>
          <w:cols w:equalWidth="0" w:num="1">
            <w:col w:w="11360"/>
          </w:cols>
          <w:pgMar w:left="300" w:top="141" w:right="239" w:bottom="0" w:gutter="0" w:footer="0" w:header="0"/>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60"/>
          </w:cols>
          <w:pgMar w:left="300" w:top="141" w:right="239"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auto"/>
        </w:rPr>
        <w:t>The Registrant previously paid an aggregate of USD$54,114 in filing fees in connection with the registration of an aggregate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USD$450,076,167 of securities (converted from CAD$650,000,000 at an exchange rate of CAD$1.00 = $1.4442, which was the daily</w:t>
      </w:r>
    </w:p>
    <w:p>
      <w:pPr>
        <w:spacing w:after="0"/>
        <w:rPr>
          <w:sz w:val="20"/>
          <w:szCs w:val="20"/>
          <w:color w:val="auto"/>
        </w:rPr>
      </w:pPr>
      <w:r>
        <w:rPr>
          <w:rFonts w:ascii="Arial" w:cs="Arial" w:eastAsia="Arial" w:hAnsi="Arial"/>
          <w:sz w:val="18"/>
          <w:szCs w:val="18"/>
          <w:color w:val="auto"/>
        </w:rPr>
        <w:t>average exchange rate reported by the Bank of Canada on January 3, 2025) in securities as follows: (1) USD$4,403 in filing fees in</w:t>
      </w:r>
    </w:p>
    <w:p>
      <w:pPr>
        <w:spacing w:after="0"/>
        <w:rPr>
          <w:sz w:val="20"/>
          <w:szCs w:val="20"/>
          <w:color w:val="auto"/>
        </w:rPr>
      </w:pPr>
      <w:r>
        <w:rPr>
          <w:rFonts w:ascii="Arial" w:cs="Arial" w:eastAsia="Arial" w:hAnsi="Arial"/>
          <w:sz w:val="18"/>
          <w:szCs w:val="18"/>
          <w:color w:val="auto"/>
        </w:rPr>
        <w:t>connection with the registration of USD$118,861,898 (converted from CAD$160,000,000 at an exchange rate of CAD$1.00 = $1.3461,</w:t>
      </w:r>
    </w:p>
    <w:p>
      <w:pPr>
        <w:spacing w:after="0"/>
        <w:rPr>
          <w:sz w:val="20"/>
          <w:szCs w:val="20"/>
          <w:color w:val="auto"/>
        </w:rPr>
      </w:pPr>
      <w:r>
        <w:rPr>
          <w:rFonts w:ascii="Arial" w:cs="Arial" w:eastAsia="Arial" w:hAnsi="Arial"/>
          <w:sz w:val="18"/>
          <w:szCs w:val="18"/>
          <w:color w:val="auto"/>
        </w:rPr>
        <w:t>which was the daily average exchange rate reported by the Bank of Canada on August 14, 2023) of securities pursuant to the</w:t>
      </w:r>
    </w:p>
    <w:p>
      <w:pPr>
        <w:spacing w:after="0"/>
        <w:rPr>
          <w:sz w:val="20"/>
          <w:szCs w:val="20"/>
          <w:color w:val="auto"/>
        </w:rPr>
      </w:pPr>
      <w:r>
        <w:rPr>
          <w:rFonts w:ascii="Arial" w:cs="Arial" w:eastAsia="Arial" w:hAnsi="Arial"/>
          <w:sz w:val="18"/>
          <w:szCs w:val="18"/>
          <w:color w:val="auto"/>
        </w:rPr>
        <w:t>Registrant's Registration Statement on Form F-10 filed August 17, 2023 (File No. 272706) (the "2023 Registration Statement") and (2)</w:t>
      </w:r>
    </w:p>
    <w:p>
      <w:pPr>
        <w:spacing w:after="0"/>
        <w:rPr>
          <w:sz w:val="20"/>
          <w:szCs w:val="20"/>
          <w:color w:val="auto"/>
        </w:rPr>
      </w:pPr>
      <w:r>
        <w:rPr>
          <w:rFonts w:ascii="Arial" w:cs="Arial" w:eastAsia="Arial" w:hAnsi="Arial"/>
          <w:sz w:val="18"/>
          <w:szCs w:val="18"/>
          <w:color w:val="auto"/>
        </w:rPr>
        <w:t>USD$49,711, in filing fees in connection with the Registrant's Registration Statement on Form F-10 (File No. 333-284173), filed on</w:t>
      </w:r>
    </w:p>
    <w:p>
      <w:pPr>
        <w:spacing w:after="0"/>
        <w:rPr>
          <w:sz w:val="20"/>
          <w:szCs w:val="20"/>
          <w:color w:val="auto"/>
        </w:rPr>
      </w:pPr>
      <w:r>
        <w:rPr>
          <w:rFonts w:ascii="Arial" w:cs="Arial" w:eastAsia="Arial" w:hAnsi="Arial"/>
          <w:sz w:val="18"/>
          <w:szCs w:val="18"/>
          <w:color w:val="auto"/>
        </w:rPr>
        <w:t>January 8, 2025 including, pursuant to Rule 429 under the Securities Act, USD$300,503,343 (converted from CAD$400,000,000 at an</w:t>
      </w:r>
    </w:p>
    <w:p>
      <w:pPr>
        <w:spacing w:after="0"/>
        <w:rPr>
          <w:sz w:val="20"/>
          <w:szCs w:val="20"/>
          <w:color w:val="auto"/>
        </w:rPr>
      </w:pPr>
      <w:r>
        <w:rPr>
          <w:rFonts w:ascii="Arial" w:cs="Arial" w:eastAsia="Arial" w:hAnsi="Arial"/>
          <w:sz w:val="18"/>
          <w:szCs w:val="18"/>
          <w:color w:val="auto"/>
        </w:rPr>
        <w:t>exchange rate of USD$1.00 = CAD$1.3311, which was the daily average exchange rate reported by the Bank of Canada on December</w:t>
      </w:r>
    </w:p>
    <w:p>
      <w:pPr>
        <w:spacing w:after="0"/>
        <w:rPr>
          <w:sz w:val="20"/>
          <w:szCs w:val="20"/>
          <w:color w:val="auto"/>
        </w:rPr>
      </w:pPr>
      <w:r>
        <w:rPr>
          <w:rFonts w:ascii="Arial" w:cs="Arial" w:eastAsia="Arial" w:hAnsi="Arial"/>
          <w:sz w:val="18"/>
          <w:szCs w:val="18"/>
          <w:color w:val="auto"/>
        </w:rPr>
        <w:t>21, 2023) of securities that were previously registered under the Registrant's Registration Statement on Form F-10 (File No. 333-</w:t>
      </w:r>
    </w:p>
    <w:p>
      <w:pPr>
        <w:spacing w:after="0"/>
        <w:rPr>
          <w:sz w:val="20"/>
          <w:szCs w:val="20"/>
          <w:color w:val="auto"/>
        </w:rPr>
      </w:pPr>
      <w:r>
        <w:rPr>
          <w:rFonts w:ascii="Arial" w:cs="Arial" w:eastAsia="Arial" w:hAnsi="Arial"/>
          <w:sz w:val="18"/>
          <w:szCs w:val="18"/>
          <w:color w:val="auto"/>
        </w:rPr>
        <w:t>276333), initially filed on December 29, 2023, declared effective on January 3, 2024, and as amended on a post-effective basis on</w:t>
      </w:r>
    </w:p>
    <w:p>
      <w:pPr>
        <w:spacing w:after="0"/>
        <w:rPr>
          <w:sz w:val="20"/>
          <w:szCs w:val="20"/>
          <w:color w:val="auto"/>
        </w:rPr>
      </w:pPr>
      <w:r>
        <w:rPr>
          <w:rFonts w:ascii="Arial" w:cs="Arial" w:eastAsia="Arial" w:hAnsi="Arial"/>
          <w:sz w:val="18"/>
          <w:szCs w:val="18"/>
          <w:color w:val="auto"/>
        </w:rPr>
        <w:t>April 11, 2024 (the "2025 Registration Statement" and together with the 2023 Registration Statement, the "Previous Registration</w:t>
      </w:r>
    </w:p>
    <w:p>
      <w:pPr>
        <w:spacing w:after="0"/>
        <w:rPr>
          <w:sz w:val="20"/>
          <w:szCs w:val="20"/>
          <w:color w:val="auto"/>
        </w:rPr>
      </w:pPr>
      <w:r>
        <w:rPr>
          <w:rFonts w:ascii="Arial" w:cs="Arial" w:eastAsia="Arial" w:hAnsi="Arial"/>
          <w:sz w:val="18"/>
          <w:szCs w:val="18"/>
          <w:color w:val="auto"/>
        </w:rPr>
        <w:t>Statement"). The Registrant has issued an aggregate of USD$195,070,131 of securities under the Previous Registration Statement as</w:t>
      </w:r>
    </w:p>
    <w:p>
      <w:pPr>
        <w:spacing w:after="0"/>
        <w:rPr>
          <w:sz w:val="20"/>
          <w:szCs w:val="20"/>
          <w:color w:val="auto"/>
        </w:rPr>
      </w:pPr>
      <w:r>
        <w:rPr>
          <w:rFonts w:ascii="Arial" w:cs="Arial" w:eastAsia="Arial" w:hAnsi="Arial"/>
          <w:sz w:val="18"/>
          <w:szCs w:val="18"/>
          <w:color w:val="auto"/>
        </w:rPr>
        <w:t>follows: (1) the Registrant issued an aggregate of USD$40,399 of warrant shares pursuant to the prospectus supplement filed with the</w:t>
      </w:r>
    </w:p>
    <w:p>
      <w:pPr>
        <w:spacing w:after="0"/>
        <w:rPr>
          <w:sz w:val="20"/>
          <w:szCs w:val="20"/>
          <w:color w:val="auto"/>
        </w:rPr>
      </w:pPr>
      <w:r>
        <w:rPr>
          <w:rFonts w:ascii="Arial" w:cs="Arial" w:eastAsia="Arial" w:hAnsi="Arial"/>
          <w:sz w:val="18"/>
          <w:szCs w:val="18"/>
          <w:color w:val="auto"/>
        </w:rPr>
        <w:t>SEC on August 18, 2023; (2) the Registrant issued an aggregate of USD$18,264,982 of common shares pursuant to the prospectus</w:t>
      </w:r>
    </w:p>
    <w:p>
      <w:pPr>
        <w:spacing w:after="0"/>
        <w:rPr>
          <w:sz w:val="20"/>
          <w:szCs w:val="20"/>
          <w:color w:val="auto"/>
        </w:rPr>
      </w:pPr>
      <w:r>
        <w:rPr>
          <w:rFonts w:ascii="Arial" w:cs="Arial" w:eastAsia="Arial" w:hAnsi="Arial"/>
          <w:sz w:val="18"/>
          <w:szCs w:val="18"/>
          <w:color w:val="auto"/>
        </w:rPr>
        <w:t>supplement filed with the SEC on August 24, 2023; (3) the Registrant issued an aggregate of USD$465,190 of common shares</w:t>
      </w:r>
    </w:p>
    <w:p>
      <w:pPr>
        <w:spacing w:after="0"/>
        <w:rPr>
          <w:sz w:val="20"/>
          <w:szCs w:val="20"/>
          <w:color w:val="auto"/>
        </w:rPr>
      </w:pPr>
      <w:r>
        <w:rPr>
          <w:rFonts w:ascii="Arial" w:cs="Arial" w:eastAsia="Arial" w:hAnsi="Arial"/>
          <w:sz w:val="18"/>
          <w:szCs w:val="18"/>
          <w:color w:val="auto"/>
        </w:rPr>
        <w:t>pursuant to a prospectus supplement filed with the SEC on August 24, 2023; (4) the Registrant issued an aggregate of</w:t>
      </w:r>
    </w:p>
    <w:p>
      <w:pPr>
        <w:spacing w:after="0"/>
        <w:rPr>
          <w:sz w:val="20"/>
          <w:szCs w:val="20"/>
          <w:color w:val="auto"/>
        </w:rPr>
      </w:pPr>
      <w:r>
        <w:rPr>
          <w:rFonts w:ascii="Arial" w:cs="Arial" w:eastAsia="Arial" w:hAnsi="Arial"/>
          <w:sz w:val="18"/>
          <w:szCs w:val="18"/>
          <w:color w:val="auto"/>
        </w:rPr>
        <w:t>USD$30,000,000 of common shares pursuant to the prospectus supplement filed with the SEC on November 13, 2023; (5) the</w:t>
      </w:r>
    </w:p>
    <w:p>
      <w:pPr>
        <w:spacing w:after="0"/>
        <w:rPr>
          <w:sz w:val="20"/>
          <w:szCs w:val="20"/>
          <w:color w:val="auto"/>
        </w:rPr>
      </w:pPr>
      <w:r>
        <w:rPr>
          <w:rFonts w:ascii="Arial" w:cs="Arial" w:eastAsia="Arial" w:hAnsi="Arial"/>
          <w:sz w:val="18"/>
          <w:szCs w:val="18"/>
          <w:color w:val="auto"/>
        </w:rPr>
        <w:t>Registrant issued an aggregate of USD$126,418,100 of common shares pursuant to the prospectus supplement filed with the SEC on</w:t>
      </w:r>
    </w:p>
    <w:p>
      <w:pPr>
        <w:spacing w:after="0"/>
        <w:rPr>
          <w:sz w:val="20"/>
          <w:szCs w:val="20"/>
          <w:color w:val="auto"/>
        </w:rPr>
      </w:pPr>
      <w:r>
        <w:rPr>
          <w:rFonts w:ascii="Arial" w:cs="Arial" w:eastAsia="Arial" w:hAnsi="Arial"/>
          <w:sz w:val="18"/>
          <w:szCs w:val="18"/>
          <w:color w:val="auto"/>
        </w:rPr>
        <w:t>April 18, 2024; (6) the Registrant issued an aggregate of USD$15,631,466 of common shares pursuant to the prospectus supplement</w:t>
      </w:r>
    </w:p>
    <w:p>
      <w:pPr>
        <w:spacing w:after="0"/>
        <w:rPr>
          <w:sz w:val="20"/>
          <w:szCs w:val="20"/>
          <w:color w:val="auto"/>
        </w:rPr>
      </w:pPr>
      <w:r>
        <w:rPr>
          <w:rFonts w:ascii="Arial" w:cs="Arial" w:eastAsia="Arial" w:hAnsi="Arial"/>
          <w:sz w:val="18"/>
          <w:szCs w:val="18"/>
          <w:color w:val="auto"/>
        </w:rPr>
        <w:t>filed with the SEC on February 11, 2025; and (7) the Registrant issued an aggregate of USD$4,249,994.00 of common shares</w:t>
      </w:r>
    </w:p>
    <w:p>
      <w:pPr>
        <w:spacing w:after="0"/>
        <w:rPr>
          <w:sz w:val="20"/>
          <w:szCs w:val="20"/>
          <w:color w:val="auto"/>
        </w:rPr>
      </w:pPr>
      <w:r>
        <w:rPr>
          <w:rFonts w:ascii="Arial" w:cs="Arial" w:eastAsia="Arial" w:hAnsi="Arial"/>
          <w:sz w:val="18"/>
          <w:szCs w:val="18"/>
          <w:color w:val="auto"/>
        </w:rPr>
        <w:t>pursuant to the prospectus supplement filed with the SEC on July 14, 2025. Therefore, an aggregate of USD$39,041.42 of SEC filing</w:t>
      </w:r>
    </w:p>
    <w:p>
      <w:pPr>
        <w:spacing w:after="0"/>
        <w:rPr>
          <w:sz w:val="20"/>
          <w:szCs w:val="20"/>
          <w:color w:val="auto"/>
        </w:rPr>
      </w:pPr>
      <w:r>
        <w:rPr>
          <w:rFonts w:ascii="Arial" w:cs="Arial" w:eastAsia="Arial" w:hAnsi="Arial"/>
          <w:sz w:val="18"/>
          <w:szCs w:val="18"/>
          <w:color w:val="auto"/>
        </w:rPr>
        <w:t>fees remains unutilized and is attributable to USD$255,006,036 of unsold securities previously registered under the Previous</w:t>
      </w:r>
    </w:p>
    <w:p>
      <w:pPr>
        <w:spacing w:after="0"/>
        <w:rPr>
          <w:sz w:val="20"/>
          <w:szCs w:val="20"/>
          <w:color w:val="auto"/>
        </w:rPr>
      </w:pPr>
      <w:r>
        <w:rPr>
          <w:rFonts w:ascii="Arial" w:cs="Arial" w:eastAsia="Arial" w:hAnsi="Arial"/>
          <w:sz w:val="18"/>
          <w:szCs w:val="18"/>
          <w:color w:val="auto"/>
        </w:rPr>
        <w:t>Registration Statement and is available for future registration fees pursuant to Rule 457(p) under the Securities Act. As a result, a</w:t>
      </w:r>
    </w:p>
    <w:p>
      <w:pPr>
        <w:spacing w:after="0"/>
        <w:rPr>
          <w:sz w:val="20"/>
          <w:szCs w:val="20"/>
          <w:color w:val="auto"/>
        </w:rPr>
      </w:pPr>
      <w:r>
        <w:rPr>
          <w:rFonts w:ascii="Arial" w:cs="Arial" w:eastAsia="Arial" w:hAnsi="Arial"/>
          <w:sz w:val="18"/>
          <w:szCs w:val="18"/>
          <w:color w:val="auto"/>
        </w:rPr>
        <w:t>USD$72,134.23 registration fee is payable in connection with this Registration Statement. The Previous Registration Statement and</w:t>
      </w:r>
    </w:p>
    <w:p>
      <w:pPr>
        <w:spacing w:after="0"/>
        <w:rPr>
          <w:sz w:val="20"/>
          <w:szCs w:val="20"/>
          <w:color w:val="auto"/>
        </w:rPr>
      </w:pPr>
      <w:r>
        <w:rPr>
          <w:rFonts w:ascii="Arial" w:cs="Arial" w:eastAsia="Arial" w:hAnsi="Arial"/>
          <w:sz w:val="18"/>
          <w:szCs w:val="18"/>
          <w:color w:val="auto"/>
        </w:rPr>
        <w:t>the offering of the unsold securities registered under the Previous Registration Statement will be deemed terminated as of the effective</w:t>
      </w:r>
    </w:p>
    <w:p>
      <w:pPr>
        <w:spacing w:after="0"/>
        <w:rPr>
          <w:sz w:val="20"/>
          <w:szCs w:val="20"/>
          <w:color w:val="auto"/>
        </w:rPr>
      </w:pPr>
      <w:r>
        <w:rPr>
          <w:rFonts w:ascii="Arial" w:cs="Arial" w:eastAsia="Arial" w:hAnsi="Arial"/>
          <w:sz w:val="18"/>
          <w:szCs w:val="18"/>
          <w:color w:val="auto"/>
        </w:rPr>
        <w:t>date of this Registration Statement.</w:t>
      </w:r>
    </w:p>
    <w:p>
      <w:pPr>
        <w:spacing w:after="0" w:line="190"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color w:val="auto"/>
        </w:rPr>
        <w:t>This amount is attributable to the aggregate amount of unsold securities that were previously registered under the Previous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702437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024370" cy="40005"/>
                    </a:xfrm>
                    <a:prstGeom prst="rect">
                      <a:avLst/>
                    </a:prstGeom>
                    <a:noFill/>
                  </pic:spPr>
                </pic:pic>
              </a:graphicData>
            </a:graphic>
          </wp:anchor>
        </w:drawing>
      </w:r>
    </w:p>
    <w:sectPr>
      <w:pgSz w:w="11900" w:h="16838" w:orient="portrait"/>
      <w:cols w:equalWidth="0" w:num="1">
        <w:col w:w="10980"/>
      </w:cols>
      <w:pgMar w:left="540" w:top="1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1"/>
    </w:lvl>
  </w:abstractNum>
  <w:abstractNum w:abstractNumId="1">
    <w:nsid w:val="725A06FB"/>
    <w:multiLevelType w:val="hybridMultilevel"/>
    <w:lvl w:ilvl="0">
      <w:lvlJc w:val="left"/>
      <w:lvlText w:val="%1."/>
      <w:numFmt w:val="decimal"/>
      <w:start w:val="3"/>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bullet"/>
      <w:start w:val="1"/>
    </w:lvl>
  </w:abstractNum>
  <w:abstractNum w:abstractNumId="6">
    <w:nsid w:val="542289EC"/>
    <w:multiLevelType w:val="hybridMultilevel"/>
    <w:lvl w:ilvl="0">
      <w:lvlJc w:val="left"/>
      <w:lvlText w:val="2"/>
      <w:numFmt w:val="bullet"/>
      <w:start w:val="1"/>
    </w:lvl>
  </w:abstractNum>
  <w:abstractNum w:abstractNumId="7">
    <w:nsid w:val="6DE91B18"/>
    <w:multiLevelType w:val="hybridMultilevel"/>
    <w:lvl w:ilvl="0">
      <w:lvlJc w:val="left"/>
      <w:lvlText w:val="5"/>
      <w:numFmt w:val="bullet"/>
      <w:start w:val="1"/>
    </w:lvl>
  </w:abstractNum>
  <w:abstractNum w:abstractNumId="8">
    <w:nsid w:val="38437FDB"/>
    <w:multiLevelType w:val="hybridMultilevel"/>
    <w:lvl w:ilvl="0">
      <w:lvlJc w:val="left"/>
      <w:lvlText w:val="7"/>
      <w:numFmt w:val="bullet"/>
      <w:start w:val="1"/>
    </w:lvl>
  </w:abstractNum>
  <w:abstractNum w:abstractNumId="9">
    <w:nsid w:val="7644A45C"/>
    <w:multiLevelType w:val="hybridMultilevel"/>
    <w:lvl w:ilvl="0">
      <w:lvlJc w:val="left"/>
      <w:lvlText w:val="8"/>
      <w:numFmt w:val="bullet"/>
      <w:start w:val="1"/>
    </w:lvl>
  </w:abstractNum>
  <w:abstractNum w:abstractNumId="10">
    <w:nsid w:val="32FFF902"/>
    <w:multiLevelType w:val="hybridMultilevel"/>
    <w:lvl w:ilvl="0">
      <w:lvlJc w:val="left"/>
      <w:lvlText w:val="9"/>
      <w:numFmt w:val="bullet"/>
      <w:start w:val="1"/>
    </w:lvl>
  </w:abstractNum>
  <w:abstractNum w:abstractNumId="11">
    <w:nsid w:val="684A481A"/>
    <w:multiLevelType w:val="hybridMultilevel"/>
    <w:lvl w:ilvl="0">
      <w:lvlJc w:val="left"/>
      <w:lvlText w:val="(%1)"/>
      <w:numFmt w:val="lowerRoman"/>
      <w:start w:val="1"/>
    </w:lvl>
  </w:abstractNum>
  <w:abstractNum w:abstractNumId="12">
    <w:nsid w:val="579478FE"/>
    <w:multiLevelType w:val="hybridMultilevel"/>
    <w:lvl w:ilvl="0">
      <w:lvlJc w:val="left"/>
      <w:lvlText w:val="%1"/>
      <w:numFmt w:val="decimal"/>
      <w:start w:val="1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lowerRoman"/>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7"/>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lowerLetter"/>
      <w:start w:val="1"/>
    </w:lvl>
  </w:abstractNum>
  <w:abstractNum w:abstractNumId="21">
    <w:nsid w:val="374A3FE6"/>
    <w:multiLevelType w:val="hybridMultilevel"/>
    <w:lvl w:ilvl="0">
      <w:lvlJc w:val="left"/>
      <w:lvlText w:val="(%1)"/>
      <w:numFmt w:val="lowerLetter"/>
      <w:start w:val="5"/>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lowerLetter"/>
      <w:start w:val="1"/>
    </w:lvl>
    <w:lvl w:ilvl="1">
      <w:lvlJc w:val="left"/>
      <w:lvlText w:val="(%2)"/>
      <w:numFmt w:val="lowerLetter"/>
      <w:start w:val="9"/>
    </w:lvl>
  </w:abstractNum>
  <w:abstractNum w:abstractNumId="24">
    <w:nsid w:val="649BB77C"/>
    <w:multiLevelType w:val="hybridMultilevel"/>
    <w:lvl w:ilvl="0">
      <w:lvlJc w:val="left"/>
      <w:lvlText w:val="%1"/>
      <w:numFmt w:val="lowerLetter"/>
      <w:start w:val="1"/>
    </w:lvl>
    <w:lvl w:ilvl="1">
      <w:lvlJc w:val="left"/>
      <w:lvlText w:val="(%2)"/>
      <w:numFmt w:val="lowerLetter"/>
      <w:start w:val="35"/>
    </w:lvl>
  </w:abstractNum>
  <w:abstractNum w:abstractNumId="25">
    <w:nsid w:val="275AC794"/>
    <w:multiLevelType w:val="hybridMultilevel"/>
    <w:lvl w:ilvl="0">
      <w:lvlJc w:val="left"/>
      <w:lvlText w:val="(%1)"/>
      <w:numFmt w:val="lowerLetter"/>
      <w:start w:val="2"/>
    </w:lvl>
    <w:lvl w:ilvl="1">
      <w:lvlJc w:val="left"/>
      <w:lvlText w:val="%2"/>
      <w:numFmt w:val="lowerLetter"/>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3"/>
    </w:lvl>
  </w:abstractNum>
  <w:abstractNum w:abstractNumId="28">
    <w:nsid w:val="180115BE"/>
    <w:multiLevelType w:val="hybridMultilevel"/>
    <w:lvl w:ilvl="0">
      <w:lvlJc w:val="left"/>
      <w:lvlText w:val="(%1)"/>
      <w:numFmt w:val="decimal"/>
      <w:start w:val="11"/>
    </w:lvl>
  </w:abstractNum>
  <w:abstractNum w:abstractNumId="29">
    <w:nsid w:val="235BA861"/>
    <w:multiLevelType w:val="hybridMultilevel"/>
    <w:lvl w:ilvl="0">
      <w:lvlJc w:val="left"/>
      <w:lvlText w:val="(%1)"/>
      <w:numFmt w:val="decimal"/>
      <w:start w:val="21"/>
    </w:lvl>
  </w:abstractNum>
  <w:abstractNum w:abstractNumId="30">
    <w:nsid w:val="47398C89"/>
    <w:multiLevelType w:val="hybridMultilevel"/>
    <w:lvl w:ilvl="0">
      <w:lvlJc w:val="left"/>
      <w:lvlText w:val="(%1)"/>
      <w:numFmt w:val="lowerLetter"/>
      <w:start w:val="1"/>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lowerLetter"/>
      <w:start w:val="1"/>
    </w:lvl>
    <w:lvl w:ilvl="1">
      <w:lvlJc w:val="left"/>
      <w:lvlText w:val="(%2)"/>
      <w:numFmt w:val="lowerLetter"/>
      <w:start w:val="2"/>
    </w:lvl>
  </w:abstractNum>
  <w:abstractNum w:abstractNumId="34">
    <w:nsid w:val="D34B6A8"/>
    <w:multiLevelType w:val="hybridMultilevel"/>
    <w:lvl w:ilvl="0">
      <w:lvlJc w:val="left"/>
      <w:lvlText w:val="(%1)"/>
      <w:numFmt w:val="lowerLetter"/>
      <w:start w:val="9"/>
    </w:lvl>
    <w:lvl w:ilvl="1">
      <w:lvlJc w:val="left"/>
      <w:lvlText w:val="%2"/>
      <w:numFmt w:val="lowerLetter"/>
      <w:start w:val="1"/>
    </w:lvl>
  </w:abstractNum>
  <w:abstractNum w:abstractNumId="35">
    <w:nsid w:val="10233C99"/>
    <w:multiLevelType w:val="hybridMultilevel"/>
    <w:lvl w:ilvl="0">
      <w:lvlJc w:val="left"/>
      <w:lvlText w:val="(%1)"/>
      <w:numFmt w:val="lowerLetter"/>
      <w:start w:val="1"/>
    </w:lvl>
  </w:abstractNum>
  <w:abstractNum w:abstractNumId="36">
    <w:nsid w:val="3F6AB60F"/>
    <w:multiLevelType w:val="hybridMultilevel"/>
    <w:lvl w:ilvl="0">
      <w:lvlJc w:val="left"/>
      <w:lvlText w:val="(%1)"/>
      <w:numFmt w:val="lowerLetter"/>
      <w:start w:val="4"/>
    </w:lvl>
  </w:abstractNum>
  <w:abstractNum w:abstractNumId="37">
    <w:nsid w:val="61574095"/>
    <w:multiLevelType w:val="hybridMultilevel"/>
    <w:lvl w:ilvl="0">
      <w:lvlJc w:val="left"/>
      <w:lvlText w:val="(%1)"/>
      <w:numFmt w:val="lowerLetter"/>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Roman"/>
      <w:start w:val="1"/>
    </w:lvl>
  </w:abstractNum>
  <w:abstractNum w:abstractNumId="41">
    <w:nsid w:val="310C50B3"/>
    <w:multiLevelType w:val="hybridMultilevel"/>
    <w:lvl w:ilvl="0">
      <w:lvlJc w:val="left"/>
      <w:lvlText w:val="(%1)"/>
      <w:numFmt w:val="decimal"/>
      <w:start w:val="2"/>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lvl w:ilvl="1">
      <w:lvlJc w:val="left"/>
      <w:lvlText w:val="(%2)"/>
      <w:numFmt w:val="lowerLetter"/>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2"/>
    </w:lvl>
  </w:abstractNum>
  <w:abstractNum w:abstractNumId="46">
    <w:nsid w:val="4AD084E9"/>
    <w:multiLevelType w:val="hybridMultilevel"/>
    <w:lvl w:ilvl="0">
      <w:lvlJc w:val="left"/>
      <w:lvlText w:val="(%1)"/>
      <w:numFmt w:val="lowerRoman"/>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3"/>
    </w:lvl>
  </w:abstractNum>
  <w:abstractNum w:abstractNumId="49">
    <w:nsid w:val="5DB70AE5"/>
    <w:multiLevelType w:val="hybridMultilevel"/>
    <w:lvl w:ilvl="0">
      <w:lvlJc w:val="left"/>
      <w:lvlText w:val="(%1)"/>
      <w:numFmt w:val="decimal"/>
      <w:start w:val="5"/>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4">
    <w:nsid w:val="98A3148"/>
    <w:multiLevelType w:val="hybridMultilevel"/>
    <w:lvl w:ilvl="0">
      <w:lvlJc w:val="left"/>
      <w:lvlText w:val="(%1)"/>
      <w:numFmt w:val="lowerLetter"/>
      <w:start w:val="4"/>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9"/>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3"/>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4"/>
    </w:lvl>
  </w:abstractNum>
  <w:abstractNum w:abstractNumId="61">
    <w:nsid w:val="5DC79EA8"/>
    <w:multiLevelType w:val="hybridMultilevel"/>
    <w:lvl w:ilvl="0">
      <w:lvlJc w:val="left"/>
      <w:lvlText w:val="(%1)"/>
      <w:numFmt w:val="decimal"/>
      <w:start w:val="1"/>
    </w:lvl>
    <w:lvl w:ilvl="1">
      <w:lvlJc w:val="left"/>
      <w:lvlText w:val="(%2)"/>
      <w:numFmt w:val="lowerRoman"/>
      <w:start w:val="1"/>
    </w:lvl>
  </w:abstractNum>
  <w:abstractNum w:abstractNumId="62">
    <w:nsid w:val="540A471C"/>
    <w:multiLevelType w:val="hybridMultilevel"/>
    <w:lvl w:ilvl="0">
      <w:lvlJc w:val="left"/>
      <w:lvlText w:val="(%1)"/>
      <w:numFmt w:val="decimal"/>
      <w:start w:val="5"/>
    </w:lvl>
  </w:abstractNum>
  <w:abstractNum w:abstractNumId="63">
    <w:nsid w:val="7BD3EE7B"/>
    <w:multiLevelType w:val="hybridMultilevel"/>
    <w:lvl w:ilvl="0">
      <w:lvlJc w:val="left"/>
      <w:lvlText w:val="(%1)"/>
      <w:numFmt w:val="decimal"/>
      <w:start w:val="6"/>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3"/>
    </w:lvl>
  </w:abstractNum>
  <w:abstractNum w:abstractNumId="66">
    <w:nsid w:val="BF72B14"/>
    <w:multiLevelType w:val="hybridMultilevel"/>
    <w:lvl w:ilvl="0">
      <w:lvlJc w:val="left"/>
      <w:lvlText w:val="(%1)"/>
      <w:numFmt w:val="lowerRoman"/>
      <w:start w:val="4"/>
    </w:lvl>
  </w:abstractNum>
  <w:abstractNum w:abstractNumId="67">
    <w:nsid w:val="11447B73"/>
    <w:multiLevelType w:val="hybridMultilevel"/>
    <w:lvl w:ilvl="0">
      <w:lvlJc w:val="left"/>
      <w:lvlText w:val="(%1)"/>
      <w:numFmt w:val="lowerRoman"/>
      <w:start w:val="1"/>
    </w:lvl>
  </w:abstractNum>
  <w:abstractNum w:abstractNumId="68">
    <w:nsid w:val="42963E5A"/>
    <w:multiLevelType w:val="hybridMultilevel"/>
    <w:lvl w:ilvl="0">
      <w:lvlJc w:val="left"/>
      <w:lvlText w:val="(%1)"/>
      <w:numFmt w:val="lowerRoman"/>
      <w:start w:val="4"/>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8"/>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2"/>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4"/>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decimal"/>
      <w:start w:val="5"/>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4"/>
    </w:lvl>
  </w:abstractNum>
  <w:abstractNum w:abstractNumId="83">
    <w:nsid w:val="6EB5BD4"/>
    <w:multiLevelType w:val="hybridMultilevel"/>
    <w:lvl w:ilvl="0">
      <w:lvlJc w:val="left"/>
      <w:lvlText w:val="(%1)"/>
      <w:numFmt w:val="lowerRoman"/>
      <w:start w:val="2"/>
    </w:lvl>
  </w:abstractNum>
  <w:abstractNum w:abstractNumId="84">
    <w:nsid w:val="6F6DD9AC"/>
    <w:multiLevelType w:val="hybridMultilevel"/>
    <w:lvl w:ilvl="0">
      <w:lvlJc w:val="left"/>
      <w:lvlText w:val="(%1)"/>
      <w:numFmt w:val="lowerRoman"/>
      <w:start w:val="3"/>
    </w:lvl>
  </w:abstractNum>
  <w:abstractNum w:abstractNumId="85">
    <w:nsid w:val="94211F2"/>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8" Type="http://schemas.openxmlformats.org/officeDocument/2006/relationships/image" Target="media/image119.png"/><Relationship Id="rId130" Type="http://schemas.openxmlformats.org/officeDocument/2006/relationships/image" Target="media/image120.png"/><Relationship Id="rId132"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jpeg"/><Relationship Id="rId145" Type="http://schemas.openxmlformats.org/officeDocument/2006/relationships/image" Target="media/image133.jpe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125" Type="http://schemas.openxmlformats.org/officeDocument/2006/relationships/hyperlink" Target="http://www.sec.gov/Archives/edgar/data/1833141/000162828025033606/cybin-annualinformationfor.htm" TargetMode="External"/><Relationship Id="rId127" Type="http://schemas.openxmlformats.org/officeDocument/2006/relationships/hyperlink" Target="http://www.sec.gov/ix?doc=/Archives/edgar/data/1833141/000162828025033606/cybn-20250331.htm" TargetMode="External"/><Relationship Id="rId129" Type="http://schemas.openxmlformats.org/officeDocument/2006/relationships/hyperlink" Target="http://www.sec.gov/Archives/edgar/data/1833141/000162828025033606/cybin-mdaxq4x25xmarch31202.htm" TargetMode="External"/><Relationship Id="rId131" Type="http://schemas.openxmlformats.org/officeDocument/2006/relationships/hyperlink" Target="http://www.sec.gov/Archives/edgar/data/1833141/000162828025034717/materialchangereportcybin-.htm" TargetMode="External"/><Relationship Id="rId133" Type="http://schemas.openxmlformats.org/officeDocument/2006/relationships/hyperlink" Target="http://www.sec.gov/Archives/edgar/data/1833141/000162828025036117/agm2025-managementinform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2025-07-31T15:43:08Z</dcterms:created>
  <dcterms:modified xsi:type="dcterms:W3CDTF">2025-07-31T15:43:08Z</dcterms:modified>
</cp:coreProperties>
</file>