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August,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28,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August 27,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29"/>
          <w:szCs w:val="29"/>
          <w:b w:val="1"/>
          <w:bCs w:val="1"/>
          <w:color w:val="auto"/>
        </w:rPr>
        <w:t>Cybin Announces Results of Annual and Special Meeting of Shareholders and Share Consolidation</w:t>
      </w:r>
    </w:p>
    <w:p>
      <w:pPr>
        <w:spacing w:after="0" w:line="3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TORONTO, CANADA </w:t>
      </w:r>
      <w:r>
        <w:rPr>
          <w:rFonts w:ascii="Times New Roman" w:cs="Times New Roman" w:eastAsia="Times New Roman" w:hAnsi="Times New Roman"/>
          <w:sz w:val="20"/>
          <w:szCs w:val="20"/>
          <w:color w:val="auto"/>
        </w:rPr>
        <w:t>– August 27, 2024 – Cybin Inc. (NYSE American: CYBN) (Cboe CA:CYBN) (</w:t>
      </w:r>
      <w:r>
        <w:rPr>
          <w:rFonts w:ascii="Times New Roman" w:cs="Times New Roman" w:eastAsia="Times New Roman" w:hAnsi="Times New Roman"/>
          <w:sz w:val="20"/>
          <w:szCs w:val="20"/>
          <w:b w:val="1"/>
          <w:bCs w:val="1"/>
          <w:color w:val="auto"/>
        </w:rPr>
        <w:t>Cybin</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clinical-stage breakthrough neuropsychiatry company committed to revolutionizing mental healthcare by developing new and innovative next-generation treatment options, is pleased to announce the voting results for each of the matters presented at the Company’s annual and special meeting of shareholders held on August 27, 2024 (the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There were 87 shareholders represented in person or by proxy at the Meeting holding 453,195,063 common shares, representing 59.66% of Cybin’s total issued and outstanding common shares as at the record date for the Meeting. The voting results for each matter presented at the Meeting are set out below:</w:t>
      </w:r>
    </w:p>
    <w:p>
      <w:pPr>
        <w:spacing w:after="0" w:line="173"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Appointment of Auditor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Zeifmans LLP was appointed auditor of Cybin until the next annual meeting of shareholders at renumeration to be fixed by the directors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Voting results are set out below:</w:t>
      </w:r>
    </w:p>
    <w:p>
      <w:pPr>
        <w:spacing w:after="0" w:line="230" w:lineRule="exact"/>
        <w:rPr>
          <w:sz w:val="20"/>
          <w:szCs w:val="20"/>
          <w:color w:val="auto"/>
        </w:rPr>
      </w:pPr>
    </w:p>
    <w:tbl>
      <w:tblPr>
        <w:tblLayout w:type="fixed"/>
        <w:tblInd w:w="1850" w:type="dxa"/>
        <w:tblCellMar>
          <w:top w:w="0" w:type="dxa"/>
          <w:left w:w="0" w:type="dxa"/>
          <w:bottom w:w="0" w:type="dxa"/>
          <w:right w:w="0" w:type="dxa"/>
        </w:tblCellMar>
      </w:tblPr>
      <w:tr>
        <w:trPr>
          <w:trHeight w:val="270"/>
        </w:trPr>
        <w:tc>
          <w:tcPr>
            <w:tcW w:w="108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580" w:type="dxa"/>
            <w:vAlign w:val="bottom"/>
            <w:tcBorders>
              <w:top w:val="single" w:sz="8" w:color="auto"/>
              <w:bottom w:val="single" w:sz="8" w:color="auto"/>
              <w:right w:val="single" w:sz="8" w:color="auto"/>
            </w:tcBorders>
            <w:gridSpan w:val="2"/>
            <w:shd w:val="clear" w:color="auto" w:fill="F2F2F2"/>
          </w:tcPr>
          <w:p>
            <w:pPr>
              <w:ind w:left="2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2380" w:type="dxa"/>
            <w:vAlign w:val="bottom"/>
            <w:tcBorders>
              <w:top w:val="single" w:sz="8" w:color="auto"/>
              <w:bottom w:val="single" w:sz="8" w:color="auto"/>
            </w:tcBorders>
            <w:gridSpan w:val="2"/>
            <w:shd w:val="clear" w:color="auto" w:fill="F2F2F2"/>
          </w:tcPr>
          <w:p>
            <w:pPr>
              <w:ind w:left="980"/>
              <w:spacing w:after="0"/>
              <w:rPr>
                <w:sz w:val="20"/>
                <w:szCs w:val="20"/>
                <w:color w:val="auto"/>
              </w:rPr>
            </w:pPr>
            <w:r>
              <w:rPr>
                <w:rFonts w:ascii="Times New Roman" w:cs="Times New Roman" w:eastAsia="Times New Roman" w:hAnsi="Times New Roman"/>
                <w:sz w:val="20"/>
                <w:szCs w:val="20"/>
                <w:b w:val="1"/>
                <w:bCs w:val="1"/>
                <w:color w:val="auto"/>
              </w:rPr>
              <w:t>Votes Withheld</w:t>
            </w:r>
          </w:p>
        </w:tc>
        <w:tc>
          <w:tcPr>
            <w:tcW w:w="156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1080" w:type="dxa"/>
            <w:vAlign w:val="bottom"/>
            <w:tcBorders>
              <w:left w:val="single" w:sz="8" w:color="auto"/>
              <w:bottom w:val="single" w:sz="8" w:color="auto"/>
            </w:tcBorders>
            <w:shd w:val="clear" w:color="auto" w:fill="F2F2F2"/>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right w:val="single" w:sz="8" w:color="auto"/>
            </w:tcBorders>
            <w:shd w:val="clear" w:color="auto" w:fill="F2F2F2"/>
          </w:tcPr>
          <w:p>
            <w:pPr>
              <w:spacing w:after="0"/>
              <w:rPr>
                <w:sz w:val="21"/>
                <w:szCs w:val="21"/>
                <w:color w:val="auto"/>
              </w:rPr>
            </w:pPr>
          </w:p>
        </w:tc>
        <w:tc>
          <w:tcPr>
            <w:tcW w:w="1900" w:type="dxa"/>
            <w:vAlign w:val="bottom"/>
            <w:tcBorders>
              <w:bottom w:val="single" w:sz="8" w:color="auto"/>
              <w:right w:val="single" w:sz="8" w:color="auto"/>
            </w:tcBorders>
            <w:shd w:val="clear" w:color="auto" w:fill="F2F2F2"/>
          </w:tcPr>
          <w:p>
            <w:pPr>
              <w:jc w:val="right"/>
              <w:ind w:right="1081"/>
              <w:spacing w:after="0"/>
              <w:rPr>
                <w:sz w:val="20"/>
                <w:szCs w:val="20"/>
                <w:color w:val="auto"/>
              </w:rPr>
            </w:pPr>
            <w:r>
              <w:rPr>
                <w:rFonts w:ascii="Times New Roman" w:cs="Times New Roman" w:eastAsia="Times New Roman" w:hAnsi="Times New Roman"/>
                <w:sz w:val="20"/>
                <w:szCs w:val="20"/>
                <w:b w:val="1"/>
                <w:bCs w:val="1"/>
                <w:color w:val="auto"/>
              </w:rPr>
              <w:t>%</w:t>
            </w:r>
          </w:p>
        </w:tc>
        <w:tc>
          <w:tcPr>
            <w:tcW w:w="2040" w:type="dxa"/>
            <w:vAlign w:val="bottom"/>
            <w:tcBorders>
              <w:bottom w:val="single" w:sz="8" w:color="auto"/>
              <w:right w:val="single" w:sz="8" w:color="auto"/>
            </w:tcBorders>
            <w:shd w:val="clear" w:color="auto" w:fill="F2F2F2"/>
          </w:tcPr>
          <w:p>
            <w:pPr>
              <w:jc w:val="right"/>
              <w:ind w:right="1221"/>
              <w:spacing w:after="0"/>
              <w:rPr>
                <w:sz w:val="20"/>
                <w:szCs w:val="20"/>
                <w:color w:val="auto"/>
              </w:rPr>
            </w:pPr>
            <w:r>
              <w:rPr>
                <w:rFonts w:ascii="Times New Roman" w:cs="Times New Roman" w:eastAsia="Times New Roman" w:hAnsi="Times New Roman"/>
                <w:sz w:val="20"/>
                <w:szCs w:val="20"/>
                <w:b w:val="1"/>
                <w:bCs w:val="1"/>
                <w:color w:val="auto"/>
              </w:rPr>
              <w:t>#</w:t>
            </w:r>
          </w:p>
        </w:tc>
        <w:tc>
          <w:tcPr>
            <w:tcW w:w="340" w:type="dxa"/>
            <w:vAlign w:val="bottom"/>
            <w:tcBorders>
              <w:bottom w:val="single" w:sz="8" w:color="auto"/>
            </w:tcBorders>
            <w:shd w:val="clear" w:color="auto" w:fill="F2F2F2"/>
          </w:tcPr>
          <w:p>
            <w:pPr>
              <w:spacing w:after="0"/>
              <w:rPr>
                <w:sz w:val="21"/>
                <w:szCs w:val="21"/>
                <w:color w:val="auto"/>
              </w:rPr>
            </w:pPr>
          </w:p>
        </w:tc>
        <w:tc>
          <w:tcPr>
            <w:tcW w:w="1560" w:type="dxa"/>
            <w:vAlign w:val="bottom"/>
            <w:tcBorders>
              <w:bottom w:val="single" w:sz="8" w:color="auto"/>
              <w:right w:val="single" w:sz="8" w:color="auto"/>
            </w:tcBorders>
            <w:shd w:val="clear" w:color="auto" w:fill="F2F2F2"/>
          </w:tcPr>
          <w:p>
            <w:pPr>
              <w:jc w:val="right"/>
              <w:ind w:right="110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50"/>
        </w:trPr>
        <w:tc>
          <w:tcPr>
            <w:tcW w:w="10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447,888,253</w:t>
            </w:r>
          </w:p>
        </w:tc>
        <w:tc>
          <w:tcPr>
            <w:tcW w:w="68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color w:val="auto"/>
              </w:rPr>
              <w:t>99.29</w:t>
            </w:r>
          </w:p>
        </w:tc>
        <w:tc>
          <w:tcPr>
            <w:tcW w:w="2040" w:type="dxa"/>
            <w:vAlign w:val="bottom"/>
            <w:tcBorders>
              <w:bottom w:val="single" w:sz="8" w:color="auto"/>
              <w:right w:val="single" w:sz="8" w:color="auto"/>
            </w:tcBorders>
          </w:tcPr>
          <w:p>
            <w:pPr>
              <w:jc w:val="right"/>
              <w:ind w:right="861"/>
              <w:spacing w:after="0"/>
              <w:rPr>
                <w:sz w:val="20"/>
                <w:szCs w:val="20"/>
                <w:color w:val="auto"/>
              </w:rPr>
            </w:pPr>
            <w:r>
              <w:rPr>
                <w:rFonts w:ascii="Times New Roman" w:cs="Times New Roman" w:eastAsia="Times New Roman" w:hAnsi="Times New Roman"/>
                <w:sz w:val="20"/>
                <w:szCs w:val="20"/>
                <w:color w:val="auto"/>
              </w:rPr>
              <w:t>3,192,685</w:t>
            </w: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jc w:val="right"/>
              <w:ind w:right="1021"/>
              <w:spacing w:after="0"/>
              <w:rPr>
                <w:sz w:val="20"/>
                <w:szCs w:val="20"/>
                <w:color w:val="auto"/>
              </w:rPr>
            </w:pPr>
            <w:r>
              <w:rPr>
                <w:rFonts w:ascii="Times New Roman" w:cs="Times New Roman" w:eastAsia="Times New Roman" w:hAnsi="Times New Roman"/>
                <w:sz w:val="20"/>
                <w:szCs w:val="20"/>
                <w:color w:val="auto"/>
              </w:rPr>
              <w:t>0.71</w:t>
            </w:r>
          </w:p>
        </w:tc>
      </w:tr>
    </w:tbl>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Election of Directors</w:t>
      </w:r>
    </w:p>
    <w:p>
      <w:pPr>
        <w:spacing w:after="0" w:line="11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Each of the nominees for election as director listed in Cybin’s management information circular dated July 24, 2024 were elected as directors of Cybin for the ensuing year or until their successors are elected or appointed. Voting results are set out below:</w:t>
      </w:r>
    </w:p>
    <w:p>
      <w:pPr>
        <w:spacing w:after="0" w:line="189" w:lineRule="exact"/>
        <w:rPr>
          <w:sz w:val="20"/>
          <w:szCs w:val="20"/>
          <w:color w:val="auto"/>
        </w:rPr>
      </w:pPr>
    </w:p>
    <w:tbl>
      <w:tblPr>
        <w:tblLayout w:type="fixed"/>
        <w:tblInd w:w="67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bottom w:val="single" w:sz="8" w:color="auto"/>
              <w:right w:val="single" w:sz="8" w:color="auto"/>
            </w:tcBorders>
            <w:shd w:val="clear" w:color="auto" w:fill="F2F2F2"/>
          </w:tcPr>
          <w:p>
            <w:pPr>
              <w:spacing w:after="0"/>
              <w:rPr>
                <w:sz w:val="23"/>
                <w:szCs w:val="23"/>
                <w:color w:val="auto"/>
              </w:rPr>
            </w:pPr>
          </w:p>
        </w:tc>
        <w:tc>
          <w:tcPr>
            <w:tcW w:w="1980" w:type="dxa"/>
            <w:vAlign w:val="bottom"/>
            <w:tcBorders>
              <w:top w:val="single" w:sz="8" w:color="auto"/>
              <w:bottom w:val="single" w:sz="8" w:color="auto"/>
              <w:right w:val="single" w:sz="8" w:color="F2F2F2"/>
            </w:tcBorders>
            <w:shd w:val="clear" w:color="auto" w:fill="F2F2F2"/>
          </w:tcPr>
          <w:p>
            <w:pPr>
              <w:ind w:left="104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158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c>
          <w:tcPr>
            <w:tcW w:w="2540" w:type="dxa"/>
            <w:vAlign w:val="bottom"/>
            <w:tcBorders>
              <w:top w:val="single" w:sz="8" w:color="auto"/>
              <w:bottom w:val="single" w:sz="8" w:color="auto"/>
            </w:tcBorders>
            <w:gridSpan w:val="2"/>
            <w:shd w:val="clear" w:color="auto" w:fill="F2F2F2"/>
          </w:tcPr>
          <w:p>
            <w:pPr>
              <w:ind w:left="1120"/>
              <w:spacing w:after="0"/>
              <w:rPr>
                <w:sz w:val="20"/>
                <w:szCs w:val="20"/>
                <w:color w:val="auto"/>
              </w:rPr>
            </w:pPr>
            <w:r>
              <w:rPr>
                <w:rFonts w:ascii="Times New Roman" w:cs="Times New Roman" w:eastAsia="Times New Roman" w:hAnsi="Times New Roman"/>
                <w:sz w:val="20"/>
                <w:szCs w:val="20"/>
                <w:b w:val="1"/>
                <w:bCs w:val="1"/>
                <w:color w:val="auto"/>
              </w:rPr>
              <w:t>Votes Withheld</w:t>
            </w:r>
          </w:p>
        </w:tc>
        <w:tc>
          <w:tcPr>
            <w:tcW w:w="168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2160" w:type="dxa"/>
            <w:vAlign w:val="bottom"/>
            <w:tcBorders>
              <w:left w:val="single" w:sz="8" w:color="auto"/>
              <w:bottom w:val="single" w:sz="8" w:color="auto"/>
              <w:right w:val="single" w:sz="8" w:color="auto"/>
            </w:tcBorders>
            <w:shd w:val="clear" w:color="auto" w:fill="F2F2F2"/>
          </w:tcPr>
          <w:p>
            <w:pPr>
              <w:spacing w:after="0"/>
              <w:rPr>
                <w:sz w:val="21"/>
                <w:szCs w:val="21"/>
                <w:color w:val="auto"/>
              </w:rPr>
            </w:pPr>
          </w:p>
        </w:tc>
        <w:tc>
          <w:tcPr>
            <w:tcW w:w="1980" w:type="dxa"/>
            <w:vAlign w:val="bottom"/>
            <w:tcBorders>
              <w:bottom w:val="single" w:sz="8" w:color="auto"/>
              <w:right w:val="single" w:sz="8" w:color="auto"/>
            </w:tcBorders>
            <w:shd w:val="clear" w:color="auto" w:fill="F2F2F2"/>
          </w:tcPr>
          <w:p>
            <w:pPr>
              <w:jc w:val="center"/>
              <w:ind w:right="58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580" w:type="dxa"/>
            <w:vAlign w:val="bottom"/>
            <w:tcBorders>
              <w:bottom w:val="single" w:sz="8" w:color="auto"/>
              <w:right w:val="single" w:sz="8" w:color="auto"/>
            </w:tcBorders>
            <w:shd w:val="clear" w:color="auto" w:fill="F2F2F2"/>
          </w:tcPr>
          <w:p>
            <w:pPr>
              <w:jc w:val="center"/>
              <w:ind w:right="56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2160" w:type="dxa"/>
            <w:vAlign w:val="bottom"/>
            <w:tcBorders>
              <w:bottom w:val="single" w:sz="8" w:color="auto"/>
              <w:right w:val="single" w:sz="8" w:color="auto"/>
            </w:tcBorders>
            <w:shd w:val="clear" w:color="auto" w:fill="F2F2F2"/>
          </w:tcPr>
          <w:p>
            <w:pPr>
              <w:jc w:val="center"/>
              <w:ind w:right="561"/>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380" w:type="dxa"/>
            <w:vAlign w:val="bottom"/>
            <w:tcBorders>
              <w:bottom w:val="single" w:sz="8" w:color="auto"/>
            </w:tcBorders>
            <w:shd w:val="clear" w:color="auto" w:fill="F2F2F2"/>
          </w:tcPr>
          <w:p>
            <w:pPr>
              <w:spacing w:after="0"/>
              <w:rPr>
                <w:sz w:val="21"/>
                <w:szCs w:val="21"/>
                <w:color w:val="auto"/>
              </w:rPr>
            </w:pPr>
          </w:p>
        </w:tc>
        <w:tc>
          <w:tcPr>
            <w:tcW w:w="1680" w:type="dxa"/>
            <w:vAlign w:val="bottom"/>
            <w:tcBorders>
              <w:bottom w:val="single" w:sz="8" w:color="auto"/>
              <w:right w:val="single" w:sz="8" w:color="auto"/>
            </w:tcBorders>
            <w:shd w:val="clear" w:color="auto" w:fill="F2F2F2"/>
          </w:tcPr>
          <w:p>
            <w:pPr>
              <w:jc w:val="center"/>
              <w:ind w:right="941"/>
              <w:spacing w:after="0"/>
              <w:rPr>
                <w:sz w:val="20"/>
                <w:szCs w:val="20"/>
                <w:color w:val="auto"/>
              </w:rPr>
            </w:pPr>
            <w:r>
              <w:rPr>
                <w:rFonts w:ascii="Times New Roman" w:cs="Times New Roman" w:eastAsia="Times New Roman" w:hAnsi="Times New Roman"/>
                <w:sz w:val="20"/>
                <w:szCs w:val="20"/>
                <w:b w:val="1"/>
                <w:bCs w:val="1"/>
                <w:color w:val="auto"/>
                <w:w w:val="99"/>
              </w:rPr>
              <w:t>%</w:t>
            </w:r>
          </w:p>
        </w:tc>
      </w:tr>
      <w:tr>
        <w:trPr>
          <w:trHeight w:val="250"/>
        </w:trPr>
        <w:tc>
          <w:tcPr>
            <w:tcW w:w="2160" w:type="dxa"/>
            <w:vAlign w:val="bottom"/>
            <w:tcBorders>
              <w:left w:val="single" w:sz="8" w:color="auto"/>
              <w:bottom w:val="single" w:sz="8" w:color="auto"/>
              <w:right w:val="single" w:sz="8" w:color="auto"/>
            </w:tcBorders>
          </w:tcPr>
          <w:p>
            <w:pPr>
              <w:jc w:val="center"/>
              <w:ind w:right="541"/>
              <w:spacing w:after="0"/>
              <w:rPr>
                <w:sz w:val="20"/>
                <w:szCs w:val="20"/>
                <w:color w:val="auto"/>
              </w:rPr>
            </w:pPr>
            <w:r>
              <w:rPr>
                <w:rFonts w:ascii="Times New Roman" w:cs="Times New Roman" w:eastAsia="Times New Roman" w:hAnsi="Times New Roman"/>
                <w:sz w:val="20"/>
                <w:szCs w:val="20"/>
                <w:color w:val="auto"/>
                <w:w w:val="98"/>
              </w:rPr>
              <w:t>Theresa Firestone</w:t>
            </w:r>
          </w:p>
        </w:tc>
        <w:tc>
          <w:tcPr>
            <w:tcW w:w="1980" w:type="dxa"/>
            <w:vAlign w:val="bottom"/>
            <w:tcBorders>
              <w:bottom w:val="single" w:sz="8" w:color="auto"/>
              <w:right w:val="single" w:sz="8" w:color="auto"/>
            </w:tcBorders>
          </w:tcPr>
          <w:p>
            <w:pPr>
              <w:jc w:val="center"/>
              <w:ind w:right="561"/>
              <w:spacing w:after="0"/>
              <w:rPr>
                <w:sz w:val="20"/>
                <w:szCs w:val="20"/>
                <w:color w:val="auto"/>
              </w:rPr>
            </w:pPr>
            <w:r>
              <w:rPr>
                <w:rFonts w:ascii="Times New Roman" w:cs="Times New Roman" w:eastAsia="Times New Roman" w:hAnsi="Times New Roman"/>
                <w:sz w:val="20"/>
                <w:szCs w:val="20"/>
                <w:color w:val="auto"/>
                <w:w w:val="99"/>
              </w:rPr>
              <w:t>294,246,457</w:t>
            </w:r>
          </w:p>
        </w:tc>
        <w:tc>
          <w:tcPr>
            <w:tcW w:w="1580" w:type="dxa"/>
            <w:vAlign w:val="bottom"/>
            <w:tcBorders>
              <w:bottom w:val="single" w:sz="8" w:color="auto"/>
              <w:right w:val="single" w:sz="8" w:color="auto"/>
            </w:tcBorders>
          </w:tcPr>
          <w:p>
            <w:pPr>
              <w:jc w:val="center"/>
              <w:ind w:right="561"/>
              <w:spacing w:after="0"/>
              <w:rPr>
                <w:sz w:val="20"/>
                <w:szCs w:val="20"/>
                <w:color w:val="auto"/>
              </w:rPr>
            </w:pPr>
            <w:r>
              <w:rPr>
                <w:rFonts w:ascii="Times New Roman" w:cs="Times New Roman" w:eastAsia="Times New Roman" w:hAnsi="Times New Roman"/>
                <w:sz w:val="20"/>
                <w:szCs w:val="20"/>
                <w:color w:val="auto"/>
                <w:w w:val="97"/>
              </w:rPr>
              <w:t>99.30</w:t>
            </w:r>
          </w:p>
        </w:tc>
        <w:tc>
          <w:tcPr>
            <w:tcW w:w="2160" w:type="dxa"/>
            <w:vAlign w:val="bottom"/>
            <w:tcBorders>
              <w:bottom w:val="single" w:sz="8" w:color="auto"/>
              <w:right w:val="single" w:sz="8" w:color="auto"/>
            </w:tcBorders>
          </w:tcPr>
          <w:p>
            <w:pPr>
              <w:jc w:val="center"/>
              <w:ind w:right="581"/>
              <w:spacing w:after="0"/>
              <w:rPr>
                <w:sz w:val="20"/>
                <w:szCs w:val="20"/>
                <w:color w:val="auto"/>
              </w:rPr>
            </w:pPr>
            <w:r>
              <w:rPr>
                <w:rFonts w:ascii="Times New Roman" w:cs="Times New Roman" w:eastAsia="Times New Roman" w:hAnsi="Times New Roman"/>
                <w:sz w:val="20"/>
                <w:szCs w:val="20"/>
                <w:color w:val="auto"/>
                <w:w w:val="99"/>
              </w:rPr>
              <w:t>2,068,215</w:t>
            </w:r>
          </w:p>
        </w:tc>
        <w:tc>
          <w:tcPr>
            <w:tcW w:w="38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ind w:right="961"/>
              <w:spacing w:after="0"/>
              <w:rPr>
                <w:sz w:val="20"/>
                <w:szCs w:val="20"/>
                <w:color w:val="auto"/>
              </w:rPr>
            </w:pPr>
            <w:r>
              <w:rPr>
                <w:rFonts w:ascii="Times New Roman" w:cs="Times New Roman" w:eastAsia="Times New Roman" w:hAnsi="Times New Roman"/>
                <w:sz w:val="20"/>
                <w:szCs w:val="20"/>
                <w:color w:val="auto"/>
                <w:w w:val="97"/>
              </w:rPr>
              <w:t>0.70</w:t>
            </w:r>
          </w:p>
        </w:tc>
      </w:tr>
      <w:tr>
        <w:trPr>
          <w:trHeight w:val="250"/>
        </w:trPr>
        <w:tc>
          <w:tcPr>
            <w:tcW w:w="2160" w:type="dxa"/>
            <w:vAlign w:val="bottom"/>
            <w:tcBorders>
              <w:left w:val="single" w:sz="8" w:color="auto"/>
              <w:bottom w:val="single" w:sz="8" w:color="auto"/>
              <w:right w:val="single" w:sz="8" w:color="auto"/>
            </w:tcBorders>
          </w:tcPr>
          <w:p>
            <w:pPr>
              <w:jc w:val="center"/>
              <w:ind w:right="541"/>
              <w:spacing w:after="0"/>
              <w:rPr>
                <w:sz w:val="20"/>
                <w:szCs w:val="20"/>
                <w:color w:val="auto"/>
              </w:rPr>
            </w:pPr>
            <w:r>
              <w:rPr>
                <w:rFonts w:ascii="Times New Roman" w:cs="Times New Roman" w:eastAsia="Times New Roman" w:hAnsi="Times New Roman"/>
                <w:sz w:val="20"/>
                <w:szCs w:val="20"/>
                <w:color w:val="auto"/>
              </w:rPr>
              <w:t>Grant Froese</w:t>
            </w:r>
          </w:p>
        </w:tc>
        <w:tc>
          <w:tcPr>
            <w:tcW w:w="1980" w:type="dxa"/>
            <w:vAlign w:val="bottom"/>
            <w:tcBorders>
              <w:bottom w:val="single" w:sz="8" w:color="auto"/>
              <w:right w:val="single" w:sz="8" w:color="auto"/>
            </w:tcBorders>
          </w:tcPr>
          <w:p>
            <w:pPr>
              <w:jc w:val="center"/>
              <w:ind w:right="561"/>
              <w:spacing w:after="0"/>
              <w:rPr>
                <w:sz w:val="20"/>
                <w:szCs w:val="20"/>
                <w:color w:val="auto"/>
              </w:rPr>
            </w:pPr>
            <w:r>
              <w:rPr>
                <w:rFonts w:ascii="Times New Roman" w:cs="Times New Roman" w:eastAsia="Times New Roman" w:hAnsi="Times New Roman"/>
                <w:sz w:val="20"/>
                <w:szCs w:val="20"/>
                <w:color w:val="auto"/>
                <w:w w:val="99"/>
              </w:rPr>
              <w:t>291,239,267</w:t>
            </w:r>
          </w:p>
        </w:tc>
        <w:tc>
          <w:tcPr>
            <w:tcW w:w="1580" w:type="dxa"/>
            <w:vAlign w:val="bottom"/>
            <w:tcBorders>
              <w:bottom w:val="single" w:sz="8" w:color="auto"/>
              <w:right w:val="single" w:sz="8" w:color="auto"/>
            </w:tcBorders>
          </w:tcPr>
          <w:p>
            <w:pPr>
              <w:jc w:val="center"/>
              <w:ind w:right="561"/>
              <w:spacing w:after="0"/>
              <w:rPr>
                <w:sz w:val="20"/>
                <w:szCs w:val="20"/>
                <w:color w:val="auto"/>
              </w:rPr>
            </w:pPr>
            <w:r>
              <w:rPr>
                <w:rFonts w:ascii="Times New Roman" w:cs="Times New Roman" w:eastAsia="Times New Roman" w:hAnsi="Times New Roman"/>
                <w:sz w:val="20"/>
                <w:szCs w:val="20"/>
                <w:color w:val="auto"/>
                <w:w w:val="97"/>
              </w:rPr>
              <w:t>98.29</w:t>
            </w:r>
          </w:p>
        </w:tc>
        <w:tc>
          <w:tcPr>
            <w:tcW w:w="2160" w:type="dxa"/>
            <w:vAlign w:val="bottom"/>
            <w:tcBorders>
              <w:bottom w:val="single" w:sz="8" w:color="auto"/>
              <w:right w:val="single" w:sz="8" w:color="auto"/>
            </w:tcBorders>
          </w:tcPr>
          <w:p>
            <w:pPr>
              <w:jc w:val="center"/>
              <w:ind w:right="581"/>
              <w:spacing w:after="0"/>
              <w:rPr>
                <w:sz w:val="20"/>
                <w:szCs w:val="20"/>
                <w:color w:val="auto"/>
              </w:rPr>
            </w:pPr>
            <w:r>
              <w:rPr>
                <w:rFonts w:ascii="Times New Roman" w:cs="Times New Roman" w:eastAsia="Times New Roman" w:hAnsi="Times New Roman"/>
                <w:sz w:val="20"/>
                <w:szCs w:val="20"/>
                <w:color w:val="auto"/>
                <w:w w:val="99"/>
              </w:rPr>
              <w:t>5,075,405</w:t>
            </w:r>
          </w:p>
        </w:tc>
        <w:tc>
          <w:tcPr>
            <w:tcW w:w="38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ind w:right="961"/>
              <w:spacing w:after="0"/>
              <w:rPr>
                <w:sz w:val="20"/>
                <w:szCs w:val="20"/>
                <w:color w:val="auto"/>
              </w:rPr>
            </w:pPr>
            <w:r>
              <w:rPr>
                <w:rFonts w:ascii="Times New Roman" w:cs="Times New Roman" w:eastAsia="Times New Roman" w:hAnsi="Times New Roman"/>
                <w:sz w:val="20"/>
                <w:szCs w:val="20"/>
                <w:color w:val="auto"/>
                <w:w w:val="97"/>
              </w:rPr>
              <w:t>1.71</w:t>
            </w:r>
          </w:p>
        </w:tc>
      </w:tr>
      <w:tr>
        <w:trPr>
          <w:trHeight w:val="250"/>
        </w:trPr>
        <w:tc>
          <w:tcPr>
            <w:tcW w:w="2160" w:type="dxa"/>
            <w:vAlign w:val="bottom"/>
            <w:tcBorders>
              <w:left w:val="single" w:sz="8" w:color="auto"/>
              <w:bottom w:val="single" w:sz="8" w:color="auto"/>
              <w:right w:val="single" w:sz="8" w:color="auto"/>
            </w:tcBorders>
          </w:tcPr>
          <w:p>
            <w:pPr>
              <w:jc w:val="center"/>
              <w:ind w:right="541"/>
              <w:spacing w:after="0"/>
              <w:rPr>
                <w:sz w:val="20"/>
                <w:szCs w:val="20"/>
                <w:color w:val="auto"/>
              </w:rPr>
            </w:pPr>
            <w:r>
              <w:rPr>
                <w:rFonts w:ascii="Times New Roman" w:cs="Times New Roman" w:eastAsia="Times New Roman" w:hAnsi="Times New Roman"/>
                <w:sz w:val="20"/>
                <w:szCs w:val="20"/>
                <w:color w:val="auto"/>
              </w:rPr>
              <w:t>Paul Glavine</w:t>
            </w:r>
          </w:p>
        </w:tc>
        <w:tc>
          <w:tcPr>
            <w:tcW w:w="1980" w:type="dxa"/>
            <w:vAlign w:val="bottom"/>
            <w:tcBorders>
              <w:bottom w:val="single" w:sz="8" w:color="auto"/>
              <w:right w:val="single" w:sz="8" w:color="auto"/>
            </w:tcBorders>
          </w:tcPr>
          <w:p>
            <w:pPr>
              <w:jc w:val="center"/>
              <w:ind w:right="561"/>
              <w:spacing w:after="0"/>
              <w:rPr>
                <w:sz w:val="20"/>
                <w:szCs w:val="20"/>
                <w:color w:val="auto"/>
              </w:rPr>
            </w:pPr>
            <w:r>
              <w:rPr>
                <w:rFonts w:ascii="Times New Roman" w:cs="Times New Roman" w:eastAsia="Times New Roman" w:hAnsi="Times New Roman"/>
                <w:sz w:val="20"/>
                <w:szCs w:val="20"/>
                <w:color w:val="auto"/>
                <w:w w:val="99"/>
              </w:rPr>
              <w:t>294,405,593</w:t>
            </w:r>
          </w:p>
        </w:tc>
        <w:tc>
          <w:tcPr>
            <w:tcW w:w="1580" w:type="dxa"/>
            <w:vAlign w:val="bottom"/>
            <w:tcBorders>
              <w:bottom w:val="single" w:sz="8" w:color="auto"/>
              <w:right w:val="single" w:sz="8" w:color="auto"/>
            </w:tcBorders>
          </w:tcPr>
          <w:p>
            <w:pPr>
              <w:jc w:val="center"/>
              <w:ind w:right="561"/>
              <w:spacing w:after="0"/>
              <w:rPr>
                <w:sz w:val="20"/>
                <w:szCs w:val="20"/>
                <w:color w:val="auto"/>
              </w:rPr>
            </w:pPr>
            <w:r>
              <w:rPr>
                <w:rFonts w:ascii="Times New Roman" w:cs="Times New Roman" w:eastAsia="Times New Roman" w:hAnsi="Times New Roman"/>
                <w:sz w:val="20"/>
                <w:szCs w:val="20"/>
                <w:color w:val="auto"/>
                <w:w w:val="97"/>
              </w:rPr>
              <w:t>99.36</w:t>
            </w:r>
          </w:p>
        </w:tc>
        <w:tc>
          <w:tcPr>
            <w:tcW w:w="2160" w:type="dxa"/>
            <w:vAlign w:val="bottom"/>
            <w:tcBorders>
              <w:bottom w:val="single" w:sz="8" w:color="auto"/>
              <w:right w:val="single" w:sz="8" w:color="auto"/>
            </w:tcBorders>
          </w:tcPr>
          <w:p>
            <w:pPr>
              <w:jc w:val="center"/>
              <w:ind w:right="581"/>
              <w:spacing w:after="0"/>
              <w:rPr>
                <w:sz w:val="20"/>
                <w:szCs w:val="20"/>
                <w:color w:val="auto"/>
              </w:rPr>
            </w:pPr>
            <w:r>
              <w:rPr>
                <w:rFonts w:ascii="Times New Roman" w:cs="Times New Roman" w:eastAsia="Times New Roman" w:hAnsi="Times New Roman"/>
                <w:sz w:val="20"/>
                <w:szCs w:val="20"/>
                <w:color w:val="auto"/>
                <w:w w:val="99"/>
              </w:rPr>
              <w:t>1,909,079</w:t>
            </w:r>
          </w:p>
        </w:tc>
        <w:tc>
          <w:tcPr>
            <w:tcW w:w="38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ind w:right="961"/>
              <w:spacing w:after="0"/>
              <w:rPr>
                <w:sz w:val="20"/>
                <w:szCs w:val="20"/>
                <w:color w:val="auto"/>
              </w:rPr>
            </w:pPr>
            <w:r>
              <w:rPr>
                <w:rFonts w:ascii="Times New Roman" w:cs="Times New Roman" w:eastAsia="Times New Roman" w:hAnsi="Times New Roman"/>
                <w:sz w:val="20"/>
                <w:szCs w:val="20"/>
                <w:color w:val="auto"/>
                <w:w w:val="97"/>
              </w:rPr>
              <w:t>0.64</w:t>
            </w:r>
          </w:p>
        </w:tc>
      </w:tr>
      <w:tr>
        <w:trPr>
          <w:trHeight w:val="250"/>
        </w:trPr>
        <w:tc>
          <w:tcPr>
            <w:tcW w:w="2160" w:type="dxa"/>
            <w:vAlign w:val="bottom"/>
            <w:tcBorders>
              <w:left w:val="single" w:sz="8" w:color="auto"/>
              <w:bottom w:val="single" w:sz="8" w:color="auto"/>
              <w:right w:val="single" w:sz="8" w:color="auto"/>
            </w:tcBorders>
          </w:tcPr>
          <w:p>
            <w:pPr>
              <w:jc w:val="center"/>
              <w:ind w:right="541"/>
              <w:spacing w:after="0"/>
              <w:rPr>
                <w:sz w:val="20"/>
                <w:szCs w:val="20"/>
                <w:color w:val="auto"/>
              </w:rPr>
            </w:pPr>
            <w:r>
              <w:rPr>
                <w:rFonts w:ascii="Times New Roman" w:cs="Times New Roman" w:eastAsia="Times New Roman" w:hAnsi="Times New Roman"/>
                <w:sz w:val="20"/>
                <w:szCs w:val="20"/>
                <w:color w:val="auto"/>
              </w:rPr>
              <w:t>Eric Hoskins</w:t>
            </w:r>
          </w:p>
        </w:tc>
        <w:tc>
          <w:tcPr>
            <w:tcW w:w="1980" w:type="dxa"/>
            <w:vAlign w:val="bottom"/>
            <w:tcBorders>
              <w:bottom w:val="single" w:sz="8" w:color="auto"/>
              <w:right w:val="single" w:sz="8" w:color="auto"/>
            </w:tcBorders>
          </w:tcPr>
          <w:p>
            <w:pPr>
              <w:jc w:val="center"/>
              <w:ind w:right="561"/>
              <w:spacing w:after="0"/>
              <w:rPr>
                <w:sz w:val="20"/>
                <w:szCs w:val="20"/>
                <w:color w:val="auto"/>
              </w:rPr>
            </w:pPr>
            <w:r>
              <w:rPr>
                <w:rFonts w:ascii="Times New Roman" w:cs="Times New Roman" w:eastAsia="Times New Roman" w:hAnsi="Times New Roman"/>
                <w:sz w:val="20"/>
                <w:szCs w:val="20"/>
                <w:color w:val="auto"/>
                <w:w w:val="99"/>
              </w:rPr>
              <w:t>289,686,724</w:t>
            </w:r>
          </w:p>
        </w:tc>
        <w:tc>
          <w:tcPr>
            <w:tcW w:w="1580" w:type="dxa"/>
            <w:vAlign w:val="bottom"/>
            <w:tcBorders>
              <w:bottom w:val="single" w:sz="8" w:color="auto"/>
              <w:right w:val="single" w:sz="8" w:color="auto"/>
            </w:tcBorders>
          </w:tcPr>
          <w:p>
            <w:pPr>
              <w:jc w:val="center"/>
              <w:ind w:right="561"/>
              <w:spacing w:after="0"/>
              <w:rPr>
                <w:sz w:val="20"/>
                <w:szCs w:val="20"/>
                <w:color w:val="auto"/>
              </w:rPr>
            </w:pPr>
            <w:r>
              <w:rPr>
                <w:rFonts w:ascii="Times New Roman" w:cs="Times New Roman" w:eastAsia="Times New Roman" w:hAnsi="Times New Roman"/>
                <w:sz w:val="20"/>
                <w:szCs w:val="20"/>
                <w:color w:val="auto"/>
                <w:w w:val="97"/>
              </w:rPr>
              <w:t>97.76</w:t>
            </w:r>
          </w:p>
        </w:tc>
        <w:tc>
          <w:tcPr>
            <w:tcW w:w="2160" w:type="dxa"/>
            <w:vAlign w:val="bottom"/>
            <w:tcBorders>
              <w:bottom w:val="single" w:sz="8" w:color="auto"/>
              <w:right w:val="single" w:sz="8" w:color="auto"/>
            </w:tcBorders>
          </w:tcPr>
          <w:p>
            <w:pPr>
              <w:jc w:val="center"/>
              <w:ind w:right="581"/>
              <w:spacing w:after="0"/>
              <w:rPr>
                <w:sz w:val="20"/>
                <w:szCs w:val="20"/>
                <w:color w:val="auto"/>
              </w:rPr>
            </w:pPr>
            <w:r>
              <w:rPr>
                <w:rFonts w:ascii="Times New Roman" w:cs="Times New Roman" w:eastAsia="Times New Roman" w:hAnsi="Times New Roman"/>
                <w:sz w:val="20"/>
                <w:szCs w:val="20"/>
                <w:color w:val="auto"/>
                <w:w w:val="99"/>
              </w:rPr>
              <w:t>6,627,948</w:t>
            </w:r>
          </w:p>
        </w:tc>
        <w:tc>
          <w:tcPr>
            <w:tcW w:w="380" w:type="dxa"/>
            <w:vAlign w:val="bottom"/>
            <w:tcBorders>
              <w:bottom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jc w:val="center"/>
              <w:ind w:right="961"/>
              <w:spacing w:after="0"/>
              <w:rPr>
                <w:sz w:val="20"/>
                <w:szCs w:val="20"/>
                <w:color w:val="auto"/>
              </w:rPr>
            </w:pPr>
            <w:r>
              <w:rPr>
                <w:rFonts w:ascii="Times New Roman" w:cs="Times New Roman" w:eastAsia="Times New Roman" w:hAnsi="Times New Roman"/>
                <w:sz w:val="20"/>
                <w:szCs w:val="20"/>
                <w:color w:val="auto"/>
                <w:w w:val="97"/>
              </w:rPr>
              <w:t>2.24</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3" w:lineRule="exact"/>
        <w:rPr>
          <w:sz w:val="20"/>
          <w:szCs w:val="20"/>
          <w:color w:val="auto"/>
        </w:rPr>
      </w:pPr>
    </w:p>
    <w:tbl>
      <w:tblPr>
        <w:tblLayout w:type="fixed"/>
        <w:tblInd w:w="67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bottom w:val="single" w:sz="8" w:color="auto"/>
              <w:right w:val="single" w:sz="8" w:color="auto"/>
            </w:tcBorders>
          </w:tcPr>
          <w:p>
            <w:pPr>
              <w:jc w:val="center"/>
              <w:ind w:right="541"/>
              <w:spacing w:after="0"/>
              <w:rPr>
                <w:sz w:val="20"/>
                <w:szCs w:val="20"/>
                <w:color w:val="auto"/>
              </w:rPr>
            </w:pPr>
            <w:r>
              <w:rPr>
                <w:rFonts w:ascii="Times New Roman" w:cs="Times New Roman" w:eastAsia="Times New Roman" w:hAnsi="Times New Roman"/>
                <w:sz w:val="20"/>
                <w:szCs w:val="20"/>
                <w:color w:val="auto"/>
              </w:rPr>
              <w:t>Mark Lawson</w:t>
            </w:r>
          </w:p>
        </w:tc>
        <w:tc>
          <w:tcPr>
            <w:tcW w:w="1980" w:type="dxa"/>
            <w:vAlign w:val="bottom"/>
            <w:tcBorders>
              <w:top w:val="single" w:sz="8" w:color="auto"/>
              <w:bottom w:val="single" w:sz="8" w:color="auto"/>
              <w:right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291,772,251</w:t>
            </w:r>
          </w:p>
        </w:tc>
        <w:tc>
          <w:tcPr>
            <w:tcW w:w="1580" w:type="dxa"/>
            <w:vAlign w:val="bottom"/>
            <w:tcBorders>
              <w:top w:val="single" w:sz="8" w:color="auto"/>
              <w:bottom w:val="single" w:sz="8" w:color="auto"/>
              <w:right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color w:val="auto"/>
              </w:rPr>
              <w:t>98.47</w:t>
            </w:r>
          </w:p>
        </w:tc>
        <w:tc>
          <w:tcPr>
            <w:tcW w:w="2160" w:type="dxa"/>
            <w:vAlign w:val="bottom"/>
            <w:tcBorders>
              <w:top w:val="single" w:sz="8" w:color="auto"/>
              <w:bottom w:val="single" w:sz="8" w:color="auto"/>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4,542,420</w:t>
            </w:r>
          </w:p>
        </w:tc>
        <w:tc>
          <w:tcPr>
            <w:tcW w:w="2060" w:type="dxa"/>
            <w:vAlign w:val="bottom"/>
            <w:tcBorders>
              <w:top w:val="single" w:sz="8" w:color="auto"/>
              <w:bottom w:val="single" w:sz="8" w:color="auto"/>
              <w:right w:val="single" w:sz="8" w:color="auto"/>
            </w:tcBorders>
          </w:tcPr>
          <w:p>
            <w:pPr>
              <w:jc w:val="right"/>
              <w:ind w:right="1101"/>
              <w:spacing w:after="0"/>
              <w:rPr>
                <w:sz w:val="20"/>
                <w:szCs w:val="20"/>
                <w:color w:val="auto"/>
              </w:rPr>
            </w:pPr>
            <w:r>
              <w:rPr>
                <w:rFonts w:ascii="Times New Roman" w:cs="Times New Roman" w:eastAsia="Times New Roman" w:hAnsi="Times New Roman"/>
                <w:sz w:val="20"/>
                <w:szCs w:val="20"/>
                <w:color w:val="auto"/>
              </w:rPr>
              <w:t>1.53</w:t>
            </w:r>
          </w:p>
        </w:tc>
      </w:tr>
      <w:tr>
        <w:trPr>
          <w:trHeight w:val="250"/>
        </w:trPr>
        <w:tc>
          <w:tcPr>
            <w:tcW w:w="2160" w:type="dxa"/>
            <w:vAlign w:val="bottom"/>
            <w:tcBorders>
              <w:left w:val="single" w:sz="8" w:color="auto"/>
              <w:bottom w:val="single" w:sz="8" w:color="auto"/>
              <w:right w:val="single" w:sz="8" w:color="auto"/>
            </w:tcBorders>
          </w:tcPr>
          <w:p>
            <w:pPr>
              <w:jc w:val="center"/>
              <w:ind w:right="541"/>
              <w:spacing w:after="0"/>
              <w:rPr>
                <w:sz w:val="20"/>
                <w:szCs w:val="20"/>
                <w:color w:val="auto"/>
              </w:rPr>
            </w:pPr>
            <w:r>
              <w:rPr>
                <w:rFonts w:ascii="Times New Roman" w:cs="Times New Roman" w:eastAsia="Times New Roman" w:hAnsi="Times New Roman"/>
                <w:sz w:val="20"/>
                <w:szCs w:val="20"/>
                <w:color w:val="auto"/>
              </w:rPr>
              <w:t>Eric So</w:t>
            </w:r>
          </w:p>
        </w:tc>
        <w:tc>
          <w:tcPr>
            <w:tcW w:w="1980" w:type="dxa"/>
            <w:vAlign w:val="bottom"/>
            <w:tcBorders>
              <w:bottom w:val="single" w:sz="8" w:color="auto"/>
              <w:right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294,108,045</w:t>
            </w:r>
          </w:p>
        </w:tc>
        <w:tc>
          <w:tcPr>
            <w:tcW w:w="1580" w:type="dxa"/>
            <w:vAlign w:val="bottom"/>
            <w:tcBorders>
              <w:bottom w:val="single" w:sz="8" w:color="auto"/>
              <w:right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color w:val="auto"/>
              </w:rPr>
              <w:t>99.26</w:t>
            </w:r>
          </w:p>
        </w:tc>
        <w:tc>
          <w:tcPr>
            <w:tcW w:w="2160" w:type="dxa"/>
            <w:vAlign w:val="bottom"/>
            <w:tcBorders>
              <w:bottom w:val="single" w:sz="8" w:color="auto"/>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2,206,627</w:t>
            </w:r>
          </w:p>
        </w:tc>
        <w:tc>
          <w:tcPr>
            <w:tcW w:w="2060" w:type="dxa"/>
            <w:vAlign w:val="bottom"/>
            <w:tcBorders>
              <w:bottom w:val="single" w:sz="8" w:color="auto"/>
              <w:right w:val="single" w:sz="8" w:color="auto"/>
            </w:tcBorders>
          </w:tcPr>
          <w:p>
            <w:pPr>
              <w:jc w:val="right"/>
              <w:ind w:right="1101"/>
              <w:spacing w:after="0"/>
              <w:rPr>
                <w:sz w:val="20"/>
                <w:szCs w:val="20"/>
                <w:color w:val="auto"/>
              </w:rPr>
            </w:pPr>
            <w:r>
              <w:rPr>
                <w:rFonts w:ascii="Times New Roman" w:cs="Times New Roman" w:eastAsia="Times New Roman" w:hAnsi="Times New Roman"/>
                <w:sz w:val="20"/>
                <w:szCs w:val="20"/>
                <w:color w:val="auto"/>
              </w:rPr>
              <w:t>0.74</w:t>
            </w:r>
          </w:p>
        </w:tc>
      </w:tr>
      <w:tr>
        <w:trPr>
          <w:trHeight w:val="250"/>
        </w:trPr>
        <w:tc>
          <w:tcPr>
            <w:tcW w:w="2160" w:type="dxa"/>
            <w:vAlign w:val="bottom"/>
            <w:tcBorders>
              <w:left w:val="single" w:sz="8" w:color="auto"/>
              <w:bottom w:val="single" w:sz="8" w:color="auto"/>
              <w:right w:val="single" w:sz="8" w:color="auto"/>
            </w:tcBorders>
          </w:tcPr>
          <w:p>
            <w:pPr>
              <w:jc w:val="center"/>
              <w:ind w:right="541"/>
              <w:spacing w:after="0"/>
              <w:rPr>
                <w:sz w:val="20"/>
                <w:szCs w:val="20"/>
                <w:color w:val="auto"/>
              </w:rPr>
            </w:pPr>
            <w:r>
              <w:rPr>
                <w:rFonts w:ascii="Times New Roman" w:cs="Times New Roman" w:eastAsia="Times New Roman" w:hAnsi="Times New Roman"/>
                <w:sz w:val="20"/>
                <w:szCs w:val="20"/>
                <w:color w:val="auto"/>
                <w:w w:val="98"/>
              </w:rPr>
              <w:t>George Tziras</w:t>
            </w:r>
          </w:p>
        </w:tc>
        <w:tc>
          <w:tcPr>
            <w:tcW w:w="1980" w:type="dxa"/>
            <w:vAlign w:val="bottom"/>
            <w:tcBorders>
              <w:bottom w:val="single" w:sz="8" w:color="auto"/>
              <w:right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289,376,032</w:t>
            </w:r>
          </w:p>
        </w:tc>
        <w:tc>
          <w:tcPr>
            <w:tcW w:w="1580" w:type="dxa"/>
            <w:vAlign w:val="bottom"/>
            <w:tcBorders>
              <w:bottom w:val="single" w:sz="8" w:color="auto"/>
              <w:right w:val="single" w:sz="8" w:color="auto"/>
            </w:tcBorders>
          </w:tcPr>
          <w:p>
            <w:pPr>
              <w:jc w:val="right"/>
              <w:ind w:right="801"/>
              <w:spacing w:after="0"/>
              <w:rPr>
                <w:sz w:val="20"/>
                <w:szCs w:val="20"/>
                <w:color w:val="auto"/>
              </w:rPr>
            </w:pPr>
            <w:r>
              <w:rPr>
                <w:rFonts w:ascii="Times New Roman" w:cs="Times New Roman" w:eastAsia="Times New Roman" w:hAnsi="Times New Roman"/>
                <w:sz w:val="20"/>
                <w:szCs w:val="20"/>
                <w:color w:val="auto"/>
              </w:rPr>
              <w:t>97.66</w:t>
            </w:r>
          </w:p>
        </w:tc>
        <w:tc>
          <w:tcPr>
            <w:tcW w:w="2160" w:type="dxa"/>
            <w:vAlign w:val="bottom"/>
            <w:tcBorders>
              <w:bottom w:val="single" w:sz="8" w:color="auto"/>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6,938,640</w:t>
            </w:r>
          </w:p>
        </w:tc>
        <w:tc>
          <w:tcPr>
            <w:tcW w:w="2060" w:type="dxa"/>
            <w:vAlign w:val="bottom"/>
            <w:tcBorders>
              <w:bottom w:val="single" w:sz="8" w:color="auto"/>
              <w:right w:val="single" w:sz="8" w:color="auto"/>
            </w:tcBorders>
          </w:tcPr>
          <w:p>
            <w:pPr>
              <w:jc w:val="right"/>
              <w:ind w:right="1101"/>
              <w:spacing w:after="0"/>
              <w:rPr>
                <w:sz w:val="20"/>
                <w:szCs w:val="20"/>
                <w:color w:val="auto"/>
              </w:rPr>
            </w:pPr>
            <w:r>
              <w:rPr>
                <w:rFonts w:ascii="Times New Roman" w:cs="Times New Roman" w:eastAsia="Times New Roman" w:hAnsi="Times New Roman"/>
                <w:sz w:val="20"/>
                <w:szCs w:val="20"/>
                <w:color w:val="auto"/>
              </w:rPr>
              <w:t>2.34</w:t>
            </w:r>
          </w:p>
        </w:tc>
      </w:tr>
    </w:tbl>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Consolidation of Common Shares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resolution to approve the consolidation of the issued and outstanding common shares of the Company by a ratio of up to 50:1 was approved by at least two-thirds of votes cast by the shareholders who voted in respect of the resolution present or represented by proxy at the Meeting. Voting results are set out below:</w:t>
      </w:r>
    </w:p>
    <w:p>
      <w:pPr>
        <w:spacing w:after="0" w:line="211" w:lineRule="exact"/>
        <w:rPr>
          <w:sz w:val="20"/>
          <w:szCs w:val="20"/>
          <w:color w:val="auto"/>
        </w:rPr>
      </w:pPr>
    </w:p>
    <w:tbl>
      <w:tblPr>
        <w:tblLayout w:type="fixed"/>
        <w:tblInd w:w="1850" w:type="dxa"/>
        <w:tblCellMar>
          <w:top w:w="0" w:type="dxa"/>
          <w:left w:w="0" w:type="dxa"/>
          <w:bottom w:w="0" w:type="dxa"/>
          <w:right w:w="0" w:type="dxa"/>
        </w:tblCellMar>
      </w:tblPr>
      <w:tr>
        <w:trPr>
          <w:trHeight w:val="270"/>
        </w:trPr>
        <w:tc>
          <w:tcPr>
            <w:tcW w:w="108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580" w:type="dxa"/>
            <w:vAlign w:val="bottom"/>
            <w:tcBorders>
              <w:top w:val="single" w:sz="8" w:color="auto"/>
              <w:bottom w:val="single" w:sz="8" w:color="auto"/>
              <w:right w:val="single" w:sz="8" w:color="auto"/>
            </w:tcBorders>
            <w:gridSpan w:val="2"/>
            <w:shd w:val="clear" w:color="auto" w:fill="F2F2F2"/>
          </w:tcPr>
          <w:p>
            <w:pPr>
              <w:ind w:left="2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2340" w:type="dxa"/>
            <w:vAlign w:val="bottom"/>
            <w:tcBorders>
              <w:top w:val="single" w:sz="8" w:color="auto"/>
              <w:bottom w:val="single" w:sz="8" w:color="auto"/>
            </w:tcBorders>
            <w:gridSpan w:val="2"/>
            <w:shd w:val="clear" w:color="auto" w:fill="F2F2F2"/>
          </w:tcPr>
          <w:p>
            <w:pPr>
              <w:ind w:left="1060"/>
              <w:spacing w:after="0"/>
              <w:rPr>
                <w:sz w:val="20"/>
                <w:szCs w:val="20"/>
                <w:color w:val="auto"/>
              </w:rPr>
            </w:pPr>
            <w:r>
              <w:rPr>
                <w:rFonts w:ascii="Times New Roman" w:cs="Times New Roman" w:eastAsia="Times New Roman" w:hAnsi="Times New Roman"/>
                <w:sz w:val="20"/>
                <w:szCs w:val="20"/>
                <w:b w:val="1"/>
                <w:bCs w:val="1"/>
                <w:color w:val="auto"/>
              </w:rPr>
              <w:t>Votes Against</w:t>
            </w:r>
          </w:p>
        </w:tc>
        <w:tc>
          <w:tcPr>
            <w:tcW w:w="160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1080" w:type="dxa"/>
            <w:vAlign w:val="bottom"/>
            <w:tcBorders>
              <w:left w:val="single" w:sz="8" w:color="auto"/>
              <w:bottom w:val="single" w:sz="8" w:color="auto"/>
            </w:tcBorders>
            <w:shd w:val="clear" w:color="auto" w:fill="F2F2F2"/>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right w:val="single" w:sz="8" w:color="auto"/>
            </w:tcBorders>
            <w:shd w:val="clear" w:color="auto" w:fill="F2F2F2"/>
          </w:tcPr>
          <w:p>
            <w:pPr>
              <w:spacing w:after="0"/>
              <w:rPr>
                <w:sz w:val="21"/>
                <w:szCs w:val="21"/>
                <w:color w:val="auto"/>
              </w:rPr>
            </w:pPr>
          </w:p>
        </w:tc>
        <w:tc>
          <w:tcPr>
            <w:tcW w:w="1900" w:type="dxa"/>
            <w:vAlign w:val="bottom"/>
            <w:tcBorders>
              <w:bottom w:val="single" w:sz="8" w:color="auto"/>
              <w:right w:val="single" w:sz="8" w:color="auto"/>
            </w:tcBorders>
            <w:shd w:val="clear" w:color="auto" w:fill="F2F2F2"/>
          </w:tcPr>
          <w:p>
            <w:pPr>
              <w:jc w:val="right"/>
              <w:ind w:right="1081"/>
              <w:spacing w:after="0"/>
              <w:rPr>
                <w:sz w:val="20"/>
                <w:szCs w:val="20"/>
                <w:color w:val="auto"/>
              </w:rPr>
            </w:pPr>
            <w:r>
              <w:rPr>
                <w:rFonts w:ascii="Times New Roman" w:cs="Times New Roman" w:eastAsia="Times New Roman" w:hAnsi="Times New Roman"/>
                <w:sz w:val="20"/>
                <w:szCs w:val="20"/>
                <w:b w:val="1"/>
                <w:bCs w:val="1"/>
                <w:color w:val="auto"/>
              </w:rPr>
              <w:t>%</w:t>
            </w:r>
          </w:p>
        </w:tc>
        <w:tc>
          <w:tcPr>
            <w:tcW w:w="2040" w:type="dxa"/>
            <w:vAlign w:val="bottom"/>
            <w:tcBorders>
              <w:bottom w:val="single" w:sz="8" w:color="auto"/>
              <w:right w:val="single" w:sz="8" w:color="auto"/>
            </w:tcBorders>
            <w:shd w:val="clear" w:color="auto" w:fill="F2F2F2"/>
          </w:tcPr>
          <w:p>
            <w:pPr>
              <w:jc w:val="right"/>
              <w:ind w:right="1221"/>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tcBorders>
              <w:bottom w:val="single" w:sz="8" w:color="auto"/>
            </w:tcBorders>
            <w:shd w:val="clear" w:color="auto" w:fill="F2F2F2"/>
          </w:tcPr>
          <w:p>
            <w:pPr>
              <w:spacing w:after="0"/>
              <w:rPr>
                <w:sz w:val="21"/>
                <w:szCs w:val="21"/>
                <w:color w:val="auto"/>
              </w:rPr>
            </w:pPr>
          </w:p>
        </w:tc>
        <w:tc>
          <w:tcPr>
            <w:tcW w:w="1600" w:type="dxa"/>
            <w:vAlign w:val="bottom"/>
            <w:tcBorders>
              <w:bottom w:val="single" w:sz="8" w:color="auto"/>
              <w:right w:val="single" w:sz="8" w:color="auto"/>
            </w:tcBorders>
            <w:shd w:val="clear" w:color="auto" w:fill="F2F2F2"/>
          </w:tcPr>
          <w:p>
            <w:pPr>
              <w:jc w:val="right"/>
              <w:ind w:right="110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50"/>
        </w:trPr>
        <w:tc>
          <w:tcPr>
            <w:tcW w:w="10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430,616,168</w:t>
            </w:r>
          </w:p>
        </w:tc>
        <w:tc>
          <w:tcPr>
            <w:tcW w:w="68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color w:val="auto"/>
              </w:rPr>
              <w:t>95.46</w:t>
            </w:r>
          </w:p>
        </w:tc>
        <w:tc>
          <w:tcPr>
            <w:tcW w:w="2040" w:type="dxa"/>
            <w:vAlign w:val="bottom"/>
            <w:tcBorders>
              <w:bottom w:val="single" w:sz="8" w:color="auto"/>
              <w:right w:val="single" w:sz="8" w:color="auto"/>
            </w:tcBorders>
          </w:tcPr>
          <w:p>
            <w:pPr>
              <w:jc w:val="right"/>
              <w:ind w:right="821"/>
              <w:spacing w:after="0"/>
              <w:rPr>
                <w:sz w:val="20"/>
                <w:szCs w:val="20"/>
                <w:color w:val="auto"/>
              </w:rPr>
            </w:pPr>
            <w:r>
              <w:rPr>
                <w:rFonts w:ascii="Times New Roman" w:cs="Times New Roman" w:eastAsia="Times New Roman" w:hAnsi="Times New Roman"/>
                <w:sz w:val="20"/>
                <w:szCs w:val="20"/>
                <w:color w:val="auto"/>
              </w:rPr>
              <w:t>20,464,958</w:t>
            </w: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jc w:val="right"/>
              <w:ind w:right="1021"/>
              <w:spacing w:after="0"/>
              <w:rPr>
                <w:sz w:val="20"/>
                <w:szCs w:val="20"/>
                <w:color w:val="auto"/>
              </w:rPr>
            </w:pPr>
            <w:r>
              <w:rPr>
                <w:rFonts w:ascii="Times New Roman" w:cs="Times New Roman" w:eastAsia="Times New Roman" w:hAnsi="Times New Roman"/>
                <w:sz w:val="20"/>
                <w:szCs w:val="20"/>
                <w:color w:val="auto"/>
              </w:rPr>
              <w:t>4.54</w:t>
            </w:r>
          </w:p>
        </w:tc>
      </w:tr>
    </w:tbl>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to Equity Incentive Plan</w:t>
      </w:r>
    </w:p>
    <w:p>
      <w:pPr>
        <w:spacing w:after="0" w:line="112"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resolution to approve certain amendments to Cybin’s equity incentive plan was approved by a majority of votes cast by the shareholders who voted in respect of the resolution present or represented by proxy at the Meeting. Voting results are set out below:</w:t>
      </w:r>
    </w:p>
    <w:p>
      <w:pPr>
        <w:spacing w:after="0" w:line="176" w:lineRule="exact"/>
        <w:rPr>
          <w:sz w:val="20"/>
          <w:szCs w:val="20"/>
          <w:color w:val="auto"/>
        </w:rPr>
      </w:pPr>
    </w:p>
    <w:tbl>
      <w:tblPr>
        <w:tblLayout w:type="fixed"/>
        <w:tblInd w:w="1850" w:type="dxa"/>
        <w:tblCellMar>
          <w:top w:w="0" w:type="dxa"/>
          <w:left w:w="0" w:type="dxa"/>
          <w:bottom w:w="0" w:type="dxa"/>
          <w:right w:w="0" w:type="dxa"/>
        </w:tblCellMar>
      </w:tblPr>
      <w:tr>
        <w:trPr>
          <w:trHeight w:val="270"/>
        </w:trPr>
        <w:tc>
          <w:tcPr>
            <w:tcW w:w="108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580" w:type="dxa"/>
            <w:vAlign w:val="bottom"/>
            <w:tcBorders>
              <w:top w:val="single" w:sz="8" w:color="auto"/>
              <w:bottom w:val="single" w:sz="8" w:color="auto"/>
              <w:right w:val="single" w:sz="8" w:color="auto"/>
            </w:tcBorders>
            <w:gridSpan w:val="2"/>
            <w:shd w:val="clear" w:color="auto" w:fill="F2F2F2"/>
          </w:tcPr>
          <w:p>
            <w:pPr>
              <w:ind w:left="2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2320" w:type="dxa"/>
            <w:vAlign w:val="bottom"/>
            <w:tcBorders>
              <w:top w:val="single" w:sz="8" w:color="auto"/>
              <w:bottom w:val="single" w:sz="8" w:color="auto"/>
            </w:tcBorders>
            <w:gridSpan w:val="2"/>
            <w:shd w:val="clear" w:color="auto" w:fill="F2F2F2"/>
          </w:tcPr>
          <w:p>
            <w:pPr>
              <w:ind w:left="1060"/>
              <w:spacing w:after="0"/>
              <w:rPr>
                <w:sz w:val="20"/>
                <w:szCs w:val="20"/>
                <w:color w:val="auto"/>
              </w:rPr>
            </w:pPr>
            <w:r>
              <w:rPr>
                <w:rFonts w:ascii="Times New Roman" w:cs="Times New Roman" w:eastAsia="Times New Roman" w:hAnsi="Times New Roman"/>
                <w:sz w:val="20"/>
                <w:szCs w:val="20"/>
                <w:b w:val="1"/>
                <w:bCs w:val="1"/>
                <w:color w:val="auto"/>
              </w:rPr>
              <w:t>Votes Against</w:t>
            </w:r>
          </w:p>
        </w:tc>
        <w:tc>
          <w:tcPr>
            <w:tcW w:w="162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1080" w:type="dxa"/>
            <w:vAlign w:val="bottom"/>
            <w:tcBorders>
              <w:left w:val="single" w:sz="8" w:color="auto"/>
              <w:bottom w:val="single" w:sz="8" w:color="auto"/>
            </w:tcBorders>
            <w:shd w:val="clear" w:color="auto" w:fill="F2F2F2"/>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right w:val="single" w:sz="8" w:color="auto"/>
            </w:tcBorders>
            <w:shd w:val="clear" w:color="auto" w:fill="F2F2F2"/>
          </w:tcPr>
          <w:p>
            <w:pPr>
              <w:spacing w:after="0"/>
              <w:rPr>
                <w:sz w:val="21"/>
                <w:szCs w:val="21"/>
                <w:color w:val="auto"/>
              </w:rPr>
            </w:pPr>
          </w:p>
        </w:tc>
        <w:tc>
          <w:tcPr>
            <w:tcW w:w="1900" w:type="dxa"/>
            <w:vAlign w:val="bottom"/>
            <w:tcBorders>
              <w:bottom w:val="single" w:sz="8" w:color="auto"/>
              <w:right w:val="single" w:sz="8" w:color="auto"/>
            </w:tcBorders>
            <w:shd w:val="clear" w:color="auto" w:fill="F2F2F2"/>
          </w:tcPr>
          <w:p>
            <w:pPr>
              <w:jc w:val="right"/>
              <w:ind w:right="1081"/>
              <w:spacing w:after="0"/>
              <w:rPr>
                <w:sz w:val="20"/>
                <w:szCs w:val="20"/>
                <w:color w:val="auto"/>
              </w:rPr>
            </w:pPr>
            <w:r>
              <w:rPr>
                <w:rFonts w:ascii="Times New Roman" w:cs="Times New Roman" w:eastAsia="Times New Roman" w:hAnsi="Times New Roman"/>
                <w:sz w:val="20"/>
                <w:szCs w:val="20"/>
                <w:b w:val="1"/>
                <w:bCs w:val="1"/>
                <w:color w:val="auto"/>
              </w:rPr>
              <w:t>%</w:t>
            </w:r>
          </w:p>
        </w:tc>
        <w:tc>
          <w:tcPr>
            <w:tcW w:w="2040" w:type="dxa"/>
            <w:vAlign w:val="bottom"/>
            <w:tcBorders>
              <w:bottom w:val="single" w:sz="8" w:color="auto"/>
              <w:right w:val="single" w:sz="8" w:color="auto"/>
            </w:tcBorders>
            <w:shd w:val="clear" w:color="auto" w:fill="F2F2F2"/>
          </w:tcPr>
          <w:p>
            <w:pPr>
              <w:jc w:val="right"/>
              <w:ind w:right="1221"/>
              <w:spacing w:after="0"/>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Borders>
              <w:bottom w:val="single" w:sz="8" w:color="auto"/>
            </w:tcBorders>
            <w:shd w:val="clear" w:color="auto" w:fill="F2F2F2"/>
          </w:tcPr>
          <w:p>
            <w:pPr>
              <w:spacing w:after="0"/>
              <w:rPr>
                <w:sz w:val="21"/>
                <w:szCs w:val="21"/>
                <w:color w:val="auto"/>
              </w:rPr>
            </w:pPr>
          </w:p>
        </w:tc>
        <w:tc>
          <w:tcPr>
            <w:tcW w:w="1620" w:type="dxa"/>
            <w:vAlign w:val="bottom"/>
            <w:tcBorders>
              <w:bottom w:val="single" w:sz="8" w:color="auto"/>
              <w:right w:val="single" w:sz="8" w:color="auto"/>
            </w:tcBorders>
            <w:shd w:val="clear" w:color="auto" w:fill="F2F2F2"/>
          </w:tcPr>
          <w:p>
            <w:pPr>
              <w:jc w:val="right"/>
              <w:ind w:right="110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50"/>
        </w:trPr>
        <w:tc>
          <w:tcPr>
            <w:tcW w:w="10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204,933,530</w:t>
            </w:r>
          </w:p>
        </w:tc>
        <w:tc>
          <w:tcPr>
            <w:tcW w:w="68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color w:val="auto"/>
              </w:rPr>
              <w:t>69.16</w:t>
            </w:r>
          </w:p>
        </w:tc>
        <w:tc>
          <w:tcPr>
            <w:tcW w:w="2040" w:type="dxa"/>
            <w:vAlign w:val="bottom"/>
            <w:tcBorders>
              <w:bottom w:val="single" w:sz="8" w:color="auto"/>
              <w:right w:val="single" w:sz="8" w:color="auto"/>
            </w:tcBorders>
          </w:tcPr>
          <w:p>
            <w:pPr>
              <w:jc w:val="right"/>
              <w:ind w:right="821"/>
              <w:spacing w:after="0"/>
              <w:rPr>
                <w:sz w:val="20"/>
                <w:szCs w:val="20"/>
                <w:color w:val="auto"/>
              </w:rPr>
            </w:pPr>
            <w:r>
              <w:rPr>
                <w:rFonts w:ascii="Times New Roman" w:cs="Times New Roman" w:eastAsia="Times New Roman" w:hAnsi="Times New Roman"/>
                <w:sz w:val="20"/>
                <w:szCs w:val="20"/>
                <w:color w:val="auto"/>
              </w:rPr>
              <w:t>91,381,142</w:t>
            </w: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jc w:val="right"/>
              <w:ind w:right="981"/>
              <w:spacing w:after="0"/>
              <w:rPr>
                <w:sz w:val="20"/>
                <w:szCs w:val="20"/>
                <w:color w:val="auto"/>
              </w:rPr>
            </w:pPr>
            <w:r>
              <w:rPr>
                <w:rFonts w:ascii="Times New Roman" w:cs="Times New Roman" w:eastAsia="Times New Roman" w:hAnsi="Times New Roman"/>
                <w:sz w:val="20"/>
                <w:szCs w:val="20"/>
                <w:color w:val="auto"/>
              </w:rPr>
              <w:t>30.84</w:t>
            </w:r>
          </w:p>
        </w:tc>
      </w:tr>
    </w:tbl>
    <w:p>
      <w:pPr>
        <w:spacing w:after="0" w:line="31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to Shareholder Rights Plan</w:t>
      </w:r>
    </w:p>
    <w:p>
      <w:pPr>
        <w:spacing w:after="0" w:line="1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resolution to approve certain amendments to Cybin’s shareholder rights plan was approved by a majority of votes cast by the shareholders who voted in respect of the resolution present or represented by proxy at the Meeting. Voting results are set out below:</w:t>
      </w:r>
    </w:p>
    <w:p>
      <w:pPr>
        <w:spacing w:after="0" w:line="203" w:lineRule="exact"/>
        <w:rPr>
          <w:sz w:val="20"/>
          <w:szCs w:val="20"/>
          <w:color w:val="auto"/>
        </w:rPr>
      </w:pPr>
    </w:p>
    <w:tbl>
      <w:tblPr>
        <w:tblLayout w:type="fixed"/>
        <w:tblInd w:w="1850" w:type="dxa"/>
        <w:tblCellMar>
          <w:top w:w="0" w:type="dxa"/>
          <w:left w:w="0" w:type="dxa"/>
          <w:bottom w:w="0" w:type="dxa"/>
          <w:right w:w="0" w:type="dxa"/>
        </w:tblCellMar>
      </w:tblPr>
      <w:tr>
        <w:trPr>
          <w:trHeight w:val="270"/>
        </w:trPr>
        <w:tc>
          <w:tcPr>
            <w:tcW w:w="108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580" w:type="dxa"/>
            <w:vAlign w:val="bottom"/>
            <w:tcBorders>
              <w:top w:val="single" w:sz="8" w:color="auto"/>
              <w:bottom w:val="single" w:sz="8" w:color="auto"/>
              <w:right w:val="single" w:sz="8" w:color="auto"/>
            </w:tcBorders>
            <w:gridSpan w:val="2"/>
            <w:shd w:val="clear" w:color="auto" w:fill="F2F2F2"/>
          </w:tcPr>
          <w:p>
            <w:pPr>
              <w:ind w:left="2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2340" w:type="dxa"/>
            <w:vAlign w:val="bottom"/>
            <w:tcBorders>
              <w:top w:val="single" w:sz="8" w:color="auto"/>
              <w:bottom w:val="single" w:sz="8" w:color="auto"/>
            </w:tcBorders>
            <w:gridSpan w:val="2"/>
            <w:shd w:val="clear" w:color="auto" w:fill="F2F2F2"/>
          </w:tcPr>
          <w:p>
            <w:pPr>
              <w:ind w:left="1060"/>
              <w:spacing w:after="0"/>
              <w:rPr>
                <w:sz w:val="20"/>
                <w:szCs w:val="20"/>
                <w:color w:val="auto"/>
              </w:rPr>
            </w:pPr>
            <w:r>
              <w:rPr>
                <w:rFonts w:ascii="Times New Roman" w:cs="Times New Roman" w:eastAsia="Times New Roman" w:hAnsi="Times New Roman"/>
                <w:sz w:val="20"/>
                <w:szCs w:val="20"/>
                <w:b w:val="1"/>
                <w:bCs w:val="1"/>
                <w:color w:val="auto"/>
              </w:rPr>
              <w:t>Votes Against</w:t>
            </w:r>
          </w:p>
        </w:tc>
        <w:tc>
          <w:tcPr>
            <w:tcW w:w="160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1080" w:type="dxa"/>
            <w:vAlign w:val="bottom"/>
            <w:tcBorders>
              <w:left w:val="single" w:sz="8" w:color="auto"/>
              <w:bottom w:val="single" w:sz="8" w:color="auto"/>
            </w:tcBorders>
            <w:shd w:val="clear" w:color="auto" w:fill="F2F2F2"/>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right w:val="single" w:sz="8" w:color="auto"/>
            </w:tcBorders>
            <w:shd w:val="clear" w:color="auto" w:fill="F2F2F2"/>
          </w:tcPr>
          <w:p>
            <w:pPr>
              <w:spacing w:after="0"/>
              <w:rPr>
                <w:sz w:val="21"/>
                <w:szCs w:val="21"/>
                <w:color w:val="auto"/>
              </w:rPr>
            </w:pPr>
          </w:p>
        </w:tc>
        <w:tc>
          <w:tcPr>
            <w:tcW w:w="1900" w:type="dxa"/>
            <w:vAlign w:val="bottom"/>
            <w:tcBorders>
              <w:bottom w:val="single" w:sz="8" w:color="auto"/>
              <w:right w:val="single" w:sz="8" w:color="auto"/>
            </w:tcBorders>
            <w:shd w:val="clear" w:color="auto" w:fill="F2F2F2"/>
          </w:tcPr>
          <w:p>
            <w:pPr>
              <w:jc w:val="right"/>
              <w:ind w:right="1081"/>
              <w:spacing w:after="0"/>
              <w:rPr>
                <w:sz w:val="20"/>
                <w:szCs w:val="20"/>
                <w:color w:val="auto"/>
              </w:rPr>
            </w:pPr>
            <w:r>
              <w:rPr>
                <w:rFonts w:ascii="Times New Roman" w:cs="Times New Roman" w:eastAsia="Times New Roman" w:hAnsi="Times New Roman"/>
                <w:sz w:val="20"/>
                <w:szCs w:val="20"/>
                <w:b w:val="1"/>
                <w:bCs w:val="1"/>
                <w:color w:val="auto"/>
              </w:rPr>
              <w:t>%</w:t>
            </w:r>
          </w:p>
        </w:tc>
        <w:tc>
          <w:tcPr>
            <w:tcW w:w="2040" w:type="dxa"/>
            <w:vAlign w:val="bottom"/>
            <w:tcBorders>
              <w:bottom w:val="single" w:sz="8" w:color="auto"/>
              <w:right w:val="single" w:sz="8" w:color="auto"/>
            </w:tcBorders>
            <w:shd w:val="clear" w:color="auto" w:fill="F2F2F2"/>
          </w:tcPr>
          <w:p>
            <w:pPr>
              <w:jc w:val="right"/>
              <w:ind w:right="1221"/>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tcBorders>
              <w:bottom w:val="single" w:sz="8" w:color="auto"/>
            </w:tcBorders>
            <w:shd w:val="clear" w:color="auto" w:fill="F2F2F2"/>
          </w:tcPr>
          <w:p>
            <w:pPr>
              <w:spacing w:after="0"/>
              <w:rPr>
                <w:sz w:val="21"/>
                <w:szCs w:val="21"/>
                <w:color w:val="auto"/>
              </w:rPr>
            </w:pPr>
          </w:p>
        </w:tc>
        <w:tc>
          <w:tcPr>
            <w:tcW w:w="1600" w:type="dxa"/>
            <w:vAlign w:val="bottom"/>
            <w:tcBorders>
              <w:bottom w:val="single" w:sz="8" w:color="auto"/>
              <w:right w:val="single" w:sz="8" w:color="auto"/>
            </w:tcBorders>
            <w:shd w:val="clear" w:color="auto" w:fill="F2F2F2"/>
          </w:tcPr>
          <w:p>
            <w:pPr>
              <w:jc w:val="right"/>
              <w:ind w:right="110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50"/>
        </w:trPr>
        <w:tc>
          <w:tcPr>
            <w:tcW w:w="108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285,100,993</w:t>
            </w:r>
          </w:p>
        </w:tc>
        <w:tc>
          <w:tcPr>
            <w:tcW w:w="68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color w:val="auto"/>
              </w:rPr>
              <w:t>96.22</w:t>
            </w:r>
          </w:p>
        </w:tc>
        <w:tc>
          <w:tcPr>
            <w:tcW w:w="2040" w:type="dxa"/>
            <w:vAlign w:val="bottom"/>
            <w:tcBorders>
              <w:bottom w:val="single" w:sz="8" w:color="auto"/>
              <w:right w:val="single" w:sz="8" w:color="auto"/>
            </w:tcBorders>
          </w:tcPr>
          <w:p>
            <w:pPr>
              <w:jc w:val="right"/>
              <w:ind w:right="821"/>
              <w:spacing w:after="0"/>
              <w:rPr>
                <w:sz w:val="20"/>
                <w:szCs w:val="20"/>
                <w:color w:val="auto"/>
              </w:rPr>
            </w:pPr>
            <w:r>
              <w:rPr>
                <w:rFonts w:ascii="Times New Roman" w:cs="Times New Roman" w:eastAsia="Times New Roman" w:hAnsi="Times New Roman"/>
                <w:sz w:val="20"/>
                <w:szCs w:val="20"/>
                <w:color w:val="auto"/>
              </w:rPr>
              <w:t>11,213,679</w:t>
            </w: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jc w:val="right"/>
              <w:ind w:right="1021"/>
              <w:spacing w:after="0"/>
              <w:rPr>
                <w:sz w:val="20"/>
                <w:szCs w:val="20"/>
                <w:color w:val="auto"/>
              </w:rPr>
            </w:pPr>
            <w:r>
              <w:rPr>
                <w:rFonts w:ascii="Times New Roman" w:cs="Times New Roman" w:eastAsia="Times New Roman" w:hAnsi="Times New Roman"/>
                <w:sz w:val="20"/>
                <w:szCs w:val="20"/>
                <w:color w:val="auto"/>
              </w:rPr>
              <w:t>3.78</w:t>
            </w:r>
          </w:p>
        </w:tc>
      </w:tr>
    </w:tbl>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to Common Share Purchase Warrants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resolution to approve certain amendments to the outstanding common share purchase warrants of the Company was approved by a majority of votes cast by the disinterested shareholders who voted in respect of the resolution present or represented by proxy at the Meeting. Voting results are set out below:</w:t>
      </w:r>
    </w:p>
    <w:p>
      <w:pPr>
        <w:sectPr>
          <w:pgSz w:w="11900" w:h="16838" w:orient="portrait"/>
          <w:cols w:equalWidth="0" w:num="1">
            <w:col w:w="11240"/>
          </w:cols>
          <w:pgMar w:left="320" w:top="1440" w:right="339" w:bottom="1440" w:gutter="0" w:footer="0" w:header="0"/>
        </w:sectPr>
      </w:pPr>
    </w:p>
    <w:bookmarkStart w:id="5" w:name="page6"/>
    <w:bookmarkEnd w:id="5"/>
    <w:p>
      <w:pPr>
        <w:spacing w:after="0" w:line="3" w:lineRule="exact"/>
        <w:rPr>
          <w:sz w:val="20"/>
          <w:szCs w:val="20"/>
          <w:color w:val="auto"/>
        </w:rPr>
      </w:pPr>
    </w:p>
    <w:tbl>
      <w:tblPr>
        <w:tblLayout w:type="fixed"/>
        <w:tblInd w:w="1850" w:type="dxa"/>
        <w:tblCellMar>
          <w:top w:w="0" w:type="dxa"/>
          <w:left w:w="0" w:type="dxa"/>
          <w:bottom w:w="0" w:type="dxa"/>
          <w:right w:w="0" w:type="dxa"/>
        </w:tblCellMar>
      </w:tblPr>
      <w:tr>
        <w:trPr>
          <w:trHeight w:val="270"/>
        </w:trPr>
        <w:tc>
          <w:tcPr>
            <w:tcW w:w="1400" w:type="dxa"/>
            <w:vAlign w:val="bottom"/>
            <w:tcBorders>
              <w:top w:val="single" w:sz="8" w:color="auto"/>
              <w:left w:val="single" w:sz="8" w:color="auto"/>
              <w:bottom w:val="single" w:sz="8" w:color="auto"/>
            </w:tcBorders>
            <w:shd w:val="clear" w:color="auto" w:fill="F2F2F2"/>
          </w:tcPr>
          <w:p>
            <w:pPr>
              <w:spacing w:after="0"/>
              <w:rPr>
                <w:sz w:val="23"/>
                <w:szCs w:val="23"/>
                <w:color w:val="auto"/>
              </w:rPr>
            </w:pPr>
          </w:p>
        </w:tc>
        <w:tc>
          <w:tcPr>
            <w:tcW w:w="2260" w:type="dxa"/>
            <w:vAlign w:val="bottom"/>
            <w:tcBorders>
              <w:top w:val="single" w:sz="8" w:color="auto"/>
              <w:bottom w:val="single" w:sz="8" w:color="auto"/>
              <w:right w:val="single" w:sz="8" w:color="auto"/>
            </w:tcBorders>
            <w:gridSpan w:val="2"/>
            <w:shd w:val="clear" w:color="auto" w:fill="F2F2F2"/>
          </w:tcPr>
          <w:p>
            <w:pPr>
              <w:ind w:left="20"/>
              <w:spacing w:after="0"/>
              <w:rPr>
                <w:sz w:val="20"/>
                <w:szCs w:val="20"/>
                <w:color w:val="auto"/>
              </w:rPr>
            </w:pPr>
            <w:r>
              <w:rPr>
                <w:rFonts w:ascii="Times New Roman" w:cs="Times New Roman" w:eastAsia="Times New Roman" w:hAnsi="Times New Roman"/>
                <w:sz w:val="20"/>
                <w:szCs w:val="20"/>
                <w:b w:val="1"/>
                <w:bCs w:val="1"/>
                <w:color w:val="auto"/>
              </w:rPr>
              <w:t>Votes For</w:t>
            </w:r>
          </w:p>
        </w:tc>
        <w:tc>
          <w:tcPr>
            <w:tcW w:w="2660" w:type="dxa"/>
            <w:vAlign w:val="bottom"/>
            <w:tcBorders>
              <w:top w:val="single" w:sz="8" w:color="auto"/>
              <w:bottom w:val="single" w:sz="8" w:color="auto"/>
            </w:tcBorders>
            <w:gridSpan w:val="2"/>
            <w:shd w:val="clear" w:color="auto" w:fill="F2F2F2"/>
          </w:tcPr>
          <w:p>
            <w:pPr>
              <w:ind w:left="1380"/>
              <w:spacing w:after="0"/>
              <w:rPr>
                <w:sz w:val="20"/>
                <w:szCs w:val="20"/>
                <w:color w:val="auto"/>
              </w:rPr>
            </w:pPr>
            <w:r>
              <w:rPr>
                <w:rFonts w:ascii="Times New Roman" w:cs="Times New Roman" w:eastAsia="Times New Roman" w:hAnsi="Times New Roman"/>
                <w:sz w:val="20"/>
                <w:szCs w:val="20"/>
                <w:b w:val="1"/>
                <w:bCs w:val="1"/>
                <w:color w:val="auto"/>
              </w:rPr>
              <w:t>Votes Against</w:t>
            </w:r>
          </w:p>
        </w:tc>
        <w:tc>
          <w:tcPr>
            <w:tcW w:w="1280" w:type="dxa"/>
            <w:vAlign w:val="bottom"/>
            <w:tcBorders>
              <w:top w:val="single" w:sz="8" w:color="auto"/>
              <w:bottom w:val="single" w:sz="8" w:color="auto"/>
              <w:right w:val="single" w:sz="8" w:color="auto"/>
            </w:tcBorders>
            <w:shd w:val="clear" w:color="auto" w:fill="F2F2F2"/>
          </w:tcPr>
          <w:p>
            <w:pPr>
              <w:spacing w:after="0"/>
              <w:rPr>
                <w:sz w:val="23"/>
                <w:szCs w:val="23"/>
                <w:color w:val="auto"/>
              </w:rPr>
            </w:pPr>
          </w:p>
        </w:tc>
      </w:tr>
      <w:tr>
        <w:trPr>
          <w:trHeight w:val="250"/>
        </w:trPr>
        <w:tc>
          <w:tcPr>
            <w:tcW w:w="1400" w:type="dxa"/>
            <w:vAlign w:val="bottom"/>
            <w:tcBorders>
              <w:left w:val="single" w:sz="8" w:color="auto"/>
              <w:bottom w:val="single" w:sz="8" w:color="auto"/>
            </w:tcBorders>
            <w:shd w:val="clear" w:color="auto" w:fill="F2F2F2"/>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tcBorders>
              <w:bottom w:val="single" w:sz="8" w:color="auto"/>
              <w:right w:val="single" w:sz="8" w:color="auto"/>
            </w:tcBorders>
            <w:shd w:val="clear" w:color="auto" w:fill="F2F2F2"/>
          </w:tcPr>
          <w:p>
            <w:pPr>
              <w:spacing w:after="0"/>
              <w:rPr>
                <w:sz w:val="21"/>
                <w:szCs w:val="21"/>
                <w:color w:val="auto"/>
              </w:rPr>
            </w:pPr>
          </w:p>
        </w:tc>
        <w:tc>
          <w:tcPr>
            <w:tcW w:w="1900" w:type="dxa"/>
            <w:vAlign w:val="bottom"/>
            <w:tcBorders>
              <w:bottom w:val="single" w:sz="8" w:color="auto"/>
              <w:right w:val="single" w:sz="8" w:color="auto"/>
            </w:tcBorders>
            <w:shd w:val="clear" w:color="auto" w:fill="F2F2F2"/>
          </w:tcPr>
          <w:p>
            <w:pPr>
              <w:jc w:val="right"/>
              <w:ind w:right="761"/>
              <w:spacing w:after="0"/>
              <w:rPr>
                <w:sz w:val="20"/>
                <w:szCs w:val="20"/>
                <w:color w:val="auto"/>
              </w:rPr>
            </w:pPr>
            <w:r>
              <w:rPr>
                <w:rFonts w:ascii="Times New Roman" w:cs="Times New Roman" w:eastAsia="Times New Roman" w:hAnsi="Times New Roman"/>
                <w:sz w:val="20"/>
                <w:szCs w:val="20"/>
                <w:b w:val="1"/>
                <w:bCs w:val="1"/>
                <w:color w:val="auto"/>
              </w:rPr>
              <w:t>%</w:t>
            </w:r>
          </w:p>
        </w:tc>
        <w:tc>
          <w:tcPr>
            <w:tcW w:w="2040" w:type="dxa"/>
            <w:vAlign w:val="bottom"/>
            <w:tcBorders>
              <w:bottom w:val="single" w:sz="8" w:color="auto"/>
              <w:right w:val="single" w:sz="8" w:color="auto"/>
            </w:tcBorders>
            <w:shd w:val="clear" w:color="auto" w:fill="F2F2F2"/>
          </w:tcPr>
          <w:p>
            <w:pPr>
              <w:jc w:val="right"/>
              <w:ind w:right="881"/>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Borders>
              <w:bottom w:val="single" w:sz="8" w:color="auto"/>
            </w:tcBorders>
            <w:shd w:val="clear" w:color="auto" w:fill="F2F2F2"/>
          </w:tcPr>
          <w:p>
            <w:pPr>
              <w:spacing w:after="0"/>
              <w:rPr>
                <w:sz w:val="21"/>
                <w:szCs w:val="21"/>
                <w:color w:val="auto"/>
              </w:rPr>
            </w:pPr>
          </w:p>
        </w:tc>
        <w:tc>
          <w:tcPr>
            <w:tcW w:w="1280" w:type="dxa"/>
            <w:vAlign w:val="bottom"/>
            <w:tcBorders>
              <w:bottom w:val="single" w:sz="8" w:color="auto"/>
              <w:right w:val="single" w:sz="8" w:color="auto"/>
            </w:tcBorders>
            <w:shd w:val="clear" w:color="auto" w:fill="F2F2F2"/>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50"/>
        </w:trPr>
        <w:tc>
          <w:tcPr>
            <w:tcW w:w="140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252,224,216</w:t>
            </w:r>
          </w:p>
        </w:tc>
        <w:tc>
          <w:tcPr>
            <w:tcW w:w="36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94.06</w:t>
            </w:r>
          </w:p>
        </w:tc>
        <w:tc>
          <w:tcPr>
            <w:tcW w:w="2040" w:type="dxa"/>
            <w:vAlign w:val="bottom"/>
            <w:tcBorders>
              <w:bottom w:val="single" w:sz="8" w:color="auto"/>
              <w:right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15,927,910</w:t>
            </w:r>
          </w:p>
        </w:tc>
        <w:tc>
          <w:tcPr>
            <w:tcW w:w="620" w:type="dxa"/>
            <w:vAlign w:val="bottom"/>
            <w:tcBorders>
              <w:bottom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5.94</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Consolidation</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also announces that the board of directors of the Company has approved the consolidation ratio for the proposed consolidation of the Company’s issued and outstanding common shares on the basis one new common share for every 38 existing common shares (the “</w:t>
      </w:r>
      <w:r>
        <w:rPr>
          <w:rFonts w:ascii="Times New Roman" w:cs="Times New Roman" w:eastAsia="Times New Roman" w:hAnsi="Times New Roman"/>
          <w:sz w:val="20"/>
          <w:szCs w:val="20"/>
          <w:b w:val="1"/>
          <w:bCs w:val="1"/>
          <w:color w:val="auto"/>
        </w:rPr>
        <w:t>Consolidation</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As a result of the Consolidation, the 759,692,495 common shares issued and outstanding prior to the Consolidation will be reduced to approximately 19,991,907 common shares. Each shareholder’s percentage ownership in the Company and proportional voting power remains unchanged after the Consolidation, except for minor changes and adjustments resulting from the treatment of any fractional common shares.</w:t>
      </w:r>
    </w:p>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Furthermore, 148,656,000 options and 106,255,498 common share warrants, prior to the Consolidation have been reduced to approximately 3,912,000 options, and approximately 2,796,197 common share warrants, respectively, as a result of the Consolidation.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will not be issuing fractional post-Consolidation common shares. Where the Consolidation would otherwise result in a shareholder being entitled to a fractional common shares, the number of post-Consolidation common shares issued to such shareholder shall be rounded either up or down to the next highest or lowest number of the whole consolidated Common Shares, as the case may be.</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Shareholder approval of the Consolidation was obtained at the Meeting. In connection with the Consolidation, the Company expects to send letters of transmittal to registered holders of its common shares for use in transmitting their existing share certificates (“</w:t>
      </w:r>
      <w:r>
        <w:rPr>
          <w:rFonts w:ascii="Times New Roman" w:cs="Times New Roman" w:eastAsia="Times New Roman" w:hAnsi="Times New Roman"/>
          <w:sz w:val="20"/>
          <w:szCs w:val="20"/>
          <w:b w:val="1"/>
          <w:bCs w:val="1"/>
          <w:color w:val="auto"/>
        </w:rPr>
        <w:t>Existing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Certificates</w:t>
      </w:r>
      <w:r>
        <w:rPr>
          <w:rFonts w:ascii="Times New Roman" w:cs="Times New Roman" w:eastAsia="Times New Roman" w:hAnsi="Times New Roman"/>
          <w:sz w:val="20"/>
          <w:szCs w:val="20"/>
          <w:color w:val="auto"/>
        </w:rPr>
        <w:t>”) to the Company’s registrar and transfer agent, Odyssey Trust Company, in exchange for new certificates (“</w:t>
      </w:r>
      <w:r>
        <w:rPr>
          <w:rFonts w:ascii="Times New Roman" w:cs="Times New Roman" w:eastAsia="Times New Roman" w:hAnsi="Times New Roman"/>
          <w:sz w:val="20"/>
          <w:szCs w:val="20"/>
          <w:b w:val="1"/>
          <w:bCs w:val="1"/>
          <w:color w:val="auto"/>
        </w:rPr>
        <w:t>New Certificates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representing the number of post-Consolidation common shares to which such shareholder is entitled as a result of the Consolidation. No delivery of a New Certificate to a shareholder will be made until the shareholder has surrendered its Existing Certificates. Until surrendered, each Existing Certificate shall be deemed for all purposes to represent the number of post-Consolidation common shares to which the holder is entitled as a result of the Consolidation.</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Consolidation is subject to the approval of the CBOE Canada. The Company expects the Consolidation to be effective and the trading of the common shares of the Company reflecting the Consolidation to commence on or about September 19, 2024.</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About Cybin</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Cybin is a clinical-stage breakthrough neuropsychiatry company on a mission to create safe and effective next-generation therapeutics to address the large unmet need for new and innovative treatment options for people who suffer from mental health conditions.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psilocybin analog program for the treatment of major depressive disorder and CYB004, a proprietary deuterated dimethyltryptamine molecule for generalized anxiety disorder and has a research pipeline of investigational psychedelic-based compounds.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Headquartered in Canada and founded in 2019, Cybin is operational in Canada, the United States, the United Kingdom, the Netherlands and Ireland. For Company updates and to learn more about Cybin, visit www.cybin.com or follow the Company on X, LinkedIn, YouTube and Instagram.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Notes and Forward-Looking Statements</w:t>
      </w:r>
    </w:p>
    <w:p>
      <w:pPr>
        <w:spacing w:after="0" w:line="2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Consolidation, and the Company’s plans to engineer proprietary drug discovery platforms, innovative drug delivery systems, novel formulation approaches and treatment regimens for mental health conditions.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2024 and the Company’s annual information form for the year ended March 31, 2024, which are available under the Company's profile on </w:t>
      </w:r>
      <w:r>
        <w:rPr>
          <w:rFonts w:ascii="Times New Roman" w:cs="Times New Roman" w:eastAsia="Times New Roman" w:hAnsi="Times New Roman"/>
          <w:sz w:val="20"/>
          <w:szCs w:val="20"/>
          <w:u w:val="single" w:color="auto"/>
          <w:color w:val="0000FF"/>
        </w:rPr>
        <w:t>www.sedarplus.ca</w:t>
      </w:r>
      <w:r>
        <w:rPr>
          <w:rFonts w:ascii="Times New Roman" w:cs="Times New Roman" w:eastAsia="Times New Roman" w:hAnsi="Times New Roman"/>
          <w:sz w:val="20"/>
          <w:szCs w:val="20"/>
          <w:color w:val="auto"/>
        </w:rPr>
        <w:t xml:space="preserve"> and with the U.S. Securities and Exchange Commission on EDGAR at </w:t>
      </w:r>
      <w:r>
        <w:rPr>
          <w:rFonts w:ascii="Times New Roman" w:cs="Times New Roman" w:eastAsia="Times New Roman" w:hAnsi="Times New Roman"/>
          <w:sz w:val="20"/>
          <w:szCs w:val="20"/>
          <w:u w:val="single" w:color="auto"/>
          <w:color w:val="0000FF"/>
        </w:rPr>
        <w:t>www.sec.gov</w:t>
      </w:r>
      <w:r>
        <w:rPr>
          <w:rFonts w:ascii="Times New Roman" w:cs="Times New Roman" w:eastAsia="Times New Roman" w:hAnsi="Times New Roman"/>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w:t>
      </w:r>
    </w:p>
    <w:p>
      <w:pPr>
        <w:sectPr>
          <w:pgSz w:w="11900" w:h="16838" w:orient="portrait"/>
          <w:cols w:equalWidth="0" w:num="1">
            <w:col w:w="11240"/>
          </w:cols>
          <w:pgMar w:left="320" w:top="1409" w:right="339" w:bottom="1440" w:gutter="0" w:footer="0" w:header="0"/>
        </w:sectPr>
      </w:pPr>
    </w:p>
    <w:bookmarkStart w:id="7" w:name="page8"/>
    <w:bookmarkEnd w:id="7"/>
    <w:p>
      <w:pPr>
        <w:jc w:val="both"/>
        <w:spacing w:after="0" w:line="283" w:lineRule="auto"/>
        <w:rPr>
          <w:sz w:val="20"/>
          <w:szCs w:val="20"/>
          <w:color w:val="auto"/>
        </w:rPr>
      </w:pPr>
      <w:r>
        <w:rPr>
          <w:rFonts w:ascii="Times New Roman" w:cs="Times New Roman" w:eastAsia="Times New Roman" w:hAnsi="Times New Roman"/>
          <w:sz w:val="20"/>
          <w:szCs w:val="20"/>
          <w:color w:val="auto"/>
        </w:rPr>
        <w:t>no obligation to update the forward-looking statements of beliefs, opinions, projections, or other factors, should they change, except as required by law.</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&amp; Media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Gabriel Fahel</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Legal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Inc.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1-866-292-4601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563C1"/>
        </w:rPr>
        <w:t>irteam@cybin.com</w:t>
      </w:r>
      <w:r>
        <w:rPr>
          <w:rFonts w:ascii="Times New Roman" w:cs="Times New Roman" w:eastAsia="Times New Roman" w:hAnsi="Times New Roman"/>
          <w:sz w:val="20"/>
          <w:szCs w:val="20"/>
          <w:color w:val="0563C1"/>
        </w:rPr>
        <w:t xml:space="preserve"> </w:t>
      </w:r>
      <w:r>
        <w:rPr>
          <w:rFonts w:ascii="Times New Roman" w:cs="Times New Roman" w:eastAsia="Times New Roman" w:hAnsi="Times New Roman"/>
          <w:sz w:val="20"/>
          <w:szCs w:val="20"/>
          <w:color w:val="000000"/>
        </w:rPr>
        <w:t>– or –</w:t>
      </w:r>
      <w:r>
        <w:rPr>
          <w:rFonts w:ascii="Times New Roman" w:cs="Times New Roman" w:eastAsia="Times New Roman" w:hAnsi="Times New Roman"/>
          <w:sz w:val="20"/>
          <w:szCs w:val="20"/>
          <w:color w:val="0563C1"/>
        </w:rPr>
        <w:t xml:space="preserve"> </w:t>
      </w:r>
      <w:r>
        <w:rPr>
          <w:rFonts w:ascii="Times New Roman" w:cs="Times New Roman" w:eastAsia="Times New Roman" w:hAnsi="Times New Roman"/>
          <w:sz w:val="20"/>
          <w:szCs w:val="20"/>
          <w:u w:val="single" w:color="auto"/>
          <w:color w:val="0563C1"/>
        </w:rPr>
        <w:t>media@cybin.com</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2024-08-28T08:04:57Z</dcterms:created>
  <dcterms:modified xsi:type="dcterms:W3CDTF">2024-08-28T08:04:57Z</dcterms:modified>
</cp:coreProperties>
</file>