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100" w:after="100"/>
        <w:jc w:val="center"/>
        <w:rPr/>
      </w:pPr>
      <w:r>
        <w:rPr>
          <w:rFonts w:ascii="Times New Roman;sans-serif" w:hAnsi="Times New Roman;sans-serif"/>
          <w:b/>
          <w:color w:val="000000"/>
          <w:sz w:val="20"/>
        </w:rPr>
        <w:t>UNITED STATES</w:t>
        <w:br/>
        <w:t>SECURITIES AND EXCHANGE COMMISSION</w:t>
      </w:r>
      <w:r>
        <w:rPr>
          <w:rFonts w:ascii="Times New Roman;sans-serif" w:hAnsi="Times New Roman;sans-serif"/>
          <w:b w:val="false"/>
          <w:color w:val="000000"/>
          <w:sz w:val="20"/>
        </w:rPr>
        <w:br/>
      </w:r>
      <w:r>
        <w:rPr>
          <w:rFonts w:ascii="Times New Roman;sans-serif" w:hAnsi="Times New Roman;sans-serif"/>
          <w:b/>
          <w:color w:val="000000"/>
          <w:sz w:val="20"/>
        </w:rPr>
        <w:t>Washington, D.C. 20549</w:t>
      </w:r>
      <w:r>
        <w:rPr>
          <w:rFonts w:ascii="Times New Roman;sans-serif" w:hAnsi="Times New Roman;sans-serif"/>
          <w:b w:val="false"/>
          <w:color w:val="000000"/>
          <w:sz w:val="20"/>
        </w:rPr>
        <w:br/>
        <w:br/>
      </w:r>
      <w:r>
        <w:rPr>
          <w:rFonts w:ascii="Times New Roman;sans-serif" w:hAnsi="Times New Roman;sans-serif"/>
          <w:b/>
          <w:color w:val="000000"/>
          <w:sz w:val="20"/>
        </w:rPr>
        <w:t>Form 6-K</w:t>
      </w:r>
      <w:r>
        <w:rPr>
          <w:rFonts w:ascii="Times New Roman;sans-serif" w:hAnsi="Times New Roman;sans-serif"/>
          <w:b w:val="false"/>
          <w:color w:val="000000"/>
          <w:sz w:val="20"/>
        </w:rPr>
        <w:br/>
        <w:br/>
      </w:r>
      <w:r>
        <w:rPr>
          <w:rFonts w:ascii="Times New Roman;sans-serif" w:hAnsi="Times New Roman;sans-serif"/>
          <w:b/>
          <w:color w:val="000000"/>
          <w:sz w:val="20"/>
        </w:rPr>
        <w:t>REPORT OF FOREIGN PRIVATE ISSUER PURSUANT TO RULE 13a-16 OR 15d-16</w:t>
        <w:br/>
        <w:t>UNDER THE SECURITIES EXCHANGE ACT OF 1934</w:t>
      </w:r>
    </w:p>
    <w:p>
      <w:pPr>
        <w:pStyle w:val="TextBody"/>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month of August, 2023.</w:t>
      </w:r>
    </w:p>
    <w:p>
      <w:pPr>
        <w:pStyle w:val="TextBody"/>
        <w:bidi w:val="0"/>
        <w:spacing w:lineRule="auto" w:line="240" w:before="0" w:after="0"/>
        <w:jc w:val="left"/>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001-40673</w:t>
      </w:r>
    </w:p>
    <w:p>
      <w:pPr>
        <w:pStyle w:val="TextBody"/>
        <w:bidi w:val="0"/>
        <w:spacing w:lineRule="auto" w:line="240" w:before="0" w:after="0"/>
        <w:jc w:val="center"/>
        <w:rPr/>
      </w:pPr>
      <w:r>
        <w:rPr>
          <w:rFonts w:ascii="Times New Roman;sans-serif" w:hAnsi="Times New Roman;sans-serif"/>
          <w:b/>
          <w:color w:val="000000"/>
          <w:sz w:val="20"/>
        </w:rPr>
        <w:br/>
      </w:r>
      <w:r>
        <w:rPr>
          <w:rFonts w:ascii="Times New Roman;sans-serif" w:hAnsi="Times New Roman;sans-serif"/>
          <w:b w:val="false"/>
          <w:color w:val="000000"/>
          <w:sz w:val="20"/>
        </w:rPr>
        <w:br/>
      </w:r>
      <w:r>
        <w:rPr>
          <w:rFonts w:ascii="Times New Roman;sans-serif" w:hAnsi="Times New Roman;sans-serif"/>
          <w:b/>
          <w:color w:val="000000"/>
          <w:sz w:val="24"/>
          <w:u w:val="single"/>
        </w:rPr>
        <w:t>Cybin Inc.</w:t>
      </w:r>
      <w:r>
        <w:rPr>
          <w:rFonts w:ascii="Times New Roman;sans-serif" w:hAnsi="Times New Roman;sans-serif"/>
          <w:b w:val="false"/>
          <w:color w:val="000000"/>
          <w:sz w:val="24"/>
        </w:rPr>
        <w:br/>
      </w:r>
      <w:r>
        <w:rPr>
          <w:rFonts w:ascii="Times New Roman;sans-serif" w:hAnsi="Times New Roman;sans-serif"/>
          <w:b w:val="false"/>
          <w:color w:val="000000"/>
          <w:sz w:val="20"/>
        </w:rPr>
        <w:t>(Exact Name of Registrant as Specified in Charter)</w:t>
        <w:br/>
        <w:br/>
      </w:r>
      <w:r>
        <w:rPr>
          <w:rFonts w:ascii="Times New Roman;sans-serif" w:hAnsi="Times New Roman;sans-serif"/>
          <w:b/>
          <w:color w:val="000000"/>
          <w:sz w:val="20"/>
        </w:rPr>
        <w:t xml:space="preserve">100 King Street West, Suite 5600, Toronto, Ontario, M5X 1C9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p>
      <w:pPr>
        <w:pStyle w:val="TextBody"/>
        <w:bidi w:val="0"/>
        <w:spacing w:lineRule="auto" w:line="240" w:before="0" w:after="0"/>
        <w:jc w:val="left"/>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 xml:space="preserve">Form 40-F </w:t>
      </w:r>
      <w:r>
        <w:rPr>
          <w:color w:val="000000"/>
        </w:rPr>
        <w:t>⊠</w:t>
      </w:r>
    </w:p>
    <w:p>
      <w:pPr>
        <w:pStyle w:val="TextBody"/>
        <w:bidi w:val="0"/>
        <w:spacing w:before="0" w:after="0"/>
        <w:jc w:val="left"/>
        <w:rPr/>
      </w:pPr>
      <w:r>
        <w:rPr/>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INCORPORATION BY REFERENCE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Exhibit 99.1 of this Form 6-K of Cybin Inc. (the “Company”) are hereby incorporated by reference into the Registration Statement on Form F-10 (File No. 333-259994) of the Company, as amended or supplemented.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945" w:type="dxa"/>
        <w:jc w:val="left"/>
        <w:tblInd w:w="0" w:type="dxa"/>
        <w:tblLayout w:type="fixed"/>
        <w:tblCellMar>
          <w:top w:w="28" w:type="dxa"/>
          <w:left w:w="28" w:type="dxa"/>
          <w:bottom w:w="28" w:type="dxa"/>
          <w:right w:w="28" w:type="dxa"/>
        </w:tblCellMar>
      </w:tblPr>
      <w:tblGrid>
        <w:gridCol w:w="200"/>
        <w:gridCol w:w="177"/>
        <w:gridCol w:w="178"/>
        <w:gridCol w:w="454"/>
        <w:gridCol w:w="454"/>
        <w:gridCol w:w="456"/>
        <w:gridCol w:w="210"/>
        <w:gridCol w:w="210"/>
        <w:gridCol w:w="210"/>
        <w:gridCol w:w="888"/>
        <w:gridCol w:w="563"/>
        <w:gridCol w:w="5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shd w:fill="FFFFFF" w:val="clear"/>
              </w:rPr>
              <w:t>August 8,</w:t>
            </w:r>
            <w:r>
              <w:rPr>
                <w:color w:val="000000"/>
              </w:rPr>
              <w:t xml:space="preserve"> </w:t>
            </w:r>
            <w:r>
              <w:rPr>
                <w:rFonts w:ascii="Times New Roman;sans-serif" w:hAnsi="Times New Roman;sans-serif"/>
                <w:b w:val="false"/>
                <w:color w:val="000000"/>
                <w:sz w:val="20"/>
              </w:rPr>
              <w:t>2023</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/s/ Doug Drysdale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 Drysdale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0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before="0" w:after="0"/>
        <w:jc w:val="left"/>
        <w:rPr/>
      </w:pPr>
      <w:r>
        <w:rPr/>
      </w:r>
    </w:p>
    <w:p>
      <w:pPr>
        <w:pStyle w:val="TextBody"/>
        <w:bidi w:val="0"/>
        <w:spacing w:before="0" w:after="0"/>
        <w:jc w:val="left"/>
        <w:rPr/>
      </w:pPr>
      <w:r>
        <w:rPr/>
      </w:r>
    </w:p>
    <w:tbl>
      <w:tblPr>
        <w:tblW w:w="4410" w:type="dxa"/>
        <w:jc w:val="left"/>
        <w:tblInd w:w="0" w:type="dxa"/>
        <w:tblLayout w:type="fixed"/>
        <w:tblCellMar>
          <w:top w:w="28" w:type="dxa"/>
          <w:left w:w="28" w:type="dxa"/>
          <w:bottom w:w="28" w:type="dxa"/>
          <w:right w:w="28" w:type="dxa"/>
        </w:tblCellMar>
      </w:tblPr>
      <w:tblGrid>
        <w:gridCol w:w="174"/>
        <w:gridCol w:w="153"/>
        <w:gridCol w:w="154"/>
        <w:gridCol w:w="1149"/>
        <w:gridCol w:w="1149"/>
        <w:gridCol w:w="163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ybn-materialchangereporta.htm">
              <w:r>
                <w:rPr>
                  <w:rStyle w:val="InternetLink"/>
                  <w:rFonts w:ascii="Times New Roman;sans-serif" w:hAnsi="Times New Roman;sans-serif"/>
                  <w:b w:val="false"/>
                  <w:color w:val="0000FF"/>
                  <w:sz w:val="20"/>
                  <w:u w:val="single"/>
                </w:rPr>
                <w:t>Material Change Report Dated August 8, 2023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804"/>
        <w:jc w:val="center"/>
        <w:rPr>
          <w:rFonts w:ascii="Times New Roman;sans-serif" w:hAnsi="Times New Roman;sans-serif"/>
          <w:b/>
          <w:color w:val="000000"/>
          <w:sz w:val="22"/>
        </w:rPr>
      </w:pPr>
      <w:r>
        <w:rPr>
          <w:rFonts w:ascii="Times New Roman;sans-serif" w:hAnsi="Times New Roman;sans-serif"/>
          <w:b/>
          <w:color w:val="000000"/>
          <w:sz w:val="22"/>
        </w:rPr>
        <w:t>FORM 51-102F3</w:t>
      </w:r>
    </w:p>
    <w:p>
      <w:pPr>
        <w:pStyle w:val="TextBody"/>
        <w:bidi w:val="0"/>
        <w:spacing w:lineRule="auto" w:line="240" w:before="0" w:after="120"/>
        <w:ind w:left="0" w:right="0" w:firstLine="804"/>
        <w:jc w:val="center"/>
        <w:rPr>
          <w:rFonts w:ascii="Times New Roman;sans-serif" w:hAnsi="Times New Roman;sans-serif"/>
          <w:b/>
          <w:color w:val="000000"/>
          <w:sz w:val="22"/>
        </w:rPr>
      </w:pPr>
      <w:r>
        <w:rPr>
          <w:rFonts w:ascii="Times New Roman;sans-serif" w:hAnsi="Times New Roman;sans-serif"/>
          <w:b/>
          <w:color w:val="000000"/>
          <w:sz w:val="22"/>
        </w:rPr>
        <w:t>MATERIAL CHANGE REPORT</w:t>
      </w:r>
    </w:p>
    <w:p>
      <w:pPr>
        <w:pStyle w:val="TextBody"/>
        <w:bidi w:val="0"/>
        <w:spacing w:lineRule="auto" w:line="240" w:before="0" w:after="120"/>
        <w:jc w:val="both"/>
        <w:rPr>
          <w:rFonts w:ascii="Times New Roman;sans-serif" w:hAnsi="Times New Roman;sans-serif"/>
          <w:b/>
          <w:color w:val="000000"/>
          <w:sz w:val="22"/>
        </w:rPr>
      </w:pPr>
      <w:r>
        <w:rPr>
          <w:rFonts w:ascii="Times New Roman;sans-serif" w:hAnsi="Times New Roman;sans-serif"/>
          <w:b/>
          <w:color w:val="000000"/>
          <w:sz w:val="22"/>
        </w:rPr>
        <w:t>Item 1. Name and Address of Company</w:t>
      </w:r>
    </w:p>
    <w:p>
      <w:pPr>
        <w:pStyle w:val="TextBody"/>
        <w:bidi w:val="0"/>
        <w:spacing w:lineRule="auto" w:line="240" w:before="240" w:after="283"/>
        <w:jc w:val="left"/>
        <w:rPr/>
      </w:pPr>
      <w:r>
        <w:rPr>
          <w:rFonts w:ascii="Times New Roman;sans-serif" w:hAnsi="Times New Roman;sans-serif"/>
          <w:b w:val="false"/>
          <w:color w:val="000000"/>
          <w:sz w:val="22"/>
        </w:rPr>
        <w:t>Cybin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 King Street West, Suite 5600</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Toronto, Ontario</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M5X 1C9</w:t>
      </w:r>
    </w:p>
    <w:p>
      <w:pPr>
        <w:pStyle w:val="TextBody"/>
        <w:bidi w:val="0"/>
        <w:spacing w:lineRule="auto" w:line="240" w:before="240" w:after="120"/>
        <w:jc w:val="both"/>
        <w:rPr>
          <w:rFonts w:ascii="Times New Roman;sans-serif" w:hAnsi="Times New Roman;sans-serif"/>
          <w:b/>
          <w:color w:val="000000"/>
          <w:sz w:val="22"/>
        </w:rPr>
      </w:pPr>
      <w:r>
        <w:rPr>
          <w:rFonts w:ascii="Times New Roman;sans-serif" w:hAnsi="Times New Roman;sans-serif"/>
          <w:b/>
          <w:color w:val="000000"/>
          <w:sz w:val="22"/>
        </w:rPr>
        <w:t>Item 2. Date of Material Change</w:t>
      </w:r>
    </w:p>
    <w:p>
      <w:pPr>
        <w:pStyle w:val="TextBody"/>
        <w:bidi w:val="0"/>
        <w:spacing w:lineRule="auto" w:line="240" w:before="240" w:after="120"/>
        <w:jc w:val="both"/>
        <w:rPr>
          <w:rFonts w:ascii="Times New Roman;sans-serif" w:hAnsi="Times New Roman;sans-serif"/>
          <w:b w:val="false"/>
          <w:color w:val="000000"/>
          <w:sz w:val="22"/>
        </w:rPr>
      </w:pPr>
      <w:r>
        <w:rPr>
          <w:rFonts w:ascii="Times New Roman;sans-serif" w:hAnsi="Times New Roman;sans-serif"/>
          <w:b w:val="false"/>
          <w:color w:val="000000"/>
          <w:sz w:val="22"/>
        </w:rPr>
        <w:t>July 31, 2023</w:t>
      </w:r>
    </w:p>
    <w:p>
      <w:pPr>
        <w:pStyle w:val="TextBody"/>
        <w:bidi w:val="0"/>
        <w:spacing w:lineRule="auto" w:line="240" w:before="240" w:after="120"/>
        <w:jc w:val="both"/>
        <w:rPr>
          <w:rFonts w:ascii="Times New Roman;sans-serif" w:hAnsi="Times New Roman;sans-serif"/>
          <w:b/>
          <w:color w:val="000000"/>
          <w:sz w:val="22"/>
        </w:rPr>
      </w:pPr>
      <w:r>
        <w:rPr>
          <w:rFonts w:ascii="Times New Roman;sans-serif" w:hAnsi="Times New Roman;sans-serif"/>
          <w:b/>
          <w:color w:val="000000"/>
          <w:sz w:val="22"/>
        </w:rPr>
        <w:t>Item 3. News Release</w:t>
      </w:r>
    </w:p>
    <w:p>
      <w:pPr>
        <w:pStyle w:val="TextBody"/>
        <w:bidi w:val="0"/>
        <w:spacing w:lineRule="auto" w:line="240" w:before="240" w:after="120"/>
        <w:jc w:val="both"/>
        <w:rPr/>
      </w:pPr>
      <w:r>
        <w:rPr>
          <w:rFonts w:ascii="Times New Roman;sans-serif" w:hAnsi="Times New Roman;sans-serif"/>
          <w:b w:val="false"/>
          <w:color w:val="000000"/>
          <w:sz w:val="22"/>
        </w:rPr>
        <w:t>News releases with respect to the material change were disseminated by the Company on July 31, 2023, August 1 and August 4, 2023 through BusinessWire (collectively, the “</w:t>
      </w:r>
      <w:r>
        <w:rPr>
          <w:rFonts w:ascii="Times New Roman;sans-serif" w:hAnsi="Times New Roman;sans-serif"/>
          <w:b/>
          <w:color w:val="000000"/>
          <w:sz w:val="22"/>
        </w:rPr>
        <w:t>News Releases</w:t>
      </w:r>
      <w:r>
        <w:rPr>
          <w:color w:val="000000"/>
        </w:rPr>
        <w:t>”</w:t>
      </w:r>
      <w:r>
        <w:rPr>
          <w:rFonts w:ascii="Times New Roman;sans-serif" w:hAnsi="Times New Roman;sans-serif"/>
          <w:b w:val="false"/>
          <w:color w:val="000000"/>
          <w:sz w:val="22"/>
        </w:rPr>
        <w:t>).</w:t>
      </w:r>
    </w:p>
    <w:p>
      <w:pPr>
        <w:pStyle w:val="TextBody"/>
        <w:bidi w:val="0"/>
        <w:spacing w:lineRule="auto" w:line="240" w:before="240" w:after="120"/>
        <w:jc w:val="both"/>
        <w:rPr>
          <w:rFonts w:ascii="Times New Roman;sans-serif" w:hAnsi="Times New Roman;sans-serif"/>
          <w:b/>
          <w:color w:val="000000"/>
          <w:sz w:val="22"/>
        </w:rPr>
      </w:pPr>
      <w:r>
        <w:rPr>
          <w:rFonts w:ascii="Times New Roman;sans-serif" w:hAnsi="Times New Roman;sans-serif"/>
          <w:b/>
          <w:color w:val="000000"/>
          <w:sz w:val="22"/>
        </w:rPr>
        <w:t>Item 4. Summary of Material Change</w:t>
      </w:r>
    </w:p>
    <w:p>
      <w:pPr>
        <w:pStyle w:val="TextBody"/>
        <w:bidi w:val="0"/>
        <w:spacing w:lineRule="auto" w:line="240" w:before="240" w:after="283"/>
        <w:jc w:val="both"/>
        <w:rPr/>
      </w:pPr>
      <w:r>
        <w:rPr>
          <w:rFonts w:ascii="Times New Roman;sans-serif" w:hAnsi="Times New Roman;sans-serif"/>
          <w:b w:val="false"/>
          <w:color w:val="000000"/>
          <w:sz w:val="22"/>
        </w:rPr>
        <w:t>On July 31, 2023, the Company announced that it had entered into an agreement with Cantor Fitzgerald &amp; Co., as sole book-running manager (the “</w:t>
      </w:r>
      <w:r>
        <w:rPr>
          <w:rFonts w:ascii="Times New Roman;sans-serif" w:hAnsi="Times New Roman;sans-serif"/>
          <w:b/>
          <w:color w:val="000000"/>
          <w:sz w:val="22"/>
        </w:rPr>
        <w:t>Underwriter</w:t>
      </w:r>
      <w:r>
        <w:rPr>
          <w:color w:val="000000"/>
        </w:rPr>
        <w:t>”</w:t>
      </w:r>
      <w:r>
        <w:rPr>
          <w:rFonts w:ascii="Times New Roman;sans-serif" w:hAnsi="Times New Roman;sans-serif"/>
          <w:b w:val="false"/>
          <w:color w:val="000000"/>
          <w:sz w:val="22"/>
        </w:rPr>
        <w:t>), to complete an overnight marketed public offering of units of the Company (the “</w:t>
      </w:r>
      <w:r>
        <w:rPr>
          <w:rFonts w:ascii="Times New Roman;sans-serif" w:hAnsi="Times New Roman;sans-serif"/>
          <w:b/>
          <w:color w:val="000000"/>
          <w:sz w:val="22"/>
        </w:rPr>
        <w:t>Units</w:t>
      </w:r>
      <w:r>
        <w:rPr>
          <w:color w:val="000000"/>
        </w:rPr>
        <w:t>”</w:t>
      </w:r>
      <w:r>
        <w:rPr>
          <w:rFonts w:ascii="Times New Roman;sans-serif" w:hAnsi="Times New Roman;sans-serif"/>
          <w:b w:val="false"/>
          <w:color w:val="000000"/>
          <w:sz w:val="22"/>
        </w:rPr>
        <w:t>) at a price per Unit and for aggregate gross proceeds to be determined in the context of the market (the “</w:t>
      </w:r>
      <w:r>
        <w:rPr>
          <w:rFonts w:ascii="Times New Roman;sans-serif" w:hAnsi="Times New Roman;sans-serif"/>
          <w:b/>
          <w:color w:val="000000"/>
          <w:sz w:val="22"/>
        </w:rPr>
        <w:t>Offering</w:t>
      </w:r>
      <w:r>
        <w:rPr>
          <w:color w:val="000000"/>
        </w:rPr>
        <w:t>”</w:t>
      </w:r>
      <w:r>
        <w:rPr>
          <w:rFonts w:ascii="Times New Roman;sans-serif" w:hAnsi="Times New Roman;sans-serif"/>
          <w:b w:val="false"/>
          <w:color w:val="000000"/>
          <w:sz w:val="22"/>
        </w:rPr>
        <w:t xml:space="preserve">). </w:t>
      </w:r>
    </w:p>
    <w:p>
      <w:pPr>
        <w:pStyle w:val="TextBody"/>
        <w:bidi w:val="0"/>
        <w:spacing w:lineRule="auto" w:line="240" w:before="240" w:after="283"/>
        <w:jc w:val="both"/>
        <w:rPr/>
      </w:pPr>
      <w:r>
        <w:rPr>
          <w:rFonts w:ascii="Times New Roman;sans-serif" w:hAnsi="Times New Roman;sans-serif"/>
          <w:b w:val="false"/>
          <w:color w:val="000000"/>
          <w:sz w:val="22"/>
        </w:rPr>
        <w:t>On August 1, 2023, the Company announced the pricing of the previously announced Offering, pursuant to which the Underwriter agreed to purchase 24,264,706 Units at a price of US$0.34 per Unit (the “</w:t>
      </w:r>
      <w:r>
        <w:rPr>
          <w:rFonts w:ascii="Times New Roman;sans-serif" w:hAnsi="Times New Roman;sans-serif"/>
          <w:b/>
          <w:color w:val="000000"/>
          <w:sz w:val="22"/>
        </w:rPr>
        <w:t>Issue Price</w:t>
      </w:r>
      <w:r>
        <w:rPr>
          <w:color w:val="000000"/>
        </w:rPr>
        <w:t>”</w:t>
      </w:r>
      <w:r>
        <w:rPr>
          <w:rFonts w:ascii="Times New Roman;sans-serif" w:hAnsi="Times New Roman;sans-serif"/>
          <w:b w:val="false"/>
          <w:color w:val="000000"/>
          <w:sz w:val="22"/>
        </w:rPr>
        <w:t>) for aggregate gross proceeds of US$8,250,000.</w:t>
      </w:r>
    </w:p>
    <w:p>
      <w:pPr>
        <w:pStyle w:val="TextBody"/>
        <w:bidi w:val="0"/>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4, 2023, the Company announced that it had closed the previously announced Offering. </w:t>
      </w:r>
    </w:p>
    <w:p>
      <w:pPr>
        <w:pStyle w:val="TextBody"/>
        <w:bidi w:val="0"/>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use the net proceeds from the Offering for the progression of the Company’s CYB003 and CYB004 programs, and for general corporate and working capital purposes. </w:t>
      </w:r>
    </w:p>
    <w:p>
      <w:pPr>
        <w:pStyle w:val="TextBody"/>
        <w:bidi w:val="0"/>
        <w:spacing w:lineRule="auto" w:line="240" w:before="240" w:after="283"/>
        <w:jc w:val="both"/>
        <w:rPr/>
      </w:pPr>
      <w:r>
        <w:rPr>
          <w:rFonts w:ascii="Times New Roman;sans-serif" w:hAnsi="Times New Roman;sans-serif"/>
          <w:b w:val="false"/>
          <w:color w:val="000000"/>
          <w:sz w:val="22"/>
        </w:rPr>
        <w:t>The Units were offered in each of the provinces of Canada, excluding Quebec,</w:t>
      </w:r>
      <w:r>
        <w:rPr>
          <w:color w:val="000000"/>
        </w:rPr>
        <w:t xml:space="preserve"> </w:t>
      </w:r>
      <w:r>
        <w:rPr>
          <w:rFonts w:ascii="Times New Roman;sans-serif" w:hAnsi="Times New Roman;sans-serif"/>
          <w:b w:val="false"/>
          <w:color w:val="000000"/>
          <w:sz w:val="22"/>
        </w:rPr>
        <w:t>and in the United States, pursuant to a prospectus supplement (the “</w:t>
      </w:r>
      <w:r>
        <w:rPr>
          <w:rFonts w:ascii="Times New Roman;sans-serif" w:hAnsi="Times New Roman;sans-serif"/>
          <w:b/>
          <w:color w:val="000000"/>
          <w:sz w:val="22"/>
        </w:rPr>
        <w:t>Prospectus Supplement</w:t>
      </w:r>
      <w:r>
        <w:rPr>
          <w:color w:val="000000"/>
        </w:rPr>
        <w:t>”</w:t>
      </w:r>
      <w:r>
        <w:rPr>
          <w:rFonts w:ascii="Times New Roman;sans-serif" w:hAnsi="Times New Roman;sans-serif"/>
          <w:b w:val="false"/>
          <w:color w:val="000000"/>
          <w:sz w:val="22"/>
        </w:rPr>
        <w:t>) to the Company’s short form base shelf prospectus dated July 5, 2021 (the “</w:t>
      </w:r>
      <w:r>
        <w:rPr>
          <w:rFonts w:ascii="Times New Roman;sans-serif" w:hAnsi="Times New Roman;sans-serif"/>
          <w:b/>
          <w:color w:val="000000"/>
          <w:sz w:val="22"/>
        </w:rPr>
        <w:t>Base Shelf Prospectus</w:t>
      </w:r>
      <w:r>
        <w:rPr>
          <w:color w:val="000000"/>
        </w:rPr>
        <w:t>”</w:t>
      </w:r>
      <w:r>
        <w:rPr>
          <w:rFonts w:ascii="Times New Roman;sans-serif" w:hAnsi="Times New Roman;sans-serif"/>
          <w:b w:val="false"/>
          <w:color w:val="000000"/>
          <w:sz w:val="22"/>
        </w:rPr>
        <w:t>). The Prospectus Supplement was filed with the United States Securities and Exchange Commission (the “</w:t>
      </w:r>
      <w:r>
        <w:rPr>
          <w:rFonts w:ascii="Times New Roman;sans-serif" w:hAnsi="Times New Roman;sans-serif"/>
          <w:b/>
          <w:color w:val="000000"/>
          <w:sz w:val="22"/>
        </w:rPr>
        <w:t>SEC</w:t>
      </w:r>
      <w:r>
        <w:rPr>
          <w:color w:val="000000"/>
        </w:rPr>
        <w:t>”</w:t>
      </w:r>
      <w:r>
        <w:rPr>
          <w:rFonts w:ascii="Times New Roman;sans-serif" w:hAnsi="Times New Roman;sans-serif"/>
          <w:b w:val="false"/>
          <w:color w:val="000000"/>
          <w:sz w:val="22"/>
        </w:rPr>
        <w:t xml:space="preserve">), as part of a registration statement on Form F-10, which was declared effective by the SEC on October 8, 2021 in accordance with the Multijurisdictional Disclosure System established between Canada and the United States. </w:t>
      </w:r>
    </w:p>
    <w:p>
      <w:pPr>
        <w:pStyle w:val="TextBody"/>
        <w:bidi w:val="0"/>
        <w:spacing w:lineRule="auto" w:line="240" w:before="240" w:after="120"/>
        <w:jc w:val="both"/>
        <w:rPr>
          <w:rFonts w:ascii="Times New Roman;sans-serif" w:hAnsi="Times New Roman;sans-serif"/>
          <w:b/>
          <w:color w:val="000000"/>
          <w:sz w:val="22"/>
        </w:rPr>
      </w:pPr>
      <w:r>
        <w:rPr>
          <w:rFonts w:ascii="Times New Roman;sans-serif" w:hAnsi="Times New Roman;sans-serif"/>
          <w:b/>
          <w:color w:val="000000"/>
          <w:sz w:val="22"/>
        </w:rPr>
        <w:t>Item 5. Full Description of Material Change</w:t>
      </w:r>
    </w:p>
    <w:p>
      <w:pPr>
        <w:pStyle w:val="TextBody"/>
        <w:bidi w:val="0"/>
        <w:spacing w:lineRule="auto" w:line="240" w:before="24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See the full text of each of the News Releases attached hereto as Schedules “A”, “B” and “C”. </w:t>
      </w:r>
    </w:p>
    <w:p>
      <w:pPr>
        <w:pStyle w:val="TextBody"/>
        <w:bidi w:val="0"/>
        <w:spacing w:lineRule="auto" w:line="240" w:before="240" w:after="120"/>
        <w:jc w:val="both"/>
        <w:rPr>
          <w:rFonts w:ascii="Times New Roman;sans-serif" w:hAnsi="Times New Roman;sans-serif"/>
          <w:b/>
          <w:color w:val="000000"/>
          <w:sz w:val="22"/>
        </w:rPr>
      </w:pPr>
      <w:r>
        <w:rPr>
          <w:rFonts w:ascii="Times New Roman;sans-serif" w:hAnsi="Times New Roman;sans-serif"/>
          <w:b/>
          <w:color w:val="000000"/>
          <w:sz w:val="22"/>
        </w:rPr>
        <w:t>Item 6. Reliance on subsection 7.1(2) of National Instrument 51-102</w:t>
      </w:r>
    </w:p>
    <w:p>
      <w:pPr>
        <w:pStyle w:val="TextBody"/>
        <w:bidi w:val="0"/>
        <w:spacing w:lineRule="auto" w:line="240" w:before="240" w:after="120"/>
        <w:jc w:val="both"/>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bidi w:val="0"/>
        <w:spacing w:lineRule="auto" w:line="240" w:before="240" w:after="120"/>
        <w:jc w:val="both"/>
        <w:rPr>
          <w:rFonts w:ascii="Times New Roman;sans-serif" w:hAnsi="Times New Roman;sans-serif"/>
          <w:b/>
          <w:color w:val="000000"/>
          <w:sz w:val="22"/>
        </w:rPr>
      </w:pPr>
      <w:r>
        <w:rPr>
          <w:rFonts w:ascii="Times New Roman;sans-serif" w:hAnsi="Times New Roman;sans-serif"/>
          <w:b/>
          <w:color w:val="000000"/>
          <w:sz w:val="22"/>
        </w:rPr>
        <w:t>Item 7. Omitted Information</w:t>
      </w:r>
    </w:p>
    <w:p>
      <w:pPr>
        <w:pStyle w:val="TextBody"/>
        <w:bidi w:val="0"/>
        <w:spacing w:lineRule="auto" w:line="240" w:before="240" w:after="120"/>
        <w:jc w:val="both"/>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120"/>
        <w:jc w:val="both"/>
        <w:rPr>
          <w:rFonts w:ascii="Times New Roman;sans-serif" w:hAnsi="Times New Roman;sans-serif"/>
          <w:b/>
          <w:color w:val="000000"/>
          <w:sz w:val="22"/>
        </w:rPr>
      </w:pPr>
      <w:r>
        <w:rPr>
          <w:rFonts w:ascii="Times New Roman;sans-serif" w:hAnsi="Times New Roman;sans-serif"/>
          <w:b/>
          <w:color w:val="000000"/>
          <w:sz w:val="22"/>
        </w:rPr>
        <w:t>Item 8. Executive Officer</w:t>
      </w:r>
    </w:p>
    <w:p>
      <w:pPr>
        <w:pStyle w:val="TextBody"/>
        <w:bidi w:val="0"/>
        <w:spacing w:lineRule="auto" w:line="240" w:before="240" w:after="120"/>
        <w:jc w:val="both"/>
        <w:rPr>
          <w:rFonts w:ascii="Times New Roman;sans-serif" w:hAnsi="Times New Roman;sans-serif"/>
          <w:b w:val="false"/>
          <w:color w:val="000000"/>
          <w:sz w:val="22"/>
        </w:rPr>
      </w:pPr>
      <w:r>
        <w:rPr>
          <w:rFonts w:ascii="Times New Roman;sans-serif" w:hAnsi="Times New Roman;sans-serif"/>
          <w:b w:val="false"/>
          <w:color w:val="000000"/>
          <w:sz w:val="22"/>
        </w:rPr>
        <w:t>Further information regarding the matters described in this report may be obtained from Douglas Drysdale, Chief Executive Officer of the Company, who is knowledgeable about the details of the material change and may be contacted at 1-866-292-4601.</w:t>
      </w:r>
    </w:p>
    <w:p>
      <w:pPr>
        <w:pStyle w:val="TextBody"/>
        <w:bidi w:val="0"/>
        <w:spacing w:lineRule="auto" w:line="240" w:before="240" w:after="120"/>
        <w:jc w:val="both"/>
        <w:rPr>
          <w:rFonts w:ascii="Times New Roman;sans-serif" w:hAnsi="Times New Roman;sans-serif"/>
          <w:b/>
          <w:color w:val="000000"/>
          <w:sz w:val="22"/>
        </w:rPr>
      </w:pPr>
      <w:r>
        <w:rPr>
          <w:rFonts w:ascii="Times New Roman;sans-serif" w:hAnsi="Times New Roman;sans-serif"/>
          <w:b/>
          <w:color w:val="000000"/>
          <w:sz w:val="22"/>
        </w:rPr>
        <w:t>Item 9. Date of Report</w:t>
      </w:r>
    </w:p>
    <w:p>
      <w:pPr>
        <w:pStyle w:val="TextBody"/>
        <w:bidi w:val="0"/>
        <w:spacing w:lineRule="auto" w:line="240"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August 8,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“A”</w:t>
      </w:r>
    </w:p>
    <w:p>
      <w:pPr>
        <w:pStyle w:val="TextBody"/>
        <w:bidi w:val="0"/>
        <w:spacing w:before="0" w:after="0"/>
        <w:jc w:val="center"/>
        <w:rPr/>
      </w:pPr>
      <w:r>
        <w:rPr/>
        <w:drawing>
          <wp:inline distT="0" distB="0" distL="0" distR="0">
            <wp:extent cx="1876425" cy="10953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876425" cy="109537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CYBIN ANNOUNCES OVERNIGHT MARKETED PUBLIC OFFERING </w:t>
        <w:br/>
        <w:t>OF UNITS</w:t>
      </w:r>
    </w:p>
    <w:p>
      <w:pPr>
        <w:pStyle w:val="TextBody"/>
        <w:bidi w:val="0"/>
        <w:spacing w:lineRule="auto" w:line="240" w:before="0" w:after="0"/>
        <w:jc w:val="both"/>
        <w:rPr/>
      </w:pPr>
      <w:r>
        <w:rPr>
          <w:rFonts w:ascii="Times New Roman;sans-serif" w:hAnsi="Times New Roman;sans-serif"/>
          <w:b w:val="false"/>
          <w:color w:val="000000"/>
          <w:sz w:val="22"/>
        </w:rPr>
        <w:t>TORONTO - July 31, 2023 - Cybin Inc. (NEO: CYBN) (NYSE American: CYBN) (“</w:t>
      </w:r>
      <w:r>
        <w:rPr>
          <w:rFonts w:ascii="Times New Roman;sans-serif" w:hAnsi="Times New Roman;sans-serif"/>
          <w:b/>
          <w:color w:val="000000"/>
          <w:sz w:val="22"/>
        </w:rPr>
        <w:t>Cybin</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a clinical-stage biopharmaceutical company committed to revolutionizing mental healthcare by developing new and innovative psychedelic-based treatment options, is pleased to announce that it has launched an overnight marketed public offering of units of the Company (the “</w:t>
      </w:r>
      <w:r>
        <w:rPr>
          <w:rFonts w:ascii="Times New Roman;sans-serif" w:hAnsi="Times New Roman;sans-serif"/>
          <w:b/>
          <w:color w:val="000000"/>
          <w:sz w:val="22"/>
        </w:rPr>
        <w:t>Unit</w:t>
      </w:r>
      <w:r>
        <w:rPr>
          <w:rFonts w:ascii="Times New Roman;sans-serif" w:hAnsi="Times New Roman;sans-serif"/>
          <w:b w:val="false"/>
          <w:color w:val="000000"/>
          <w:sz w:val="22"/>
        </w:rPr>
        <w:t>s”) at a price per Unit and for aggregate gross proceeds to be determined in the context of the market (the “</w:t>
      </w:r>
      <w:r>
        <w:rPr>
          <w:rFonts w:ascii="Times New Roman;sans-serif" w:hAnsi="Times New Roman;sans-serif"/>
          <w:b/>
          <w:color w:val="000000"/>
          <w:sz w:val="22"/>
        </w:rPr>
        <w:t>Offering</w:t>
      </w:r>
      <w:r>
        <w:rPr>
          <w:color w:val="000000"/>
        </w:rPr>
        <w:t>”</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Each Unit will be comprised of one common share in the capital of the Company (a “</w:t>
      </w:r>
      <w:r>
        <w:rPr>
          <w:rFonts w:ascii="Times New Roman;sans-serif" w:hAnsi="Times New Roman;sans-serif"/>
          <w:b/>
          <w:color w:val="000000"/>
          <w:sz w:val="22"/>
        </w:rPr>
        <w:t>Common Share</w:t>
      </w:r>
      <w:r>
        <w:rPr>
          <w:color w:val="000000"/>
        </w:rPr>
        <w:t>”</w:t>
      </w:r>
      <w:r>
        <w:rPr>
          <w:rFonts w:ascii="Times New Roman;sans-serif" w:hAnsi="Times New Roman;sans-serif"/>
          <w:b w:val="false"/>
          <w:color w:val="000000"/>
          <w:sz w:val="22"/>
        </w:rPr>
        <w:t>) and one</w:t>
      </w:r>
      <w:r>
        <w:rPr>
          <w:color w:val="000000"/>
        </w:rPr>
        <w:t xml:space="preserve"> </w:t>
      </w:r>
      <w:r>
        <w:rPr>
          <w:rFonts w:ascii="Times New Roman;sans-serif" w:hAnsi="Times New Roman;sans-serif"/>
          <w:b w:val="false"/>
          <w:color w:val="000000"/>
          <w:sz w:val="22"/>
        </w:rPr>
        <w:t>Common Share purchase warrant (each whole Common Share purchase warrant, a “</w:t>
      </w:r>
      <w:r>
        <w:rPr>
          <w:rFonts w:ascii="Times New Roman;sans-serif" w:hAnsi="Times New Roman;sans-serif"/>
          <w:b/>
          <w:color w:val="000000"/>
          <w:sz w:val="22"/>
        </w:rPr>
        <w:t>Warrant</w:t>
      </w:r>
      <w:r>
        <w:rPr>
          <w:color w:val="000000"/>
        </w:rPr>
        <w:t>”</w:t>
      </w:r>
      <w:r>
        <w:rPr>
          <w:rFonts w:ascii="Times New Roman;sans-serif" w:hAnsi="Times New Roman;sans-serif"/>
          <w:b w:val="false"/>
          <w:color w:val="000000"/>
          <w:sz w:val="22"/>
        </w:rPr>
        <w:t>). The terms of the Warrants will be determined in the context of the market.</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Cantor Fitzgerald &amp; Co. is acting as the sole book-running manager for the Offering. A.G.P./Alliance Global Partners is acting as lead manager for the Offering.</w:t>
      </w:r>
    </w:p>
    <w:p>
      <w:pPr>
        <w:pStyle w:val="TextBody"/>
        <w:bidi w:val="0"/>
        <w:spacing w:lineRule="auto" w:line="240" w:before="0" w:after="240"/>
        <w:jc w:val="both"/>
        <w:rPr/>
      </w:pPr>
      <w:r>
        <w:rPr>
          <w:rFonts w:ascii="Times New Roman;sans-serif" w:hAnsi="Times New Roman;sans-serif"/>
          <w:b w:val="false"/>
          <w:color w:val="000000"/>
          <w:sz w:val="22"/>
        </w:rPr>
        <w:t>The definitive Offering terms will be confirmed at the time of pricing pursuant to the terms of an underwriting agreement to be entered into between the Company and Cantor Fitzgerald &amp; Co.. There can be no assurance as to whether or when the Offering may be completed, or as to the actual size or terms of the Offering. The Offering is expected to close on or about August 4, 2023, or such other date as the Cantor Fitzgerald &amp; Co. and the Company may agree, and completion of the Offering will be subject to market and other customary conditions, including approval of the Neo Exchange Inc., now operating as Cboe Canada (the “</w:t>
      </w:r>
      <w:r>
        <w:rPr>
          <w:rFonts w:ascii="Times New Roman;sans-serif" w:hAnsi="Times New Roman;sans-serif"/>
          <w:b/>
          <w:color w:val="000000"/>
          <w:sz w:val="22"/>
        </w:rPr>
        <w:t>Exchange</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use the net proceeds from the Offering for the progression of the Company’s CYB003 and CYB004 programs, and for general corporate and working capital purposes. </w:t>
      </w:r>
    </w:p>
    <w:p>
      <w:pPr>
        <w:pStyle w:val="TextBody"/>
        <w:bidi w:val="0"/>
        <w:spacing w:lineRule="auto" w:line="240" w:before="0" w:after="240"/>
        <w:jc w:val="both"/>
        <w:rPr/>
      </w:pPr>
      <w:r>
        <w:rPr>
          <w:rFonts w:ascii="Times New Roman;sans-serif" w:hAnsi="Times New Roman;sans-serif"/>
          <w:b w:val="false"/>
          <w:color w:val="000000"/>
          <w:sz w:val="22"/>
        </w:rPr>
        <w:t>The Units will be offered in each of the provinces of Canada, excluding Quebec</w:t>
      </w:r>
      <w:r>
        <w:rPr>
          <w:color w:val="000000"/>
        </w:rPr>
        <w:t xml:space="preserve"> </w:t>
      </w:r>
      <w:r>
        <w:rPr>
          <w:rFonts w:ascii="Times New Roman;sans-serif" w:hAnsi="Times New Roman;sans-serif"/>
          <w:b w:val="false"/>
          <w:color w:val="000000"/>
          <w:sz w:val="22"/>
        </w:rPr>
        <w:t>and in the United States, pursuant to a prospectus supplement (the “</w:t>
      </w:r>
      <w:r>
        <w:rPr>
          <w:rFonts w:ascii="Times New Roman;sans-serif" w:hAnsi="Times New Roman;sans-serif"/>
          <w:b/>
          <w:color w:val="000000"/>
          <w:sz w:val="22"/>
        </w:rPr>
        <w:t>Prospectus Supplement</w:t>
      </w:r>
      <w:r>
        <w:rPr>
          <w:color w:val="000000"/>
        </w:rPr>
        <w:t>”</w:t>
      </w:r>
      <w:r>
        <w:rPr>
          <w:rFonts w:ascii="Times New Roman;sans-serif" w:hAnsi="Times New Roman;sans-serif"/>
          <w:b w:val="false"/>
          <w:color w:val="000000"/>
          <w:sz w:val="22"/>
        </w:rPr>
        <w:t>) to the Company’s short form base shelf prospectus dated July 5, 2021 (the “</w:t>
      </w:r>
      <w:r>
        <w:rPr>
          <w:rFonts w:ascii="Times New Roman;sans-serif" w:hAnsi="Times New Roman;sans-serif"/>
          <w:b/>
          <w:color w:val="000000"/>
          <w:sz w:val="22"/>
        </w:rPr>
        <w:t>Base Shelf Prospectus</w:t>
      </w:r>
      <w:r>
        <w:rPr>
          <w:color w:val="000000"/>
        </w:rPr>
        <w:t>”</w:t>
      </w:r>
      <w:r>
        <w:rPr>
          <w:rFonts w:ascii="Times New Roman;sans-serif" w:hAnsi="Times New Roman;sans-serif"/>
          <w:b w:val="false"/>
          <w:color w:val="000000"/>
          <w:sz w:val="22"/>
        </w:rPr>
        <w:t>). The Prospectus Supplement will also be filed with the United States Securities and Exchange Commission (the “</w:t>
      </w:r>
      <w:r>
        <w:rPr>
          <w:rFonts w:ascii="Times New Roman;sans-serif" w:hAnsi="Times New Roman;sans-serif"/>
          <w:b/>
          <w:color w:val="000000"/>
          <w:sz w:val="22"/>
        </w:rPr>
        <w:t>SEC</w:t>
      </w:r>
      <w:r>
        <w:rPr>
          <w:color w:val="000000"/>
        </w:rPr>
        <w:t>”</w:t>
      </w:r>
      <w:r>
        <w:rPr>
          <w:rFonts w:ascii="Times New Roman;sans-serif" w:hAnsi="Times New Roman;sans-serif"/>
          <w:b w:val="false"/>
          <w:color w:val="000000"/>
          <w:sz w:val="22"/>
        </w:rPr>
        <w:t xml:space="preserve">), as part of a registration statement on Form F-10, which was declared effective by the SEC on October 8, 2021 in accordance with the Multijurisdictional Disclosure System established between Canada and the United States. Prior to forming an investment decision, prospective investors should read the Base Shelf Prospectus and the documents incorporated by reference therein, including any marketing materials, which are available on the Company’s SEDAR profile available at </w:t>
      </w:r>
      <w:r>
        <w:rPr>
          <w:rFonts w:ascii="Times New Roman;sans-serif" w:hAnsi="Times New Roman;sans-serif"/>
          <w:b w:val="false"/>
          <w:color w:val="0000FF"/>
          <w:sz w:val="22"/>
          <w:u w:val="single"/>
        </w:rPr>
        <w:t>www.sedarplus.ca</w:t>
      </w:r>
      <w:r>
        <w:rPr>
          <w:color w:val="000000"/>
        </w:rPr>
        <w:t xml:space="preserve"> </w:t>
      </w:r>
      <w:r>
        <w:rPr>
          <w:rFonts w:ascii="Times New Roman;sans-serif" w:hAnsi="Times New Roman;sans-serif"/>
          <w:b w:val="false"/>
          <w:color w:val="000000"/>
          <w:sz w:val="22"/>
        </w:rPr>
        <w:t xml:space="preserve">and the Company’s EDGAR profile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 xml:space="preserve">. When available, copies of the Prospectus Supplement and Base Shelf Prospectus may be obtained by contacting Cantor Fitzgerald &amp; Co., Attention: Capital Markets, 499 Park Avenue, 4th Floor, New York, NY 10022, or by email at prospectus@cantor.com.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This news release does not constitute an offer to sell or the solicitation of an offer to buy securities, nor will there be any sale of the securities, in any jurisdiction in which such offer, solicitation or sale would be unlawful.</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Suspension of the Company’s Purchases under the LPC Agreement</w:t>
      </w:r>
    </w:p>
    <w:p>
      <w:pPr>
        <w:pStyle w:val="TextBody"/>
        <w:bidi w:val="0"/>
        <w:spacing w:lineRule="auto" w:line="240" w:before="0" w:after="240"/>
        <w:jc w:val="both"/>
        <w:rPr/>
      </w:pPr>
      <w:r>
        <w:rPr>
          <w:rFonts w:ascii="Times New Roman;sans-serif" w:hAnsi="Times New Roman;sans-serif"/>
          <w:b w:val="false"/>
          <w:color w:val="000000"/>
          <w:sz w:val="22"/>
        </w:rPr>
        <w:t>In the context of arranging for Offering, on July 31, 2023, the Company provided notice to Lincoln Park Capital Fund (“</w:t>
      </w:r>
      <w:r>
        <w:rPr>
          <w:rFonts w:ascii="Times New Roman;sans-serif" w:hAnsi="Times New Roman;sans-serif"/>
          <w:b/>
          <w:color w:val="000000"/>
          <w:sz w:val="22"/>
        </w:rPr>
        <w:t>LPC</w:t>
      </w:r>
      <w:r>
        <w:rPr>
          <w:color w:val="000000"/>
        </w:rPr>
        <w:t>”</w:t>
      </w:r>
      <w:r>
        <w:rPr>
          <w:rFonts w:ascii="Times New Roman;sans-serif" w:hAnsi="Times New Roman;sans-serif"/>
          <w:b w:val="false"/>
          <w:color w:val="000000"/>
          <w:sz w:val="22"/>
        </w:rPr>
        <w:t>) of the Company’s intention to suspend purchases under its purchase agreement (the “</w:t>
      </w:r>
      <w:r>
        <w:rPr>
          <w:rFonts w:ascii="Times New Roman;sans-serif" w:hAnsi="Times New Roman;sans-serif"/>
          <w:b/>
          <w:color w:val="000000"/>
          <w:sz w:val="22"/>
        </w:rPr>
        <w:t>Purchase Agreement</w:t>
      </w:r>
      <w:r>
        <w:rPr>
          <w:color w:val="000000"/>
        </w:rPr>
        <w:t>”</w:t>
      </w:r>
      <w:r>
        <w:rPr>
          <w:rFonts w:ascii="Times New Roman;sans-serif" w:hAnsi="Times New Roman;sans-serif"/>
          <w:b w:val="false"/>
          <w:color w:val="000000"/>
          <w:sz w:val="22"/>
        </w:rPr>
        <w:t>) effective immediately. The Purchase Agreement was entered on May 30, 2023, allowing the Company to issue Common Shares with a value of up to US$30 million from treasury to LPC from time to time at the Company’s discretion for a period of up to 36 months. The sale of Common Shares under the Purchase Agreement was qualified under a prospectus supplement dated May 30, 2023 to the Base Shelf Prospectus (the “</w:t>
      </w:r>
      <w:r>
        <w:rPr>
          <w:rFonts w:ascii="Times New Roman;sans-serif" w:hAnsi="Times New Roman;sans-serif"/>
          <w:b/>
          <w:color w:val="000000"/>
          <w:sz w:val="22"/>
        </w:rPr>
        <w:t>May Supplement</w:t>
      </w:r>
      <w:r>
        <w:rPr>
          <w:color w:val="000000"/>
        </w:rPr>
        <w:t>”</w:t>
      </w:r>
      <w:r>
        <w:rPr>
          <w:rFonts w:ascii="Times New Roman;sans-serif" w:hAnsi="Times New Roman;sans-serif"/>
          <w:b w:val="false"/>
          <w:color w:val="000000"/>
          <w:sz w:val="22"/>
        </w:rPr>
        <w:t xml:space="preserve">). The Company sold a total of US$465,273 under the Purchase Agreement prior to the suspension of sales. No further Common Shares will be sold to LPC pursuant to the May Supplement. Subject to receipt of all necessary regulatory approvals, the Company intends to  file a new supplement with respect to the Purchase Agreement to be filed under a new base shelf prospectus.  </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About Cybin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is a clinical-stage biopharmaceutical company on a mission to create safe and effective psychedelic-based therapeutics to address the large unmet need for new and innovative treatment options for people who suffer from mental health conditions.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Headquartered in Canada and founded in 2019, Cybin is operational in Canada, the United States, the United Kingdom, the Netherlands and Ireland. </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Cautionary Notes and Forward-Looking Statements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statements in this press release constitute forward-looking information and forward-looking statements within the meaning of applicable securities laws (together, “forward-looking statements”).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anticipated closing of the Offering, the use of Offering proceeds, the receipt of applicable regulatory approvals, including the approval of the Exchange, the Company’s ability to relaunch sales under the LPC Agreement, and the Company’s ability to address the need for new and innovative treatment options for people who suffer from mental health conditions.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employee relations; the presence of laws and regulations that may impose restrictions in the markets where the Company operates; and the risk factors set out in the Company's management's discussion and analysis for the year ended March 31, 2023, the Company’s annual information form for the year ended March 31, 2023, and the Company's listing statement dated November 9, 2020, which are available under the Company's profile on www.sedar.com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Neither the Neo Exchange Inc. nor the NYSE American LLC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Investor &amp; Media Contact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Gabriel Fahel</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Legal Officer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Cybin Inc.</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1-866-292-4601</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irteam@cybin.com – or – media@cybin.com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“B”</w:t>
      </w:r>
    </w:p>
    <w:p>
      <w:pPr>
        <w:pStyle w:val="TextBody"/>
        <w:bidi w:val="0"/>
        <w:spacing w:before="0" w:after="0"/>
        <w:jc w:val="center"/>
        <w:rPr/>
      </w:pPr>
      <w:r>
        <w:rPr/>
        <w:drawing>
          <wp:inline distT="0" distB="0" distL="0" distR="0">
            <wp:extent cx="1771650" cy="10287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771650" cy="1028700"/>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br/>
        <w:t xml:space="preserve">CYBIN ANNOUNCES SIZE AND PRICING OF PREVIOUSLY ANNOUNCED </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OVERNIGHT MARKETED PUBLIC OFFERING OF UNITS</w:t>
      </w:r>
    </w:p>
    <w:p>
      <w:pPr>
        <w:pStyle w:val="TextBody"/>
        <w:bidi w:val="0"/>
        <w:spacing w:lineRule="auto" w:line="240" w:before="0" w:after="0"/>
        <w:jc w:val="both"/>
        <w:rPr/>
      </w:pPr>
      <w:r>
        <w:rPr>
          <w:rFonts w:ascii="Times New Roman;sans-serif" w:hAnsi="Times New Roman;sans-serif"/>
          <w:b w:val="false"/>
          <w:color w:val="000000"/>
          <w:sz w:val="22"/>
        </w:rPr>
        <w:t>TORONTO - August 1, 2023 - Cybin Inc. (NEO: CYBN) (NYSE American: CYBN) (“</w:t>
      </w:r>
      <w:r>
        <w:rPr>
          <w:rFonts w:ascii="Times New Roman;sans-serif" w:hAnsi="Times New Roman;sans-serif"/>
          <w:b/>
          <w:color w:val="000000"/>
          <w:sz w:val="22"/>
        </w:rPr>
        <w:t>Cybin</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a clinical-stage biopharmaceutical company committed to revolutionizing mental healthcare by developing new and innovative psychedelic-based treatment options, announced today the pricing of its previously announced overnight marketed public offering (the “</w:t>
      </w:r>
      <w:r>
        <w:rPr>
          <w:rFonts w:ascii="Times New Roman;sans-serif" w:hAnsi="Times New Roman;sans-serif"/>
          <w:b/>
          <w:color w:val="000000"/>
          <w:sz w:val="22"/>
        </w:rPr>
        <w:t>Offering</w:t>
      </w:r>
      <w:r>
        <w:rPr>
          <w:color w:val="000000"/>
        </w:rPr>
        <w:t>”</w:t>
      </w:r>
      <w:r>
        <w:rPr>
          <w:rFonts w:ascii="Times New Roman;sans-serif" w:hAnsi="Times New Roman;sans-serif"/>
          <w:b w:val="false"/>
          <w:color w:val="000000"/>
          <w:sz w:val="22"/>
        </w:rPr>
        <w:t>) of an aggregate of 24,264,706 units of the Company (the “</w:t>
      </w:r>
      <w:r>
        <w:rPr>
          <w:rFonts w:ascii="Times New Roman;sans-serif" w:hAnsi="Times New Roman;sans-serif"/>
          <w:b/>
          <w:color w:val="000000"/>
          <w:sz w:val="22"/>
        </w:rPr>
        <w:t>Units</w:t>
      </w:r>
      <w:r>
        <w:rPr>
          <w:color w:val="000000"/>
        </w:rPr>
        <w:t>”</w:t>
      </w:r>
      <w:r>
        <w:rPr>
          <w:rFonts w:ascii="Times New Roman;sans-serif" w:hAnsi="Times New Roman;sans-serif"/>
          <w:b w:val="false"/>
          <w:color w:val="000000"/>
          <w:sz w:val="22"/>
        </w:rPr>
        <w:t>) at a price of US$0.34 per Unit for aggregate gross proceeds of US$8,250,000.</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Each Unit will be comprised of one common share in the capital of the Company (a “</w:t>
      </w:r>
      <w:r>
        <w:rPr>
          <w:rFonts w:ascii="Times New Roman;sans-serif" w:hAnsi="Times New Roman;sans-serif"/>
          <w:b/>
          <w:color w:val="000000"/>
          <w:sz w:val="22"/>
        </w:rPr>
        <w:t>Common Share</w:t>
      </w:r>
      <w:r>
        <w:rPr>
          <w:color w:val="000000"/>
        </w:rPr>
        <w:t>”</w:t>
      </w:r>
      <w:r>
        <w:rPr>
          <w:rFonts w:ascii="Times New Roman;sans-serif" w:hAnsi="Times New Roman;sans-serif"/>
          <w:b w:val="false"/>
          <w:color w:val="000000"/>
          <w:sz w:val="22"/>
        </w:rPr>
        <w:t>) and one</w:t>
      </w:r>
      <w:r>
        <w:rPr>
          <w:color w:val="000000"/>
        </w:rPr>
        <w:t xml:space="preserve"> </w:t>
      </w:r>
      <w:r>
        <w:rPr>
          <w:rFonts w:ascii="Times New Roman;sans-serif" w:hAnsi="Times New Roman;sans-serif"/>
          <w:b w:val="false"/>
          <w:color w:val="000000"/>
          <w:sz w:val="22"/>
        </w:rPr>
        <w:t>Common Share purchase warrant (each whole Common Share purchase warrant, a “</w:t>
      </w:r>
      <w:r>
        <w:rPr>
          <w:rFonts w:ascii="Times New Roman;sans-serif" w:hAnsi="Times New Roman;sans-serif"/>
          <w:b/>
          <w:color w:val="000000"/>
          <w:sz w:val="22"/>
        </w:rPr>
        <w:t>Warrant</w:t>
      </w:r>
      <w:r>
        <w:rPr>
          <w:color w:val="000000"/>
        </w:rPr>
        <w:t>”</w:t>
      </w:r>
      <w:r>
        <w:rPr>
          <w:rFonts w:ascii="Times New Roman;sans-serif" w:hAnsi="Times New Roman;sans-serif"/>
          <w:b w:val="false"/>
          <w:color w:val="000000"/>
          <w:sz w:val="22"/>
        </w:rPr>
        <w:t>). Each Warrant will be exercisable to acquire one Common Share at a price of US$0.40 per Common Share for a period of 60 months.</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Cantor Fitzgerald &amp; Co. is acting as the sole book-running manager for the Offering. A.G.P./Alliance Global Partners is acting as lead manager for the Offering. </w:t>
      </w:r>
    </w:p>
    <w:p>
      <w:pPr>
        <w:pStyle w:val="TextBody"/>
        <w:bidi w:val="0"/>
        <w:spacing w:lineRule="auto" w:line="240" w:before="0" w:after="240"/>
        <w:jc w:val="both"/>
        <w:rPr/>
      </w:pPr>
      <w:r>
        <w:rPr>
          <w:rFonts w:ascii="Times New Roman;sans-serif" w:hAnsi="Times New Roman;sans-serif"/>
          <w:b w:val="false"/>
          <w:color w:val="000000"/>
          <w:sz w:val="22"/>
        </w:rPr>
        <w:t>The Offering is expected to close on or about August 4, 2023, or such other date as the Cantor Fitzgerald &amp; Co. and the Company may agree, and completion of the Offering will be subject to market and other customary conditions, including approval of the Neo Exchange Inc., now operating as Cboe Canada (the “</w:t>
      </w:r>
      <w:r>
        <w:rPr>
          <w:rFonts w:ascii="Times New Roman;sans-serif" w:hAnsi="Times New Roman;sans-serif"/>
          <w:b/>
          <w:color w:val="000000"/>
          <w:sz w:val="22"/>
        </w:rPr>
        <w:t>Exchange</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use the net proceeds from the Offering for the progression of the Company’s CYB003 and CYB004 programs, and for general corporate and working capital purposes. </w:t>
      </w:r>
    </w:p>
    <w:p>
      <w:pPr>
        <w:pStyle w:val="TextBody"/>
        <w:bidi w:val="0"/>
        <w:spacing w:lineRule="auto" w:line="240" w:before="0" w:after="240"/>
        <w:jc w:val="both"/>
        <w:rPr/>
      </w:pPr>
      <w:r>
        <w:rPr>
          <w:rFonts w:ascii="Times New Roman;sans-serif" w:hAnsi="Times New Roman;sans-serif"/>
          <w:b w:val="false"/>
          <w:color w:val="000000"/>
          <w:sz w:val="22"/>
        </w:rPr>
        <w:t>The Units will be offered in each of the provinces of Canada, excluding Quebec</w:t>
      </w:r>
      <w:r>
        <w:rPr>
          <w:color w:val="000000"/>
        </w:rPr>
        <w:t xml:space="preserve"> </w:t>
      </w:r>
      <w:r>
        <w:rPr>
          <w:rFonts w:ascii="Times New Roman;sans-serif" w:hAnsi="Times New Roman;sans-serif"/>
          <w:b w:val="false"/>
          <w:color w:val="000000"/>
          <w:sz w:val="22"/>
        </w:rPr>
        <w:t>and in the United States, pursuant to a prospectus supplement (the “</w:t>
      </w:r>
      <w:r>
        <w:rPr>
          <w:rFonts w:ascii="Times New Roman;sans-serif" w:hAnsi="Times New Roman;sans-serif"/>
          <w:b/>
          <w:color w:val="000000"/>
          <w:sz w:val="22"/>
        </w:rPr>
        <w:t>Prospectus Supplement</w:t>
      </w:r>
      <w:r>
        <w:rPr>
          <w:color w:val="000000"/>
        </w:rPr>
        <w:t>”</w:t>
      </w:r>
      <w:r>
        <w:rPr>
          <w:rFonts w:ascii="Times New Roman;sans-serif" w:hAnsi="Times New Roman;sans-serif"/>
          <w:b w:val="false"/>
          <w:color w:val="000000"/>
          <w:sz w:val="22"/>
        </w:rPr>
        <w:t>) to the Company’s short form base shelf prospectus dated July 5, 2021 (the “</w:t>
      </w:r>
      <w:r>
        <w:rPr>
          <w:rFonts w:ascii="Times New Roman;sans-serif" w:hAnsi="Times New Roman;sans-serif"/>
          <w:b/>
          <w:color w:val="000000"/>
          <w:sz w:val="22"/>
        </w:rPr>
        <w:t>Base Shelf Prospectus</w:t>
      </w:r>
      <w:r>
        <w:rPr>
          <w:color w:val="000000"/>
        </w:rPr>
        <w:t>”</w:t>
      </w:r>
      <w:r>
        <w:rPr>
          <w:rFonts w:ascii="Times New Roman;sans-serif" w:hAnsi="Times New Roman;sans-serif"/>
          <w:b w:val="false"/>
          <w:color w:val="000000"/>
          <w:sz w:val="22"/>
        </w:rPr>
        <w:t>). The Prospectus Supplement will also be filed with the United States Securities and Exchange Commission (the “</w:t>
      </w:r>
      <w:r>
        <w:rPr>
          <w:rFonts w:ascii="Times New Roman;sans-serif" w:hAnsi="Times New Roman;sans-serif"/>
          <w:b/>
          <w:color w:val="000000"/>
          <w:sz w:val="22"/>
        </w:rPr>
        <w:t>SEC</w:t>
      </w:r>
      <w:r>
        <w:rPr>
          <w:color w:val="000000"/>
        </w:rPr>
        <w:t>”</w:t>
      </w:r>
      <w:r>
        <w:rPr>
          <w:rFonts w:ascii="Times New Roman;sans-serif" w:hAnsi="Times New Roman;sans-serif"/>
          <w:b w:val="false"/>
          <w:color w:val="000000"/>
          <w:sz w:val="22"/>
        </w:rPr>
        <w:t xml:space="preserve">), as part of a registration statement on Form F-10, which was declared effective by the SEC on October 8, 2021 in accordance with the Multijurisdictional Disclosure System established between Canada and the United States. Prior to forming an investment decision, prospective investors should read the Base Shelf Prospectus and the documents incorporated by reference therein, including any marketing materials, which are available on the Company’s SEDAR profile available at </w:t>
      </w:r>
      <w:r>
        <w:rPr>
          <w:rFonts w:ascii="Times New Roman;sans-serif" w:hAnsi="Times New Roman;sans-serif"/>
          <w:b w:val="false"/>
          <w:color w:val="0000FF"/>
          <w:sz w:val="22"/>
          <w:u w:val="single"/>
        </w:rPr>
        <w:t>www.sedar.com</w:t>
      </w:r>
      <w:r>
        <w:rPr>
          <w:color w:val="000000"/>
        </w:rPr>
        <w:t xml:space="preserve"> </w:t>
      </w:r>
      <w:r>
        <w:rPr>
          <w:rFonts w:ascii="Times New Roman;sans-serif" w:hAnsi="Times New Roman;sans-serif"/>
          <w:b w:val="false"/>
          <w:color w:val="000000"/>
          <w:sz w:val="22"/>
        </w:rPr>
        <w:t xml:space="preserve">and the Company’s EDGAR profile at </w:t>
      </w:r>
      <w:r>
        <w:rPr>
          <w:rFonts w:ascii="Times New Roman;sans-serif" w:hAnsi="Times New Roman;sans-serif"/>
          <w:b w:val="false"/>
          <w:color w:val="0000FF"/>
          <w:sz w:val="22"/>
          <w:u w:val="single"/>
        </w:rPr>
        <w:t>www.sec.gov</w:t>
      </w:r>
      <w:r>
        <w:rPr>
          <w:rFonts w:ascii="Times New Roman;sans-serif" w:hAnsi="Times New Roman;sans-serif"/>
          <w:b w:val="false"/>
          <w:color w:val="000000"/>
          <w:sz w:val="22"/>
        </w:rPr>
        <w:t xml:space="preserve">. Copies of the Prospectus Supplement and Base Shelf Prospectus may be obtained by contacting Cantor Fitzgerald &amp; Co., Attention: Capital Markets, 499 Park Avenue, 4th Floor, New York, NY 10022, or by email at prospectus@cantor.com.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This news release does not constitute an offer to sell or the solicitation of an offer to buy securities, nor will there be any sale of the securities, in any jurisdiction in which such offer, solicitation or sale would be unlawful.</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About Cybin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is a clinical-stage biopharmaceutical company on a mission to create safe and effective psychedelic-based therapeutics to address the large unmet need for new and innovative treatment options for people who suffer from mental health conditions.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Headquartered in Canada and founded in 2019, Cybin is operational in Canada, the United States, the United Kingdom, the Netherlands and Ireland.</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Cautionary Notes and Forward-Looking Statements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statements in this press release constitute forward-looking information and forward-looking statements within the meaning of applicable securities laws (together, “forward-looking statements”).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anticipated closing of the Offering, the use of Offering proceeds, the receipt of applicable regulatory approvals, including the approval of the Exchange, and the Company’s ability to address the need for new and innovative treatment options for people who suffer from mental health conditions.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2023, the Company’s annual information form for the year ended March 31, 2023, and the Company's listing statement dated November 9, 2020, which are available under the Company's profile on www.sedar.com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makes no medical, treatment or health benefit claims about Cybin’s proposed products. The U.S. Food and Drug Administration, Health Canada or other similar regulatory authorities have not evaluated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Neither the Neo Exchange Inc. nor the NYSE American LLC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Investor &amp; Media Contact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Gabriel Fahel</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Legal Officer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Cybin Inc.</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1-866-292-4601</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irteam@cybin.com – or – media@cybin.com</w:t>
      </w:r>
    </w:p>
    <w:p>
      <w:pPr>
        <w:pStyle w:val="TextBody"/>
        <w:bidi w:val="0"/>
        <w:spacing w:before="0" w:after="480"/>
        <w:jc w:val="center"/>
        <w:rPr/>
      </w:pPr>
      <w:r>
        <w:rPr/>
      </w:r>
    </w:p>
    <w:p>
      <w:pPr>
        <w:pStyle w:val="TextBody"/>
        <w:bidi w:val="0"/>
        <w:spacing w:before="0" w:after="480"/>
        <w:jc w:val="center"/>
        <w:rPr/>
      </w:pPr>
      <w:r>
        <w:rPr/>
      </w:r>
    </w:p>
    <w:p>
      <w:pPr>
        <w:pStyle w:val="TextBody"/>
        <w:bidi w:val="0"/>
        <w:spacing w:before="0" w:after="480"/>
        <w:jc w:val="center"/>
        <w:rPr/>
      </w:pPr>
      <w:r>
        <w:rPr/>
      </w:r>
    </w:p>
    <w:p>
      <w:pPr>
        <w:pStyle w:val="TextBody"/>
        <w:bidi w:val="0"/>
        <w:spacing w:before="0" w:after="480"/>
        <w:jc w:val="center"/>
        <w:rPr/>
      </w:pPr>
      <w:r>
        <w:rPr/>
      </w:r>
    </w:p>
    <w:p>
      <w:pPr>
        <w:pStyle w:val="TextBody"/>
        <w:bidi w:val="0"/>
        <w:spacing w:before="0" w:after="480"/>
        <w:jc w:val="center"/>
        <w:rPr/>
      </w:pPr>
      <w:r>
        <w:rPr/>
      </w:r>
    </w:p>
    <w:p>
      <w:pPr>
        <w:pStyle w:val="TextBody"/>
        <w:bidi w:val="0"/>
        <w:spacing w:before="0" w:after="480"/>
        <w:jc w:val="center"/>
        <w:rPr/>
      </w:pPr>
      <w:r>
        <w:rPr/>
      </w:r>
    </w:p>
    <w:p>
      <w:pPr>
        <w:pStyle w:val="TextBody"/>
        <w:bidi w:val="0"/>
        <w:spacing w:before="0" w:after="480"/>
        <w:jc w:val="center"/>
        <w:rPr/>
      </w:pPr>
      <w:r>
        <w:rPr/>
      </w:r>
    </w:p>
    <w:p>
      <w:pPr>
        <w:pStyle w:val="TextBody"/>
        <w:bidi w:val="0"/>
        <w:spacing w:before="0" w:after="48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“C”</w:t>
      </w:r>
    </w:p>
    <w:p>
      <w:pPr>
        <w:pStyle w:val="TextBody"/>
        <w:bidi w:val="0"/>
        <w:spacing w:before="0" w:after="0"/>
        <w:jc w:val="center"/>
        <w:rPr/>
      </w:pPr>
      <w:r>
        <w:rPr/>
      </w:r>
    </w:p>
    <w:p>
      <w:pPr>
        <w:pStyle w:val="TextBody"/>
        <w:bidi w:val="0"/>
        <w:spacing w:before="0" w:after="0"/>
        <w:jc w:val="center"/>
        <w:rPr/>
      </w:pPr>
      <w:r>
        <w:rPr/>
        <w:drawing>
          <wp:inline distT="0" distB="0" distL="0" distR="0">
            <wp:extent cx="1714500" cy="100965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1714500" cy="10096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0" w:after="0"/>
        <w:ind w:left="0" w:right="0" w:firstLine="5"/>
        <w:jc w:val="center"/>
        <w:rPr>
          <w:rFonts w:ascii="Times New Roman;sans-serif" w:hAnsi="Times New Roman;sans-serif"/>
          <w:b/>
          <w:color w:val="000000"/>
          <w:sz w:val="22"/>
        </w:rPr>
      </w:pPr>
      <w:r>
        <w:rPr>
          <w:rFonts w:ascii="Times New Roman;sans-serif" w:hAnsi="Times New Roman;sans-serif"/>
          <w:b/>
          <w:color w:val="000000"/>
          <w:sz w:val="22"/>
        </w:rPr>
        <w:t>CYBIN ANNOUNCES CLOSING OF OVERNIGHT MARKETED PUBLIC OFFERING OF UNITS</w:t>
      </w:r>
    </w:p>
    <w:p>
      <w:pPr>
        <w:pStyle w:val="TextBody"/>
        <w:bidi w:val="0"/>
        <w:spacing w:lineRule="auto" w:line="295" w:before="252" w:after="283"/>
        <w:jc w:val="both"/>
        <w:rPr/>
      </w:pPr>
      <w:r>
        <w:rPr>
          <w:rFonts w:ascii="Times New Roman;sans-serif" w:hAnsi="Times New Roman;sans-serif"/>
          <w:b/>
          <w:color w:val="000000"/>
          <w:sz w:val="22"/>
        </w:rPr>
        <w:t xml:space="preserve">TORONTO, CANADA </w:t>
      </w:r>
      <w:r>
        <w:rPr>
          <w:color w:val="000000"/>
        </w:rPr>
        <w:t xml:space="preserve">– </w:t>
      </w:r>
      <w:r>
        <w:rPr>
          <w:rFonts w:ascii="Times New Roman;sans-serif" w:hAnsi="Times New Roman;sans-serif"/>
          <w:b w:val="false"/>
          <w:color w:val="000000"/>
          <w:sz w:val="22"/>
        </w:rPr>
        <w:t>August 4, 2023 – Cybin Inc. (NEO: CYBN) (NYSE American: CYBN) (“</w:t>
      </w:r>
      <w:r>
        <w:rPr>
          <w:rFonts w:ascii="Times New Roman;sans-serif" w:hAnsi="Times New Roman;sans-serif"/>
          <w:b/>
          <w:color w:val="000000"/>
          <w:sz w:val="22"/>
        </w:rPr>
        <w:t>Cybin</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a clinical-stage biopharmaceutical company committed to revolutionizing mental healthcare by developing new and innovative psychedelic-based treatment options, is pleased to announce that it has closed its previously announced overnight marketed public offering (the “</w:t>
      </w:r>
      <w:r>
        <w:rPr>
          <w:rFonts w:ascii="Times New Roman;sans-serif" w:hAnsi="Times New Roman;sans-serif"/>
          <w:b/>
          <w:color w:val="000000"/>
          <w:sz w:val="22"/>
        </w:rPr>
        <w:t>Offering</w:t>
      </w:r>
      <w:r>
        <w:rPr>
          <w:color w:val="000000"/>
        </w:rPr>
        <w:t>”</w:t>
      </w:r>
      <w:r>
        <w:rPr>
          <w:rFonts w:ascii="Times New Roman;sans-serif" w:hAnsi="Times New Roman;sans-serif"/>
          <w:b w:val="false"/>
          <w:color w:val="000000"/>
          <w:sz w:val="22"/>
        </w:rPr>
        <w:t>). In connection with the Offering, the Company issued an aggregate of 24,264,706 units of the Company (the “</w:t>
      </w:r>
      <w:r>
        <w:rPr>
          <w:rFonts w:ascii="Times New Roman;sans-serif" w:hAnsi="Times New Roman;sans-serif"/>
          <w:b/>
          <w:color w:val="000000"/>
          <w:sz w:val="22"/>
        </w:rPr>
        <w:t>Units</w:t>
      </w:r>
      <w:r>
        <w:rPr>
          <w:color w:val="000000"/>
        </w:rPr>
        <w:t>”</w:t>
      </w:r>
      <w:r>
        <w:rPr>
          <w:rFonts w:ascii="Times New Roman;sans-serif" w:hAnsi="Times New Roman;sans-serif"/>
          <w:b w:val="false"/>
          <w:color w:val="000000"/>
          <w:sz w:val="22"/>
        </w:rPr>
        <w:t>) at a price of US$0.34 per Unit for aggregate gross proceeds of US$8,250,000.</w:t>
      </w:r>
    </w:p>
    <w:p>
      <w:pPr>
        <w:pStyle w:val="TextBody"/>
        <w:bidi w:val="0"/>
        <w:spacing w:lineRule="auto" w:line="295" w:before="252" w:after="283"/>
        <w:jc w:val="both"/>
        <w:rPr/>
      </w:pPr>
      <w:r>
        <w:rPr>
          <w:rFonts w:ascii="Times New Roman;sans-serif" w:hAnsi="Times New Roman;sans-serif"/>
          <w:b w:val="false"/>
          <w:color w:val="000000"/>
          <w:sz w:val="22"/>
        </w:rPr>
        <w:t>Each Unit is comprised of one common share in the capital of the Company (a “</w:t>
      </w:r>
      <w:r>
        <w:rPr>
          <w:rFonts w:ascii="Times New Roman;sans-serif" w:hAnsi="Times New Roman;sans-serif"/>
          <w:b/>
          <w:color w:val="000000"/>
          <w:sz w:val="22"/>
        </w:rPr>
        <w:t>Common Share</w:t>
      </w:r>
      <w:r>
        <w:rPr>
          <w:color w:val="000000"/>
        </w:rPr>
        <w:t>”</w:t>
      </w:r>
      <w:r>
        <w:rPr>
          <w:rFonts w:ascii="Times New Roman;sans-serif" w:hAnsi="Times New Roman;sans-serif"/>
          <w:b w:val="false"/>
          <w:color w:val="000000"/>
          <w:sz w:val="22"/>
        </w:rPr>
        <w:t>) and one</w:t>
      </w:r>
      <w:r>
        <w:rPr>
          <w:color w:val="000000"/>
        </w:rPr>
        <w:t xml:space="preserve"> </w:t>
      </w:r>
      <w:r>
        <w:rPr>
          <w:rFonts w:ascii="Times New Roman;sans-serif" w:hAnsi="Times New Roman;sans-serif"/>
          <w:b w:val="false"/>
          <w:color w:val="000000"/>
          <w:sz w:val="22"/>
        </w:rPr>
        <w:t>Common Share purchase warrant (each whole Common Share purchase warrant, a “</w:t>
      </w:r>
      <w:r>
        <w:rPr>
          <w:rFonts w:ascii="Times New Roman;sans-serif" w:hAnsi="Times New Roman;sans-serif"/>
          <w:b/>
          <w:color w:val="000000"/>
          <w:sz w:val="22"/>
        </w:rPr>
        <w:t>Warrant</w:t>
      </w:r>
      <w:r>
        <w:rPr>
          <w:color w:val="000000"/>
        </w:rPr>
        <w:t>”</w:t>
      </w:r>
      <w:r>
        <w:rPr>
          <w:rFonts w:ascii="Times New Roman;sans-serif" w:hAnsi="Times New Roman;sans-serif"/>
          <w:b w:val="false"/>
          <w:color w:val="000000"/>
          <w:sz w:val="22"/>
        </w:rPr>
        <w:t>). Each Warrant is exercisable to acquire one Common Share at a price of US$0.40 per Common Share for a period of 60 months.</w:t>
      </w:r>
    </w:p>
    <w:p>
      <w:pPr>
        <w:pStyle w:val="TextBody"/>
        <w:bidi w:val="0"/>
        <w:spacing w:lineRule="auto" w:line="295" w:before="252" w:after="283"/>
        <w:jc w:val="both"/>
        <w:rPr/>
      </w:pPr>
      <w:r>
        <w:rPr>
          <w:rFonts w:ascii="Times New Roman;sans-serif" w:hAnsi="Times New Roman;sans-serif"/>
          <w:b w:val="false"/>
          <w:color w:val="000000"/>
          <w:sz w:val="22"/>
        </w:rPr>
        <w:t>Cantor Fitzgerald &amp; Co. acted as the sole book-running manager for the Offering. A.G.P./Alliance Global Partners acted as lead manager for the Offering (together, the “</w:t>
      </w:r>
      <w:r>
        <w:rPr>
          <w:rFonts w:ascii="Times New Roman;sans-serif" w:hAnsi="Times New Roman;sans-serif"/>
          <w:b/>
          <w:color w:val="000000"/>
          <w:sz w:val="22"/>
        </w:rPr>
        <w:t>Underwriters</w:t>
      </w:r>
      <w:r>
        <w:rPr>
          <w:color w:val="000000"/>
        </w:rPr>
        <w:t>”</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to use the net proceeds from the Offering for the progression of the Company’s CYB003 and CYB004 programs, and for general corporate and working capital purposes. </w:t>
      </w:r>
    </w:p>
    <w:p>
      <w:pPr>
        <w:pStyle w:val="TextBody"/>
        <w:bidi w:val="0"/>
        <w:spacing w:lineRule="auto" w:line="295" w:before="252" w:after="283"/>
        <w:jc w:val="both"/>
        <w:rPr/>
      </w:pPr>
      <w:r>
        <w:rPr>
          <w:rFonts w:ascii="Times New Roman;sans-serif" w:hAnsi="Times New Roman;sans-serif"/>
          <w:b w:val="false"/>
          <w:color w:val="000000"/>
          <w:sz w:val="22"/>
        </w:rPr>
        <w:t>The Units were offered in each of the provinces of Canada, excluding Quebec,</w:t>
      </w:r>
      <w:r>
        <w:rPr>
          <w:color w:val="000000"/>
        </w:rPr>
        <w:t xml:space="preserve"> </w:t>
      </w:r>
      <w:r>
        <w:rPr>
          <w:rFonts w:ascii="Times New Roman;sans-serif" w:hAnsi="Times New Roman;sans-serif"/>
          <w:b w:val="false"/>
          <w:color w:val="000000"/>
          <w:sz w:val="22"/>
        </w:rPr>
        <w:t>and in the United States, pursuant to a prospectus supplement (the “</w:t>
      </w:r>
      <w:r>
        <w:rPr>
          <w:rFonts w:ascii="Times New Roman;sans-serif" w:hAnsi="Times New Roman;sans-serif"/>
          <w:b/>
          <w:color w:val="000000"/>
          <w:sz w:val="22"/>
        </w:rPr>
        <w:t>Prospectus Supplement</w:t>
      </w:r>
      <w:r>
        <w:rPr>
          <w:color w:val="000000"/>
        </w:rPr>
        <w:t>”</w:t>
      </w:r>
      <w:r>
        <w:rPr>
          <w:rFonts w:ascii="Times New Roman;sans-serif" w:hAnsi="Times New Roman;sans-serif"/>
          <w:b w:val="false"/>
          <w:color w:val="000000"/>
          <w:sz w:val="22"/>
        </w:rPr>
        <w:t>) to the Company’s short form base shelf prospectus dated July 5, 2021 (the “</w:t>
      </w:r>
      <w:r>
        <w:rPr>
          <w:rFonts w:ascii="Times New Roman;sans-serif" w:hAnsi="Times New Roman;sans-serif"/>
          <w:b/>
          <w:color w:val="000000"/>
          <w:sz w:val="22"/>
        </w:rPr>
        <w:t>Base Shelf Prospectus</w:t>
      </w:r>
      <w:r>
        <w:rPr>
          <w:color w:val="000000"/>
        </w:rPr>
        <w:t>”</w:t>
      </w:r>
      <w:r>
        <w:rPr>
          <w:rFonts w:ascii="Times New Roman;sans-serif" w:hAnsi="Times New Roman;sans-serif"/>
          <w:b w:val="false"/>
          <w:color w:val="000000"/>
          <w:sz w:val="22"/>
        </w:rPr>
        <w:t>). The Prospectus Supplement was filed with the United States Securities and Exchange Commission (the “</w:t>
      </w:r>
      <w:r>
        <w:rPr>
          <w:rFonts w:ascii="Times New Roman;sans-serif" w:hAnsi="Times New Roman;sans-serif"/>
          <w:b/>
          <w:color w:val="000000"/>
          <w:sz w:val="22"/>
        </w:rPr>
        <w:t>SEC</w:t>
      </w:r>
      <w:r>
        <w:rPr>
          <w:color w:val="000000"/>
        </w:rPr>
        <w:t>”</w:t>
      </w:r>
      <w:r>
        <w:rPr>
          <w:rFonts w:ascii="Times New Roman;sans-serif" w:hAnsi="Times New Roman;sans-serif"/>
          <w:b w:val="false"/>
          <w:color w:val="000000"/>
          <w:sz w:val="22"/>
        </w:rPr>
        <w:t xml:space="preserve">), as part of a registration statement on Form F-10, which was declared effective by the SEC on October 8, 2021 in accordance with the Multijurisdictional Disclosure System established between Canada and the United States. The Prospectus Supplement and Base Shelf Prospectus are available on the Company’s SEDAR profile at www.sedarplus.ca and the Company’s EDGAR profile at www.sec.gov and may be obtained by contacting Cantor Fitzgerald &amp; Co., Attention: Capital Markets, 499 Park Avenue, 4th Floor, New York, NY 10022, or by email at prospectus@cantor.com. </w:t>
      </w:r>
    </w:p>
    <w:p>
      <w:pPr>
        <w:pStyle w:val="TextBody"/>
        <w:bidi w:val="0"/>
        <w:spacing w:lineRule="auto" w:line="295" w:before="252"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consideration for their services, the Company paid to the Underwriters a cash commission equal to US$378,778. </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This news release does not constitute an offer to sell or the solicitation of an offer to buy securities, nor will there be any sale of the securities, in any jurisdiction in which such offer, solicitation or sale would be unlawful.</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About Cybin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is a clinical-stage biopharmaceutical company on a mission to create safe and effective psychedelic-based therapeutics to address the large unmet need for new and innovative treatment options for people who suffer from mental health conditions.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Headquartered in Canada and founded in 2019, Cybin is operational in Canada, the United States, the United Kingdom, the Netherlands and Ireland.</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Cautionary Notes and Forward-Looking Statements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statements in this press release constitute forward-looking information and forward-looking statements within the meaning of applicable securities laws (together, “forward-looking statements”).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use of Offering proceeds, and the Company’s ability to address the need for new and innovative treatment options for people who suffer from mental health conditions.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2023, the Company’s annual information form for the year ended March 31, 2023, and the Company's listing statement dated November 9, 2020, which are available under the Company's profile on www.sedar.com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Neither the Neo Exchange Inc. nor the NYSE American LLC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Investor &amp; Media Contact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Gabriel Fahel</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Legal Officer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Cybin Inc.</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1-866-292-4601</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irteam@cybin.com – or – media@cybin.com</w:t>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4477</Words>
  <Characters>25920</Characters>
  <CharactersWithSpaces>30331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