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27,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September 27,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Obtains Exclusive License to a Novel Catalog of Psychedelic-Based Compounds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Provides access to large catalog of compounds complementary to Company’s preclinical assets -</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Strengthens drug discovery and development platform to build future potential novel drug candidates -</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Supports broad intellectual property portfolio of innovative psychedelic-based molecules –</w:t>
      </w:r>
    </w:p>
    <w:p>
      <w:pPr>
        <w:spacing w:after="0" w:line="26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1A1B1F"/>
        </w:rPr>
        <w:t xml:space="preserve">Toronto, Ontario — September 27, 2022 – </w:t>
      </w:r>
      <w:r>
        <w:rPr>
          <w:rFonts w:ascii="Arial" w:cs="Arial" w:eastAsia="Arial" w:hAnsi="Arial"/>
          <w:sz w:val="20"/>
          <w:szCs w:val="20"/>
          <w:b w:val="1"/>
          <w:bCs w:val="1"/>
          <w:u w:val="single" w:color="auto"/>
          <w:color w:val="0000FF"/>
        </w:rPr>
        <w:t>Cybin Inc.</w:t>
      </w:r>
      <w:r>
        <w:rPr>
          <w:rFonts w:ascii="Arial" w:cs="Arial" w:eastAsia="Arial" w:hAnsi="Arial"/>
          <w:sz w:val="20"/>
          <w:szCs w:val="20"/>
          <w:b w:val="1"/>
          <w:bCs w:val="1"/>
          <w:color w:val="1A1B1F"/>
        </w:rPr>
        <w:t xml:space="preserve"> (</w:t>
      </w:r>
      <w:r>
        <w:rPr>
          <w:rFonts w:ascii="Arial" w:cs="Arial" w:eastAsia="Arial" w:hAnsi="Arial"/>
          <w:sz w:val="20"/>
          <w:szCs w:val="20"/>
          <w:b w:val="1"/>
          <w:bCs w:val="1"/>
          <w:u w:val="single" w:color="auto"/>
          <w:color w:val="0000FF"/>
        </w:rPr>
        <w:t>NEO:CYBN</w:t>
      </w:r>
      <w:r>
        <w:rPr>
          <w:rFonts w:ascii="Arial" w:cs="Arial" w:eastAsia="Arial" w:hAnsi="Arial"/>
          <w:sz w:val="20"/>
          <w:szCs w:val="20"/>
          <w:b w:val="1"/>
          <w:bCs w:val="1"/>
          <w:color w:val="1A1B1F"/>
        </w:rPr>
        <w:t xml:space="preserve">) (NYSE AMERICAN:CYBN) (“Cybin” </w:t>
      </w:r>
      <w:r>
        <w:rPr>
          <w:rFonts w:ascii="Arial" w:cs="Arial" w:eastAsia="Arial" w:hAnsi="Arial"/>
          <w:sz w:val="20"/>
          <w:szCs w:val="20"/>
          <w:color w:val="1A1B1F"/>
        </w:rPr>
        <w:t>or the</w:t>
      </w:r>
      <w:r>
        <w:rPr>
          <w:rFonts w:ascii="Arial" w:cs="Arial" w:eastAsia="Arial" w:hAnsi="Arial"/>
          <w:sz w:val="20"/>
          <w:szCs w:val="20"/>
          <w:b w:val="1"/>
          <w:bCs w:val="1"/>
          <w:color w:val="1A1B1F"/>
        </w:rPr>
        <w:t xml:space="preserve"> “Company”), </w:t>
      </w:r>
      <w:r>
        <w:rPr>
          <w:rFonts w:ascii="Arial" w:cs="Arial" w:eastAsia="Arial" w:hAnsi="Arial"/>
          <w:sz w:val="20"/>
          <w:szCs w:val="20"/>
          <w:color w:val="1A1B1F"/>
        </w:rPr>
        <w:t>a biopharmaceutical company focused on progressing Psychedelics to Therapeutics™, is pleased to announce</w:t>
      </w:r>
      <w:r>
        <w:rPr>
          <w:rFonts w:ascii="Arial" w:cs="Arial" w:eastAsia="Arial" w:hAnsi="Arial"/>
          <w:sz w:val="20"/>
          <w:szCs w:val="20"/>
          <w:b w:val="1"/>
          <w:bCs w:val="1"/>
          <w:color w:val="1A1B1F"/>
        </w:rPr>
        <w:t xml:space="preserve"> </w:t>
      </w:r>
      <w:r>
        <w:rPr>
          <w:rFonts w:ascii="Arial" w:cs="Arial" w:eastAsia="Arial" w:hAnsi="Arial"/>
          <w:sz w:val="20"/>
          <w:szCs w:val="20"/>
          <w:color w:val="1A1B1F"/>
        </w:rPr>
        <w:t>that, through its wholly-owned subsidiary Cybin IRL Limited, it has entered into an agreement with Mindset Pharma Inc. (CSE: MSET) (FSE: 9DF) (OTCQB: MSSTF) (“</w:t>
      </w:r>
      <w:r>
        <w:rPr>
          <w:rFonts w:ascii="Arial" w:cs="Arial" w:eastAsia="Arial" w:hAnsi="Arial"/>
          <w:sz w:val="20"/>
          <w:szCs w:val="20"/>
          <w:b w:val="1"/>
          <w:bCs w:val="1"/>
          <w:color w:val="1A1B1F"/>
        </w:rPr>
        <w:t>Mindset</w:t>
      </w:r>
      <w:r>
        <w:rPr>
          <w:rFonts w:ascii="Arial" w:cs="Arial" w:eastAsia="Arial" w:hAnsi="Arial"/>
          <w:sz w:val="20"/>
          <w:szCs w:val="20"/>
          <w:color w:val="1A1B1F"/>
        </w:rPr>
        <w:t xml:space="preserve">”) to acquire an exclusive license to </w:t>
      </w:r>
      <w:r>
        <w:rPr>
          <w:rFonts w:ascii="Arial" w:cs="Arial" w:eastAsia="Arial" w:hAnsi="Arial"/>
          <w:sz w:val="20"/>
          <w:szCs w:val="20"/>
          <w:color w:val="000000"/>
        </w:rPr>
        <w:t>an extensive targeted class of tryptamine-based molecules from Mindset (the “</w:t>
      </w:r>
      <w:r>
        <w:rPr>
          <w:rFonts w:ascii="Arial" w:cs="Arial" w:eastAsia="Arial" w:hAnsi="Arial"/>
          <w:sz w:val="20"/>
          <w:szCs w:val="20"/>
          <w:b w:val="1"/>
          <w:bCs w:val="1"/>
          <w:color w:val="000000"/>
        </w:rPr>
        <w:t>Agreement</w:t>
      </w:r>
      <w:r>
        <w:rPr>
          <w:rFonts w:ascii="Arial" w:cs="Arial" w:eastAsia="Arial" w:hAnsi="Arial"/>
          <w:sz w:val="20"/>
          <w:szCs w:val="20"/>
          <w:color w:val="000000"/>
        </w:rPr>
        <w:t>”).</w:t>
      </w:r>
    </w:p>
    <w:p>
      <w:pPr>
        <w:spacing w:after="0" w:line="19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Pursuant to the Agreement, Cybin has paid Mindset a one-time license fee of US $500,000 with additional milestones payable upon the successful completion of certain future milestones. Notably, the Agreement:</w:t>
      </w:r>
    </w:p>
    <w:p>
      <w:pPr>
        <w:spacing w:after="0" w:line="19" w:lineRule="exact"/>
        <w:rPr>
          <w:sz w:val="20"/>
          <w:szCs w:val="20"/>
          <w:color w:val="auto"/>
        </w:rPr>
      </w:pPr>
    </w:p>
    <w:p>
      <w:pPr>
        <w:ind w:left="660" w:right="1060" w:hanging="328"/>
        <w:spacing w:after="0" w:line="314"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20"/>
          <w:szCs w:val="20"/>
          <w:color w:val="auto"/>
        </w:rPr>
        <w:t>provides Cybin access to a catalog of molecules that complement Cybin’s current preclinical library, with both complementary chemistry and properties;</w:t>
      </w:r>
    </w:p>
    <w:p>
      <w:pPr>
        <w:spacing w:after="0" w:line="19" w:lineRule="exact"/>
        <w:rPr>
          <w:rFonts w:ascii="Times New Roman" w:cs="Times New Roman" w:eastAsia="Times New Roman" w:hAnsi="Times New Roman"/>
          <w:sz w:val="18"/>
          <w:szCs w:val="18"/>
          <w:color w:val="auto"/>
        </w:rPr>
      </w:pPr>
    </w:p>
    <w:p>
      <w:pPr>
        <w:ind w:left="660" w:right="60" w:hanging="328"/>
        <w:spacing w:after="0" w:line="290"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20"/>
          <w:szCs w:val="20"/>
          <w:color w:val="auto"/>
        </w:rPr>
        <w:t>expands Cybin’s discovery and development platform to provide an enduring runway and pipeline of future drug candidates while broadening the space where Cybin has protected access to patent-eligible molecules and formulations; and</w:t>
      </w:r>
    </w:p>
    <w:p>
      <w:pPr>
        <w:spacing w:after="0" w:line="43" w:lineRule="exact"/>
        <w:rPr>
          <w:rFonts w:ascii="Times New Roman" w:cs="Times New Roman" w:eastAsia="Times New Roman" w:hAnsi="Times New Roman"/>
          <w:sz w:val="18"/>
          <w:szCs w:val="18"/>
          <w:color w:val="auto"/>
        </w:rPr>
      </w:pPr>
    </w:p>
    <w:p>
      <w:pPr>
        <w:ind w:left="660" w:right="60" w:hanging="328"/>
        <w:spacing w:after="0" w:line="314"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20"/>
          <w:szCs w:val="20"/>
          <w:color w:val="auto"/>
        </w:rPr>
        <w:t>strengthens Cybin’s intellectual property reach and scope of protection in support of continued investment in psychedelic therapeutics for mental health conditions.</w:t>
      </w:r>
    </w:p>
    <w:p>
      <w:pPr>
        <w:spacing w:after="0" w:line="1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“This exclusive license bolsters the breadth of Cybin’s IP holdings while adding a significant number of compounds to our growing library of psychedelic derivative drug development candidates,” said Doug Drysdale, Cybin’s Chief Executive Officer. “In addition to the value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2" w:lineRule="auto"/>
        <w:rPr>
          <w:sz w:val="20"/>
          <w:szCs w:val="20"/>
          <w:color w:val="auto"/>
        </w:rPr>
      </w:pPr>
      <w:r>
        <w:rPr>
          <w:rFonts w:ascii="Arial" w:cs="Arial" w:eastAsia="Arial" w:hAnsi="Arial"/>
          <w:sz w:val="20"/>
          <w:szCs w:val="20"/>
          <w:color w:val="auto"/>
        </w:rPr>
        <w:t>created from progressing our clinical stage programs for CYB003 and CYB004, our discovery and development engine will continue to be an asset for the Company as we leverage strategic M&amp;A opportunities, including this one, to strengthen our competitive advantage and support our goal of developing new and innovative psychedelic treatments for mental health conditions and other areas of high unmet need. We are pleased to work with Mindset who, like Cybin, has a deep-rooted understanding of psychedelic science.”</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191919"/>
        </w:rPr>
        <w:t>The Agreement includes an initial license fee payment by Cybin to Mindset of US $500,000 as well as additional clinical development milestone payments (the “</w:t>
      </w:r>
      <w:r>
        <w:rPr>
          <w:rFonts w:ascii="Arial" w:cs="Arial" w:eastAsia="Arial" w:hAnsi="Arial"/>
          <w:sz w:val="20"/>
          <w:szCs w:val="20"/>
          <w:b w:val="1"/>
          <w:bCs w:val="1"/>
          <w:color w:val="191919"/>
        </w:rPr>
        <w:t>Milestone Payments</w:t>
      </w:r>
      <w:r>
        <w:rPr>
          <w:rFonts w:ascii="Arial" w:cs="Arial" w:eastAsia="Arial" w:hAnsi="Arial"/>
          <w:sz w:val="20"/>
          <w:szCs w:val="20"/>
          <w:color w:val="191919"/>
        </w:rPr>
        <w:t>”) payable only upon the successful completion of certain milestones contemplated in the Agreement (the “</w:t>
      </w:r>
      <w:r>
        <w:rPr>
          <w:rFonts w:ascii="Arial" w:cs="Arial" w:eastAsia="Arial" w:hAnsi="Arial"/>
          <w:sz w:val="20"/>
          <w:szCs w:val="20"/>
          <w:b w:val="1"/>
          <w:bCs w:val="1"/>
          <w:color w:val="191919"/>
        </w:rPr>
        <w:t>Milestones</w:t>
      </w:r>
      <w:r>
        <w:rPr>
          <w:rFonts w:ascii="Arial" w:cs="Arial" w:eastAsia="Arial" w:hAnsi="Arial"/>
          <w:sz w:val="20"/>
          <w:szCs w:val="20"/>
          <w:color w:val="191919"/>
        </w:rPr>
        <w:t>”). The Milestone Payments could total up to US $9,500,000, with the first Milestone Payment, in the amount of US $500,000, payable upon completion of a Phase 1 clinical trial. At the sole discretion of Cybin, the Milestone Payments may be payable in cash or in common shares in the capital of Cybin, or a combination thereof, subject to the approval of the Neo Exchange Inc. (the “NEO”) and upon the successful completion of the Milestones, including the approval and commercialization of the first drug candidate. The Agreement also contemplates a sales royalty of approximately 2% for all commercialized licensed products within the scope of the Agreement, which is customary for drug licensing agreements of this nature.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Cybin is a leading ethical biotechnology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Cybin’s proprietary drug discovery platforms, innovative drug delivery systems, novel formulation approaches and treatment regimens to potentially treat psychiatric disorders; the completion of any of the Milestones; the payment of any of the Milestone Payments; and Cybin’s expectation that the Agreement will expand Cybin’s R&amp;D pipeline of potential treatments for mental health disorders and potentially other areas of high unmet needs.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6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Cybin and Mindset at the time such statements were made. Actual future results may differ materially as forward-looking statements involve known and unknown risks, uncertainties, and other factors which may cause the actual results, performance, or achievements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Cybin to successfully achieve its business objectives; plans for growth; political, social and environmental uncertainties; employee relations; the presence of laws and regulations that may impose restrictions in the markets where Cybin operates; and the risk factors set out in Cybin's management's discussion and analysis for the three months ended June 30, 2022 and Cybin's annual information form for the year ending March 31, 2022, which are available under the Company's profile on </w:t>
      </w:r>
      <w:r>
        <w:rPr>
          <w:rFonts w:ascii="Arial" w:cs="Arial" w:eastAsia="Arial" w:hAnsi="Arial"/>
          <w:sz w:val="20"/>
          <w:szCs w:val="20"/>
          <w:u w:val="single" w:color="auto"/>
          <w:color w:val="0000FF"/>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believes, or believed at the time, to be reasonable assumptions, Cybin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Cybin assumes no obligation to update the forward-looking statements of beliefs, opinions, projections, or other factors, should they change, except as required by law.</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the NEO nor the NYSE American LLC stock exchange have approved nor disapproved the contents of this news release and are not responsible for the adequacy and accuracy of the contents herein.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ectPr>
          <w:pgSz w:w="11900" w:h="16838" w:orient="portrait"/>
          <w:cols w:equalWidth="0" w:num="1">
            <w:col w:w="11240"/>
          </w:cols>
          <w:pgMar w:left="320" w:top="1427" w:right="339" w:bottom="1440" w:gutter="0" w:footer="0" w:header="0"/>
        </w:sectPr>
      </w:pPr>
    </w:p>
    <w:bookmarkStart w:id="6" w:name="page7"/>
    <w:bookmarkEnd w:id="6"/>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Chief Legal Officer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2022-09-27T11:48:51Z</dcterms:created>
  <dcterms:modified xsi:type="dcterms:W3CDTF">2022-09-27T11:48:51Z</dcterms:modified>
</cp:coreProperties>
</file>