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UNITED STATES</w:t>
        <w:br/>
        <w:t>SECURITIES AND EXCHANGE COMMISSION</w:t>
      </w:r>
      <w:r>
        <w:rPr>
          <w:rFonts w:ascii="Times New Roman;serif" w:hAnsi="Times New Roman;serif"/>
          <w:b w:val="false"/>
          <w:color w:val="000000"/>
          <w:sz w:val="20"/>
        </w:rPr>
        <w:br/>
      </w:r>
      <w:r>
        <w:rPr>
          <w:rFonts w:ascii="Times New Roman;serif" w:hAnsi="Times New Roman;serif"/>
          <w:b/>
          <w:color w:val="000000"/>
          <w:sz w:val="20"/>
        </w:rPr>
        <w:t>Washington, D.C. 20549</w:t>
      </w:r>
      <w:r>
        <w:rPr>
          <w:rFonts w:ascii="Times New Roman;serif" w:hAnsi="Times New Roman;serif"/>
          <w:b w:val="false"/>
          <w:color w:val="000000"/>
          <w:sz w:val="20"/>
        </w:rPr>
        <w:br/>
        <w:br/>
      </w:r>
      <w:r>
        <w:rPr>
          <w:rFonts w:ascii="Times New Roman;serif" w:hAnsi="Times New Roman;serif"/>
          <w:b/>
          <w:color w:val="000000"/>
          <w:sz w:val="20"/>
        </w:rPr>
        <w:t>Form 6-K</w:t>
      </w:r>
      <w:r>
        <w:rPr>
          <w:rFonts w:ascii="Times New Roman;serif" w:hAnsi="Times New Roman;serif"/>
          <w:b w:val="false"/>
          <w:color w:val="000000"/>
          <w:sz w:val="20"/>
        </w:rPr>
        <w:br/>
        <w:br/>
      </w:r>
      <w:r>
        <w:rPr>
          <w:rFonts w:ascii="Times New Roman;serif" w:hAnsi="Times New Roman;serif"/>
          <w:b/>
          <w:color w:val="000000"/>
          <w:sz w:val="20"/>
        </w:rPr>
        <w:t>REPORT OF FOREIGN PRIVATE ISSUER PURSUANT TO RULE 13a-16 OR 15d-16</w:t>
        <w:br/>
        <w:t>UNDER THE SECURITIES EXCHANGE ACT OF 1934</w:t>
      </w:r>
    </w:p>
    <w:p>
      <w:pPr>
        <w:pStyle w:val="TextBody"/>
        <w:bidi w:val="0"/>
        <w:spacing w:lineRule="auto" w:line="276" w:before="100" w:after="100"/>
        <w:jc w:val="left"/>
        <w:rPr>
          <w:rFonts w:ascii="Times New Roman;serif" w:hAnsi="Times New Roman;serif"/>
          <w:b w:val="false"/>
          <w:color w:val="000000"/>
          <w:sz w:val="20"/>
        </w:rPr>
      </w:pPr>
      <w:r>
        <w:rPr>
          <w:rFonts w:ascii="Times New Roman;serif" w:hAnsi="Times New Roman;serif"/>
          <w:b w:val="false"/>
          <w:color w:val="000000"/>
          <w:sz w:val="20"/>
        </w:rPr>
        <w:t>For the month of September, 2026.</w:t>
      </w:r>
    </w:p>
    <w:p>
      <w:pPr>
        <w:pStyle w:val="TextBody"/>
        <w:bidi w:val="0"/>
        <w:spacing w:lineRule="auto" w:line="276" w:before="0" w:after="0"/>
        <w:jc w:val="left"/>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001-40673</w:t>
      </w:r>
    </w:p>
    <w:p>
      <w:pPr>
        <w:pStyle w:val="TextBody"/>
        <w:bidi w:val="0"/>
        <w:spacing w:lineRule="auto" w:line="276" w:before="0" w:after="0"/>
        <w:jc w:val="center"/>
        <w:rPr/>
      </w:pPr>
      <w:r>
        <w:rPr>
          <w:rFonts w:ascii="Times New Roman;serif" w:hAnsi="Times New Roman;serif"/>
          <w:b/>
          <w:color w:val="000000"/>
          <w:sz w:val="20"/>
        </w:rPr>
        <w:br/>
      </w:r>
      <w:r>
        <w:rPr>
          <w:rFonts w:ascii="Times New Roman;serif" w:hAnsi="Times New Roman;serif"/>
          <w:b w:val="false"/>
          <w:color w:val="000000"/>
          <w:sz w:val="20"/>
        </w:rPr>
        <w:br/>
      </w:r>
      <w:r>
        <w:rPr>
          <w:rFonts w:ascii="Times New Roman;serif" w:hAnsi="Times New Roman;serif"/>
          <w:b/>
          <w:color w:val="000000"/>
          <w:sz w:val="24"/>
          <w:u w:val="single"/>
        </w:rPr>
        <w:t>Cybin Inc.</w:t>
      </w:r>
      <w:r>
        <w:rPr>
          <w:rFonts w:ascii="Times New Roman;serif" w:hAnsi="Times New Roman;serif"/>
          <w:b w:val="false"/>
          <w:color w:val="000000"/>
          <w:sz w:val="24"/>
        </w:rPr>
        <w:br/>
      </w:r>
      <w:r>
        <w:rPr>
          <w:rFonts w:ascii="Times New Roman;serif" w:hAnsi="Times New Roman;serif"/>
          <w:b w:val="false"/>
          <w:color w:val="000000"/>
          <w:sz w:val="20"/>
        </w:rPr>
        <w:t>(Exact Name of Registrant as Specified in Charter)</w:t>
        <w:br/>
        <w:br/>
      </w:r>
      <w:r>
        <w:rPr>
          <w:rFonts w:ascii="Times New Roman;serif" w:hAnsi="Times New Roman;serif"/>
          <w:b/>
          <w:color w:val="000000"/>
          <w:sz w:val="20"/>
        </w:rPr>
        <w:t xml:space="preserve">100 King Street West, Suite 5600, Toronto, Ontario, M5X 1C9 </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76" w:before="0" w:after="0"/>
        <w:jc w:val="left"/>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Form 40-F ⊠</w:t>
      </w:r>
    </w:p>
    <w:p>
      <w:pPr>
        <w:pStyle w:val="TextBody"/>
        <w:bidi w:val="0"/>
        <w:spacing w:before="0" w:after="0"/>
        <w:jc w:val="left"/>
        <w:rPr/>
      </w:pPr>
      <w:r>
        <w:rPr/>
      </w:r>
    </w:p>
    <w:p>
      <w:pPr>
        <w:pStyle w:val="TextBody"/>
        <w:bidi w:val="0"/>
        <w:spacing w:before="100" w:after="10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76"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141" w:type="dxa"/>
        <w:jc w:val="left"/>
        <w:tblInd w:w="0" w:type="dxa"/>
        <w:tblLayout w:type="fixed"/>
        <w:tblCellMar>
          <w:top w:w="28" w:type="dxa"/>
          <w:left w:w="28" w:type="dxa"/>
          <w:bottom w:w="28" w:type="dxa"/>
          <w:right w:w="28" w:type="dxa"/>
        </w:tblCellMar>
      </w:tblPr>
      <w:tblGrid>
        <w:gridCol w:w="200"/>
        <w:gridCol w:w="177"/>
        <w:gridCol w:w="178"/>
        <w:gridCol w:w="539"/>
        <w:gridCol w:w="539"/>
        <w:gridCol w:w="541"/>
        <w:gridCol w:w="210"/>
        <w:gridCol w:w="210"/>
        <w:gridCol w:w="210"/>
        <w:gridCol w:w="863"/>
        <w:gridCol w:w="546"/>
        <w:gridCol w:w="556"/>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CYBIN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9, 2026</w:t>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76" w:before="1" w:after="1"/>
              <w:jc w:val="left"/>
              <w:rPr/>
            </w:pPr>
            <w:r>
              <w:rPr>
                <w:rFonts w:ascii="Times New Roman;serif" w:hAnsi="Times New Roman;serif"/>
                <w:b w:val="false"/>
                <w:i/>
                <w:color w:val="000000"/>
                <w:sz w:val="20"/>
              </w:rPr>
              <w:t>/s/ Greg Cavers    </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Greg Cavers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00"/>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p>
      <w:pPr>
        <w:pStyle w:val="TextBody"/>
        <w:bidi w:val="0"/>
        <w:spacing w:before="0" w:after="0"/>
        <w:jc w:val="left"/>
        <w:rPr/>
      </w:pPr>
      <w:r>
        <w:rPr/>
      </w:r>
    </w:p>
    <w:tbl>
      <w:tblPr>
        <w:tblW w:w="3796" w:type="dxa"/>
        <w:jc w:val="left"/>
        <w:tblInd w:w="0" w:type="dxa"/>
        <w:tblLayout w:type="fixed"/>
        <w:tblCellMar>
          <w:top w:w="28" w:type="dxa"/>
          <w:left w:w="28" w:type="dxa"/>
          <w:bottom w:w="28" w:type="dxa"/>
          <w:right w:w="28" w:type="dxa"/>
        </w:tblCellMar>
      </w:tblPr>
      <w:tblGrid>
        <w:gridCol w:w="174"/>
        <w:gridCol w:w="153"/>
        <w:gridCol w:w="154"/>
        <w:gridCol w:w="969"/>
        <w:gridCol w:w="969"/>
        <w:gridCol w:w="1377"/>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31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20260909hcwfireside.htm">
              <w:r>
                <w:rPr>
                  <w:rStyle w:val="InternetLink"/>
                  <w:rFonts w:ascii="Times New Roman;serif" w:hAnsi="Times New Roman;serif"/>
                  <w:b w:val="false"/>
                  <w:color w:val="000080"/>
                  <w:sz w:val="20"/>
                  <w:u w:val="single"/>
                </w:rPr>
                <w:t xml:space="preserve">News Release dated September </w:t>
              </w:r>
            </w:hyperlink>
            <w:hyperlink w:anchor="a20260909hcwfireside.htm">
              <w:r>
                <w:rPr>
                  <w:rStyle w:val="InternetLink"/>
                  <w:rFonts w:ascii="Times New Roman;serif" w:hAnsi="Times New Roman;serif"/>
                  <w:b w:val="false"/>
                  <w:color w:val="000080"/>
                  <w:sz w:val="20"/>
                  <w:u w:val="single"/>
                </w:rPr>
                <w:t>9</w:t>
              </w:r>
            </w:hyperlink>
            <w:hyperlink w:anchor="a20260909hcwfireside.htm">
              <w:r>
                <w:rPr>
                  <w:rStyle w:val="InternetLink"/>
                  <w:rFonts w:ascii="Times New Roman;serif" w:hAnsi="Times New Roman;serif"/>
                  <w:b w:val="false"/>
                  <w:color w:val="000080"/>
                  <w:sz w:val="20"/>
                  <w:u w:val="single"/>
                </w:rPr>
                <w:t>, 2026</w:t>
              </w:r>
            </w:hyperlink>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before="0" w:after="0"/>
        <w:jc w:val="center"/>
        <w:rPr/>
      </w:pPr>
      <w:r>
        <w:rPr/>
        <w:drawing>
          <wp:inline distT="0" distB="0" distL="0" distR="0">
            <wp:extent cx="1962150" cy="9620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62150" cy="9620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321" w:before="0" w:after="0"/>
        <w:jc w:val="center"/>
        <w:rPr>
          <w:rFonts w:ascii="Arial;sans-serif" w:hAnsi="Arial;sans-serif"/>
          <w:b/>
          <w:color w:val="000000"/>
          <w:sz w:val="28"/>
        </w:rPr>
      </w:pPr>
      <w:r>
        <w:rPr>
          <w:rFonts w:ascii="Arial;sans-serif" w:hAnsi="Arial;sans-serif"/>
          <w:b/>
          <w:color w:val="000000"/>
          <w:sz w:val="28"/>
        </w:rPr>
        <w:t>Helus Pharma to Participate at the H.C. Wainwright 28th Annual Global Investment Conference in New York</w:t>
      </w:r>
    </w:p>
    <w:p>
      <w:pPr>
        <w:pStyle w:val="TextBody"/>
        <w:bidi w:val="0"/>
        <w:spacing w:before="0" w:after="0"/>
        <w:jc w:val="center"/>
        <w:rPr/>
      </w:pPr>
      <w:r>
        <w:rPr/>
      </w:r>
    </w:p>
    <w:p>
      <w:pPr>
        <w:pStyle w:val="TextBody"/>
        <w:bidi w:val="0"/>
        <w:spacing w:lineRule="auto" w:line="321" w:before="0" w:after="0"/>
        <w:jc w:val="center"/>
        <w:rPr>
          <w:rFonts w:ascii="Arial;sans-serif" w:hAnsi="Arial;sans-serif"/>
          <w:b w:val="false"/>
          <w:i/>
          <w:color w:val="000000"/>
          <w:sz w:val="22"/>
        </w:rPr>
      </w:pPr>
      <w:r>
        <w:rPr>
          <w:rFonts w:ascii="Arial;sans-serif" w:hAnsi="Arial;sans-serif"/>
          <w:b w:val="false"/>
          <w:i/>
          <w:color w:val="000000"/>
          <w:sz w:val="22"/>
        </w:rPr>
        <w:t>CEO Michael Halstead to participate in a fireside chat on Monday, September 14, 2026 at 9:00 a.m. EDT.</w:t>
      </w:r>
    </w:p>
    <w:p>
      <w:pPr>
        <w:pStyle w:val="TextBody"/>
        <w:bidi w:val="0"/>
        <w:spacing w:before="0" w:after="0"/>
        <w:jc w:val="center"/>
        <w:rPr/>
      </w:pPr>
      <w:r>
        <w:rPr/>
      </w:r>
    </w:p>
    <w:p>
      <w:pPr>
        <w:pStyle w:val="TextBody"/>
        <w:bidi w:val="0"/>
        <w:spacing w:lineRule="auto" w:line="321" w:before="0" w:after="0"/>
        <w:jc w:val="both"/>
        <w:rPr/>
      </w:pPr>
      <w:r>
        <w:rPr>
          <w:rFonts w:ascii="Arial;sans-serif" w:hAnsi="Arial;sans-serif"/>
          <w:b/>
          <w:color w:val="000000"/>
          <w:sz w:val="22"/>
        </w:rPr>
        <w:t xml:space="preserve">NEW YORK &amp; TORONTO </w:t>
      </w:r>
      <w:r>
        <w:rPr>
          <w:color w:val="000000"/>
        </w:rPr>
        <w:t xml:space="preserve">– </w:t>
      </w:r>
      <w:r>
        <w:rPr>
          <w:rFonts w:ascii="Arial;sans-serif" w:hAnsi="Arial;sans-serif"/>
          <w:b w:val="false"/>
          <w:color w:val="000000"/>
          <w:sz w:val="22"/>
        </w:rPr>
        <w:t>September 9, 2026 – Helus Pharma (Nasdaq: HELP) (Cboe CA: HELP) (the “Company” or “Helus Pharma”), a clinical-stage pharmaceutical company committed to helping minds heal by developing novel serotonergic agonists (“NSAs”), today announced that Michael Halstead, Helus Pharma’s Chief Executive Officer, will participate in a fireside chat at the H.C. Wainwright 28th Annual Global Investment Conference in New York City taking place September 14-16, 2026.</w:t>
      </w:r>
    </w:p>
    <w:p>
      <w:pPr>
        <w:pStyle w:val="TextBody"/>
        <w:bidi w:val="0"/>
        <w:spacing w:before="0" w:after="0"/>
        <w:jc w:val="both"/>
        <w:rPr/>
      </w:pPr>
      <w:r>
        <w:rPr/>
      </w:r>
    </w:p>
    <w:p>
      <w:pPr>
        <w:pStyle w:val="TextBody"/>
        <w:bidi w:val="0"/>
        <w:spacing w:lineRule="auto" w:line="321" w:before="0" w:after="0"/>
        <w:jc w:val="both"/>
        <w:rPr>
          <w:rFonts w:ascii="Arial;sans-serif" w:hAnsi="Arial;sans-serif"/>
          <w:b w:val="false"/>
          <w:color w:val="000000"/>
          <w:sz w:val="22"/>
        </w:rPr>
      </w:pPr>
      <w:r>
        <w:rPr>
          <w:rFonts w:ascii="Arial;sans-serif" w:hAnsi="Arial;sans-serif"/>
          <w:b w:val="false"/>
          <w:color w:val="000000"/>
          <w:sz w:val="22"/>
        </w:rPr>
        <w:t>The fireside chat will be webcast live on Monday, September 14, 2026 at 9:00 a.m. EDT.</w:t>
      </w:r>
    </w:p>
    <w:p>
      <w:pPr>
        <w:pStyle w:val="TextBody"/>
        <w:bidi w:val="0"/>
        <w:spacing w:before="0" w:after="0"/>
        <w:jc w:val="both"/>
        <w:rPr/>
      </w:pPr>
      <w:r>
        <w:rPr/>
      </w:r>
    </w:p>
    <w:p>
      <w:pPr>
        <w:pStyle w:val="TextBody"/>
        <w:bidi w:val="0"/>
        <w:spacing w:lineRule="auto" w:line="321" w:before="0" w:after="0"/>
        <w:jc w:val="both"/>
        <w:rPr/>
      </w:pPr>
      <w:r>
        <w:rPr>
          <w:rFonts w:ascii="Arial;sans-serif" w:hAnsi="Arial;sans-serif"/>
          <w:b w:val="false"/>
          <w:color w:val="000000"/>
          <w:sz w:val="22"/>
        </w:rPr>
        <w:t xml:space="preserve">To register for the webcast, </w:t>
      </w:r>
      <w:r>
        <w:rPr>
          <w:rFonts w:ascii="Arial;sans-serif" w:hAnsi="Arial;sans-serif"/>
          <w:b w:val="false"/>
          <w:color w:val="467886"/>
          <w:sz w:val="22"/>
          <w:u w:val="single"/>
        </w:rPr>
        <w:t>click here</w:t>
      </w:r>
      <w:r>
        <w:rPr>
          <w:rFonts w:ascii="Arial;sans-serif" w:hAnsi="Arial;sans-serif"/>
          <w:b w:val="false"/>
          <w:color w:val="000000"/>
          <w:sz w:val="22"/>
        </w:rPr>
        <w:t>. A replay will be available on the Events &amp; Presentations page of Helus Pharma’s investor relations website.</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shd w:fill="FFFFFF" w:val="clear"/>
        </w:rPr>
      </w:pPr>
      <w:r>
        <w:rPr>
          <w:rFonts w:ascii="Arial;sans-serif" w:hAnsi="Arial;sans-serif"/>
          <w:b/>
          <w:color w:val="000000"/>
          <w:sz w:val="22"/>
          <w:shd w:fill="FFFFFF" w:val="clear"/>
        </w:rPr>
        <w:t>About Helus Pharma</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Helus Pharma™, the commercial operating name of Cybin Inc., is a clinical stage pharmaceutical company committed to helping minds heal by developing proprietary NSAs,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With class leading data, Helus Pharma aims to improve the treatment landscape through the introduction of NSAs that aim to provide durable improvements in mental health. Helus Pharma is currently developing HLP003, a proprietary NSA, in Phase 3 clinical development for the adjunctive treatment of major depressive disorder that has received Breakthrough Therapy Designation from the U.S. Food and Drug Administration and HLP004, also a proprietary NSA in Phase 2 for generalized anxiety disorder. Additionally, Helus Pharma has an extensive research portfolio of investigational NSAs.</w:t>
      </w:r>
    </w:p>
    <w:p>
      <w:pPr>
        <w:pStyle w:val="TextBody"/>
        <w:bidi w:val="0"/>
        <w:spacing w:before="0" w:after="0"/>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96595"/>
                <wp:effectExtent l="0" t="0" r="0" b="0"/>
                <wp:wrapNone/>
                <wp:docPr id="5" name="Frame4"/>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 Company operates in Canada, the United States, the United Kingdom, and Ireland. For Company updates and to learn more about Helus Pharma, visit www.helus.com or follow the team on X, LinkedIn, YouTube and Instagram. Helus Pharma™ is a trademark of Helus Pharma Corp.</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Cautionary Notes and Forward-Looking Statements</w:t>
      </w:r>
    </w:p>
    <w:p>
      <w:pPr>
        <w:pStyle w:val="TextBody"/>
        <w:bidi w:val="0"/>
        <w:spacing w:before="0" w:after="0"/>
        <w:jc w:val="both"/>
        <w:rPr/>
      </w:pPr>
      <w:r>
        <w:rPr/>
      </w:r>
    </w:p>
    <w:p>
      <w:pPr>
        <w:pStyle w:val="TextBody"/>
        <w:bidi w:val="0"/>
        <w:spacing w:lineRule="auto" w:line="321" w:before="0" w:after="0"/>
        <w:jc w:val="both"/>
        <w:rPr/>
      </w:pPr>
      <w:r>
        <w:rPr>
          <w:rFonts w:ascii="Arial;sans-serif" w:hAnsi="Arial;sans-serif"/>
          <w:b w:val="false"/>
          <w:color w:val="000000"/>
          <w:sz w:val="22"/>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anticipated participation in the H.C. Wainwright 28</w:t>
      </w:r>
      <w:r>
        <w:rPr>
          <w:rFonts w:ascii="Arial;sans-serif" w:hAnsi="Arial;sans-serif"/>
          <w:b w:val="false"/>
          <w:color w:val="000000"/>
          <w:sz w:val="14"/>
        </w:rPr>
        <w:t>th</w:t>
      </w:r>
      <w:r>
        <w:rPr>
          <w:color w:val="000000"/>
        </w:rPr>
        <w:t xml:space="preserve"> </w:t>
      </w:r>
      <w:r>
        <w:rPr>
          <w:rFonts w:ascii="Arial;sans-serif" w:hAnsi="Arial;sans-serif"/>
          <w:b w:val="false"/>
          <w:color w:val="000000"/>
          <w:sz w:val="22"/>
        </w:rPr>
        <w:t>Annual Global Investment Conference; and plans to engineer proprietary drug discovery platforms, innovative drug delivery systems, novel formulation approaches and treatment regimens for mental health conditions.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NSA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months ended June 30, 2026, and the Company’s annual information form for the year ended March 31, 2026, which are available under the Company's profile on SEDAR+ at www.sedarplus.ca/ and with the U.S. Securities and Exchange Commission on EDGAR at www.sec.gov/edgar.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96595"/>
                <wp:effectExtent l="0" t="0" r="0" b="0"/>
                <wp:wrapNone/>
                <wp:docPr id="6" name="Frame5"/>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The Company makes no medical, treatment or health benefit claims about the Company’s proposed products. The U.S Food and Drug Administration,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Neither Cboe Canada, nor the Nasdaq Global Market stock exchange, have approved or disapproved the contents of this news release and are not responsible for the adequacy and accuracy of the contents herein.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Investor Contact:</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Matthew Beck</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astr partners</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Managing Partner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(917) 415-1750</w:t>
      </w:r>
    </w:p>
    <w:p>
      <w:pPr>
        <w:pStyle w:val="TextBody"/>
        <w:bidi w:val="0"/>
        <w:spacing w:lineRule="auto" w:line="319" w:before="0" w:after="0"/>
        <w:jc w:val="both"/>
        <w:rPr>
          <w:rFonts w:ascii="Arial;sans-serif" w:hAnsi="Arial;sans-serif"/>
          <w:b w:val="false"/>
          <w:color w:val="467886"/>
          <w:sz w:val="22"/>
          <w:u w:val="single"/>
        </w:rPr>
      </w:pPr>
      <w:r>
        <w:rPr>
          <w:rFonts w:ascii="Arial;sans-serif" w:hAnsi="Arial;sans-serif"/>
          <w:b w:val="false"/>
          <w:color w:val="467886"/>
          <w:sz w:val="22"/>
          <w:u w:val="single"/>
        </w:rPr>
        <w:t>Matthew.beck@astrpartners.com</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Gabriel Fahel</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Chief Legal Officer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Helus Pharma</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1-866-292-4601</w:t>
      </w:r>
    </w:p>
    <w:p>
      <w:pPr>
        <w:pStyle w:val="TextBody"/>
        <w:bidi w:val="0"/>
        <w:spacing w:lineRule="auto" w:line="319" w:before="0" w:after="0"/>
        <w:jc w:val="both"/>
        <w:rPr/>
      </w:pPr>
      <w:r>
        <w:rPr>
          <w:rFonts w:ascii="Arial;sans-serif" w:hAnsi="Arial;sans-serif"/>
          <w:b w:val="false"/>
          <w:color w:val="467886"/>
          <w:sz w:val="22"/>
          <w:u w:val="single"/>
        </w:rPr>
        <w:t>irteam@helus.com</w:t>
      </w:r>
      <w:r>
        <w:rPr>
          <w:color w:val="000000"/>
        </w:rPr>
        <w:t xml:space="preserve"> – </w:t>
      </w:r>
      <w:r>
        <w:rPr>
          <w:rFonts w:ascii="Arial;sans-serif" w:hAnsi="Arial;sans-serif"/>
          <w:b w:val="false"/>
          <w:color w:val="000000"/>
          <w:sz w:val="22"/>
        </w:rPr>
        <w:t xml:space="preserve">or – </w:t>
      </w:r>
      <w:r>
        <w:rPr>
          <w:rFonts w:ascii="Arial;sans-serif" w:hAnsi="Arial;sans-serif"/>
          <w:b w:val="false"/>
          <w:color w:val="467886"/>
          <w:sz w:val="22"/>
          <w:u w:val="single"/>
        </w:rPr>
        <w:t>media@helus.com</w:t>
      </w:r>
      <w:r>
        <w:rPr>
          <w:color w:val="000000"/>
        </w:rPr>
        <w:t xml:space="preserv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Victoria Verdeja</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RXMD</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Public Relations Director</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(212) 537-9495</w:t>
      </w:r>
    </w:p>
    <w:p>
      <w:pPr>
        <w:pStyle w:val="TextBody"/>
        <w:bidi w:val="0"/>
        <w:spacing w:lineRule="auto" w:line="319" w:before="0" w:after="0"/>
        <w:jc w:val="both"/>
        <w:rPr>
          <w:rFonts w:ascii="Arial;sans-serif" w:hAnsi="Arial;sans-serif"/>
          <w:b w:val="false"/>
          <w:color w:val="467886"/>
          <w:sz w:val="22"/>
          <w:u w:val="single"/>
        </w:rPr>
      </w:pPr>
      <w:r>
        <w:rPr>
          <w:rFonts w:ascii="Arial;sans-serif" w:hAnsi="Arial;sans-serif"/>
          <w:b w:val="false"/>
          <w:color w:val="467886"/>
          <w:sz w:val="22"/>
          <w:u w:val="single"/>
        </w:rPr>
        <w:t>Vverdeja@rxmedyn.com</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96595"/>
                <wp:effectExtent l="0" t="0" r="0" b="0"/>
                <wp:wrapNone/>
                <wp:docPr id="7" name="Frame6"/>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160"/>
                              <w:jc w:val="left"/>
                              <w:rPr/>
                            </w:pPr>
                            <w:r>
                              <w:rPr/>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1121</Words>
  <Characters>6622</Characters>
  <CharactersWithSpaces>7707</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