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line="207" w:lineRule="exact"/>
        <w:tabs>
          <w:tab w:leader="none" w:pos="9520" w:val="left"/>
        </w:tabs>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7320" w:type="dxa"/>
            <w:vAlign w:val="bottom"/>
            <w:gridSpan w:val="2"/>
          </w:tcPr>
          <w:p>
            <w:pPr>
              <w:ind w:left="18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Arial" w:cs="Arial" w:eastAsia="Arial" w:hAnsi="Arial"/>
                <w:sz w:val="18"/>
                <w:szCs w:val="18"/>
                <w:color w:val="auto"/>
              </w:rPr>
              <w:t>(Registrant)</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29, 2021</w:t>
            </w:r>
          </w:p>
        </w:tc>
        <w:tc>
          <w:tcPr>
            <w:tcW w:w="2460" w:type="dxa"/>
            <w:vAlign w:val="bottom"/>
          </w:tcPr>
          <w:p>
            <w:pPr>
              <w:ind w:left="18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 Drysdale</w:t>
            </w:r>
          </w:p>
        </w:tc>
      </w:tr>
      <w:tr>
        <w:trPr>
          <w:trHeight w:val="209"/>
        </w:trPr>
        <w:tc>
          <w:tcPr>
            <w:tcW w:w="370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 Drysdale</w:t>
            </w:r>
          </w:p>
        </w:tc>
      </w:tr>
      <w:tr>
        <w:trPr>
          <w:trHeight w:val="230"/>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News Release dated November 26, 2021</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171450</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Announces Additional Adelia Milestone Achievements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TORONTO, CANADA </w:t>
      </w:r>
      <w:r>
        <w:rPr>
          <w:rFonts w:ascii="Arial" w:cs="Arial" w:eastAsia="Arial" w:hAnsi="Arial"/>
          <w:sz w:val="17"/>
          <w:szCs w:val="17"/>
          <w:color w:val="auto"/>
        </w:rPr>
        <w:t>– November 26, 2021 –</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Cybin Inc.</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NEO:CYBN</w:t>
      </w:r>
      <w:r>
        <w:rPr>
          <w:rFonts w:ascii="Arial" w:cs="Arial" w:eastAsia="Arial" w:hAnsi="Arial"/>
          <w:sz w:val="17"/>
          <w:szCs w:val="17"/>
          <w:color w:val="auto"/>
        </w:rPr>
        <w:t>) (</w:t>
      </w:r>
      <w:r>
        <w:rPr>
          <w:rFonts w:ascii="Arial" w:cs="Arial" w:eastAsia="Arial" w:hAnsi="Arial"/>
          <w:sz w:val="17"/>
          <w:szCs w:val="17"/>
          <w:u w:val="single" w:color="auto"/>
          <w:color w:val="auto"/>
        </w:rPr>
        <w:t>NYSE AMERICAN:CYBN</w:t>
      </w:r>
      <w:r>
        <w:rPr>
          <w:rFonts w:ascii="Arial" w:cs="Arial" w:eastAsia="Arial" w:hAnsi="Arial"/>
          <w:sz w:val="17"/>
          <w:szCs w:val="17"/>
          <w:color w:val="auto"/>
        </w:rPr>
        <w:t>) (“</w:t>
      </w:r>
      <w:r>
        <w:rPr>
          <w:rFonts w:ascii="Arial" w:cs="Arial" w:eastAsia="Arial" w:hAnsi="Arial"/>
          <w:sz w:val="17"/>
          <w:szCs w:val="17"/>
          <w:b w:val="1"/>
          <w:bCs w:val="1"/>
          <w:color w:val="auto"/>
        </w:rPr>
        <w:t>Cybin</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color w:val="auto"/>
        </w:rPr>
        <w:t>biotechnology company focused on progressing “Psychedelics to Therapeutics</w:t>
      </w:r>
      <w:r>
        <w:rPr>
          <w:rFonts w:ascii="Arial" w:cs="Arial" w:eastAsia="Arial" w:hAnsi="Arial"/>
          <w:sz w:val="14"/>
          <w:szCs w:val="14"/>
          <w:color w:val="auto"/>
        </w:rPr>
        <w:t>™</w:t>
      </w:r>
      <w:r>
        <w:rPr>
          <w:rFonts w:ascii="Arial" w:cs="Arial" w:eastAsia="Arial" w:hAnsi="Arial"/>
          <w:sz w:val="17"/>
          <w:szCs w:val="17"/>
          <w:color w:val="auto"/>
        </w:rPr>
        <w:t>”, is pleased to announce that Adelia Therapeutics Inc. (“</w:t>
      </w:r>
      <w:r>
        <w:rPr>
          <w:rFonts w:ascii="Arial" w:cs="Arial" w:eastAsia="Arial" w:hAnsi="Arial"/>
          <w:sz w:val="17"/>
          <w:szCs w:val="17"/>
          <w:b w:val="1"/>
          <w:bCs w:val="1"/>
          <w:color w:val="auto"/>
        </w:rPr>
        <w:t>Adelia</w:t>
      </w:r>
      <w:r>
        <w:rPr>
          <w:rFonts w:ascii="Arial" w:cs="Arial" w:eastAsia="Arial" w:hAnsi="Arial"/>
          <w:sz w:val="17"/>
          <w:szCs w:val="17"/>
          <w:color w:val="auto"/>
        </w:rPr>
        <w:t>”), a wholly-controlled subsidiary of Cybin, has achieved those milestones identified as Year 1 Q4 (ii), Year 2 Q1 (iv) and Year 2 Q1 (vii) as contemplated by the terms of a contribution agreement dated December 4, 2020 (the “</w:t>
      </w:r>
      <w:r>
        <w:rPr>
          <w:rFonts w:ascii="Arial" w:cs="Arial" w:eastAsia="Arial" w:hAnsi="Arial"/>
          <w:sz w:val="17"/>
          <w:szCs w:val="17"/>
          <w:b w:val="1"/>
          <w:bCs w:val="1"/>
          <w:color w:val="auto"/>
        </w:rPr>
        <w:t>Transaction Agreement</w:t>
      </w:r>
      <w:r>
        <w:rPr>
          <w:rFonts w:ascii="Arial" w:cs="Arial" w:eastAsia="Arial" w:hAnsi="Arial"/>
          <w:sz w:val="17"/>
          <w:szCs w:val="17"/>
          <w:color w:val="auto"/>
        </w:rPr>
        <w:t>”) among Cybin, Cybin Corp., Cybin US Holdings Inc. (the “</w:t>
      </w:r>
      <w:r>
        <w:rPr>
          <w:rFonts w:ascii="Arial" w:cs="Arial" w:eastAsia="Arial" w:hAnsi="Arial"/>
          <w:sz w:val="17"/>
          <w:szCs w:val="17"/>
          <w:b w:val="1"/>
          <w:bCs w:val="1"/>
          <w:color w:val="auto"/>
        </w:rPr>
        <w:t>Acquiror</w:t>
      </w:r>
      <w:r>
        <w:rPr>
          <w:rFonts w:ascii="Arial" w:cs="Arial" w:eastAsia="Arial" w:hAnsi="Arial"/>
          <w:sz w:val="17"/>
          <w:szCs w:val="17"/>
          <w:color w:val="auto"/>
        </w:rPr>
        <w:t>”), a wholly-controlled subsidiary of Cybin, and all of the previous shareholders of Adelia (the “</w:t>
      </w:r>
      <w:r>
        <w:rPr>
          <w:rFonts w:ascii="Arial" w:cs="Arial" w:eastAsia="Arial" w:hAnsi="Arial"/>
          <w:sz w:val="17"/>
          <w:szCs w:val="17"/>
          <w:b w:val="1"/>
          <w:bCs w:val="1"/>
          <w:color w:val="auto"/>
        </w:rPr>
        <w:t>Adelia Shareholders</w:t>
      </w:r>
      <w:r>
        <w:rPr>
          <w:rFonts w:ascii="Arial" w:cs="Arial" w:eastAsia="Arial" w:hAnsi="Arial"/>
          <w:sz w:val="17"/>
          <w:szCs w:val="17"/>
          <w:color w:val="auto"/>
        </w:rPr>
        <w:t>”).</w:t>
      </w:r>
    </w:p>
    <w:p>
      <w:pPr>
        <w:spacing w:after="0" w:line="168"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Pursuant to the terms of the Transaction Agreement, 31,721.5 Class B common shares in the capital of the Acquiror (the “</w:t>
      </w:r>
      <w:r>
        <w:rPr>
          <w:rFonts w:ascii="Arial" w:cs="Arial" w:eastAsia="Arial" w:hAnsi="Arial"/>
          <w:sz w:val="16"/>
          <w:szCs w:val="16"/>
          <w:b w:val="1"/>
          <w:bCs w:val="1"/>
          <w:color w:val="auto"/>
        </w:rPr>
        <w:t>Class B Shares</w:t>
      </w:r>
      <w:r>
        <w:rPr>
          <w:rFonts w:ascii="Arial" w:cs="Arial" w:eastAsia="Arial" w:hAnsi="Arial"/>
          <w:sz w:val="16"/>
          <w:szCs w:val="16"/>
          <w:color w:val="auto"/>
        </w:rPr>
        <w:t>”) shall be issued to the Adelia Shareholders, in satisfaction of the $628,879.34 (approximately US$492,427.64) due to them on meeting a portion of the relevant milestones, at an effective issue price of $1.98 per Class B Share, determined in accordance with the Transaction Agreement and applicable securities law. The Class B Shares issued by the Acquiror to the Adelia Shareholders are exchangeable for common shares in the capital of Cybin (the “</w:t>
      </w:r>
      <w:r>
        <w:rPr>
          <w:rFonts w:ascii="Arial" w:cs="Arial" w:eastAsia="Arial" w:hAnsi="Arial"/>
          <w:sz w:val="16"/>
          <w:szCs w:val="16"/>
          <w:b w:val="1"/>
          <w:bCs w:val="1"/>
          <w:color w:val="auto"/>
        </w:rPr>
        <w:t>Cybin</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on a 10 Cybin Shares for 1 Class B Share basis, at the option of the holder thereof, subject to customary adjustments. No Class B Shares are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exchangeable prior to December 14, 2021, and not more than: (i) 33 1/3% of the Class B Shares will be exchangeable prior to December 14, 2022; (ii) 66 2/3% of the Class B Shares will be exchangeable prior to December 14, 2023; and (iii) thereafter, 100% of the Class B Shares will be exchangeable.</w:t>
      </w:r>
    </w:p>
    <w:p>
      <w:pPr>
        <w:spacing w:after="0" w:line="165"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Additional information related to the transaction is available in the Transaction Agreement, which is filed under Cybin’s profile on SEDAR (</w:t>
      </w:r>
      <w:r>
        <w:rPr>
          <w:rFonts w:ascii="Arial" w:cs="Arial" w:eastAsia="Arial" w:hAnsi="Arial"/>
          <w:sz w:val="18"/>
          <w:szCs w:val="18"/>
          <w:u w:val="single" w:color="auto"/>
          <w:color w:val="auto"/>
        </w:rPr>
        <w:t>www.sedar.com)</w:t>
      </w:r>
      <w:r>
        <w:rPr>
          <w:rFonts w:ascii="Arial" w:cs="Arial" w:eastAsia="Arial" w:hAnsi="Arial"/>
          <w:sz w:val="18"/>
          <w:szCs w:val="18"/>
          <w:color w:val="auto"/>
        </w:rPr>
        <w:t xml:space="preserve"> and with the U.S. Securities and Exchange Commission on EDGAR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the USA, UK and Ireland. The Company is focused on progressing Psychedelics to Therapeutics</w:t>
      </w:r>
      <w:r>
        <w:rPr>
          <w:rFonts w:ascii="Arial" w:cs="Arial" w:eastAsia="Arial" w:hAnsi="Arial"/>
          <w:sz w:val="15"/>
          <w:szCs w:val="15"/>
          <w:color w:val="auto"/>
        </w:rPr>
        <w:t>™</w:t>
      </w:r>
      <w:r>
        <w:rPr>
          <w:rFonts w:ascii="Arial" w:cs="Arial" w:eastAsia="Arial" w:hAnsi="Arial"/>
          <w:sz w:val="18"/>
          <w:szCs w:val="18"/>
          <w:color w:val="auto"/>
        </w:rPr>
        <w:t xml:space="preserve"> by engineering proprietary drug discovery platforms, innovative drug delivery systems, novel formulation approaches and treatment regimens for mental health disorders.</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Adelia</w:t>
      </w:r>
    </w:p>
    <w:p>
      <w:pPr>
        <w:spacing w:after="0" w:line="12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Adelia is a wholly-controlled subsidiary of the Company, that aims to develop medicinal psychedelics with improved dosing efficacy and therapeutic indices to address unmet medical needs. Adelia’s primary focus is on the development of treatment regimens consisting of proprietary psychedelic molecules and related clinical protocols. This proprietary development strategy is based on chemical modifications to the known and well understood tryptamine derivatives that significantly modify their pharmacokinetic properties without changing their therapeutic potential. These proprietary approaches seek to minimize inter-patient variability by better controlling drug metabolism without loss of efficacy that together have been shown to produce more predictable and favorable patient outcomes.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 Looking Statements</w:t>
      </w:r>
    </w:p>
    <w:p>
      <w:pPr>
        <w:spacing w:after="0" w:line="12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Company’s development of innovative drug delivery systems, novel formulation approaches and potential treatment regimens for psychiatric disorders and Adelia’s proprietary development strategy and development of medicinal psychedelics with improved dosing efficacy and therapeutic indices to address unmet medical needs.</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and six months ended September 30, 2021 and the Company’s listing statement dated November 9, 2020, which are available under the Company’s profile on </w:t>
      </w:r>
      <w:r>
        <w:rPr>
          <w:rFonts w:ascii="Arial" w:cs="Arial" w:eastAsia="Arial" w:hAnsi="Arial"/>
          <w:sz w:val="17"/>
          <w:szCs w:val="17"/>
          <w:u w:val="single" w:color="auto"/>
          <w:color w:val="auto"/>
        </w:rPr>
        <w:t>www.sedar.com</w:t>
      </w:r>
      <w:r>
        <w:rPr>
          <w:rFonts w:ascii="Arial" w:cs="Arial" w:eastAsia="Arial" w:hAnsi="Arial"/>
          <w:sz w:val="17"/>
          <w:szCs w:val="17"/>
          <w:color w:val="auto"/>
        </w:rPr>
        <w:t xml:space="preserve"> and with the U.S. Securities and Exchange Commission on EDGAR at </w:t>
      </w:r>
      <w:r>
        <w:rPr>
          <w:rFonts w:ascii="Arial" w:cs="Arial" w:eastAsia="Arial" w:hAnsi="Arial"/>
          <w:sz w:val="17"/>
          <w:szCs w:val="17"/>
          <w:u w:val="single" w:color="auto"/>
          <w:color w:val="auto"/>
        </w:rPr>
        <w:t>www.sec.gov</w:t>
      </w:r>
      <w:r>
        <w:rPr>
          <w:rFonts w:ascii="Arial" w:cs="Arial" w:eastAsia="Arial" w:hAnsi="Arial"/>
          <w:sz w:val="17"/>
          <w:szCs w:val="17"/>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000"/>
          </w:cols>
          <w:pgMar w:left="440" w:top="270" w:right="459" w:bottom="1440" w:gutter="0" w:footer="0" w:header="0"/>
        </w:sectPr>
      </w:pPr>
    </w:p>
    <w:bookmarkStart w:id="5" w:name="page6"/>
    <w:bookmarkEnd w:id="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Neither The Neo Exchange Inc. nor the NYSE American LLC stock exchange have approved nor disapproved the contents of this news release and are not responsible for the adequacy and accuracy of the contents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all dollar amounts in this news release are expressed in Canadian dollars.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Leah Gibson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leah@cybin.com</w:t>
      </w:r>
    </w:p>
    <w:sectPr>
      <w:pgSz w:w="11900" w:h="16838" w:orient="portrait"/>
      <w:cols w:equalWidth="0" w:num="1">
        <w:col w:w="10860"/>
      </w:cols>
      <w:pgMar w:left="440" w:top="27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2021-11-29T12:32:56Z</dcterms:created>
  <dcterms:modified xsi:type="dcterms:W3CDTF">2021-11-29T12:32:56Z</dcterms:modified>
</cp:coreProperties>
</file>