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October,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October 31,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at the 2024 Milken Institute Future of Health Summit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CEO Doug Drysdale to speak on panel about novel approaches to mental health treatments on November 13, 2024 -</w:t>
      </w:r>
    </w:p>
    <w:p>
      <w:pPr>
        <w:spacing w:after="0" w:line="295"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31,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breakthrough neuropsychiatry platform company committed to revolutionizing mental healthcare by developing new and innovative next-generation treatment options, today announced that Doug Drysdale, Cybin’s Chief Executive Officer, will be speaking at the 2024 Milken Institute Future of Health Summit on a panel entitled “The Next Frontier in Mental Health Research.”</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“We share the Milken Institute’s inspiring commitment to accelerating medical research and improving health outcomes and are pleased to once again participate in this important event,” said Doug Drysdale, Chief Executive Officer of Cybin. “The Future of Health Summit is a unique opportunity for cross-discipline engagement around some of healthcare’s most challenging unmet needs. Cybin is proud to be a leader in innovative mental health research. As part of the larger panel discussion, we look forward to sharing our recent clinical advancements, including CYB003, our deuterated psilocin program for the adjunctive treatment of major depressive disorder, which is about to commence Phase 3, and CYB004, our deuterated DMT program in Phase 2 development for the treatment of generalized anxiety disorder.”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Milken Future of Health Summit: Partnering for Better Health</w:t>
      </w:r>
    </w:p>
    <w:p>
      <w:pPr>
        <w:spacing w:after="0" w:line="5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Panel title:</w:t>
      </w:r>
      <w:r>
        <w:rPr>
          <w:sz w:val="20"/>
          <w:szCs w:val="20"/>
          <w:color w:val="auto"/>
        </w:rPr>
        <w:tab/>
      </w:r>
      <w:r>
        <w:rPr>
          <w:rFonts w:ascii="Arial" w:cs="Arial" w:eastAsia="Arial" w:hAnsi="Arial"/>
          <w:sz w:val="19"/>
          <w:szCs w:val="19"/>
          <w:b w:val="1"/>
          <w:bCs w:val="1"/>
          <w:u w:val="single" w:color="auto"/>
          <w:color w:val="0000FF"/>
        </w:rPr>
        <w:t>The Next Frontier in Mental Health Research</w:t>
      </w:r>
    </w:p>
    <w:p>
      <w:pPr>
        <w:spacing w:after="0" w:line="67"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Date:</w:t>
      </w:r>
      <w:r>
        <w:rPr>
          <w:sz w:val="20"/>
          <w:szCs w:val="20"/>
          <w:color w:val="auto"/>
        </w:rPr>
        <w:tab/>
      </w:r>
      <w:r>
        <w:rPr>
          <w:rFonts w:ascii="Arial" w:cs="Arial" w:eastAsia="Arial" w:hAnsi="Arial"/>
          <w:sz w:val="20"/>
          <w:szCs w:val="20"/>
          <w:b w:val="1"/>
          <w:bCs w:val="1"/>
          <w:color w:val="auto"/>
        </w:rPr>
        <w:t>Wednesday, November 13, 2024</w:t>
      </w:r>
    </w:p>
    <w:p>
      <w:pPr>
        <w:spacing w:after="0" w:line="54"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b w:val="1"/>
          <w:bCs w:val="1"/>
          <w:color w:val="auto"/>
        </w:rPr>
        <w:t>Time:</w:t>
      </w:r>
      <w:r>
        <w:rPr>
          <w:sz w:val="20"/>
          <w:szCs w:val="20"/>
          <w:color w:val="auto"/>
        </w:rPr>
        <w:tab/>
      </w:r>
      <w:r>
        <w:rPr>
          <w:rFonts w:ascii="Arial" w:cs="Arial" w:eastAsia="Arial" w:hAnsi="Arial"/>
          <w:sz w:val="20"/>
          <w:szCs w:val="20"/>
          <w:b w:val="1"/>
          <w:bCs w:val="1"/>
          <w:color w:val="auto"/>
        </w:rPr>
        <w:t>4:30 - 5:30 PM EST</w:t>
      </w:r>
    </w:p>
    <w:p>
      <w:pPr>
        <w:spacing w:after="0" w:line="67" w:lineRule="exact"/>
        <w:rPr>
          <w:sz w:val="20"/>
          <w:szCs w:val="20"/>
          <w:color w:val="auto"/>
        </w:rPr>
      </w:pPr>
    </w:p>
    <w:p>
      <w:pPr>
        <w:spacing w:after="0"/>
        <w:tabs>
          <w:tab w:leader="none" w:pos="1140" w:val="left"/>
        </w:tabs>
        <w:rPr>
          <w:sz w:val="20"/>
          <w:szCs w:val="20"/>
          <w:color w:val="auto"/>
        </w:rPr>
      </w:pPr>
      <w:r>
        <w:rPr>
          <w:rFonts w:ascii="Arial" w:cs="Arial" w:eastAsia="Arial" w:hAnsi="Arial"/>
          <w:sz w:val="20"/>
          <w:szCs w:val="20"/>
          <w:b w:val="1"/>
          <w:bCs w:val="1"/>
          <w:color w:val="auto"/>
        </w:rPr>
        <w:t>Location:</w:t>
        <w:tab/>
        <w:t>Salamander, Washington DC, 1330 Maryland Avenue, SW</w:t>
      </w:r>
    </w:p>
    <w:p>
      <w:pPr>
        <w:sectPr>
          <w:pgSz w:w="11900" w:h="16838" w:orient="portrait"/>
          <w:cols w:equalWidth="0" w:num="1">
            <w:col w:w="11240"/>
          </w:cols>
          <w:pgMar w:left="320" w:top="1440" w:right="339" w:bottom="1440" w:gutter="0" w:footer="0" w:header="0"/>
        </w:sectPr>
      </w:pPr>
    </w:p>
    <w:bookmarkStart w:id="4" w:name="page5"/>
    <w:bookmarkEnd w:id="4"/>
    <w:p>
      <w:pPr>
        <w:spacing w:after="0" w:line="13" w:lineRule="exact"/>
        <w:rPr>
          <w:sz w:val="20"/>
          <w:szCs w:val="20"/>
          <w:color w:val="auto"/>
        </w:rPr>
      </w:pPr>
    </w:p>
    <w:p>
      <w:pPr>
        <w:jc w:val="both"/>
        <w:ind w:left="1300" w:hanging="1295"/>
        <w:spacing w:after="0" w:line="280" w:lineRule="auto"/>
        <w:tabs>
          <w:tab w:leader="none" w:pos="1280" w:val="left"/>
        </w:tabs>
        <w:rPr>
          <w:sz w:val="20"/>
          <w:szCs w:val="20"/>
          <w:color w:val="auto"/>
        </w:rPr>
      </w:pPr>
      <w:r>
        <w:rPr>
          <w:rFonts w:ascii="Arial" w:cs="Arial" w:eastAsia="Arial" w:hAnsi="Arial"/>
          <w:sz w:val="20"/>
          <w:szCs w:val="20"/>
          <w:b w:val="1"/>
          <w:bCs w:val="1"/>
          <w:color w:val="auto"/>
        </w:rPr>
        <w:t>Description:</w:t>
      </w:r>
      <w:r>
        <w:rPr>
          <w:sz w:val="20"/>
          <w:szCs w:val="20"/>
          <w:color w:val="auto"/>
        </w:rPr>
        <w:tab/>
      </w:r>
      <w:r>
        <w:rPr>
          <w:rFonts w:ascii="Arial" w:cs="Arial" w:eastAsia="Arial" w:hAnsi="Arial"/>
          <w:sz w:val="20"/>
          <w:szCs w:val="20"/>
          <w:color w:val="auto"/>
        </w:rPr>
        <w:t>Mental illness is one of the most common health conditions—one in every eight people in the world lives with one. The staggering prevalence and impact of these illnesses has prompted worldwide research efforts to understand the causes and risk factors as well as to develop novel technologies and paradigms that more effectively diagnose and treat these illnesses. Today, therapeutic design efforts extend beyond those aimed at molecular and cellular mechanisms and include brain circuit organization and function. Such approaches offer the potential to link an individual’s symptom profile to personalized treatment for mental illness and open the door to new, innovative solutions for these conditions.</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To access the live panel discussion,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 For more information on the Milken Institute and the upcoming conference visit </w:t>
      </w:r>
      <w:r>
        <w:rPr>
          <w:rFonts w:ascii="Arial" w:cs="Arial" w:eastAsia="Arial" w:hAnsi="Arial"/>
          <w:sz w:val="20"/>
          <w:szCs w:val="20"/>
          <w:u w:val="single" w:color="auto"/>
          <w:color w:val="499ED6"/>
        </w:rPr>
        <w:t>www.milkeninstitute.org</w:t>
      </w:r>
      <w:r>
        <w:rPr>
          <w:rFonts w:ascii="Arial" w:cs="Arial" w:eastAsia="Arial" w:hAnsi="Arial"/>
          <w:sz w:val="20"/>
          <w:szCs w:val="20"/>
          <w:color w:val="444444"/>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about to enter Phase 3 studies for the adjunctive treatment of major depressive disorder and CYB004, a proprietary deuterated DMT program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initiate its Phase 3 study of CYB003; proprietary drug discovery platforms, innovative drug delivery systems, novel formulation approaches and treatment regimens for mental health disorders.</w:t>
      </w:r>
    </w:p>
    <w:p>
      <w:pPr>
        <w:spacing w:after="0" w:line="21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2024 and the Company’s annual information form for the year ended March 31, 2024,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5" w:right="339" w:bottom="1440" w:gutter="0" w:footer="0" w:header="0"/>
        </w:sectPr>
      </w:pPr>
    </w:p>
    <w:bookmarkStart w:id="6" w:name="page7"/>
    <w:bookmarkEnd w:id="6"/>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2024-11-01T12:32:45Z</dcterms:created>
  <dcterms:modified xsi:type="dcterms:W3CDTF">2024-11-01T12:32:45Z</dcterms:modified>
</cp:coreProperties>
</file>