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4,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January 4,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Highlights Recent Topline Results and Outlines Key Upcoming Milestones Across its Clinical Development Programs</w:t>
      </w:r>
    </w:p>
    <w:p>
      <w:pPr>
        <w:spacing w:after="0" w:line="138" w:lineRule="exact"/>
        <w:rPr>
          <w:sz w:val="20"/>
          <w:szCs w:val="20"/>
          <w:color w:val="auto"/>
        </w:rPr>
      </w:pPr>
    </w:p>
    <w:p>
      <w:pPr>
        <w:ind w:left="340" w:hanging="127"/>
        <w:spacing w:after="0"/>
        <w:tabs>
          <w:tab w:leader="none" w:pos="34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Recently announced positive Phase 2 topline data in Major Depressive Disorder (“MDD”) with 79% of patients in remission</w:t>
      </w:r>
    </w:p>
    <w:p>
      <w:pPr>
        <w:spacing w:after="0" w:line="40" w:lineRule="exact"/>
        <w:rPr>
          <w:rFonts w:ascii="Arial" w:cs="Arial" w:eastAsia="Arial" w:hAnsi="Arial"/>
          <w:sz w:val="20"/>
          <w:szCs w:val="20"/>
          <w:i w:val="1"/>
          <w:iCs w:val="1"/>
          <w:color w:val="auto"/>
        </w:rPr>
      </w:pPr>
    </w:p>
    <w:p>
      <w:pPr>
        <w:ind w:left="33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from depression after two doses of CYB003 (12mg) -</w:t>
      </w:r>
    </w:p>
    <w:p>
      <w:pPr>
        <w:spacing w:after="0" w:line="269" w:lineRule="exact"/>
        <w:rPr>
          <w:rFonts w:ascii="Arial" w:cs="Arial" w:eastAsia="Arial" w:hAnsi="Arial"/>
          <w:sz w:val="20"/>
          <w:szCs w:val="20"/>
          <w:i w:val="1"/>
          <w:iCs w:val="1"/>
          <w:color w:val="auto"/>
        </w:rPr>
      </w:pPr>
    </w:p>
    <w:p>
      <w:pPr>
        <w:ind w:left="440" w:hanging="123"/>
        <w:spacing w:after="0"/>
        <w:tabs>
          <w:tab w:leader="none" w:pos="44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Programs supported by robust intellectual property portfolio with 40 granted patents and over 170 pending applications -</w:t>
      </w:r>
    </w:p>
    <w:p>
      <w:pPr>
        <w:spacing w:after="0" w:line="283" w:lineRule="exact"/>
        <w:rPr>
          <w:rFonts w:ascii="Arial" w:cs="Arial" w:eastAsia="Arial" w:hAnsi="Arial"/>
          <w:sz w:val="20"/>
          <w:szCs w:val="20"/>
          <w:i w:val="1"/>
          <w:iCs w:val="1"/>
          <w:color w:val="auto"/>
        </w:rPr>
      </w:pPr>
    </w:p>
    <w:p>
      <w:pPr>
        <w:ind w:left="1920" w:right="800" w:hanging="1102"/>
        <w:spacing w:after="0" w:line="300" w:lineRule="auto"/>
        <w:tabs>
          <w:tab w:leader="none" w:pos="94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Multinational operations support scaling to Phase 3 trial of CYB003 in MDD and Phase 2 study of deuterated dimethyltryptamine (“dDMT”) in Generalized Anxiety Disorder (“GAD”) in early 2024 -</w:t>
      </w:r>
    </w:p>
    <w:p>
      <w:pPr>
        <w:spacing w:after="0" w:line="194" w:lineRule="exact"/>
        <w:rPr>
          <w:rFonts w:ascii="Arial" w:cs="Arial" w:eastAsia="Arial" w:hAnsi="Arial"/>
          <w:sz w:val="20"/>
          <w:szCs w:val="20"/>
          <w:i w:val="1"/>
          <w:iCs w:val="1"/>
          <w:color w:val="auto"/>
        </w:rPr>
      </w:pPr>
    </w:p>
    <w:p>
      <w:pPr>
        <w:ind w:left="2560" w:hanging="114"/>
        <w:spacing w:after="0"/>
        <w:tabs>
          <w:tab w:leader="none" w:pos="256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Phase 1 deuterated DMT readouts (CYB004/SPL028) in final analysis -</w:t>
      </w:r>
    </w:p>
    <w:p>
      <w:pPr>
        <w:spacing w:after="0" w:line="30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4,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outlined its recent positive Phase 2 CYB003 topline results in MDD and near-term milestones across its clinical-stage deuterated psilocybin and dDMT programs in development for the treatment of multiple mental health conditions.</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“The recently reported safety and efficacy datasets from our lead clinical programs compare extremely favorably to currently approved treatments for depression and anxiety disorders, where there remain significant unmet needs for patients. The first quarter of 2024 should be another active and productive period for us, as we advance our clinical programs. For CYB003, we expect to have 12-week efficacy data and an end-of-Phase 2 meeting with the U.S. Food and Drug Administration (“FDA”). That discussion will inform the design of a Phase 3 study, which we plan to commence around the end of the first quarter. For our dDMT programs, we plan to initiate a Phase 2 trial of CYB004 in generalized anxiety disorder (“GAD”),” said Doug Drysdale, Chief Executive Officer of Cybin. “As we look ahead, we see enormous opportunities for progress across our differentiated programs and development pipeline. With each promising dataset, we gain confidence in our ability to revolutionize the treatment of mental health disorders and to give patients and providers hope for longer lasting and improved outcomes.”</w:t>
      </w:r>
    </w:p>
    <w:p>
      <w:pPr>
        <w:sectPr>
          <w:pgSz w:w="11900" w:h="16838" w:orient="portrait"/>
          <w:cols w:equalWidth="0" w:num="1">
            <w:col w:w="11240"/>
          </w:cols>
          <w:pgMar w:left="320" w:top="1440" w:right="339" w:bottom="1440" w:gutter="0" w:footer="0" w:header="0"/>
        </w:sectPr>
      </w:pPr>
    </w:p>
    <w:bookmarkStart w:id="4" w:name="page5"/>
    <w:bookmarkEnd w:id="4"/>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Deuterated Psilocybin Analog Program for the Treatment of MDD</w:t>
      </w:r>
    </w:p>
    <w:p>
      <w:pPr>
        <w:spacing w:after="0" w:line="28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Company completed a Phase 1/2a study evaluating CYB003, a proprietary deuterated psilocybin analog, as an adjunctive therapy in participants with moderate to severe MDD. The Phase 2 results, which showed robust improvements in depression symptoms after single doses of CYB003, and a 79% remission rate from depression symptoms at six weeks after two doses of CYB003 (12mg), support progression to a multinational, multisite Phase 3 trial in early 2024.</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 CYB003 program is supported by two composition of matter patents expected to provide coverage until at least 2041.</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CYB003 Phase 2 topline efficacy data:</w:t>
      </w:r>
    </w:p>
    <w:p>
      <w:pPr>
        <w:spacing w:after="0" w:line="5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79% of patients remained in remission from their depression 6 weeks after receiving two doses of CYB003 (12mg)</w:t>
      </w:r>
      <w:r>
        <w:rPr>
          <w:rFonts w:ascii="Arial" w:cs="Arial" w:eastAsia="Arial" w:hAnsi="Arial"/>
          <w:sz w:val="25"/>
          <w:szCs w:val="25"/>
          <w:color w:val="auto"/>
          <w:vertAlign w:val="superscript"/>
        </w:rPr>
        <w:t>1</w:t>
      </w:r>
    </w:p>
    <w:p>
      <w:pPr>
        <w:spacing w:after="0" w:line="26"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Rapid and large improvements in symptoms of depression observed after single doses of CYB003:</w:t>
      </w:r>
    </w:p>
    <w:p>
      <w:pPr>
        <w:spacing w:after="0" w:line="10" w:lineRule="exact"/>
        <w:rPr>
          <w:sz w:val="20"/>
          <w:szCs w:val="20"/>
          <w:color w:val="auto"/>
        </w:rPr>
      </w:pPr>
    </w:p>
    <w:p>
      <w:pPr>
        <w:ind w:left="1300" w:right="20" w:hanging="320"/>
        <w:spacing w:after="0" w:line="262" w:lineRule="auto"/>
        <w:tabs>
          <w:tab w:leader="none" w:pos="130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A mean -13.75 point difference in Montgomery–Asberg Depression Rating Scale score (“MADRS”) between CYB003 (12mg and 16mg cohorts pooled) and placebo which is statistically significant at 3 weeks (p&lt;0.0001).</w:t>
      </w:r>
      <w:r>
        <w:rPr>
          <w:rFonts w:ascii="Arial" w:cs="Arial" w:eastAsia="Arial" w:hAnsi="Arial"/>
          <w:sz w:val="25"/>
          <w:szCs w:val="25"/>
          <w:color w:val="auto"/>
          <w:vertAlign w:val="superscript"/>
        </w:rPr>
        <w:t>2</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Clear incremental benefit of a second dose:</w:t>
      </w:r>
    </w:p>
    <w:p>
      <w:pPr>
        <w:spacing w:after="0" w:line="2" w:lineRule="exact"/>
        <w:rPr>
          <w:rFonts w:ascii="Times New Roman" w:cs="Times New Roman" w:eastAsia="Times New Roman" w:hAnsi="Times New Roman"/>
          <w:sz w:val="22"/>
          <w:szCs w:val="22"/>
          <w:color w:val="auto"/>
        </w:rPr>
      </w:pPr>
    </w:p>
    <w:p>
      <w:pPr>
        <w:ind w:left="1300" w:hanging="320"/>
        <w:spacing w:after="0" w:line="275" w:lineRule="auto"/>
        <w:tabs>
          <w:tab w:leader="none" w:pos="1295" w:val="left"/>
        </w:tabs>
        <w:numPr>
          <w:ilvl w:val="1"/>
          <w:numId w:val="3"/>
        </w:numPr>
        <w:rPr>
          <w:rFonts w:ascii="Courier New" w:cs="Courier New" w:eastAsia="Courier New" w:hAnsi="Courier New"/>
          <w:sz w:val="22"/>
          <w:szCs w:val="22"/>
          <w:color w:val="auto"/>
        </w:rPr>
      </w:pPr>
      <w:r>
        <w:rPr>
          <w:rFonts w:ascii="Arial" w:cs="Arial" w:eastAsia="Arial" w:hAnsi="Arial"/>
          <w:sz w:val="20"/>
          <w:szCs w:val="20"/>
          <w:color w:val="auto"/>
        </w:rPr>
        <w:t>Incremental and sustained benefit seen as a further 5.8 point improvement on the MADRS total score with a second dose of CYB003 (12mg) at 6 weeks.</w:t>
      </w:r>
    </w:p>
    <w:p>
      <w:pPr>
        <w:spacing w:after="0" w:line="19" w:lineRule="exact"/>
        <w:rPr>
          <w:rFonts w:ascii="Courier New" w:cs="Courier New" w:eastAsia="Courier New" w:hAnsi="Courier New"/>
          <w:sz w:val="22"/>
          <w:szCs w:val="22"/>
          <w:color w:val="auto"/>
        </w:rPr>
      </w:pPr>
    </w:p>
    <w:p>
      <w:pPr>
        <w:ind w:left="660" w:hanging="328"/>
        <w:spacing w:after="0" w:line="257"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Magnitude of improvement far superior compared to approved antidepressants and recently reported data with other psychedelics:</w:t>
      </w:r>
    </w:p>
    <w:p>
      <w:pPr>
        <w:spacing w:after="0" w:line="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Courier New" w:cs="Courier New" w:eastAsia="Courier New" w:hAnsi="Courier New"/>
          <w:sz w:val="22"/>
          <w:szCs w:val="22"/>
          <w:color w:val="auto"/>
        </w:rPr>
      </w:pPr>
      <w:r>
        <w:rPr>
          <w:rFonts w:ascii="Arial" w:cs="Arial" w:eastAsia="Arial" w:hAnsi="Arial"/>
          <w:sz w:val="20"/>
          <w:szCs w:val="20"/>
          <w:color w:val="auto"/>
        </w:rPr>
        <w:t>Effects translate into unprecedented effect size (Cohen’s d &gt; 2) (SSRIs = 0.243)</w:t>
      </w:r>
    </w:p>
    <w:p>
      <w:pPr>
        <w:spacing w:after="0" w:line="47" w:lineRule="exact"/>
        <w:rPr>
          <w:rFonts w:ascii="Courier New" w:cs="Courier New" w:eastAsia="Courier New" w:hAnsi="Courier New"/>
          <w:sz w:val="22"/>
          <w:szCs w:val="22"/>
          <w:color w:val="auto"/>
        </w:rPr>
      </w:pPr>
    </w:p>
    <w:p>
      <w:pPr>
        <w:jc w:val="both"/>
        <w:ind w:left="1300" w:hanging="320"/>
        <w:spacing w:after="0" w:line="265" w:lineRule="auto"/>
        <w:tabs>
          <w:tab w:leader="none" w:pos="1295" w:val="left"/>
        </w:tabs>
        <w:numPr>
          <w:ilvl w:val="1"/>
          <w:numId w:val="3"/>
        </w:numPr>
        <w:rPr>
          <w:rFonts w:ascii="Courier New" w:cs="Courier New" w:eastAsia="Courier New" w:hAnsi="Courier New"/>
          <w:sz w:val="22"/>
          <w:szCs w:val="22"/>
          <w:color w:val="auto"/>
        </w:rPr>
      </w:pPr>
      <w:r>
        <w:rPr>
          <w:rFonts w:ascii="Arial" w:cs="Arial" w:eastAsia="Arial" w:hAnsi="Arial"/>
          <w:sz w:val="20"/>
          <w:szCs w:val="20"/>
          <w:color w:val="auto"/>
        </w:rPr>
        <w:t>These results compare favorably to pooled data from 232 industry studies of current standard of care antidepressants, selective serotonin reuptake inhibitors (“SSRIs”), submitted to U.S. Food and Drug Administration (“FDA”) which show an average improvement of 1.82 points on the MADRS total score vs. placebo</w:t>
      </w:r>
      <w:r>
        <w:rPr>
          <w:rFonts w:ascii="Arial" w:cs="Arial" w:eastAsia="Arial" w:hAnsi="Arial"/>
          <w:sz w:val="25"/>
          <w:szCs w:val="25"/>
          <w:color w:val="auto"/>
          <w:vertAlign w:val="superscript"/>
        </w:rPr>
        <w:t>3</w:t>
      </w:r>
    </w:p>
    <w:p>
      <w:pPr>
        <w:spacing w:after="0" w:line="1" w:lineRule="exact"/>
        <w:rPr>
          <w:rFonts w:ascii="Courier New" w:cs="Courier New" w:eastAsia="Courier New" w:hAnsi="Courier New"/>
          <w:sz w:val="22"/>
          <w:szCs w:val="22"/>
          <w:color w:val="auto"/>
        </w:rPr>
      </w:pPr>
    </w:p>
    <w:p>
      <w:pPr>
        <w:ind w:left="660" w:hanging="328"/>
        <w:spacing w:after="0" w:line="257"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Demonstrated an excellent safety profile in doses tested, with all reported adverse events mild to moderate and self– limiting.</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 for CYB003 Program</w:t>
      </w:r>
    </w:p>
    <w:p>
      <w:pPr>
        <w:spacing w:after="0" w:line="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Additional Phase 2 data assessing durability of efficacy for CYB003 at 12 weeks expected in Q1 2024.</w:t>
      </w:r>
    </w:p>
    <w:p>
      <w:pPr>
        <w:spacing w:after="0" w:line="17"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FDA end of Phase 2 meeting in early 2024.</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Initiate Phase 3 trial of CYB003 in MDD in early 2024, with recruiting expected to begin around the end of Q1 2024.</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DMT Program (CYB004, SPL028, SPL026)</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portfolio includes the most advanced and extensive DMT dataset in the psychedelic drug development sector. The Company’s DMT portfolio is comprised of dDMT molecules CYB004 and SPL028, which have the potential for less invasive, more convenient and patient-friendly dosing methods, in addition to SPL026, intravenous (“IV”) DMT. CYB004, Cybin’s proprietary dDMT molecule, is protected by a U.S. composition of matter patent expected to provide coverage until at least 2041.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Highlights: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completed multiple clinical trials providing proof-of-concept for its DMT/dDMT assets, including:</w:t>
      </w:r>
    </w:p>
    <w:p>
      <w:pPr>
        <w:spacing w:after="0" w:line="31" w:lineRule="exact"/>
        <w:rPr>
          <w:sz w:val="20"/>
          <w:szCs w:val="20"/>
          <w:color w:val="auto"/>
        </w:rPr>
      </w:pPr>
    </w:p>
    <w:p>
      <w:pPr>
        <w:jc w:val="both"/>
        <w:ind w:left="660" w:hanging="328"/>
        <w:spacing w:after="0" w:line="276"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Phase 2a safety and efficacy for SPL026 (IV DMT) in 34 participants with MDD, demonstrating a clinically relevant and statistically significant reduction in depression symptoms at two weeks after dosing (-7.4 point difference in MADRS between SPL026 and placebo). A durable antidepressant response and remission rates were observed at 6 months. Among participants who had achieved remission within three months with SPL026, 64% sustained remission to 6 months.</w:t>
      </w:r>
    </w:p>
    <w:p>
      <w:pPr>
        <w:spacing w:after="0" w:line="22"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color w:val="auto"/>
        </w:rPr>
        <w:t>Phase 1 studies evaluating intramuscular (“IM”) SPL026 and SPL028 supporting IM administration for patient-friendly dosing, with Phase 1 IM/IV SPL028 data expected early Q1 2024.</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73"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Phase 1b study evaluating the safety and efficacy of SPL026 in conjunction with SSRIs in 17 participants with MDD, demonstrating a favorable safety profile and enhanced efficacy when SPL026 was administered with SSRIs, and a 92% remission rate at 4 weeks in the SSRI cohort (n=12).</w:t>
      </w:r>
    </w:p>
    <w:p>
      <w:pPr>
        <w:spacing w:after="0" w:line="1" w:lineRule="exact"/>
        <w:rPr>
          <w:rFonts w:ascii="Times New Roman" w:cs="Times New Roman" w:eastAsia="Times New Roman" w:hAnsi="Times New Roman"/>
          <w:sz w:val="20"/>
          <w:szCs w:val="20"/>
          <w:color w:val="auto"/>
        </w:rPr>
      </w:pPr>
    </w:p>
    <w:p>
      <w:pPr>
        <w:ind w:left="660" w:hanging="328"/>
        <w:spacing w:after="0" w:line="308"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Phase 1 study evaluating safety, dosing, and pharmacokinetics (“PK”) and pharmacodynamics (“PD”) of IV DMT and CYB004, with upcoming data expected to inform next steps for Phase 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Milestones for dDMT Program:</w:t>
      </w:r>
    </w:p>
    <w:p>
      <w:pPr>
        <w:spacing w:after="0" w:line="43"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Phase 1 topline data for CYB004 expected early Q1 2024.</w:t>
      </w:r>
    </w:p>
    <w:p>
      <w:pPr>
        <w:spacing w:after="0" w:line="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Phase 1 data for IM/IV SPL028 expected early Q1 2024.</w:t>
      </w:r>
    </w:p>
    <w:p>
      <w:pPr>
        <w:spacing w:after="0" w:line="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0"/>
          <w:szCs w:val="20"/>
          <w:color w:val="auto"/>
        </w:rPr>
        <w:t>Initiate Phase 2 GAD study in Q1 2024.</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Footnotes</w:t>
      </w:r>
    </w:p>
    <w:p>
      <w:pPr>
        <w:spacing w:after="0" w:line="4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n=32 total: n=22 on CYB003; n=10 on placebo</w:t>
      </w:r>
    </w:p>
    <w:p>
      <w:pPr>
        <w:spacing w:after="0" w:line="30"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n=34 total: n=24 on CYB003; n=10 on placebo</w:t>
      </w:r>
    </w:p>
    <w:p>
      <w:pPr>
        <w:spacing w:after="0" w:line="35" w:lineRule="exact"/>
        <w:rPr>
          <w:rFonts w:ascii="Arial" w:cs="Arial" w:eastAsia="Arial" w:hAnsi="Arial"/>
          <w:sz w:val="20"/>
          <w:szCs w:val="20"/>
          <w:color w:val="auto"/>
        </w:rPr>
      </w:pPr>
    </w:p>
    <w:p>
      <w:pPr>
        <w:jc w:val="both"/>
        <w:ind w:left="660" w:hanging="328"/>
        <w:spacing w:after="0" w:line="290" w:lineRule="auto"/>
        <w:tabs>
          <w:tab w:leader="none" w:pos="647" w:val="left"/>
        </w:tabs>
        <w:numPr>
          <w:ilvl w:val="0"/>
          <w:numId w:val="7"/>
        </w:numPr>
        <w:rPr>
          <w:rFonts w:ascii="Arial" w:cs="Arial" w:eastAsia="Arial" w:hAnsi="Arial"/>
          <w:sz w:val="20"/>
          <w:szCs w:val="20"/>
          <w:color w:val="auto"/>
        </w:rPr>
      </w:pPr>
      <w:r>
        <w:rPr>
          <w:rFonts w:ascii="Arial" w:cs="Arial" w:eastAsia="Arial" w:hAnsi="Arial"/>
          <w:sz w:val="20"/>
          <w:szCs w:val="20"/>
          <w:color w:val="auto"/>
        </w:rPr>
        <w:t>Stone et al. (2022) Response to acute monotherapy for major depressive disorder in randomized, placebo controlled trials submitted to the US Food and Drug Administration: individual participant data analysis. BMJ 2022;378:e067606 https://doi.org/10.1136/bmj-2021-067606</w:t>
      </w:r>
    </w:p>
    <w:p>
      <w:pPr>
        <w:sectPr>
          <w:pgSz w:w="11900" w:h="16838" w:orient="portrait"/>
          <w:cols w:equalWidth="0" w:num="1">
            <w:col w:w="11240"/>
          </w:cols>
          <w:pgMar w:left="320" w:top="139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release of CYB003 12-week durability data in Q1 2024; progression to Phase 3 development of CYB003 in early 2024; recruitment for a CYB003 Phase 3 study and commencement of the phase 3 study in Q1 2024; submission of topline data to the FDA for an end of Phase 2 meeting in early 2024; topline Phase 1 data for CYB004 and SPL028 expected in early 2024; commencement of a Phase 2 study of the Company’s proprietary novel dDMT compounds in patients with generalized anxiety disorder in early 2024; and the Company’s proprietary drug discovery platforms, innovative drug delivery systems, novel formulation approaches and treatment regimens for mental health disorders.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w:t>
      </w:r>
    </w:p>
    <w:p>
      <w:pPr>
        <w:sectPr>
          <w:pgSz w:w="11900" w:h="16838" w:orient="portrait"/>
          <w:cols w:equalWidth="0" w:num="1">
            <w:col w:w="11240"/>
          </w:cols>
          <w:pgMar w:left="320" w:top="1425"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20"/>
          <w:szCs w:val="20"/>
          <w:color w:val="auto"/>
        </w:rPr>
        <w:t xml:space="preserve">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000000"/>
        </w:rPr>
        <w:t>. Although the forward-looking statements contained in this news release are based upon what management of the</w:t>
      </w:r>
      <w:r>
        <w:rPr>
          <w:rFonts w:ascii="Arial" w:cs="Arial" w:eastAsia="Arial" w:hAnsi="Arial"/>
          <w:sz w:val="20"/>
          <w:szCs w:val="20"/>
          <w:color w:val="0000FF"/>
        </w:rPr>
        <w:t xml:space="preserve"> </w:t>
      </w:r>
      <w:r>
        <w:rPr>
          <w:rFonts w:ascii="Arial" w:cs="Arial" w:eastAsia="Arial" w:hAnsi="Arial"/>
          <w:sz w:val="20"/>
          <w:szCs w:val="20"/>
          <w:color w:val="000000"/>
        </w:rPr>
        <w:t>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2024-01-04T14:45:44Z</dcterms:created>
  <dcterms:modified xsi:type="dcterms:W3CDTF">2024-01-04T14:45:44Z</dcterms:modified>
</cp:coreProperties>
</file>