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45"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10"/>
        <w:gridCol w:w="210"/>
        <w:gridCol w:w="210"/>
        <w:gridCol w:w="855"/>
        <w:gridCol w:w="551"/>
        <w:gridCol w:w="5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22,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900" w:type="dxa"/>
        <w:jc w:val="left"/>
        <w:tblInd w:w="0" w:type="dxa"/>
        <w:tblLayout w:type="fixed"/>
        <w:tblCellMar>
          <w:top w:w="28" w:type="dxa"/>
          <w:left w:w="28" w:type="dxa"/>
          <w:bottom w:w="28" w:type="dxa"/>
          <w:right w:w="28" w:type="dxa"/>
        </w:tblCellMar>
      </w:tblPr>
      <w:tblGrid>
        <w:gridCol w:w="174"/>
        <w:gridCol w:w="153"/>
        <w:gridCol w:w="154"/>
        <w:gridCol w:w="999"/>
        <w:gridCol w:w="999"/>
        <w:gridCol w:w="142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4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sm2026-pressreleaseannoun.htm">
              <w:r>
                <w:rPr>
                  <w:rStyle w:val="InternetLink"/>
                  <w:rFonts w:ascii="Times New Roman;serif" w:hAnsi="Times New Roman;serif"/>
                  <w:b w:val="false"/>
                  <w:color w:val="000080"/>
                  <w:sz w:val="20"/>
                  <w:u w:val="single"/>
                </w:rPr>
                <w:t>News Rel</w:t>
              </w:r>
            </w:hyperlink>
            <w:hyperlink w:anchor="asm2026-pressreleaseannoun.htm">
              <w:r>
                <w:rPr>
                  <w:rStyle w:val="InternetLink"/>
                  <w:rFonts w:ascii="Times New Roman;serif" w:hAnsi="Times New Roman;serif"/>
                  <w:b w:val="false"/>
                  <w:color w:val="000080"/>
                  <w:sz w:val="20"/>
                  <w:u w:val="single"/>
                </w:rPr>
                <w:t>ease dated Septe</w:t>
              </w:r>
            </w:hyperlink>
            <w:hyperlink w:anchor="asm2026-pressreleaseannoun.htm">
              <w:r>
                <w:rPr>
                  <w:rStyle w:val="InternetLink"/>
                  <w:rFonts w:ascii="Times New Roman;serif" w:hAnsi="Times New Roman;serif"/>
                  <w:b w:val="false"/>
                  <w:color w:val="000080"/>
                  <w:sz w:val="20"/>
                  <w:u w:val="single"/>
                </w:rPr>
                <w:t>mber 22,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4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sm2026-reportonvotingresu.htm">
              <w:r>
                <w:rPr>
                  <w:rStyle w:val="InternetLink"/>
                  <w:rFonts w:ascii="Times New Roman;serif" w:hAnsi="Times New Roman;serif"/>
                  <w:b w:val="false"/>
                  <w:color w:val="000080"/>
                  <w:sz w:val="20"/>
                  <w:u w:val="single"/>
                </w:rPr>
                <w:t>Repo</w:t>
              </w:r>
            </w:hyperlink>
            <w:hyperlink w:anchor="asm2026-reportonvotingresu.htm">
              <w:r>
                <w:rPr>
                  <w:rStyle w:val="InternetLink"/>
                  <w:rFonts w:ascii="Times New Roman;serif" w:hAnsi="Times New Roman;serif"/>
                  <w:b w:val="false"/>
                  <w:color w:val="000080"/>
                  <w:sz w:val="20"/>
                  <w:u w:val="single"/>
                </w:rPr>
                <w:t>rt</w:t>
              </w:r>
            </w:hyperlink>
            <w:hyperlink w:anchor="asm2026-reportonvotingresu.htm">
              <w:r>
                <w:rPr>
                  <w:rStyle w:val="InternetLink"/>
                  <w:rFonts w:ascii="Times New Roman;serif" w:hAnsi="Times New Roman;serif"/>
                  <w:b w:val="false"/>
                  <w:color w:val="000080"/>
                  <w:sz w:val="20"/>
                  <w:u w:val="single"/>
                </w:rPr>
                <w:t xml:space="preserve"> of Voting Results</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Helus Pharma Announces Results of Annual and Special Meeting of Shareholders and Effective Date for Legal Name Change</w:t>
      </w:r>
    </w:p>
    <w:p>
      <w:pPr>
        <w:pStyle w:val="TextBody"/>
        <w:bidi w:val="0"/>
        <w:spacing w:lineRule="auto" w:line="295" w:before="252" w:after="240"/>
        <w:jc w:val="both"/>
        <w:rPr/>
      </w:pPr>
      <w:r>
        <w:rPr>
          <w:rFonts w:ascii="Times New Roman;serif" w:hAnsi="Times New Roman;serif"/>
          <w:b/>
          <w:color w:val="000000"/>
          <w:sz w:val="22"/>
        </w:rPr>
        <w:t xml:space="preserve">TORONTO, CANADA </w:t>
      </w:r>
      <w:r>
        <w:rPr>
          <w:color w:val="000000"/>
        </w:rPr>
        <w:t xml:space="preserve">– </w:t>
      </w:r>
      <w:r>
        <w:rPr>
          <w:rFonts w:ascii="Times New Roman;serif" w:hAnsi="Times New Roman;serif"/>
          <w:b w:val="false"/>
          <w:color w:val="000000"/>
          <w:sz w:val="22"/>
        </w:rPr>
        <w:t>September 22, 2026 – Helus Pharma (Nasdaq: HELP) (Cboe CA: HELP) (“</w:t>
      </w:r>
      <w:r>
        <w:rPr>
          <w:rFonts w:ascii="Times New Roman;serif" w:hAnsi="Times New Roman;serif"/>
          <w:b/>
          <w:color w:val="000000"/>
          <w:sz w:val="22"/>
        </w:rPr>
        <w:t>Helus</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 clinical-stage pharmaceutical company committed to helping minds heal by developing novel serotonergic agonists (“</w:t>
      </w:r>
      <w:r>
        <w:rPr>
          <w:rFonts w:ascii="Times New Roman;serif" w:hAnsi="Times New Roman;serif"/>
          <w:b/>
          <w:color w:val="000000"/>
          <w:sz w:val="22"/>
        </w:rPr>
        <w:t>NSAs</w:t>
      </w:r>
      <w:r>
        <w:rPr>
          <w:color w:val="000000"/>
        </w:rPr>
        <w:t>”</w:t>
      </w:r>
      <w:r>
        <w:rPr>
          <w:rFonts w:ascii="Times New Roman;serif" w:hAnsi="Times New Roman;serif"/>
          <w:b w:val="false"/>
          <w:color w:val="000000"/>
          <w:sz w:val="22"/>
        </w:rPr>
        <w:t>), is pleased to announce the voting results for each of the matters presented at the Company’s annual and special meeting of shareholders held on September 22, 2026 (the “</w:t>
      </w:r>
      <w:r>
        <w:rPr>
          <w:rFonts w:ascii="Times New Roman;serif" w:hAnsi="Times New Roman;serif"/>
          <w:b/>
          <w:color w:val="000000"/>
          <w:sz w:val="22"/>
        </w:rPr>
        <w:t>Meeting</w:t>
      </w:r>
      <w:r>
        <w:rPr>
          <w:color w:val="000000"/>
        </w:rPr>
        <w:t>”</w:t>
      </w:r>
      <w:r>
        <w:rPr>
          <w:rFonts w:ascii="Times New Roman;serif" w:hAnsi="Times New Roman;serif"/>
          <w:b w:val="false"/>
          <w:color w:val="000000"/>
          <w:sz w:val="22"/>
        </w:rPr>
        <w:t>). There were 107 shareholders represented in person or by proxy at the Meeting holding 46,452,598 common shares, representing 63.58% of Helus’s total issued and outstanding common shares as at the record date for the Meeting. The voting results for each matter presented at the Meeting are set out below.</w:t>
      </w:r>
    </w:p>
    <w:p>
      <w:pPr>
        <w:pStyle w:val="TextBody"/>
        <w:bidi w:val="0"/>
        <w:spacing w:lineRule="auto" w:line="295" w:before="252" w:after="240"/>
        <w:jc w:val="both"/>
        <w:rPr>
          <w:rFonts w:ascii="Times New Roman;serif" w:hAnsi="Times New Roman;serif"/>
          <w:b w:val="false"/>
          <w:color w:val="000000"/>
          <w:sz w:val="22"/>
        </w:rPr>
      </w:pPr>
      <w:r>
        <w:rPr>
          <w:rFonts w:ascii="Times New Roman;serif" w:hAnsi="Times New Roman;serif"/>
          <w:b w:val="false"/>
          <w:color w:val="000000"/>
          <w:sz w:val="22"/>
        </w:rPr>
        <w:t>The Company is also pleased to announce that, effective October 1, 2026, the Company’s legal name will be changed from “Cybin Inc.” to “Helus Pharma Inc.”. The legal name change follows the Company’s adoption of the business name “Helus Pharma” on January 5, 2026 and reflects the Company’s anticipated transformation from a clinical stage discovery and development company to a commercial-ready pharmaceutical company.</w:t>
      </w:r>
    </w:p>
    <w:p>
      <w:pPr>
        <w:pStyle w:val="TextBody"/>
        <w:bidi w:val="0"/>
        <w:spacing w:lineRule="auto" w:line="304"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1.    Appointment of Auditor</w:t>
      </w:r>
    </w:p>
    <w:p>
      <w:pPr>
        <w:pStyle w:val="TextBody"/>
        <w:bidi w:val="0"/>
        <w:spacing w:lineRule="auto" w:line="304" w:before="0" w:after="120"/>
        <w:jc w:val="both"/>
        <w:rPr>
          <w:rFonts w:ascii="Times New Roman;serif" w:hAnsi="Times New Roman;serif"/>
          <w:b w:val="false"/>
          <w:color w:val="000000"/>
          <w:sz w:val="22"/>
        </w:rPr>
      </w:pPr>
      <w:r>
        <w:rPr>
          <w:rFonts w:ascii="Times New Roman;serif" w:hAnsi="Times New Roman;serif"/>
          <w:b w:val="false"/>
          <w:color w:val="000000"/>
          <w:sz w:val="22"/>
        </w:rPr>
        <w:t>Zeifmans LLP was appointed auditor of Helus until the next annual meeting of shareholders at renumeration to be fixed by the directors of Helus. Voting results are set out below:</w:t>
      </w:r>
    </w:p>
    <w:tbl>
      <w:tblPr>
        <w:tblW w:w="3388" w:type="dxa"/>
        <w:jc w:val="left"/>
        <w:tblInd w:w="0" w:type="dxa"/>
        <w:tblLayout w:type="fixed"/>
        <w:tblCellMar>
          <w:top w:w="28" w:type="dxa"/>
          <w:left w:w="28" w:type="dxa"/>
          <w:bottom w:w="28" w:type="dxa"/>
          <w:right w:w="28" w:type="dxa"/>
        </w:tblCellMar>
      </w:tblPr>
      <w:tblGrid>
        <w:gridCol w:w="380"/>
        <w:gridCol w:w="335"/>
        <w:gridCol w:w="336"/>
        <w:gridCol w:w="224"/>
        <w:gridCol w:w="224"/>
        <w:gridCol w:w="228"/>
        <w:gridCol w:w="260"/>
        <w:gridCol w:w="260"/>
        <w:gridCol w:w="261"/>
        <w:gridCol w:w="256"/>
        <w:gridCol w:w="256"/>
        <w:gridCol w:w="368"/>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27"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661"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Withheld</w:t>
            </w:r>
          </w:p>
        </w:tc>
      </w:tr>
      <w:tr>
        <w:trPr/>
        <w:tc>
          <w:tcPr>
            <w:tcW w:w="105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6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8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0"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46,084,004</w:t>
            </w:r>
          </w:p>
        </w:tc>
        <w:tc>
          <w:tcPr>
            <w:tcW w:w="6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99.207</w:t>
            </w:r>
          </w:p>
        </w:tc>
        <w:tc>
          <w:tcPr>
            <w:tcW w:w="7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368,593</w:t>
            </w:r>
          </w:p>
        </w:tc>
        <w:tc>
          <w:tcPr>
            <w:tcW w:w="8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0.793</w:t>
            </w:r>
          </w:p>
        </w:tc>
      </w:tr>
    </w:tbl>
    <w:p>
      <w:pPr>
        <w:pStyle w:val="TextBody"/>
        <w:bidi w:val="0"/>
        <w:spacing w:before="0" w:after="120"/>
        <w:ind w:left="0" w:right="0" w:hanging="720"/>
        <w:jc w:val="both"/>
        <w:rPr/>
      </w:pPr>
      <w:r>
        <w:rPr/>
      </w:r>
    </w:p>
    <w:p>
      <w:pPr>
        <w:pStyle w:val="TextBody"/>
        <w:bidi w:val="0"/>
        <w:spacing w:lineRule="auto" w:line="288"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2.    Number of Directors</w:t>
      </w:r>
    </w:p>
    <w:p>
      <w:pPr>
        <w:pStyle w:val="TextBody"/>
        <w:bidi w:val="0"/>
        <w:spacing w:lineRule="auto" w:line="304" w:before="0" w:after="120"/>
        <w:jc w:val="both"/>
        <w:rPr>
          <w:rFonts w:ascii="Times New Roman;serif" w:hAnsi="Times New Roman;serif"/>
          <w:b w:val="false"/>
          <w:color w:val="000000"/>
          <w:sz w:val="22"/>
        </w:rPr>
      </w:pPr>
      <w:r>
        <w:rPr>
          <w:rFonts w:ascii="Times New Roman;serif" w:hAnsi="Times New Roman;serif"/>
          <w:b w:val="false"/>
          <w:color w:val="000000"/>
          <w:sz w:val="22"/>
        </w:rPr>
        <w:t>The special resolution to set the number of directors of Helus at eight was approved by at least two-thirds of the votes cast by the shareholders who voted in respect of the resolution present or represented by proxy at the Meeting. Voting results are set out below:</w:t>
      </w:r>
    </w:p>
    <w:tbl>
      <w:tblPr>
        <w:tblW w:w="3316" w:type="dxa"/>
        <w:jc w:val="left"/>
        <w:tblInd w:w="0" w:type="dxa"/>
        <w:tblLayout w:type="fixed"/>
        <w:tblCellMar>
          <w:top w:w="28" w:type="dxa"/>
          <w:left w:w="28" w:type="dxa"/>
          <w:bottom w:w="28" w:type="dxa"/>
          <w:right w:w="28" w:type="dxa"/>
        </w:tblCellMar>
      </w:tblPr>
      <w:tblGrid>
        <w:gridCol w:w="380"/>
        <w:gridCol w:w="335"/>
        <w:gridCol w:w="336"/>
        <w:gridCol w:w="224"/>
        <w:gridCol w:w="224"/>
        <w:gridCol w:w="228"/>
        <w:gridCol w:w="260"/>
        <w:gridCol w:w="260"/>
        <w:gridCol w:w="261"/>
        <w:gridCol w:w="235"/>
        <w:gridCol w:w="235"/>
        <w:gridCol w:w="338"/>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727"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589"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Against</w:t>
            </w:r>
          </w:p>
        </w:tc>
      </w:tr>
      <w:tr>
        <w:trPr/>
        <w:tc>
          <w:tcPr>
            <w:tcW w:w="105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6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8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08"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46,139,333</w:t>
            </w:r>
          </w:p>
        </w:tc>
        <w:tc>
          <w:tcPr>
            <w:tcW w:w="6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99.326</w:t>
            </w:r>
          </w:p>
        </w:tc>
        <w:tc>
          <w:tcPr>
            <w:tcW w:w="7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313,263</w:t>
            </w:r>
          </w:p>
        </w:tc>
        <w:tc>
          <w:tcPr>
            <w:tcW w:w="8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0.674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3.    Name Change</w:t>
      </w:r>
    </w:p>
    <w:p>
      <w:pPr>
        <w:pStyle w:val="TextBody"/>
        <w:bidi w:val="0"/>
        <w:spacing w:lineRule="auto" w:line="304" w:before="0" w:after="0"/>
        <w:jc w:val="both"/>
        <w:rPr>
          <w:rFonts w:ascii="Times New Roman;serif" w:hAnsi="Times New Roman;serif"/>
          <w:b w:val="false"/>
          <w:color w:val="000000"/>
          <w:sz w:val="22"/>
        </w:rPr>
      </w:pPr>
      <w:r>
        <w:rPr>
          <w:rFonts w:ascii="Times New Roman;serif" w:hAnsi="Times New Roman;serif"/>
          <w:b w:val="false"/>
          <w:color w:val="000000"/>
          <w:sz w:val="22"/>
        </w:rPr>
        <w:t>The special resolution to change the name of the Company from “Cybin Inc.” to “Helus Pharma Inc.” or such other name as may be approved by the directors, was approved by at least two-thirds of the votes cast by the shareholders who voted in respect of the resolution present or represented by proxy at the Meeting. Voting results are set out below:</w:t>
      </w:r>
    </w:p>
    <w:tbl>
      <w:tblPr>
        <w:tblW w:w="3316" w:type="dxa"/>
        <w:jc w:val="left"/>
        <w:tblInd w:w="0" w:type="dxa"/>
        <w:tblLayout w:type="fixed"/>
        <w:tblCellMar>
          <w:top w:w="28" w:type="dxa"/>
          <w:left w:w="28" w:type="dxa"/>
          <w:bottom w:w="28" w:type="dxa"/>
          <w:right w:w="28" w:type="dxa"/>
        </w:tblCellMar>
      </w:tblPr>
      <w:tblGrid>
        <w:gridCol w:w="380"/>
        <w:gridCol w:w="335"/>
        <w:gridCol w:w="336"/>
        <w:gridCol w:w="224"/>
        <w:gridCol w:w="224"/>
        <w:gridCol w:w="228"/>
        <w:gridCol w:w="260"/>
        <w:gridCol w:w="260"/>
        <w:gridCol w:w="261"/>
        <w:gridCol w:w="235"/>
        <w:gridCol w:w="235"/>
        <w:gridCol w:w="338"/>
      </w:tblGrid>
      <w:tr>
        <w:trPr/>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727"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589"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Against</w:t>
            </w:r>
          </w:p>
        </w:tc>
      </w:tr>
      <w:tr>
        <w:trPr/>
        <w:tc>
          <w:tcPr>
            <w:tcW w:w="105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6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8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08"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46,134,602</w:t>
            </w:r>
          </w:p>
        </w:tc>
        <w:tc>
          <w:tcPr>
            <w:tcW w:w="6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99.315</w:t>
            </w:r>
          </w:p>
        </w:tc>
        <w:tc>
          <w:tcPr>
            <w:tcW w:w="7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317,994</w:t>
            </w:r>
          </w:p>
        </w:tc>
        <w:tc>
          <w:tcPr>
            <w:tcW w:w="8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0.685</w:t>
            </w:r>
          </w:p>
        </w:tc>
      </w:tr>
    </w:tbl>
    <w:p>
      <w:pPr>
        <w:pStyle w:val="TextBody"/>
        <w:bidi w:val="0"/>
        <w:spacing w:before="0" w:after="120"/>
        <w:ind w:left="0" w:right="0" w:hanging="720"/>
        <w:jc w:val="both"/>
        <w:rPr/>
      </w:pPr>
      <w:r>
        <w:rPr/>
      </w:r>
    </w:p>
    <w:p>
      <w:pPr>
        <w:pStyle w:val="TextBody"/>
        <w:bidi w:val="0"/>
        <w:spacing w:lineRule="auto" w:line="288"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4.    Election of Directors</w:t>
      </w:r>
    </w:p>
    <w:p>
      <w:pPr>
        <w:pStyle w:val="TextBody"/>
        <w:bidi w:val="0"/>
        <w:spacing w:lineRule="auto" w:line="304" w:before="0" w:after="120"/>
        <w:jc w:val="both"/>
        <w:rPr>
          <w:rFonts w:ascii="Times New Roman;serif" w:hAnsi="Times New Roman;serif"/>
          <w:b w:val="false"/>
          <w:color w:val="000000"/>
          <w:sz w:val="22"/>
        </w:rPr>
      </w:pPr>
      <w:r>
        <w:rPr>
          <w:rFonts w:ascii="Times New Roman;serif" w:hAnsi="Times New Roman;serif"/>
          <w:b w:val="false"/>
          <w:color w:val="000000"/>
          <w:sz w:val="22"/>
        </w:rPr>
        <w:t>Each of the nominees for election as director listed in Helus’s management information circular dated August 18, 2026 were elected as directors of Helus for the ensuing year or until their successors are elected or appointed. Voting results are set out below:</w:t>
      </w:r>
    </w:p>
    <w:tbl>
      <w:tblPr>
        <w:tblW w:w="5293" w:type="dxa"/>
        <w:jc w:val="left"/>
        <w:tblInd w:w="0" w:type="dxa"/>
        <w:tblLayout w:type="fixed"/>
        <w:tblCellMar>
          <w:top w:w="28" w:type="dxa"/>
          <w:left w:w="28" w:type="dxa"/>
          <w:bottom w:w="28" w:type="dxa"/>
          <w:right w:w="28" w:type="dxa"/>
        </w:tblCellMar>
      </w:tblPr>
      <w:tblGrid>
        <w:gridCol w:w="640"/>
        <w:gridCol w:w="564"/>
        <w:gridCol w:w="566"/>
        <w:gridCol w:w="345"/>
        <w:gridCol w:w="345"/>
        <w:gridCol w:w="346"/>
        <w:gridCol w:w="224"/>
        <w:gridCol w:w="224"/>
        <w:gridCol w:w="228"/>
        <w:gridCol w:w="309"/>
        <w:gridCol w:w="309"/>
        <w:gridCol w:w="313"/>
        <w:gridCol w:w="256"/>
        <w:gridCol w:w="256"/>
        <w:gridCol w:w="368"/>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120"/>
              <w:jc w:val="center"/>
              <w:rPr/>
            </w:pPr>
            <w:r>
              <w:rPr/>
            </w:r>
          </w:p>
        </w:tc>
        <w:tc>
          <w:tcPr>
            <w:tcW w:w="1712"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811"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Votes Withheld</w:t>
            </w:r>
          </w:p>
        </w:tc>
      </w:tr>
      <w:tr>
        <w:trPr/>
        <w:tc>
          <w:tcPr>
            <w:tcW w:w="1770"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120"/>
              <w:jc w:val="center"/>
              <w:rPr/>
            </w:pPr>
            <w:r>
              <w:rPr/>
            </w:r>
          </w:p>
        </w:tc>
        <w:tc>
          <w:tcPr>
            <w:tcW w:w="103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6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93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0"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304"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Theresa Firestone</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31,992,429</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99.239</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245,371</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0.761</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Grant Froese</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32,147,160</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99.719</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90,640</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0.281</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Paul Glavine</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23,072,248</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71.569</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9,165,552</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28.431</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Michael Halstead</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23,089,890</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71.624</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9,147,910</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28.376</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Eric Hoskins</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30,895,235</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95.835</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1,342,565</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4.165</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Mark Lawson</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32,156,082</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99.747</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81,718</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0.253</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Freda Lewis-Hall</w:t>
            </w:r>
          </w:p>
        </w:tc>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23,063,327</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71.541</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9,174,473</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28.459</w:t>
            </w:r>
          </w:p>
        </w:tc>
      </w:tr>
      <w:tr>
        <w:trPr/>
        <w:tc>
          <w:tcPr>
            <w:tcW w:w="17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4" w:before="0" w:after="120"/>
              <w:jc w:val="left"/>
              <w:rPr>
                <w:rFonts w:ascii="Times New Roman;serif" w:hAnsi="Times New Roman;serif"/>
                <w:b w:val="false"/>
                <w:color w:val="000000"/>
                <w:sz w:val="22"/>
              </w:rPr>
            </w:pPr>
            <w:r>
              <w:rPr>
                <w:rFonts w:ascii="Times New Roman;serif" w:hAnsi="Times New Roman;serif"/>
                <w:b w:val="false"/>
                <w:color w:val="000000"/>
                <w:sz w:val="22"/>
              </w:rPr>
              <w:t>Eric So</w:t>
            </w:r>
          </w:p>
        </w:tc>
        <w:tc>
          <w:tcPr>
            <w:tcW w:w="10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22,795,634</w:t>
            </w:r>
          </w:p>
        </w:tc>
        <w:tc>
          <w:tcPr>
            <w:tcW w:w="6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71.321</w:t>
            </w:r>
          </w:p>
        </w:tc>
        <w:tc>
          <w:tcPr>
            <w:tcW w:w="9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9,166,471</w:t>
            </w:r>
          </w:p>
        </w:tc>
        <w:tc>
          <w:tcPr>
            <w:tcW w:w="8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120"/>
              <w:jc w:val="center"/>
              <w:rPr>
                <w:rFonts w:ascii="Times New Roman;serif" w:hAnsi="Times New Roman;serif"/>
                <w:b w:val="false"/>
                <w:color w:val="000000"/>
                <w:sz w:val="20"/>
              </w:rPr>
            </w:pPr>
            <w:r>
              <w:rPr>
                <w:rFonts w:ascii="Times New Roman;serif" w:hAnsi="Times New Roman;serif"/>
                <w:b w:val="false"/>
                <w:color w:val="000000"/>
                <w:sz w:val="20"/>
              </w:rPr>
              <w:t>28.679</w:t>
            </w:r>
          </w:p>
        </w:tc>
      </w:tr>
    </w:tbl>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About Helus Pharma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is working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Cautionary Notes and Forward-Looking Statements</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transform from a clinical stage discovery and development company to a commercial-ready pharmaceutical company; and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makes no medical, treatment or health benefit claims about Company’s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compounds can diagnose, treat, cure or prevent any disease or condition. Rigorous scientific research and clinical trials are needed. If Helus Pharma cannot obtain the approvals or research necessary to commercialize its business, it may have a material adverse effect on Company’s performance and operations.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i/>
          <w:color w:val="000000"/>
          <w:sz w:val="22"/>
        </w:rPr>
      </w:pPr>
      <w:r>
        <w:rPr>
          <w:rFonts w:ascii="Times New Roman;serif" w:hAnsi="Times New Roman;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Matthew Beck</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astr partners</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Managing Partner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(917) 415-1750</w:t>
      </w:r>
    </w:p>
    <w:p>
      <w:pPr>
        <w:pStyle w:val="TextBody"/>
        <w:bidi w:val="0"/>
        <w:spacing w:lineRule="auto" w:line="319" w:before="0" w:after="0"/>
        <w:jc w:val="both"/>
        <w:rPr/>
      </w:pPr>
      <w:r>
        <w:rPr>
          <w:rFonts w:ascii="Times New Roman;serif" w:hAnsi="Times New Roman;serif"/>
          <w:b w:val="false"/>
          <w:color w:val="0563C1"/>
          <w:sz w:val="22"/>
          <w:u w:val="single"/>
        </w:rPr>
        <w:t>Matthew.beck@astrpartners.com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Gabriel Fahel</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Chief Legal Officer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1-866-292-4601</w:t>
      </w:r>
    </w:p>
    <w:p>
      <w:pPr>
        <w:pStyle w:val="TextBody"/>
        <w:bidi w:val="0"/>
        <w:spacing w:lineRule="auto" w:line="319" w:before="0" w:after="0"/>
        <w:jc w:val="both"/>
        <w:rPr/>
      </w:pPr>
      <w:r>
        <w:rPr>
          <w:rFonts w:ascii="Times New Roman;serif" w:hAnsi="Times New Roman;serif"/>
          <w:b w:val="false"/>
          <w:color w:val="0563C1"/>
          <w:sz w:val="22"/>
          <w:u w:val="single"/>
        </w:rPr>
        <w:t>irteam@helus.com</w:t>
      </w:r>
      <w:r>
        <w:rPr>
          <w:color w:val="000000"/>
        </w:rPr>
        <w:t xml:space="preserve"> – </w:t>
      </w:r>
      <w:r>
        <w:rPr>
          <w:rFonts w:ascii="Times New Roman;serif" w:hAnsi="Times New Roman;serif"/>
          <w:b w:val="false"/>
          <w:color w:val="000000"/>
          <w:sz w:val="22"/>
        </w:rPr>
        <w:t xml:space="preserve">or – </w:t>
      </w:r>
      <w:r>
        <w:rPr>
          <w:rFonts w:ascii="Times New Roman;serif" w:hAnsi="Times New Roman;serif"/>
          <w:b w:val="false"/>
          <w:color w:val="0563C1"/>
          <w:sz w:val="22"/>
          <w:u w:val="single"/>
        </w:rPr>
        <w:t>media@helus.com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Victoria Verdeja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RXMD</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Public Relations Director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(212) 537-9495</w:t>
      </w:r>
    </w:p>
    <w:p>
      <w:pPr>
        <w:pStyle w:val="TextBody"/>
        <w:bidi w:val="0"/>
        <w:spacing w:lineRule="auto" w:line="319" w:before="0" w:after="0"/>
        <w:jc w:val="both"/>
        <w:rPr/>
      </w:pPr>
      <w:r>
        <w:rPr>
          <w:rFonts w:ascii="Times New Roman;serif" w:hAnsi="Times New Roman;serif"/>
          <w:b w:val="false"/>
          <w:color w:val="0563C1"/>
          <w:sz w:val="22"/>
          <w:u w:val="single"/>
        </w:rPr>
        <w:t>vverdeja@rxmedyn.com</w:t>
      </w: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REPORT OF VOTING RESULTS </w:t>
        <w:br/>
        <w:t>SECTION 11.3 OF NATIONAL INSTRUMENT 51-102</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In accordance with section 11.3 of National Instrument 51-102 </w:t>
      </w:r>
      <w:r>
        <w:rPr>
          <w:rFonts w:ascii="Times New Roman;serif" w:hAnsi="Times New Roman;serif"/>
          <w:b w:val="false"/>
          <w:i/>
          <w:color w:val="000000"/>
          <w:sz w:val="22"/>
        </w:rPr>
        <w:t>Continuous Disclosure Obligations</w:t>
      </w:r>
      <w:r>
        <w:rPr>
          <w:rFonts w:ascii="Times New Roman;serif" w:hAnsi="Times New Roman;serif"/>
          <w:b w:val="false"/>
          <w:color w:val="000000"/>
          <w:sz w:val="22"/>
        </w:rPr>
        <w:t>, the following is a summary of the results of matters voted on at the annual and special meeting of the holders of the common shares (the “</w:t>
      </w:r>
      <w:r>
        <w:rPr>
          <w:rFonts w:ascii="Times New Roman;serif" w:hAnsi="Times New Roman;serif"/>
          <w:b/>
          <w:color w:val="000000"/>
          <w:sz w:val="22"/>
        </w:rPr>
        <w:t>Shareholders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of Cybin Inc. d/b/a Helus Pharma (“</w:t>
      </w:r>
      <w:r>
        <w:rPr>
          <w:rFonts w:ascii="Times New Roman;serif" w:hAnsi="Times New Roman;serif"/>
          <w:b/>
          <w:color w:val="000000"/>
          <w:sz w:val="22"/>
        </w:rPr>
        <w:t>Helus</w:t>
      </w:r>
      <w:r>
        <w:rPr>
          <w:color w:val="000000"/>
        </w:rPr>
        <w:t>”</w:t>
      </w:r>
      <w:r>
        <w:rPr>
          <w:rFonts w:ascii="Times New Roman;serif" w:hAnsi="Times New Roman;serif"/>
          <w:b w:val="false"/>
          <w:color w:val="000000"/>
          <w:sz w:val="22"/>
        </w:rPr>
        <w:t>) held on September 22, 2026 (the “</w:t>
      </w:r>
      <w:r>
        <w:rPr>
          <w:rFonts w:ascii="Times New Roman;serif" w:hAnsi="Times New Roman;serif"/>
          <w:b/>
          <w:color w:val="000000"/>
          <w:sz w:val="22"/>
        </w:rPr>
        <w:t>Meeting</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There were 107 Shareholders represented in person or by proxy at the Meeting holding 46,452,598</w:t>
      </w:r>
      <w:r>
        <w:rPr>
          <w:color w:val="000000"/>
        </w:rPr>
        <w:t xml:space="preserve"> </w:t>
      </w:r>
      <w:r>
        <w:rPr>
          <w:rFonts w:ascii="Times New Roman;serif" w:hAnsi="Times New Roman;serif"/>
          <w:b w:val="false"/>
          <w:color w:val="000000"/>
          <w:sz w:val="22"/>
        </w:rPr>
        <w:t xml:space="preserve">common shares, representing 63.58% of Helus’s total issued and outstanding common shares as at the record date for the Meeting. As the Meeting was held virtually, all resolutions were passed by a ballot vote. </w:t>
      </w:r>
    </w:p>
    <w:p>
      <w:pPr>
        <w:pStyle w:val="TextBody"/>
        <w:bidi w:val="0"/>
        <w:spacing w:lineRule="auto" w:line="288"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1.    Appointment of Auditor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Zeifmans LLP was appointed auditor of Helus until the next annual meeting of shareholders at renumeration to be fixed by the directors of Helus. Voting results are set out below:</w:t>
      </w:r>
    </w:p>
    <w:tbl>
      <w:tblPr>
        <w:tblW w:w="3733" w:type="dxa"/>
        <w:jc w:val="left"/>
        <w:tblInd w:w="0" w:type="dxa"/>
        <w:tblLayout w:type="fixed"/>
        <w:tblCellMar>
          <w:top w:w="28" w:type="dxa"/>
          <w:left w:w="28" w:type="dxa"/>
          <w:bottom w:w="28" w:type="dxa"/>
          <w:right w:w="28" w:type="dxa"/>
        </w:tblCellMar>
      </w:tblPr>
      <w:tblGrid>
        <w:gridCol w:w="435"/>
        <w:gridCol w:w="382"/>
        <w:gridCol w:w="384"/>
        <w:gridCol w:w="254"/>
        <w:gridCol w:w="254"/>
        <w:gridCol w:w="258"/>
        <w:gridCol w:w="295"/>
        <w:gridCol w:w="295"/>
        <w:gridCol w:w="296"/>
        <w:gridCol w:w="256"/>
        <w:gridCol w:w="256"/>
        <w:gridCol w:w="368"/>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67"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766"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Withheld</w:t>
            </w:r>
          </w:p>
        </w:tc>
      </w:tr>
      <w:tr>
        <w:trPr/>
        <w:tc>
          <w:tcPr>
            <w:tcW w:w="120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6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0"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2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46,084,004</w:t>
            </w:r>
          </w:p>
        </w:tc>
        <w:tc>
          <w:tcPr>
            <w:tcW w:w="7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99.207</w:t>
            </w:r>
          </w:p>
        </w:tc>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368,593</w:t>
            </w:r>
          </w:p>
        </w:tc>
        <w:tc>
          <w:tcPr>
            <w:tcW w:w="8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0.793</w:t>
            </w:r>
          </w:p>
        </w:tc>
      </w:tr>
    </w:tbl>
    <w:p>
      <w:pPr>
        <w:pStyle w:val="TextBody"/>
        <w:bidi w:val="0"/>
        <w:spacing w:before="0" w:after="120"/>
        <w:jc w:val="both"/>
        <w:rPr/>
      </w:pPr>
      <w:r>
        <w:rPr/>
      </w:r>
    </w:p>
    <w:p>
      <w:pPr>
        <w:pStyle w:val="TextBody"/>
        <w:bidi w:val="0"/>
        <w:spacing w:lineRule="auto" w:line="288"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2.    Number of Directors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special resolution to set the number of directors of Helus at eight was approved by at least two-thirds of the votes cast by the shareholders who voted in respect of the resolution present or represented by proxy at the Meeting. Voting results are set out below:</w:t>
      </w:r>
    </w:p>
    <w:tbl>
      <w:tblPr>
        <w:tblW w:w="3661" w:type="dxa"/>
        <w:jc w:val="left"/>
        <w:tblInd w:w="0" w:type="dxa"/>
        <w:tblLayout w:type="fixed"/>
        <w:tblCellMar>
          <w:top w:w="28" w:type="dxa"/>
          <w:left w:w="28" w:type="dxa"/>
          <w:bottom w:w="28" w:type="dxa"/>
          <w:right w:w="28" w:type="dxa"/>
        </w:tblCellMar>
      </w:tblPr>
      <w:tblGrid>
        <w:gridCol w:w="435"/>
        <w:gridCol w:w="382"/>
        <w:gridCol w:w="384"/>
        <w:gridCol w:w="254"/>
        <w:gridCol w:w="254"/>
        <w:gridCol w:w="258"/>
        <w:gridCol w:w="295"/>
        <w:gridCol w:w="295"/>
        <w:gridCol w:w="296"/>
        <w:gridCol w:w="235"/>
        <w:gridCol w:w="235"/>
        <w:gridCol w:w="338"/>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967"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694"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Against</w:t>
            </w:r>
          </w:p>
        </w:tc>
      </w:tr>
      <w:tr>
        <w:trPr/>
        <w:tc>
          <w:tcPr>
            <w:tcW w:w="120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6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08"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2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46,139,333</w:t>
            </w:r>
          </w:p>
        </w:tc>
        <w:tc>
          <w:tcPr>
            <w:tcW w:w="7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99.326</w:t>
            </w:r>
          </w:p>
        </w:tc>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313,263</w:t>
            </w:r>
          </w:p>
        </w:tc>
        <w:tc>
          <w:tcPr>
            <w:tcW w:w="8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0.674</w:t>
            </w:r>
          </w:p>
        </w:tc>
      </w:tr>
    </w:tbl>
    <w:p>
      <w:pPr>
        <w:pStyle w:val="TextBody"/>
        <w:bidi w:val="0"/>
        <w:spacing w:before="0" w:after="120"/>
        <w:jc w:val="both"/>
        <w:rPr/>
      </w:pPr>
      <w:r>
        <w:rPr/>
      </w:r>
    </w:p>
    <w:p>
      <w:pPr>
        <w:pStyle w:val="TextBody"/>
        <w:bidi w:val="0"/>
        <w:spacing w:lineRule="auto" w:line="288"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3.    Name Change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special resolution to change the name of Helus from “Cybin Inc.” to “Helus Pharma Inc.” or such other name as may be approved by the directors, was approved by at least two-thirds of the votes cast by the shareholders who voted in respect of the resolution present or represented by proxy at the Meeting. Voting results are set out below:</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61" w:type="dxa"/>
        <w:jc w:val="left"/>
        <w:tblInd w:w="0" w:type="dxa"/>
        <w:tblLayout w:type="fixed"/>
        <w:tblCellMar>
          <w:top w:w="28" w:type="dxa"/>
          <w:left w:w="28" w:type="dxa"/>
          <w:bottom w:w="28" w:type="dxa"/>
          <w:right w:w="28" w:type="dxa"/>
        </w:tblCellMar>
      </w:tblPr>
      <w:tblGrid>
        <w:gridCol w:w="435"/>
        <w:gridCol w:w="382"/>
        <w:gridCol w:w="384"/>
        <w:gridCol w:w="254"/>
        <w:gridCol w:w="254"/>
        <w:gridCol w:w="258"/>
        <w:gridCol w:w="295"/>
        <w:gridCol w:w="295"/>
        <w:gridCol w:w="296"/>
        <w:gridCol w:w="235"/>
        <w:gridCol w:w="235"/>
        <w:gridCol w:w="338"/>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967"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694"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Against</w:t>
            </w:r>
          </w:p>
        </w:tc>
      </w:tr>
      <w:tr>
        <w:trPr/>
        <w:tc>
          <w:tcPr>
            <w:tcW w:w="120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6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08"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2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46,134,602</w:t>
            </w:r>
          </w:p>
        </w:tc>
        <w:tc>
          <w:tcPr>
            <w:tcW w:w="7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99.315</w:t>
            </w:r>
          </w:p>
        </w:tc>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317,994</w:t>
            </w:r>
          </w:p>
        </w:tc>
        <w:tc>
          <w:tcPr>
            <w:tcW w:w="8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0.685</w:t>
            </w:r>
          </w:p>
        </w:tc>
      </w:tr>
    </w:tbl>
    <w:p>
      <w:pPr>
        <w:pStyle w:val="TextBody"/>
        <w:bidi w:val="0"/>
        <w:spacing w:before="0" w:after="240"/>
        <w:jc w:val="both"/>
        <w:rPr/>
      </w:pPr>
      <w:r>
        <w:rPr/>
      </w:r>
    </w:p>
    <w:p>
      <w:pPr>
        <w:pStyle w:val="TextBody"/>
        <w:bidi w:val="0"/>
        <w:spacing w:lineRule="auto" w:line="288" w:before="0" w:after="120"/>
        <w:ind w:left="0" w:right="0" w:hanging="720"/>
        <w:jc w:val="both"/>
        <w:rPr>
          <w:rFonts w:ascii="Times New Roman;serif" w:hAnsi="Times New Roman;serif"/>
          <w:b/>
          <w:color w:val="000000"/>
          <w:sz w:val="22"/>
        </w:rPr>
      </w:pPr>
      <w:r>
        <w:rPr>
          <w:rFonts w:ascii="Times New Roman;serif" w:hAnsi="Times New Roman;serif"/>
          <w:b/>
          <w:color w:val="000000"/>
          <w:sz w:val="22"/>
        </w:rPr>
        <w:t>4.    Election of Directors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of the nominees for election as directors listed in Helus’s management information circular dated August 18, 2026 were elected as directors of Helus for the ensuing year or until their successors are elected or appointed. Voting results are set out below:</w:t>
      </w:r>
    </w:p>
    <w:tbl>
      <w:tblPr>
        <w:tblW w:w="5668" w:type="dxa"/>
        <w:jc w:val="left"/>
        <w:tblInd w:w="0" w:type="dxa"/>
        <w:tblLayout w:type="fixed"/>
        <w:tblCellMar>
          <w:top w:w="28" w:type="dxa"/>
          <w:left w:w="28" w:type="dxa"/>
          <w:bottom w:w="28" w:type="dxa"/>
          <w:right w:w="28" w:type="dxa"/>
        </w:tblCellMar>
      </w:tblPr>
      <w:tblGrid>
        <w:gridCol w:w="640"/>
        <w:gridCol w:w="564"/>
        <w:gridCol w:w="566"/>
        <w:gridCol w:w="395"/>
        <w:gridCol w:w="395"/>
        <w:gridCol w:w="396"/>
        <w:gridCol w:w="254"/>
        <w:gridCol w:w="254"/>
        <w:gridCol w:w="258"/>
        <w:gridCol w:w="354"/>
        <w:gridCol w:w="354"/>
        <w:gridCol w:w="358"/>
        <w:gridCol w:w="256"/>
        <w:gridCol w:w="256"/>
        <w:gridCol w:w="368"/>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120"/>
              <w:jc w:val="center"/>
              <w:rPr/>
            </w:pPr>
            <w:r>
              <w:rPr/>
            </w:r>
          </w:p>
        </w:tc>
        <w:tc>
          <w:tcPr>
            <w:tcW w:w="1952"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For</w:t>
            </w:r>
          </w:p>
        </w:tc>
        <w:tc>
          <w:tcPr>
            <w:tcW w:w="1946" w:type="dxa"/>
            <w:gridSpan w:val="6"/>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Votes Withheld</w:t>
            </w:r>
          </w:p>
        </w:tc>
      </w:tr>
      <w:tr>
        <w:trPr/>
        <w:tc>
          <w:tcPr>
            <w:tcW w:w="1770"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120"/>
              <w:jc w:val="center"/>
              <w:rPr/>
            </w:pPr>
            <w:r>
              <w:rPr/>
            </w:r>
          </w:p>
        </w:tc>
        <w:tc>
          <w:tcPr>
            <w:tcW w:w="118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76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106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c>
          <w:tcPr>
            <w:tcW w:w="880"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Theresa Firestone</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31,992,429</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99.239</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245,371</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0.761</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Grant Froese</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32,147,160</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99.719</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90,640</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0.281</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Paul Glavine</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23,072,248</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71.569</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9,165,552</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28.431</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Michael Halstead</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23,089,890</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71.624</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9,147,910</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28.376</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Eric Hoskins</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30,895,235</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95.835</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1,342,565</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4.165</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Mark Lawson</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32,156,082</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99.747</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81,718</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0.253</w:t>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Freda Lewis-Hall</w:t>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23,063,327</w:t>
            </w:r>
          </w:p>
        </w:tc>
        <w:tc>
          <w:tcPr>
            <w:tcW w:w="7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71.541</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9,174,473</w:t>
            </w:r>
          </w:p>
        </w:tc>
        <w:tc>
          <w:tcPr>
            <w:tcW w:w="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28.459</w:t>
            </w:r>
          </w:p>
        </w:tc>
      </w:tr>
      <w:tr>
        <w:trPr/>
        <w:tc>
          <w:tcPr>
            <w:tcW w:w="17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Eric So</w:t>
            </w:r>
          </w:p>
        </w:tc>
        <w:tc>
          <w:tcPr>
            <w:tcW w:w="11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22,795,634</w:t>
            </w:r>
          </w:p>
        </w:tc>
        <w:tc>
          <w:tcPr>
            <w:tcW w:w="7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71.321</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9,166,471</w:t>
            </w:r>
          </w:p>
        </w:tc>
        <w:tc>
          <w:tcPr>
            <w:tcW w:w="8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28.679</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1"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1852</Words>
  <Characters>10414</Characters>
  <CharactersWithSpaces>12081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