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Cybin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Shares, no par value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04/07/2026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Millennium Management LLC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pacing w:after="0"/>
        <w:tabs>
          <w:tab w:leader="none" w:pos="1380" w:val="left"/>
        </w:tabs>
        <w:rPr>
          <w:sz w:val="20"/>
          <w:szCs w:val="20"/>
          <w:color w:val="auto"/>
        </w:rPr>
      </w:pPr>
      <w:r>
        <w:rPr>
          <w:rFonts w:ascii="Times New Roman" w:cs="Times New Roman" w:eastAsia="Times New Roman" w:hAnsi="Times New Roman"/>
          <w:sz w:val="33"/>
          <w:szCs w:val="33"/>
          <w:color w:val="auto"/>
          <w:vertAlign w:val="superscript"/>
        </w:rPr>
        <w:t>Number of</w:t>
      </w:r>
      <w:r>
        <w:rPr>
          <w:sz w:val="20"/>
          <w:szCs w:val="20"/>
          <w:color w:val="auto"/>
        </w:rPr>
        <w:tab/>
      </w:r>
      <w:r>
        <w:rPr>
          <w:rFonts w:ascii="Times New Roman" w:cs="Times New Roman" w:eastAsia="Times New Roman" w:hAnsi="Times New Roman"/>
          <w:sz w:val="21"/>
          <w:szCs w:val="21"/>
          <w:color w:val="auto"/>
        </w:rPr>
        <w:t>Sole Voting Power</w:t>
      </w:r>
    </w:p>
    <w:p>
      <w:pPr>
        <w:spacing w:after="0" w:line="181" w:lineRule="auto"/>
        <w:tabs>
          <w:tab w:leader="none" w:pos="1140" w:val="left"/>
        </w:tabs>
        <w:rPr>
          <w:sz w:val="20"/>
          <w:szCs w:val="20"/>
          <w:color w:val="auto"/>
        </w:rPr>
      </w:pPr>
      <w:r>
        <w:rPr>
          <w:rFonts w:ascii="Times New Roman" w:cs="Times New Roman" w:eastAsia="Times New Roman" w:hAnsi="Times New Roman"/>
          <w:sz w:val="16"/>
          <w:szCs w:val="16"/>
          <w:color w:val="auto"/>
        </w:rPr>
        <w:t>Shares</w:t>
      </w:r>
      <w:r>
        <w:rPr>
          <w:sz w:val="20"/>
          <w:szCs w:val="20"/>
          <w:color w:val="auto"/>
        </w:rPr>
        <w:tab/>
      </w:r>
      <w:r>
        <w:rPr>
          <w:rFonts w:ascii="Times New Roman" w:cs="Times New Roman" w:eastAsia="Times New Roman" w:hAnsi="Times New Roman"/>
          <w:sz w:val="28"/>
          <w:szCs w:val="28"/>
          <w:color w:val="auto"/>
          <w:vertAlign w:val="subscript"/>
        </w:rPr>
        <w:t>5</w:t>
      </w:r>
    </w:p>
    <w:p>
      <w:pPr>
        <w:spacing w:after="0" w:line="184" w:lineRule="auto"/>
        <w:tabs>
          <w:tab w:leader="none" w:pos="1380" w:val="left"/>
        </w:tabs>
        <w:rPr>
          <w:sz w:val="20"/>
          <w:szCs w:val="20"/>
          <w:color w:val="auto"/>
        </w:rPr>
      </w:pPr>
      <w:r>
        <w:rPr>
          <w:rFonts w:ascii="Times New Roman" w:cs="Times New Roman" w:eastAsia="Times New Roman" w:hAnsi="Times New Roman"/>
          <w:sz w:val="18"/>
          <w:szCs w:val="18"/>
          <w:color w:val="auto"/>
        </w:rPr>
        <w:t>Beneficially</w:t>
      </w:r>
      <w:r>
        <w:rPr>
          <w:sz w:val="20"/>
          <w:szCs w:val="20"/>
          <w:color w:val="auto"/>
        </w:rPr>
        <w:tab/>
      </w:r>
      <w:r>
        <w:rPr>
          <w:rFonts w:ascii="Times New Roman" w:cs="Times New Roman" w:eastAsia="Times New Roman" w:hAnsi="Times New Roman"/>
          <w:sz w:val="34"/>
          <w:szCs w:val="34"/>
          <w:color w:val="auto"/>
          <w:vertAlign w:val="subscript"/>
        </w:rPr>
        <w:t>0.00</w:t>
      </w:r>
    </w:p>
    <w:p>
      <w:pPr>
        <w:sectPr>
          <w:pgSz w:w="11900" w:h="16838" w:orient="portrait"/>
          <w:cols w:equalWidth="0" w:num="1">
            <w:col w:w="10099"/>
          </w:cols>
          <w:pgMar w:left="360" w:top="866" w:right="1440" w:bottom="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0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2,514,667.00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00" w:type="dxa"/>
            <w:vAlign w:val="bottom"/>
          </w:tcPr>
          <w:p>
            <w:pPr>
              <w:spacing w:after="0"/>
              <w:rPr>
                <w:sz w:val="23"/>
                <w:szCs w:val="2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2,514,667.00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ind w:left="1120"/>
        <w:spacing w:after="0"/>
        <w:rPr>
          <w:sz w:val="20"/>
          <w:szCs w:val="20"/>
          <w:color w:val="auto"/>
        </w:rPr>
      </w:pPr>
      <w:r>
        <w:rPr>
          <w:rFonts w:ascii="Times New Roman" w:cs="Times New Roman" w:eastAsia="Times New Roman" w:hAnsi="Times New Roman"/>
          <w:sz w:val="22"/>
          <w:szCs w:val="22"/>
          <w:color w:val="auto"/>
        </w:rPr>
        <w:t>2,514,667.00</w:t>
      </w:r>
    </w:p>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5.0 %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Millennium Group Management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0099"/>
          </w:cols>
          <w:pgMar w:left="360" w:top="102" w:right="1440" w:bottom="0" w:gutter="0" w:footer="0" w:header="0"/>
        </w:sectPr>
      </w:pP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2,514,667.00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2,514,667.00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2,514,667.00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5.0 %</w:t>
      </w:r>
    </w:p>
    <w:p>
      <w:pPr>
        <w:sectPr>
          <w:pgSz w:w="11900" w:h="16838" w:orient="portrait"/>
          <w:cols w:equalWidth="0" w:num="2">
            <w:col w:w="1060" w:space="60"/>
            <w:col w:w="8979"/>
          </w:cols>
          <w:pgMar w:left="360" w:top="102" w:right="1440" w:bottom="0" w:gutter="0" w:footer="0" w:header="0"/>
          <w:type w:val="continuous"/>
        </w:sectPr>
      </w:pPr>
    </w:p>
    <w:bookmarkStart w:id="2" w:name="page3"/>
    <w:bookmarkEnd w:id="2"/>
    <w:p>
      <w:pPr>
        <w:ind w:left="1120" w:hanging="1112"/>
        <w:spacing w:after="0"/>
        <w:tabs>
          <w:tab w:leader="none" w:pos="11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rFonts w:ascii="Times New Roman" w:cs="Times New Roman" w:eastAsia="Times New Roman" w:hAnsi="Times New Roman"/>
          <w:sz w:val="22"/>
          <w:szCs w:val="22"/>
          <w:color w:val="auto"/>
        </w:rPr>
      </w:pPr>
    </w:p>
    <w:p>
      <w:pPr>
        <w:ind w:left="11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Israel A. Englander</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46"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2,514,667.00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2,514,667.00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2,514,667.00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ectPr>
          <w:pgSz w:w="11900" w:h="16838" w:orient="portrait"/>
          <w:cols w:equalWidth="0" w:num="2">
            <w:col w:w="1060" w:space="60"/>
            <w:col w:w="8979"/>
          </w:cols>
          <w:pgMar w:left="360" w:top="111" w:right="1440" w:bottom="46"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Cybin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jc w:val="right"/>
        <w:ind w:right="3059"/>
        <w:spacing w:after="0"/>
        <w:rPr>
          <w:sz w:val="20"/>
          <w:szCs w:val="20"/>
          <w:color w:val="auto"/>
        </w:rPr>
      </w:pPr>
      <w:r>
        <w:rPr>
          <w:rFonts w:ascii="Times New Roman" w:cs="Times New Roman" w:eastAsia="Times New Roman" w:hAnsi="Times New Roman"/>
          <w:sz w:val="22"/>
          <w:szCs w:val="22"/>
          <w:color w:val="auto"/>
        </w:rPr>
        <w:t>100 King Street West, Suite 5600, Toronto, Ontario, Canada M5X 1C9</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Name of person filing:</w:t>
      </w:r>
    </w:p>
    <w:p>
      <w:pPr>
        <w:sectPr>
          <w:pgSz w:w="11900" w:h="16838" w:orient="portrait"/>
          <w:cols w:equalWidth="0" w:num="1">
            <w:col w:w="10099"/>
          </w:cols>
          <w:pgMar w:left="360" w:top="111" w:right="1440" w:bottom="46" w:gutter="0" w:footer="0" w:header="0"/>
          <w:type w:val="continuous"/>
        </w:sectPr>
      </w:pPr>
    </w:p>
    <w:bookmarkStart w:id="3" w:name="page4"/>
    <w:bookmarkEnd w:id="3"/>
    <w:p>
      <w:pPr>
        <w:ind w:left="920" w:right="2460"/>
        <w:spacing w:after="0" w:line="310" w:lineRule="auto"/>
        <w:rPr>
          <w:sz w:val="20"/>
          <w:szCs w:val="20"/>
          <w:color w:val="auto"/>
        </w:rPr>
      </w:pPr>
      <w:r>
        <w:rPr>
          <w:rFonts w:ascii="Times New Roman" w:cs="Times New Roman" w:eastAsia="Times New Roman" w:hAnsi="Times New Roman"/>
          <w:sz w:val="22"/>
          <w:szCs w:val="22"/>
          <w:color w:val="auto"/>
        </w:rPr>
        <w:t>Millennium Management LLC Millennium Group Management LLC Israel A. Englander Address or principal business office or, if none, residence:</w:t>
      </w:r>
    </w:p>
    <w:p>
      <w:pPr>
        <w:spacing w:after="0" w:line="130" w:lineRule="exact"/>
        <w:rPr>
          <w:sz w:val="20"/>
          <w:szCs w:val="20"/>
          <w:color w:val="auto"/>
        </w:rPr>
      </w:pPr>
    </w:p>
    <w:p>
      <w:pPr>
        <w:ind w:left="920" w:right="140" w:hanging="912"/>
        <w:spacing w:after="0" w:line="244" w:lineRule="auto"/>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Millennium Management LLC 399 Park Avenue New York, New York 10022 Millennium Group Management LLC 399 Park Avenue New York, New York 10022 Israel A. Englander c/o Millennium Management LLC 399 Park Avenue New York, New York 10022</w:t>
      </w:r>
    </w:p>
    <w:p>
      <w:pPr>
        <w:sectPr>
          <w:pgSz w:w="11900" w:h="16838" w:orient="portrait"/>
          <w:cols w:equalWidth="0" w:num="1">
            <w:col w:w="11120"/>
          </w:cols>
          <w:pgMar w:left="360" w:top="112" w:right="419" w:bottom="37" w:gutter="0" w:footer="0" w:header="0"/>
        </w:sect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ind w:right="320"/>
        <w:spacing w:after="0" w:line="256" w:lineRule="auto"/>
        <w:rPr>
          <w:sz w:val="20"/>
          <w:szCs w:val="20"/>
          <w:color w:val="auto"/>
        </w:rPr>
      </w:pPr>
      <w:r>
        <w:rPr>
          <w:rFonts w:ascii="Times New Roman" w:cs="Times New Roman" w:eastAsia="Times New Roman" w:hAnsi="Times New Roman"/>
          <w:sz w:val="22"/>
          <w:szCs w:val="22"/>
          <w:color w:val="auto"/>
        </w:rPr>
        <w:t>Millennium Management LLC - Delaware Millennium Group Management LLC - Delaware Israel A. Englander - United States</w:t>
      </w: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Shares, no par value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right="660"/>
        <w:spacing w:after="0" w:line="258" w:lineRule="auto"/>
        <w:rPr>
          <w:sz w:val="20"/>
          <w:szCs w:val="20"/>
          <w:color w:val="auto"/>
        </w:rPr>
      </w:pPr>
      <w:r>
        <w:rPr>
          <w:sz w:val="1"/>
          <w:szCs w:val="1"/>
          <w:color w:val="auto"/>
        </w:rPr>
        <w:drawing>
          <wp:inline distT="0" distB="0" distL="0" distR="0">
            <wp:extent cx="128905" cy="128905"/>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right="1000"/>
        <w:spacing w:after="0" w:line="241" w:lineRule="auto"/>
        <w:rPr>
          <w:sz w:val="20"/>
          <w:szCs w:val="20"/>
          <w:color w:val="auto"/>
        </w:rPr>
      </w:pPr>
      <w:r>
        <w:rPr>
          <w:sz w:val="1"/>
          <w:szCs w:val="1"/>
          <w:color w:val="auto"/>
        </w:rPr>
        <w:drawing>
          <wp:inline distT="0" distB="0" distL="0" distR="0">
            <wp:extent cx="128905" cy="12890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sectPr>
          <w:pgSz w:w="11900" w:h="16838" w:orient="portrait"/>
          <w:cols w:equalWidth="0" w:num="2">
            <w:col w:w="620" w:space="300"/>
            <w:col w:w="10200"/>
          </w:cols>
          <w:pgMar w:left="360" w:top="112" w:right="419" w:bottom="37" w:gutter="0" w:footer="0" w:header="0"/>
          <w:type w:val="continuous"/>
        </w:sect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See response to Item 9 on each cover page.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See response to Item 11 on each cover page. %</w:t>
      </w:r>
    </w:p>
    <w:p>
      <w:pPr>
        <w:spacing w:after="0" w:line="20" w:lineRule="exact"/>
        <w:rPr>
          <w:sz w:val="20"/>
          <w:szCs w:val="20"/>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See response to Item 5 on each cover page.</w:t>
      </w:r>
    </w:p>
    <w:p>
      <w:pPr>
        <w:spacing w:after="0" w:line="287" w:lineRule="exact"/>
        <w:rPr>
          <w:sz w:val="20"/>
          <w:szCs w:val="20"/>
          <w:color w:val="auto"/>
        </w:rPr>
      </w:pPr>
    </w:p>
    <w:p>
      <w:pPr>
        <w:ind w:left="920" w:right="6220" w:firstLine="6"/>
        <w:spacing w:after="0" w:line="509" w:lineRule="auto"/>
        <w:tabs>
          <w:tab w:leader="none" w:pos="1238" w:val="left"/>
        </w:tabs>
        <w:numPr>
          <w:ilvl w:val="0"/>
          <w:numId w:val="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Shared power to vote or to direct the vote: See response to Item 6 on each cover page.</w:t>
      </w:r>
    </w:p>
    <w:p>
      <w:pPr>
        <w:spacing w:after="0" w:line="1" w:lineRule="exact"/>
        <w:rPr>
          <w:rFonts w:ascii="Times New Roman" w:cs="Times New Roman" w:eastAsia="Times New Roman" w:hAnsi="Times New Roman"/>
          <w:sz w:val="21"/>
          <w:szCs w:val="21"/>
          <w:color w:val="auto"/>
        </w:rPr>
      </w:pPr>
    </w:p>
    <w:p>
      <w:pPr>
        <w:ind w:left="920" w:right="5300" w:firstLine="6"/>
        <w:spacing w:after="0" w:line="486" w:lineRule="auto"/>
        <w:tabs>
          <w:tab w:leader="none" w:pos="1298"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See response to Item 7 on each cover page.</w:t>
      </w:r>
    </w:p>
    <w:p>
      <w:pPr>
        <w:spacing w:after="0" w:line="1" w:lineRule="exact"/>
        <w:rPr>
          <w:rFonts w:ascii="Times New Roman" w:cs="Times New Roman" w:eastAsia="Times New Roman" w:hAnsi="Times New Roman"/>
          <w:sz w:val="22"/>
          <w:szCs w:val="22"/>
          <w:color w:val="auto"/>
        </w:rPr>
      </w:pPr>
    </w:p>
    <w:p>
      <w:pPr>
        <w:ind w:left="1300" w:hanging="374"/>
        <w:spacing w:after="0"/>
        <w:tabs>
          <w:tab w:leader="none" w:pos="130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sz w:val="20"/>
          <w:szCs w:val="20"/>
          <w:color w:val="auto"/>
        </w:rPr>
      </w:pPr>
    </w:p>
    <w:p>
      <w:pPr>
        <w:ind w:left="920"/>
        <w:spacing w:after="0" w:line="248" w:lineRule="auto"/>
        <w:rPr>
          <w:sz w:val="20"/>
          <w:szCs w:val="20"/>
          <w:color w:val="auto"/>
        </w:rPr>
      </w:pPr>
      <w:r>
        <w:rPr>
          <w:rFonts w:ascii="Times New Roman" w:cs="Times New Roman" w:eastAsia="Times New Roman" w:hAnsi="Times New Roman"/>
          <w:sz w:val="21"/>
          <w:szCs w:val="21"/>
          <w:color w:val="auto"/>
        </w:rPr>
        <w:t>See response to Item 8 on each cover page. The securities disclosed herein as potentially beneficially owned by Millennium Management LLC, Millennium Group Management LLC and Mr. Englander are held by entities subject to voting control and investment discretion by Millennium Management LLC and/or other investment managers that may be controlled by Millennium Group Management LLC (the managing member of Millennium Management LLC) and Mr. Englander (the sole voting trustee of the managing member of Millennium Group Management LLC). The foregoing should not be construed in and of itself as an admission by Millennium Management LLC, Millennium Group Management LLC or Mr. Englander as to beneficial ownership of the securities held by such entities.</w:t>
      </w:r>
    </w:p>
    <w:p>
      <w:pPr>
        <w:sectPr>
          <w:pgSz w:w="11900" w:h="16838" w:orient="portrait"/>
          <w:cols w:equalWidth="0" w:num="1">
            <w:col w:w="11120"/>
          </w:cols>
          <w:pgMar w:left="360" w:top="112" w:right="419" w:bottom="37" w:gutter="0" w:footer="0" w:header="0"/>
          <w:type w:val="continuous"/>
        </w:sectPr>
      </w:pPr>
    </w:p>
    <w:bookmarkStart w:id="4" w:name="page5"/>
    <w:bookmarkEnd w:id="4"/>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jc w:val="both"/>
        <w:ind w:right="20"/>
        <w:spacing w:after="0" w:line="244" w:lineRule="auto"/>
        <w:rPr>
          <w:sz w:val="20"/>
          <w:szCs w:val="20"/>
          <w:color w:val="auto"/>
        </w:rPr>
      </w:pPr>
      <w:r>
        <w:rPr>
          <w:rFonts w:ascii="Times New Roman" w:cs="Times New Roman" w:eastAsia="Times New Roman" w:hAnsi="Times New Roman"/>
          <w:sz w:val="22"/>
          <w:szCs w:val="22"/>
          <w:color w:val="auto"/>
        </w:rPr>
        <w:t>If a group has filed this schedule pursuant to §240.13d-1(b)(1)(ii)(K), so indicate under Item 3(k) and attach an exhibit stating the identity and Item 3 classification of each member of the group. If a group has filed this schedule pursuant to §240.13d-1(c) or §240.13d-1(d), attach an exhibit stating the identity of each member of the group.</w:t>
      </w:r>
    </w:p>
    <w:p>
      <w:pPr>
        <w:spacing w:after="0" w:line="200" w:lineRule="exact"/>
        <w:rPr>
          <w:sz w:val="20"/>
          <w:szCs w:val="20"/>
          <w:color w:val="auto"/>
        </w:rPr>
      </w:pPr>
    </w:p>
    <w:p>
      <w:pPr>
        <w:sectPr>
          <w:pgSz w:w="11900" w:h="16838" w:orient="portrait"/>
          <w:cols w:equalWidth="0" w:num="2">
            <w:col w:w="620" w:space="300"/>
            <w:col w:w="10220"/>
          </w:cols>
          <w:pgMar w:left="360" w:top="112" w:right="399" w:bottom="1440" w:gutter="0" w:footer="0" w:header="0"/>
        </w:sectPr>
      </w:pPr>
    </w:p>
    <w:p>
      <w:pPr>
        <w:spacing w:after="0" w:line="24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See Exhibit I</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160"/>
        <w:spacing w:after="0" w:line="239"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22"/>
          <w:szCs w:val="22"/>
          <w:color w:val="auto"/>
        </w:rPr>
        <w:t>Millennium Management LLC</w:t>
      </w:r>
    </w:p>
    <w:p>
      <w:pPr>
        <w:spacing w:after="0" w:line="152" w:lineRule="exact"/>
        <w:rPr>
          <w:sz w:val="20"/>
          <w:szCs w:val="20"/>
          <w:color w:val="auto"/>
        </w:rPr>
      </w:pPr>
    </w:p>
    <w:p>
      <w:pPr>
        <w:ind w:left="4320"/>
        <w:spacing w:after="0"/>
        <w:tabs>
          <w:tab w:leader="none" w:pos="53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Gil Raviv</w:t>
      </w:r>
    </w:p>
    <w:p>
      <w:pPr>
        <w:spacing w:after="0" w:line="44"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22"/>
          <w:szCs w:val="22"/>
          <w:color w:val="auto"/>
        </w:rPr>
        <w:t>Name/Title: Gil Raviv, Global General Counsel</w:t>
      </w:r>
    </w:p>
    <w:p>
      <w:pPr>
        <w:spacing w:after="0" w:line="44" w:lineRule="exact"/>
        <w:rPr>
          <w:sz w:val="20"/>
          <w:szCs w:val="20"/>
          <w:color w:val="auto"/>
        </w:rPr>
      </w:pPr>
    </w:p>
    <w:p>
      <w:pPr>
        <w:ind w:left="4320"/>
        <w:spacing w:after="0"/>
        <w:tabs>
          <w:tab w:leader="none" w:pos="53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04/09/2026</w:t>
      </w:r>
    </w:p>
    <w:p>
      <w:pPr>
        <w:spacing w:after="0" w:line="152"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22"/>
          <w:szCs w:val="22"/>
          <w:color w:val="auto"/>
        </w:rPr>
        <w:t>Millennium Group Management LLC</w:t>
      </w:r>
    </w:p>
    <w:p>
      <w:pPr>
        <w:spacing w:after="0" w:line="152" w:lineRule="exact"/>
        <w:rPr>
          <w:sz w:val="20"/>
          <w:szCs w:val="20"/>
          <w:color w:val="auto"/>
        </w:rPr>
      </w:pPr>
    </w:p>
    <w:p>
      <w:pPr>
        <w:ind w:left="4320"/>
        <w:spacing w:after="0"/>
        <w:tabs>
          <w:tab w:leader="none" w:pos="53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Gil Raviv</w:t>
      </w:r>
    </w:p>
    <w:p>
      <w:pPr>
        <w:spacing w:after="0" w:line="44"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22"/>
          <w:szCs w:val="22"/>
          <w:color w:val="auto"/>
        </w:rPr>
        <w:t>Name/Title: Gil Raviv, Global General Counsel</w:t>
      </w:r>
    </w:p>
    <w:p>
      <w:pPr>
        <w:spacing w:after="0" w:line="44" w:lineRule="exact"/>
        <w:rPr>
          <w:sz w:val="20"/>
          <w:szCs w:val="20"/>
          <w:color w:val="auto"/>
        </w:rPr>
      </w:pPr>
    </w:p>
    <w:p>
      <w:pPr>
        <w:ind w:left="4320"/>
        <w:spacing w:after="0"/>
        <w:tabs>
          <w:tab w:leader="none" w:pos="53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04/09/2026</w:t>
      </w:r>
    </w:p>
    <w:p>
      <w:pPr>
        <w:spacing w:after="0" w:line="152"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22"/>
          <w:szCs w:val="22"/>
          <w:color w:val="auto"/>
        </w:rPr>
        <w:t>Israel A. Englander</w:t>
      </w:r>
    </w:p>
    <w:p>
      <w:pPr>
        <w:spacing w:after="0" w:line="152" w:lineRule="exact"/>
        <w:rPr>
          <w:sz w:val="20"/>
          <w:szCs w:val="20"/>
          <w:color w:val="auto"/>
        </w:rPr>
      </w:pPr>
    </w:p>
    <w:p>
      <w:pPr>
        <w:ind w:left="3220"/>
        <w:spacing w:after="0"/>
        <w:tabs>
          <w:tab w:leader="none" w:pos="43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Israel A. Englander</w:t>
      </w:r>
    </w:p>
    <w:p>
      <w:pPr>
        <w:spacing w:after="0" w:line="44"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22"/>
          <w:szCs w:val="22"/>
          <w:color w:val="auto"/>
        </w:rPr>
        <w:t>Name/Title: Israel A. Englander</w:t>
      </w:r>
    </w:p>
    <w:p>
      <w:pPr>
        <w:spacing w:after="0" w:line="44" w:lineRule="exact"/>
        <w:rPr>
          <w:sz w:val="20"/>
          <w:szCs w:val="20"/>
          <w:color w:val="auto"/>
        </w:rPr>
      </w:pPr>
    </w:p>
    <w:p>
      <w:pPr>
        <w:ind w:left="3220"/>
        <w:spacing w:after="0"/>
        <w:tabs>
          <w:tab w:leader="none" w:pos="43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04/09/2026</w:t>
      </w:r>
    </w:p>
    <w:p>
      <w:pPr>
        <w:spacing w:after="0" w:line="10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91"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22"/>
          <w:szCs w:val="22"/>
          <w:color w:val="auto"/>
        </w:rPr>
        <w:t>Exhibit I: Joint Filing Agreement, dated as of April 9, 2026, by and among Millennium Management LLC, Millennium Group Management LLC and Israel A. Englander.</w:t>
      </w:r>
    </w:p>
    <w:p>
      <w:pPr>
        <w:sectPr>
          <w:pgSz w:w="11900" w:h="16838" w:orient="portrait"/>
          <w:cols w:equalWidth="0" w:num="1">
            <w:col w:w="11140"/>
          </w:cols>
          <w:pgMar w:left="360" w:top="112" w:right="399" w:bottom="1440" w:gutter="0" w:footer="0" w:header="0"/>
          <w:type w:val="continuous"/>
        </w:sectPr>
      </w:pPr>
    </w:p>
    <w:bookmarkStart w:id="5" w:name="page6"/>
    <w:bookmarkEnd w:id="5"/>
    <w:p>
      <w:pPr>
        <w:jc w:val="center"/>
        <w:ind w:right="-79"/>
        <w:spacing w:after="0"/>
        <w:rPr>
          <w:sz w:val="20"/>
          <w:szCs w:val="20"/>
          <w:color w:val="auto"/>
        </w:rPr>
      </w:pPr>
      <w:r>
        <w:rPr>
          <w:rFonts w:ascii="Times New Roman" w:cs="Times New Roman" w:eastAsia="Times New Roman" w:hAnsi="Times New Roman"/>
          <w:sz w:val="18"/>
          <w:szCs w:val="18"/>
          <w:color w:val="auto"/>
        </w:rPr>
        <w:t>EXHIBIT I</w:t>
      </w:r>
    </w:p>
    <w:p>
      <w:pPr>
        <w:spacing w:after="0" w:line="22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JOINT FILING AGREEMENT</w:t>
      </w:r>
    </w:p>
    <w:p>
      <w:pPr>
        <w:spacing w:after="0" w:line="225"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7"/>
          <w:szCs w:val="17"/>
          <w:color w:val="auto"/>
        </w:rPr>
        <w:t>This will confirm the agreement by and among the undersigned that the Schedule 13G filed with the Securities and Exchange Commission on or about the date hereof with respect to the beneficial ownership by the undersigned of the Common Shares, no par value, of Cybin Inc. will be filed on behalf of each of the persons and entities named below in accordance with Rule 13d-1(k) under the Securities Exchange Act of 1934, as amended. This Agreement may be executed in two or more counterparts, each of which shall be deemed an original, but all of which together shall constitute one and the same instrument.</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April 9, 2026</w:t>
      </w:r>
    </w:p>
    <w:p>
      <w:pPr>
        <w:spacing w:after="0" w:line="252"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MILLENNIUM MANAGEMENT LLC</w:t>
      </w:r>
    </w:p>
    <w:p>
      <w:pPr>
        <w:spacing w:after="0" w:line="225"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By: /s/ Gil Raviv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3841750</wp:posOffset>
            </wp:positionH>
            <wp:positionV relativeFrom="paragraph">
              <wp:posOffset>-7620</wp:posOffset>
            </wp:positionV>
            <wp:extent cx="101219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012190" cy="8890"/>
                    </a:xfrm>
                    <a:prstGeom prst="rect">
                      <a:avLst/>
                    </a:prstGeom>
                    <a:noFill/>
                  </pic:spPr>
                </pic:pic>
              </a:graphicData>
            </a:graphic>
          </wp:anchor>
        </w:drawing>
      </w:r>
    </w:p>
    <w:p>
      <w:pPr>
        <w:spacing w:after="0" w:line="7"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Name: Gil Raviv</w:t>
      </w:r>
    </w:p>
    <w:p>
      <w:pPr>
        <w:spacing w:after="0" w:line="9"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Title: Global General Counsel</w:t>
      </w:r>
    </w:p>
    <w:p>
      <w:pPr>
        <w:spacing w:after="0" w:line="200" w:lineRule="exact"/>
        <w:rPr>
          <w:sz w:val="20"/>
          <w:szCs w:val="20"/>
          <w:color w:val="auto"/>
        </w:rPr>
      </w:pPr>
    </w:p>
    <w:p>
      <w:pPr>
        <w:spacing w:after="0" w:line="223"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MILLENNIUM GROUP MANAGEMENT LLC</w:t>
      </w:r>
    </w:p>
    <w:p>
      <w:pPr>
        <w:spacing w:after="0" w:line="225"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By: /s/ Gil Raviv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3841750</wp:posOffset>
            </wp:positionH>
            <wp:positionV relativeFrom="paragraph">
              <wp:posOffset>-7620</wp:posOffset>
            </wp:positionV>
            <wp:extent cx="101219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012190" cy="8255"/>
                    </a:xfrm>
                    <a:prstGeom prst="rect">
                      <a:avLst/>
                    </a:prstGeom>
                    <a:noFill/>
                  </pic:spPr>
                </pic:pic>
              </a:graphicData>
            </a:graphic>
          </wp:anchor>
        </w:drawing>
      </w:r>
    </w:p>
    <w:p>
      <w:pPr>
        <w:spacing w:after="0" w:line="7"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Name: Gil Raviv</w:t>
      </w:r>
    </w:p>
    <w:p>
      <w:pPr>
        <w:spacing w:after="0" w:line="9"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Title: Global General Counsel</w:t>
      </w:r>
    </w:p>
    <w:p>
      <w:pPr>
        <w:spacing w:after="0" w:line="200" w:lineRule="exact"/>
        <w:rPr>
          <w:sz w:val="20"/>
          <w:szCs w:val="20"/>
          <w:color w:val="auto"/>
        </w:rPr>
      </w:pPr>
    </w:p>
    <w:p>
      <w:pPr>
        <w:spacing w:after="0" w:line="223"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/s/ Israel A. Englander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-7620</wp:posOffset>
            </wp:positionV>
            <wp:extent cx="128524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85240" cy="8255"/>
                    </a:xfrm>
                    <a:prstGeom prst="rect">
                      <a:avLst/>
                    </a:prstGeom>
                    <a:noFill/>
                  </pic:spPr>
                </pic:pic>
              </a:graphicData>
            </a:graphic>
          </wp:anchor>
        </w:drawing>
      </w:r>
    </w:p>
    <w:p>
      <w:pPr>
        <w:spacing w:after="0" w:line="7"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Israel A. Englander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297180</wp:posOffset>
            </wp:positionV>
            <wp:extent cx="713232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160"/>
      </w:cols>
      <w:pgMar w:left="320" w:top="364" w:right="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38E1F29"/>
    <w:multiLevelType w:val="hybridMultilevel"/>
    <w:lvl w:ilvl="0">
      <w:lvlJc w:val="left"/>
      <w:lvlText w:val="2"/>
      <w:numFmt w:val="bullet"/>
      <w:start w:val="1"/>
    </w:lvl>
  </w:abstractNum>
  <w:abstractNum w:abstractNumId="1">
    <w:nsid w:val="46E87CCD"/>
    <w:multiLevelType w:val="hybridMultilevel"/>
    <w:lvl w:ilvl="0">
      <w:lvlJc w:val="left"/>
      <w:lvlText w:val="3"/>
      <w:numFmt w:val="bullet"/>
      <w:start w:val="1"/>
    </w:lvl>
  </w:abstractNum>
  <w:abstractNum w:abstractNumId="2">
    <w:nsid w:val="3D1B58BA"/>
    <w:multiLevelType w:val="hybridMultilevel"/>
    <w:lvl w:ilvl="0">
      <w:lvlJc w:val="left"/>
      <w:lvlText w:val="%1"/>
      <w:numFmt w:val="decimal"/>
      <w:start w:val="12"/>
    </w:lvl>
  </w:abstractNum>
  <w:abstractNum w:abstractNumId="3">
    <w:nsid w:val="507ED7AB"/>
    <w:multiLevelType w:val="hybridMultilevel"/>
    <w:lvl w:ilvl="0">
      <w:lvlJc w:val="left"/>
      <w:lvlText w:val="(%1)"/>
      <w:numFmt w:val="lowerLetter"/>
      <w:start w:val="1"/>
    </w:lvl>
  </w:abstractNum>
  <w:abstractNum w:abstractNumId="4">
    <w:nsid w:val="2EB141F2"/>
    <w:multiLevelType w:val="hybridMultilevel"/>
    <w:lvl w:ilvl="0">
      <w:lvlJc w:val="left"/>
      <w:lvlText w:val="(%1)"/>
      <w:numFmt w:val="lowerLetter"/>
      <w:start w:val="2"/>
    </w:lvl>
  </w:abstractNum>
  <w:abstractNum w:abstractNumId="5">
    <w:nsid w:val="41B71EFB"/>
    <w:multiLevelType w:val="hybridMultilevel"/>
    <w:lvl w:ilvl="0">
      <w:lvlJc w:val="left"/>
      <w:lvlText w:val="(%1)"/>
      <w:numFmt w:val="lowerLetter"/>
      <w:start w:val="11"/>
    </w:lvl>
  </w:abstractNum>
  <w:abstractNum w:abstractNumId="6">
    <w:nsid w:val="79E2A9E3"/>
    <w:multiLevelType w:val="hybridMultilevel"/>
    <w:lvl w:ilvl="0">
      <w:lvlJc w:val="left"/>
      <w:lvlText w:val="(%1)"/>
      <w:numFmt w:val="lowerLetter"/>
      <w:start w:val="3"/>
    </w:lvl>
  </w:abstractNum>
  <w:abstractNum w:abstractNumId="7">
    <w:nsid w:val="7545E146"/>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2026-04-10T15:54:15Z</dcterms:created>
  <dcterms:modified xsi:type="dcterms:W3CDTF">2026-04-10T15:54:15Z</dcterms:modified>
</cp:coreProperties>
</file>