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June, 2025.</w:t>
      </w:r>
    </w:p>
    <w:p>
      <w:pPr>
        <w:pStyle w:val="TextBody"/>
        <w:bidi w:val="0"/>
        <w:spacing w:lineRule="auto" w:line="276"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76"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72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 2025</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tbl>
      <w:tblPr>
        <w:tblW w:w="3315" w:type="dxa"/>
        <w:jc w:val="left"/>
        <w:tblInd w:w="0" w:type="dxa"/>
        <w:tblLayout w:type="fixed"/>
        <w:tblCellMar>
          <w:top w:w="28" w:type="dxa"/>
          <w:left w:w="28" w:type="dxa"/>
          <w:bottom w:w="28" w:type="dxa"/>
          <w:right w:w="28" w:type="dxa"/>
        </w:tblCellMar>
      </w:tblPr>
      <w:tblGrid>
        <w:gridCol w:w="174"/>
        <w:gridCol w:w="153"/>
        <w:gridCol w:w="154"/>
        <w:gridCol w:w="827"/>
        <w:gridCol w:w="827"/>
        <w:gridCol w:w="118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28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06-03x2025cyb004patentprf.htm">
              <w:r>
                <w:rPr>
                  <w:rStyle w:val="InternetLink"/>
                  <w:rFonts w:ascii="Times New Roman;sans-serif" w:hAnsi="Times New Roman;sans-serif"/>
                  <w:b w:val="false"/>
                  <w:color w:val="0000FF"/>
                  <w:sz w:val="20"/>
                  <w:u w:val="single"/>
                </w:rPr>
                <w:t>News Release dated June 3, 2025</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1762125" cy="1028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62125" cy="1028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Cybin Announces Additional U.S. Patent Supporting its CYB004 Program in Phase 2 Development for Generalized Anxiety Disorder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Newly issued patent includes claims to novel formulations of N,N-dimethyltryptamine (“DMT”) and deuterated isotopologues for intramuscular injection, including CYB004, with expected exclusivity until 2040 -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Cybin’s growing intellectual property portfolio comprises more than 90 granted patents and over 230 pending applications -</w:t>
      </w:r>
    </w:p>
    <w:p>
      <w:pPr>
        <w:pStyle w:val="TextBody"/>
        <w:bidi w:val="0"/>
        <w:spacing w:lineRule="auto" w:line="319" w:before="0" w:after="0"/>
        <w:jc w:val="both"/>
        <w:rPr/>
      </w:pPr>
      <w:r>
        <w:rPr>
          <w:rFonts w:ascii="Aptos;san-serif" w:hAnsi="Aptos;san-serif"/>
          <w:b w:val="false"/>
          <w:color w:val="000000"/>
          <w:sz w:val="24"/>
        </w:rPr>
        <w:br/>
      </w:r>
      <w:r>
        <w:rPr>
          <w:rFonts w:ascii="Arial;sans-serif" w:hAnsi="Arial;sans-serif"/>
          <w:b/>
          <w:color w:val="000000"/>
          <w:sz w:val="22"/>
        </w:rPr>
        <w:t xml:space="preserve">TORONTO, CANADA </w:t>
      </w:r>
      <w:r>
        <w:rPr>
          <w:color w:val="000000"/>
        </w:rPr>
        <w:t xml:space="preserve">– </w:t>
      </w:r>
      <w:r>
        <w:rPr>
          <w:rFonts w:ascii="Arial;sans-serif" w:hAnsi="Arial;sans-serif"/>
          <w:b w:val="false"/>
          <w:color w:val="000000"/>
          <w:sz w:val="22"/>
        </w:rPr>
        <w:t xml:space="preserve">June 3, 2025 – </w:t>
      </w:r>
      <w:r>
        <w:rPr>
          <w:rFonts w:ascii="Arial;sans-serif" w:hAnsi="Arial;sans-serif"/>
          <w:b w:val="false"/>
          <w:color w:val="467886"/>
          <w:sz w:val="22"/>
          <w:u w:val="single"/>
        </w:rPr>
        <w:t>Cybin Inc.</w:t>
      </w:r>
      <w:r>
        <w:rPr>
          <w:color w:val="000000"/>
        </w:rPr>
        <w:t xml:space="preserve"> </w:t>
      </w:r>
      <w:r>
        <w:rPr>
          <w:rFonts w:ascii="Arial;sans-serif" w:hAnsi="Arial;sans-serif"/>
          <w:b w:val="false"/>
          <w:color w:val="000000"/>
          <w:sz w:val="22"/>
        </w:rPr>
        <w:t>(NYSE American:CYBN) (Cboe CA:CYBN) (“</w:t>
      </w:r>
      <w:r>
        <w:rPr>
          <w:rFonts w:ascii="Arial;sans-serif" w:hAnsi="Arial;sans-serif"/>
          <w:b/>
          <w:color w:val="000000"/>
          <w:sz w:val="22"/>
        </w:rPr>
        <w:t>Cybin</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xml:space="preserve">), a clinical-stage breakthrough neuropsychiatry company committed to revolutionizing mental healthcare by developing new and innovative next-generation treatment options, today announced that the United States Patent and Trademark Office has granted U.S. patent 12,318,477 in support of its CYB004 deuterated DMT program in development for the treatment of generalized anxiety disorder (“GAD”).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patent, which is expected to provide exclusivity until 2040, includes claims to novel formulations of DMT and deuterated isotopologues for intramuscular (“IM”) injection, including CYB004.</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Patents are extremely valuable assets, and protection for our lead product candidates is a top priority for us,” said Doug Drysdale, Chief Executive Officer of Cybin. “We believe that our CYB004 program has the potential to deliver short-duration, rapid-acting treatment for anxiety disorders and offer more patient-friendly dosing methods such as IM administration. The issuance of this additional patent in support of CYB004 adds further validation of this important program. Dosing is currently underway in our Phase 2 study evaluating CYB004 in generalized anxiety disorder, and we expect the study to complete around mid-year. I’m proud that Cybin has amassed one of the strongest IP portfolios in the sector with more than 90 granted patents and over 230 pending applications.”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is a late-stage breakthrough neuropsychiatry company committed to revolutionizing mental healthcare by developing new and innovative next-generation treatment options to address the large unmet need for people who suffer from mental health conditions. </w:t>
      </w:r>
    </w:p>
    <w:p>
      <w:pPr>
        <w:pStyle w:val="TextBody"/>
        <w:bidi w:val="0"/>
        <w:spacing w:lineRule="auto" w:line="319" w:before="0" w:after="0"/>
        <w:jc w:val="both"/>
        <w:rPr>
          <w:color w:val="000000"/>
        </w:rPr>
      </w:pPr>
      <w:r>
        <w:rPr>
          <w:color w:val="000000"/>
        </w:rPr>
        <w: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 generalized anxiety disorder. The company also has a research pipeline of investigational, 5-HT-receptor focused compounds. </w:t>
      </w:r>
    </w:p>
    <w:p>
      <w:pPr>
        <w:pStyle w:val="TextBody"/>
        <w:bidi w:val="0"/>
        <w:spacing w:lineRule="auto" w:line="319" w:before="0" w:after="0"/>
        <w:jc w:val="both"/>
        <w:rPr>
          <w:color w:val="000000"/>
        </w:rPr>
      </w:pPr>
      <w:r>
        <w:rPr>
          <w:color w:val="000000"/>
        </w:rPr>
        <w: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Founded in 2019, Cybin is operational in Canada, the United States, the United Kingdom, the Netherlands and Ireland. For Company updates and to learn more about Cybin, visit www.cybin.com or follow the team on X, LinkedIn, YouTube and Instagram. </w:t>
      </w:r>
    </w:p>
    <w:p>
      <w:pPr>
        <w:pStyle w:val="TextBody"/>
        <w:bidi w:val="0"/>
        <w:spacing w:lineRule="auto" w:line="319" w:before="0" w:after="0"/>
        <w:jc w:val="both"/>
        <w:rPr>
          <w:color w:val="000000"/>
        </w:rPr>
      </w:pPr>
      <w:r>
        <w:rPr>
          <w:color w:val="000000"/>
        </w:rPr>
        <w:t> </w:t>
      </w:r>
    </w:p>
    <w:p>
      <w:pPr>
        <w:pStyle w:val="TextBody"/>
        <w:bidi w:val="0"/>
        <w:spacing w:lineRule="auto" w:line="319" w:before="0" w:after="0"/>
        <w:jc w:val="both"/>
        <w:rPr/>
      </w:pPr>
      <w:r>
        <w:rPr>
          <w:rFonts w:ascii="Arial;sans-serif" w:hAnsi="Arial;sans-serif"/>
          <w:b/>
          <w:color w:val="000000"/>
          <w:sz w:val="22"/>
        </w:rPr>
        <w:t>Cautionary Notes and Forward-Looking Statements</w:t>
      </w:r>
      <w:r>
        <w:rPr>
          <w:color w:val="000000"/>
        </w:rPr>
        <w:t> </w:t>
      </w:r>
    </w:p>
    <w:p>
      <w:pPr>
        <w:pStyle w:val="TextBody"/>
        <w:bidi w:val="0"/>
        <w:spacing w:lineRule="auto" w:line="319" w:before="0" w:after="0"/>
        <w:jc w:val="both"/>
        <w:rPr>
          <w:color w:val="000000"/>
        </w:rPr>
      </w:pPr>
      <w:r>
        <w:rPr>
          <w:color w:val="000000"/>
        </w:rPr>
        <w: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expectations respecting the patent exclusivity period; plans to complete the Phase 2 GAD study around mid-year 2025; and the Company’s plans to engineer proprietary drug discovery platforms, innovative drug delivery systems, novel formulation approaches and treatment regimens for mental health disorders. </w:t>
      </w:r>
    </w:p>
    <w:p>
      <w:pPr>
        <w:pStyle w:val="TextBody"/>
        <w:bidi w:val="0"/>
        <w:spacing w:lineRule="auto" w:line="319" w:before="0" w:after="0"/>
        <w:jc w:val="both"/>
        <w:rPr>
          <w:color w:val="000000"/>
        </w:rPr>
      </w:pPr>
      <w:r>
        <w:rPr>
          <w:color w:val="000000"/>
        </w:rPr>
        <w:t> </w:t>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000000"/>
          <w:sz w:val="22"/>
        </w:rPr>
        <w:t xml:space="preserve">where the Company operates; and the risk factors set out in each of the Company's management's discussion and analysis for the three and nine month periods ended December 31, 2024 and the Company’s annual information form for the year ended March 31, 2024, which are available under the Company's profile on SEDAR+ </w:t>
      </w:r>
      <w:r>
        <w:rPr>
          <w:rFonts w:ascii="Arial;sans-serif" w:hAnsi="Arial;sans-serif"/>
          <w:b w:val="false"/>
          <w:color w:val="467886"/>
          <w:sz w:val="22"/>
          <w:u w:val="single"/>
        </w:rPr>
        <w:t>www.sedarplus.ca</w:t>
      </w:r>
      <w:r>
        <w:rPr>
          <w:color w:val="000000"/>
        </w:rPr>
        <w:t xml:space="preserve"> </w:t>
      </w:r>
      <w:r>
        <w:rPr>
          <w:rFonts w:ascii="Arial;sans-serif" w:hAnsi="Arial;sans-serif"/>
          <w:b w:val="false"/>
          <w:color w:val="000000"/>
          <w:sz w:val="22"/>
        </w:rPr>
        <w:t xml:space="preserve">and with the U.S. Securities and Exchange Commission on EDGAR at </w:t>
      </w:r>
      <w:r>
        <w:rPr>
          <w:rFonts w:ascii="Arial;sans-serif" w:hAnsi="Arial;sans-serif"/>
          <w:b w:val="false"/>
          <w:color w:val="467886"/>
          <w:sz w:val="22"/>
          <w:u w:val="single"/>
        </w:rPr>
        <w:t>www.sec.gov</w:t>
      </w:r>
      <w:r>
        <w:rPr>
          <w:rFonts w:ascii="Arial;sans-serif" w:hAnsi="Arial;sans-serif"/>
          <w:b w:val="false"/>
          <w:color w:val="000000"/>
          <w:sz w:val="22"/>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 </w:t>
      </w:r>
    </w:p>
    <w:p>
      <w:pPr>
        <w:pStyle w:val="TextBody"/>
        <w:bidi w:val="0"/>
        <w:spacing w:lineRule="auto" w:line="319" w:before="0" w:after="0"/>
        <w:jc w:val="both"/>
        <w:rPr>
          <w:color w:val="000000"/>
        </w:rPr>
      </w:pPr>
      <w:r>
        <w:rPr>
          <w:color w:val="000000"/>
        </w:rPr>
        <w: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 </w:t>
      </w:r>
    </w:p>
    <w:p>
      <w:pPr>
        <w:pStyle w:val="TextBody"/>
        <w:bidi w:val="0"/>
        <w:spacing w:lineRule="auto" w:line="319" w:before="0" w:after="0"/>
        <w:jc w:val="both"/>
        <w:rPr>
          <w:color w:val="000000"/>
        </w:rPr>
      </w:pPr>
      <w:r>
        <w:rPr>
          <w:color w:val="000000"/>
        </w:rPr>
        <w:t> </w:t>
      </w:r>
    </w:p>
    <w:p>
      <w:pPr>
        <w:pStyle w:val="TextBody"/>
        <w:bidi w:val="0"/>
        <w:spacing w:lineRule="auto" w:line="319" w:before="0" w:after="0"/>
        <w:jc w:val="both"/>
        <w:rPr/>
      </w:pPr>
      <w:r>
        <w:rPr>
          <w:rFonts w:ascii="Arial;sans-serif" w:hAnsi="Arial;sans-serif"/>
          <w:b w:val="false"/>
          <w:i/>
          <w:color w:val="000000"/>
          <w:sz w:val="22"/>
        </w:rPr>
        <w:t>Neither the Cboe Canada nor the NYSE American LLC stock exchange have approved or disapproved the contents of this news release and are not responsible for the adequacy and accuracy of the contents herein.</w:t>
      </w:r>
      <w:r>
        <w:rPr>
          <w:color w:val="000000"/>
        </w:rPr>
        <w:t> </w:t>
      </w:r>
    </w:p>
    <w:p>
      <w:pPr>
        <w:pStyle w:val="TextBody"/>
        <w:bidi w:val="0"/>
        <w:spacing w:lineRule="auto" w:line="319" w:before="0" w:after="0"/>
        <w:jc w:val="both"/>
        <w:rPr>
          <w:color w:val="000000"/>
        </w:rPr>
      </w:pPr>
      <w:r>
        <w:rPr>
          <w:color w:val="000000"/>
        </w:rPr>
        <w:t> </w:t>
      </w:r>
    </w:p>
    <w:p>
      <w:pPr>
        <w:pStyle w:val="TextBody"/>
        <w:bidi w:val="0"/>
        <w:spacing w:lineRule="auto" w:line="319" w:before="0" w:after="0"/>
        <w:jc w:val="both"/>
        <w:rPr/>
      </w:pPr>
      <w:r>
        <w:rPr>
          <w:rFonts w:ascii="Arial;sans-serif" w:hAnsi="Arial;sans-serif"/>
          <w:b/>
          <w:color w:val="000000"/>
          <w:sz w:val="22"/>
        </w:rPr>
        <w:t>Investor &amp; Media Contact: </w:t>
      </w:r>
      <w:r>
        <w:rPr>
          <w:color w:val="000000"/>
        </w:rPr>
        <w: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Inc.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 </w:t>
      </w:r>
    </w:p>
    <w:p>
      <w:pPr>
        <w:pStyle w:val="TextBody"/>
        <w:bidi w:val="0"/>
        <w:spacing w:lineRule="auto" w:line="319" w:before="0" w:after="0"/>
        <w:jc w:val="both"/>
        <w:rPr/>
      </w:pPr>
      <w:r>
        <w:rPr>
          <w:rFonts w:ascii="Arial;sans-serif" w:hAnsi="Arial;sans-serif"/>
          <w:b w:val="false"/>
          <w:color w:val="467886"/>
          <w:sz w:val="22"/>
          <w:u w:val="single"/>
        </w:rPr>
        <w:t>irteam@cybin.com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media@cybin.com</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1190</Words>
  <Characters>7137</Characters>
  <CharactersWithSpaces>8326</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