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September,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September 26,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September 26,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line="326" w:lineRule="auto"/>
        <w:rPr>
          <w:sz w:val="20"/>
          <w:szCs w:val="20"/>
          <w:color w:val="auto"/>
        </w:rPr>
      </w:pPr>
      <w:r>
        <w:rPr>
          <w:rFonts w:ascii="Arial" w:cs="Arial" w:eastAsia="Arial" w:hAnsi="Arial"/>
          <w:sz w:val="25"/>
          <w:szCs w:val="25"/>
          <w:b w:val="1"/>
          <w:bCs w:val="1"/>
          <w:color w:val="auto"/>
        </w:rPr>
        <w:t>Cybin Announces Agreement with Fluence to Support Scaling of EMBARK Training for CYB003 Phase 3 Trial</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September 26,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clinical-stage biopharmaceutical company committed to revolutionizing mental healthcare by developing new and innovative psychedelic-based treatment options, today announced an agreement with Fluence, a leading continuing education organization in psychedelic therapy, to support the streamlining and scaling of Cybin’s EMBARK facilitator training program in preparation for a multi-site, global Phase 3 trial of CYB003, its proprietary deuterated psilocybin analog in development for the potential treatment of major depressive disorder (“MDD”). This streamlined model of psychedelic facilitation training, known as EMBARK for Clinical Trials (“EMBARK</w:t>
      </w:r>
      <w:r>
        <w:rPr>
          <w:rFonts w:ascii="Arial" w:cs="Arial" w:eastAsia="Arial" w:hAnsi="Arial"/>
          <w:sz w:val="25"/>
          <w:szCs w:val="25"/>
          <w:color w:val="auto"/>
          <w:vertAlign w:val="superscript"/>
        </w:rPr>
        <w:t>CT</w:t>
      </w:r>
      <w:r>
        <w:rPr>
          <w:rFonts w:ascii="Arial" w:cs="Arial" w:eastAsia="Arial" w:hAnsi="Arial"/>
          <w:sz w:val="20"/>
          <w:szCs w:val="20"/>
          <w:color w:val="auto"/>
        </w:rPr>
        <w:t>”), is designed for individuals with existing experience, knowledge, and skills in psychedelic facilitation.</w:t>
      </w:r>
    </w:p>
    <w:p>
      <w:pPr>
        <w:spacing w:after="0" w:line="217"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Under the terms of the agreement, Fluence will support Cybin in the selection and training of facilitators for the planned Phase 3 trial. Fluence will also create supplemental video content and provide asynchronous and synchronous training in service of augmenting and verifying facilitator competencies.</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“The partnership with Fluence is another important part of our readiness planning as we prepare to advance our CYB003 program toward pivotal studies,” said Doug Drysdale, Chief Executive Officer of Cybin. “Leveraging Fluence’s expertise in clinical training and education, we will be able to deliver high-quality, scalable treatment facilitation training capable of supporting a larger Phase 3 trial.”</w:t>
      </w:r>
    </w:p>
    <w:p>
      <w:pPr>
        <w:spacing w:after="0" w:line="227"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"We are thrilled to partner with Cybin, a company making significant strides in psychedelic drug development. This collaboration exemplifies how forward-looking drug developers are addressing the critical need for facilitator training. By working alongside Cybin to streamline the EMBARK Training Program, we aim to co-create a scalable program that will support a multi-site, global Phase 3 trial of CYB003, that ultimately contributes to the development of a successful ecosystem in this emerging and transformative field," said Dr. Ingmar Gorman, co-founder of Fluence.</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Cybin</w:t>
      </w:r>
    </w:p>
    <w:p>
      <w:pPr>
        <w:spacing w:after="0" w:line="29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11" w:lineRule="exact"/>
        <w:rPr>
          <w:sz w:val="20"/>
          <w:szCs w:val="20"/>
          <w:color w:val="auto"/>
        </w:rPr>
      </w:pPr>
    </w:p>
    <w:p>
      <w:pPr>
        <w:jc w:val="both"/>
        <w:ind w:right="20"/>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Fluence</w:t>
      </w:r>
    </w:p>
    <w:p>
      <w:pPr>
        <w:spacing w:after="0" w:line="28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u w:val="single" w:color="auto"/>
          <w:color w:val="0000FF"/>
        </w:rPr>
        <w:t>Fluence</w:t>
      </w:r>
      <w:r>
        <w:rPr>
          <w:rFonts w:ascii="Arial" w:cs="Arial" w:eastAsia="Arial" w:hAnsi="Arial"/>
          <w:sz w:val="20"/>
          <w:szCs w:val="20"/>
          <w:color w:val="0000FF"/>
        </w:rPr>
        <w:t xml:space="preserve"> </w:t>
      </w:r>
      <w:r>
        <w:rPr>
          <w:rFonts w:ascii="Arial" w:cs="Arial" w:eastAsia="Arial" w:hAnsi="Arial"/>
          <w:sz w:val="20"/>
          <w:szCs w:val="20"/>
          <w:color w:val="000000"/>
        </w:rPr>
        <w:t>is a leading psychedelic therapy training company that provides comprehensive, evidence-based training to clinicians</w:t>
      </w:r>
      <w:r>
        <w:rPr>
          <w:rFonts w:ascii="Arial" w:cs="Arial" w:eastAsia="Arial" w:hAnsi="Arial"/>
          <w:sz w:val="20"/>
          <w:szCs w:val="20"/>
          <w:color w:val="0000FF"/>
        </w:rPr>
        <w:t xml:space="preserve"> </w:t>
      </w:r>
      <w:r>
        <w:rPr>
          <w:rFonts w:ascii="Arial" w:cs="Arial" w:eastAsia="Arial" w:hAnsi="Arial"/>
          <w:sz w:val="20"/>
          <w:szCs w:val="20"/>
          <w:color w:val="000000"/>
        </w:rPr>
        <w:t>and other professionals who want to provide psychedelic therapy. Fluence’s training programs are designed to prepare clinicians to safely and effectively administer psychedelic-assisted therapies, and to provide them with the skills and knowledge they need to integrate these therapies into their practice.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93"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anticipated results and potential progression to multi-site and multinational Phase 3 trial of CYB003; timing of upcoming pivotal studies of the CYB003 program; and the Company’s plans to engineer proprietary drug discovery platforms, innovative drug delivery systems, novel formulation approaches and treatment regimens for mental health conditions.</w:t>
      </w:r>
    </w:p>
    <w:p>
      <w:pPr>
        <w:spacing w:after="0" w:line="217"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w:t>
      </w:r>
    </w:p>
    <w:p>
      <w:pPr>
        <w:sectPr>
          <w:pgSz w:w="11900" w:h="16838" w:orient="portrait"/>
          <w:cols w:equalWidth="0" w:num="1">
            <w:col w:w="11240"/>
          </w:cols>
          <w:pgMar w:left="320" w:top="1421" w:right="339" w:bottom="1440" w:gutter="0" w:footer="0" w:header="0"/>
        </w:sectPr>
      </w:pPr>
    </w:p>
    <w:bookmarkStart w:id="5" w:name="page6"/>
    <w:bookmarkEnd w:id="5"/>
    <w:p>
      <w:pPr>
        <w:jc w:val="both"/>
        <w:spacing w:after="0" w:line="276" w:lineRule="auto"/>
        <w:rPr>
          <w:sz w:val="20"/>
          <w:szCs w:val="20"/>
          <w:color w:val="auto"/>
        </w:rPr>
      </w:pPr>
      <w:r>
        <w:rPr>
          <w:rFonts w:ascii="Arial" w:cs="Arial" w:eastAsia="Arial" w:hAnsi="Arial"/>
          <w:sz w:val="20"/>
          <w:szCs w:val="20"/>
          <w:color w:val="auto"/>
        </w:rPr>
        <w:t xml:space="preserve">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months ended June 30, 2023, and the Company’s annual information form for the year ended March 31, 2023, which are available under the Company's profile on SEDAR+ at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24" w:lineRule="exact"/>
        <w:rPr>
          <w:sz w:val="20"/>
          <w:szCs w:val="20"/>
          <w:color w:val="auto"/>
        </w:rPr>
      </w:pPr>
    </w:p>
    <w:p>
      <w:pPr>
        <w:jc w:val="both"/>
        <w:spacing w:after="0" w:line="295"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431"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Investor &amp; Media Contact:</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3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2023-09-27T16:11:25Z</dcterms:created>
  <dcterms:modified xsi:type="dcterms:W3CDTF">2023-09-27T16:11:25Z</dcterms:modified>
</cp:coreProperties>
</file>