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2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197485</wp:posOffset>
            </wp:positionH>
            <wp:positionV relativeFrom="page">
              <wp:posOffset>146685</wp:posOffset>
            </wp:positionV>
            <wp:extent cx="716978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785" cy="27940"/>
                    </a:xfrm>
                    <a:prstGeom prst="rect">
                      <a:avLst/>
                    </a:prstGeom>
                    <a:noFill/>
                  </pic:spPr>
                </pic:pic>
              </a:graphicData>
            </a:graphic>
          </wp:anchor>
        </w:drawing>
        <w:t>As filed with the Securities and Exchange Commission on December 19, 2025.</w:t>
      </w:r>
    </w:p>
    <w:p>
      <w:pPr>
        <w:spacing w:after="0" w:line="16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Registration No.</w:t>
      </w:r>
    </w:p>
    <w:p>
      <w:pPr>
        <w:spacing w:after="0" w:line="13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1000"/>
        <w:spacing w:after="0"/>
        <w:rPr>
          <w:sz w:val="20"/>
          <w:szCs w:val="20"/>
          <w:color w:val="auto"/>
        </w:rPr>
      </w:pPr>
      <w:r>
        <w:rPr>
          <w:rFonts w:ascii="Times New Roman" w:cs="Times New Roman" w:eastAsia="Times New Roman" w:hAnsi="Times New Roman"/>
          <w:sz w:val="19"/>
          <w:szCs w:val="19"/>
          <w:color w:val="auto"/>
        </w:rPr>
        <w:t>Washington, D.C. 20549</w:t>
      </w:r>
    </w:p>
    <w:p>
      <w:pPr>
        <w:spacing w:after="0" w:line="10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8"/>
          <w:szCs w:val="28"/>
          <w:b w:val="1"/>
          <w:bCs w:val="1"/>
          <w:color w:val="auto"/>
        </w:rPr>
        <w:t>FORM F-10</w:t>
      </w:r>
    </w:p>
    <w:p>
      <w:pPr>
        <w:spacing w:after="0" w:line="17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9"/>
          <w:szCs w:val="19"/>
          <w:b w:val="1"/>
          <w:bCs w:val="1"/>
          <w:color w:val="auto"/>
        </w:rPr>
        <w:t>REGISTRATION STATEMENT UNDER</w:t>
      </w:r>
    </w:p>
    <w:p>
      <w:pPr>
        <w:spacing w:after="0" w:line="18"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9"/>
          <w:szCs w:val="19"/>
          <w:b w:val="1"/>
          <w:bCs w:val="1"/>
          <w:color w:val="auto"/>
        </w:rPr>
        <w:t>THE SECURITIES ACT OF 1933</w:t>
      </w:r>
    </w:p>
    <w:p>
      <w:pPr>
        <w:spacing w:after="0" w:line="10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8"/>
          <w:szCs w:val="28"/>
          <w:b w:val="1"/>
          <w:bCs w:val="1"/>
          <w:u w:val="single" w:color="auto"/>
          <w:color w:val="auto"/>
        </w:rPr>
        <w:t>CYBIN INC.</w:t>
      </w:r>
    </w:p>
    <w:p>
      <w:pPr>
        <w:spacing w:after="0" w:line="37"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9"/>
          <w:szCs w:val="19"/>
          <w:i w:val="1"/>
          <w:iCs w:val="1"/>
          <w:color w:val="auto"/>
        </w:rPr>
        <w:t>(Exact name of Registrant as specified in its charter)</w:t>
      </w:r>
    </w:p>
    <w:p>
      <w:pPr>
        <w:spacing w:after="0" w:line="12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9"/>
          <w:szCs w:val="19"/>
          <w:b w:val="1"/>
          <w:bCs w:val="1"/>
          <w:u w:val="single" w:color="auto"/>
          <w:color w:val="auto"/>
        </w:rPr>
        <w:t>Ontario, Canada</w:t>
      </w:r>
    </w:p>
    <w:p>
      <w:pPr>
        <w:spacing w:after="0" w:line="18"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9"/>
          <w:szCs w:val="19"/>
          <w:color w:val="auto"/>
        </w:rPr>
        <w:t>(Province or other jurisdiction of incorporation or organization)</w:t>
      </w:r>
    </w:p>
    <w:p>
      <w:pPr>
        <w:spacing w:after="0" w:line="136"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9"/>
          <w:szCs w:val="19"/>
          <w:b w:val="1"/>
          <w:bCs w:val="1"/>
          <w:u w:val="single" w:color="auto"/>
          <w:color w:val="auto"/>
        </w:rPr>
        <w:t>2834</w:t>
      </w:r>
    </w:p>
    <w:p>
      <w:pPr>
        <w:spacing w:after="0" w:line="18"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9"/>
          <w:szCs w:val="19"/>
          <w:color w:val="auto"/>
        </w:rPr>
        <w:t>(Primary Standard Industrial Classification Code Number, if applicable)</w:t>
      </w:r>
    </w:p>
    <w:p>
      <w:pPr>
        <w:spacing w:after="0" w:line="124"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9"/>
          <w:szCs w:val="19"/>
          <w:b w:val="1"/>
          <w:bCs w:val="1"/>
          <w:u w:val="single" w:color="auto"/>
          <w:color w:val="auto"/>
        </w:rPr>
        <w:t>N/A</w:t>
      </w:r>
    </w:p>
    <w:p>
      <w:pPr>
        <w:spacing w:after="0" w:line="18"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9"/>
          <w:szCs w:val="19"/>
          <w:color w:val="auto"/>
        </w:rPr>
        <w:t>(I.R.S. Employer Identification No., if applicable)</w:t>
      </w:r>
    </w:p>
    <w:p>
      <w:pPr>
        <w:spacing w:after="0" w:line="124"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9"/>
          <w:szCs w:val="19"/>
          <w:b w:val="1"/>
          <w:bCs w:val="1"/>
          <w:color w:val="auto"/>
        </w:rPr>
        <w:t>100 King Street West, Suite 5600</w:t>
      </w:r>
    </w:p>
    <w:p>
      <w:pPr>
        <w:spacing w:after="0" w:line="1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9"/>
          <w:szCs w:val="19"/>
          <w:b w:val="1"/>
          <w:bCs w:val="1"/>
          <w:color w:val="auto"/>
        </w:rPr>
        <w:t>Toronto, Ontario, Canada M5X 1C9</w:t>
      </w:r>
    </w:p>
    <w:p>
      <w:pPr>
        <w:jc w:val="center"/>
        <w:ind w:right="1000"/>
        <w:spacing w:after="0" w:line="233" w:lineRule="auto"/>
        <w:rPr>
          <w:sz w:val="20"/>
          <w:szCs w:val="20"/>
          <w:color w:val="auto"/>
        </w:rPr>
      </w:pPr>
      <w:r>
        <w:rPr>
          <w:rFonts w:ascii="Times New Roman" w:cs="Times New Roman" w:eastAsia="Times New Roman" w:hAnsi="Times New Roman"/>
          <w:sz w:val="19"/>
          <w:szCs w:val="19"/>
          <w:b w:val="1"/>
          <w:bCs w:val="1"/>
          <w:u w:val="single" w:color="auto"/>
          <w:color w:val="auto"/>
        </w:rPr>
        <w:t>(908) 764-8385</w:t>
      </w:r>
    </w:p>
    <w:p>
      <w:pPr>
        <w:spacing w:after="0" w:line="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9"/>
          <w:szCs w:val="19"/>
          <w:i w:val="1"/>
          <w:iCs w:val="1"/>
          <w:color w:val="auto"/>
        </w:rPr>
        <w:t>(Address and telephone number of Registrant's principal executive offices)</w:t>
      </w:r>
    </w:p>
    <w:p>
      <w:pPr>
        <w:spacing w:after="0" w:line="136"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9"/>
          <w:szCs w:val="19"/>
          <w:b w:val="1"/>
          <w:bCs w:val="1"/>
          <w:color w:val="auto"/>
        </w:rPr>
        <w:t>C T Corporation System</w:t>
      </w:r>
    </w:p>
    <w:p>
      <w:pPr>
        <w:ind w:left="3320"/>
        <w:spacing w:after="0" w:line="187" w:lineRule="auto"/>
        <w:rPr>
          <w:sz w:val="20"/>
          <w:szCs w:val="20"/>
          <w:color w:val="auto"/>
        </w:rPr>
      </w:pPr>
      <w:r>
        <w:rPr>
          <w:rFonts w:ascii="Times New Roman" w:cs="Times New Roman" w:eastAsia="Times New Roman" w:hAnsi="Times New Roman"/>
          <w:sz w:val="19"/>
          <w:szCs w:val="19"/>
          <w:b w:val="1"/>
          <w:bCs w:val="1"/>
          <w:color w:val="auto"/>
        </w:rPr>
        <w:t>1015 15</w:t>
      </w:r>
      <w:r>
        <w:rPr>
          <w:rFonts w:ascii="Times New Roman" w:cs="Times New Roman" w:eastAsia="Times New Roman" w:hAnsi="Times New Roman"/>
          <w:sz w:val="31"/>
          <w:szCs w:val="31"/>
          <w:b w:val="1"/>
          <w:bCs w:val="1"/>
          <w:color w:val="auto"/>
          <w:vertAlign w:val="superscript"/>
        </w:rPr>
        <w:t>th</w:t>
      </w:r>
      <w:r>
        <w:rPr>
          <w:rFonts w:ascii="Times New Roman" w:cs="Times New Roman" w:eastAsia="Times New Roman" w:hAnsi="Times New Roman"/>
          <w:sz w:val="19"/>
          <w:szCs w:val="19"/>
          <w:b w:val="1"/>
          <w:bCs w:val="1"/>
          <w:color w:val="auto"/>
        </w:rPr>
        <w:t xml:space="preserve"> Street N.W., Suite 1000</w:t>
      </w:r>
    </w:p>
    <w:p>
      <w:pPr>
        <w:jc w:val="center"/>
        <w:ind w:right="1000"/>
        <w:spacing w:after="0" w:line="234" w:lineRule="auto"/>
        <w:rPr>
          <w:sz w:val="20"/>
          <w:szCs w:val="20"/>
          <w:color w:val="auto"/>
        </w:rPr>
      </w:pPr>
      <w:r>
        <w:rPr>
          <w:rFonts w:ascii="Times New Roman" w:cs="Times New Roman" w:eastAsia="Times New Roman" w:hAnsi="Times New Roman"/>
          <w:sz w:val="19"/>
          <w:szCs w:val="19"/>
          <w:b w:val="1"/>
          <w:bCs w:val="1"/>
          <w:color w:val="auto"/>
        </w:rPr>
        <w:t>Washington, DC 20005</w:t>
      </w:r>
    </w:p>
    <w:p>
      <w:pPr>
        <w:jc w:val="center"/>
        <w:ind w:right="1000"/>
        <w:spacing w:after="0" w:line="234" w:lineRule="auto"/>
        <w:rPr>
          <w:sz w:val="20"/>
          <w:szCs w:val="20"/>
          <w:color w:val="auto"/>
        </w:rPr>
      </w:pPr>
      <w:r>
        <w:rPr>
          <w:rFonts w:ascii="Times New Roman" w:cs="Times New Roman" w:eastAsia="Times New Roman" w:hAnsi="Times New Roman"/>
          <w:sz w:val="19"/>
          <w:szCs w:val="19"/>
          <w:b w:val="1"/>
          <w:bCs w:val="1"/>
          <w:u w:val="single" w:color="auto"/>
          <w:color w:val="auto"/>
        </w:rPr>
        <w:t>(202) 572-3133</w:t>
      </w:r>
    </w:p>
    <w:p>
      <w:pPr>
        <w:spacing w:after="0" w:line="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i w:val="1"/>
          <w:iCs w:val="1"/>
          <w:color w:val="auto"/>
        </w:rPr>
        <w:t>(Name, address (including zip code) and telephone number (including area code) of agent for service in the United States)</w:t>
      </w:r>
    </w:p>
    <w:p>
      <w:pPr>
        <w:spacing w:after="0" w:line="136" w:lineRule="exact"/>
        <w:rPr>
          <w:sz w:val="24"/>
          <w:szCs w:val="24"/>
          <w:color w:val="auto"/>
        </w:rPr>
      </w:pPr>
    </w:p>
    <w:tbl>
      <w:tblPr>
        <w:tblLayout w:type="fixed"/>
        <w:tblInd w:w="740" w:type="dxa"/>
        <w:tblCellMar>
          <w:top w:w="0" w:type="dxa"/>
          <w:left w:w="0" w:type="dxa"/>
          <w:bottom w:w="0" w:type="dxa"/>
          <w:right w:w="0" w:type="dxa"/>
        </w:tblCellMar>
      </w:tblPr>
      <w:tr>
        <w:trPr>
          <w:trHeight w:val="249"/>
        </w:trPr>
        <w:tc>
          <w:tcPr>
            <w:tcW w:w="2840" w:type="dxa"/>
            <w:vAlign w:val="bottom"/>
          </w:tcPr>
          <w:p>
            <w:pPr>
              <w:spacing w:after="0"/>
              <w:rPr>
                <w:sz w:val="21"/>
                <w:szCs w:val="21"/>
                <w:color w:val="auto"/>
              </w:rPr>
            </w:pPr>
          </w:p>
        </w:tc>
        <w:tc>
          <w:tcPr>
            <w:tcW w:w="5100" w:type="dxa"/>
            <w:vAlign w:val="bottom"/>
          </w:tcPr>
          <w:p>
            <w:pPr>
              <w:ind w:left="660"/>
              <w:spacing w:after="0"/>
              <w:rPr>
                <w:sz w:val="20"/>
                <w:szCs w:val="20"/>
                <w:color w:val="auto"/>
              </w:rPr>
            </w:pPr>
            <w:r>
              <w:rPr>
                <w:rFonts w:ascii="Times New Roman" w:cs="Times New Roman" w:eastAsia="Times New Roman" w:hAnsi="Times New Roman"/>
                <w:sz w:val="19"/>
                <w:szCs w:val="19"/>
                <w:b w:val="1"/>
                <w:bCs w:val="1"/>
                <w:color w:val="auto"/>
              </w:rPr>
              <w:t>Copies to:</w:t>
            </w:r>
          </w:p>
        </w:tc>
      </w:tr>
      <w:tr>
        <w:trPr>
          <w:trHeight w:val="316"/>
        </w:trPr>
        <w:tc>
          <w:tcPr>
            <w:tcW w:w="2840" w:type="dxa"/>
            <w:vAlign w:val="bottom"/>
          </w:tcPr>
          <w:p>
            <w:pPr>
              <w:jc w:val="center"/>
              <w:ind w:right="581"/>
              <w:spacing w:after="0"/>
              <w:rPr>
                <w:sz w:val="20"/>
                <w:szCs w:val="20"/>
                <w:color w:val="auto"/>
              </w:rPr>
            </w:pPr>
            <w:r>
              <w:rPr>
                <w:rFonts w:ascii="Times New Roman" w:cs="Times New Roman" w:eastAsia="Times New Roman" w:hAnsi="Times New Roman"/>
                <w:sz w:val="16"/>
                <w:szCs w:val="16"/>
                <w:b w:val="1"/>
                <w:bCs w:val="1"/>
                <w:color w:val="auto"/>
                <w:w w:val="99"/>
              </w:rPr>
              <w:t>Greg Cavers</w:t>
            </w:r>
          </w:p>
        </w:tc>
        <w:tc>
          <w:tcPr>
            <w:tcW w:w="5100" w:type="dxa"/>
            <w:vAlign w:val="bottom"/>
          </w:tcPr>
          <w:p>
            <w:pPr>
              <w:jc w:val="center"/>
              <w:ind w:left="2579"/>
              <w:spacing w:after="0"/>
              <w:rPr>
                <w:sz w:val="20"/>
                <w:szCs w:val="20"/>
                <w:color w:val="auto"/>
              </w:rPr>
            </w:pPr>
            <w:r>
              <w:rPr>
                <w:rFonts w:ascii="Times New Roman" w:cs="Times New Roman" w:eastAsia="Times New Roman" w:hAnsi="Times New Roman"/>
                <w:sz w:val="16"/>
                <w:szCs w:val="16"/>
                <w:b w:val="1"/>
                <w:bCs w:val="1"/>
                <w:color w:val="auto"/>
                <w:w w:val="97"/>
              </w:rPr>
              <w:t>Richard Raymer</w:t>
            </w:r>
          </w:p>
        </w:tc>
      </w:tr>
      <w:tr>
        <w:trPr>
          <w:trHeight w:val="189"/>
        </w:trPr>
        <w:tc>
          <w:tcPr>
            <w:tcW w:w="2840" w:type="dxa"/>
            <w:vAlign w:val="bottom"/>
          </w:tcPr>
          <w:p>
            <w:pPr>
              <w:jc w:val="center"/>
              <w:ind w:right="581"/>
              <w:spacing w:after="0"/>
              <w:rPr>
                <w:sz w:val="20"/>
                <w:szCs w:val="20"/>
                <w:color w:val="auto"/>
              </w:rPr>
            </w:pPr>
            <w:r>
              <w:rPr>
                <w:rFonts w:ascii="Times New Roman" w:cs="Times New Roman" w:eastAsia="Times New Roman" w:hAnsi="Times New Roman"/>
                <w:sz w:val="16"/>
                <w:szCs w:val="16"/>
                <w:b w:val="1"/>
                <w:bCs w:val="1"/>
                <w:color w:val="auto"/>
                <w:w w:val="97"/>
              </w:rPr>
              <w:t>Cybin, Inc.</w:t>
            </w:r>
          </w:p>
        </w:tc>
        <w:tc>
          <w:tcPr>
            <w:tcW w:w="5100" w:type="dxa"/>
            <w:vAlign w:val="bottom"/>
          </w:tcPr>
          <w:p>
            <w:pPr>
              <w:jc w:val="center"/>
              <w:ind w:left="2579"/>
              <w:spacing w:after="0"/>
              <w:rPr>
                <w:sz w:val="20"/>
                <w:szCs w:val="20"/>
                <w:color w:val="auto"/>
              </w:rPr>
            </w:pPr>
            <w:r>
              <w:rPr>
                <w:rFonts w:ascii="Times New Roman" w:cs="Times New Roman" w:eastAsia="Times New Roman" w:hAnsi="Times New Roman"/>
                <w:sz w:val="16"/>
                <w:szCs w:val="16"/>
                <w:b w:val="1"/>
                <w:bCs w:val="1"/>
                <w:color w:val="auto"/>
                <w:w w:val="98"/>
              </w:rPr>
              <w:t>Nicholas Arruda</w:t>
            </w:r>
          </w:p>
        </w:tc>
      </w:tr>
      <w:tr>
        <w:trPr>
          <w:trHeight w:val="189"/>
        </w:trPr>
        <w:tc>
          <w:tcPr>
            <w:tcW w:w="2840" w:type="dxa"/>
            <w:vAlign w:val="bottom"/>
          </w:tcPr>
          <w:p>
            <w:pPr>
              <w:jc w:val="center"/>
              <w:ind w:right="581"/>
              <w:spacing w:after="0"/>
              <w:rPr>
                <w:sz w:val="20"/>
                <w:szCs w:val="20"/>
                <w:color w:val="auto"/>
              </w:rPr>
            </w:pPr>
            <w:r>
              <w:rPr>
                <w:rFonts w:ascii="Times New Roman" w:cs="Times New Roman" w:eastAsia="Times New Roman" w:hAnsi="Times New Roman"/>
                <w:sz w:val="16"/>
                <w:szCs w:val="16"/>
                <w:b w:val="1"/>
                <w:bCs w:val="1"/>
                <w:color w:val="auto"/>
                <w:w w:val="97"/>
              </w:rPr>
              <w:t>100 King Street West, Suite 5600</w:t>
            </w:r>
          </w:p>
        </w:tc>
        <w:tc>
          <w:tcPr>
            <w:tcW w:w="5100" w:type="dxa"/>
            <w:vAlign w:val="bottom"/>
          </w:tcPr>
          <w:p>
            <w:pPr>
              <w:jc w:val="center"/>
              <w:ind w:left="2579"/>
              <w:spacing w:after="0"/>
              <w:rPr>
                <w:sz w:val="20"/>
                <w:szCs w:val="20"/>
                <w:color w:val="auto"/>
              </w:rPr>
            </w:pPr>
            <w:r>
              <w:rPr>
                <w:rFonts w:ascii="Times New Roman" w:cs="Times New Roman" w:eastAsia="Times New Roman" w:hAnsi="Times New Roman"/>
                <w:sz w:val="16"/>
                <w:szCs w:val="16"/>
                <w:b w:val="1"/>
                <w:bCs w:val="1"/>
                <w:color w:val="auto"/>
                <w:w w:val="98"/>
              </w:rPr>
              <w:t>Dorsey &amp; Whitney LLP</w:t>
            </w:r>
          </w:p>
        </w:tc>
      </w:tr>
      <w:tr>
        <w:trPr>
          <w:trHeight w:val="189"/>
        </w:trPr>
        <w:tc>
          <w:tcPr>
            <w:tcW w:w="2840" w:type="dxa"/>
            <w:vAlign w:val="bottom"/>
          </w:tcPr>
          <w:p>
            <w:pPr>
              <w:jc w:val="center"/>
              <w:ind w:right="581"/>
              <w:spacing w:after="0"/>
              <w:rPr>
                <w:sz w:val="20"/>
                <w:szCs w:val="20"/>
                <w:color w:val="auto"/>
              </w:rPr>
            </w:pPr>
            <w:r>
              <w:rPr>
                <w:rFonts w:ascii="Times New Roman" w:cs="Times New Roman" w:eastAsia="Times New Roman" w:hAnsi="Times New Roman"/>
                <w:sz w:val="16"/>
                <w:szCs w:val="16"/>
                <w:b w:val="1"/>
                <w:bCs w:val="1"/>
                <w:color w:val="auto"/>
                <w:w w:val="96"/>
              </w:rPr>
              <w:t>Toronto, Ontario, Canada</w:t>
            </w:r>
          </w:p>
        </w:tc>
        <w:tc>
          <w:tcPr>
            <w:tcW w:w="5100" w:type="dxa"/>
            <w:vAlign w:val="bottom"/>
          </w:tcPr>
          <w:p>
            <w:pPr>
              <w:jc w:val="center"/>
              <w:ind w:left="2559"/>
              <w:spacing w:after="0"/>
              <w:rPr>
                <w:sz w:val="20"/>
                <w:szCs w:val="20"/>
                <w:color w:val="auto"/>
              </w:rPr>
            </w:pPr>
            <w:r>
              <w:rPr>
                <w:rFonts w:ascii="Times New Roman" w:cs="Times New Roman" w:eastAsia="Times New Roman" w:hAnsi="Times New Roman"/>
                <w:sz w:val="16"/>
                <w:szCs w:val="16"/>
                <w:b w:val="1"/>
                <w:bCs w:val="1"/>
                <w:color w:val="auto"/>
                <w:w w:val="97"/>
              </w:rPr>
              <w:t>66 Wellington St West, Suite 3400</w:t>
            </w:r>
          </w:p>
        </w:tc>
      </w:tr>
      <w:tr>
        <w:trPr>
          <w:trHeight w:val="189"/>
        </w:trPr>
        <w:tc>
          <w:tcPr>
            <w:tcW w:w="2840" w:type="dxa"/>
            <w:vAlign w:val="bottom"/>
          </w:tcPr>
          <w:p>
            <w:pPr>
              <w:jc w:val="center"/>
              <w:ind w:right="581"/>
              <w:spacing w:after="0"/>
              <w:rPr>
                <w:sz w:val="20"/>
                <w:szCs w:val="20"/>
                <w:color w:val="auto"/>
              </w:rPr>
            </w:pPr>
            <w:r>
              <w:rPr>
                <w:rFonts w:ascii="Times New Roman" w:cs="Times New Roman" w:eastAsia="Times New Roman" w:hAnsi="Times New Roman"/>
                <w:sz w:val="16"/>
                <w:szCs w:val="16"/>
                <w:b w:val="1"/>
                <w:bCs w:val="1"/>
                <w:color w:val="auto"/>
                <w:w w:val="99"/>
              </w:rPr>
              <w:t>M5X 1C9</w:t>
            </w:r>
          </w:p>
        </w:tc>
        <w:tc>
          <w:tcPr>
            <w:tcW w:w="5100" w:type="dxa"/>
            <w:vAlign w:val="bottom"/>
          </w:tcPr>
          <w:p>
            <w:pPr>
              <w:jc w:val="center"/>
              <w:ind w:left="2579"/>
              <w:spacing w:after="0"/>
              <w:rPr>
                <w:sz w:val="20"/>
                <w:szCs w:val="20"/>
                <w:color w:val="auto"/>
              </w:rPr>
            </w:pPr>
            <w:r>
              <w:rPr>
                <w:rFonts w:ascii="Times New Roman" w:cs="Times New Roman" w:eastAsia="Times New Roman" w:hAnsi="Times New Roman"/>
                <w:sz w:val="16"/>
                <w:szCs w:val="16"/>
                <w:b w:val="1"/>
                <w:bCs w:val="1"/>
                <w:color w:val="auto"/>
                <w:w w:val="97"/>
              </w:rPr>
              <w:t>Toronto, Ontario, Canada M5K 1E6</w:t>
            </w:r>
          </w:p>
        </w:tc>
      </w:tr>
      <w:tr>
        <w:trPr>
          <w:trHeight w:val="208"/>
        </w:trPr>
        <w:tc>
          <w:tcPr>
            <w:tcW w:w="2840" w:type="dxa"/>
            <w:vAlign w:val="bottom"/>
          </w:tcPr>
          <w:p>
            <w:pPr>
              <w:jc w:val="right"/>
              <w:ind w:right="1181"/>
              <w:spacing w:after="0"/>
              <w:rPr>
                <w:sz w:val="20"/>
                <w:szCs w:val="20"/>
                <w:color w:val="auto"/>
              </w:rPr>
            </w:pPr>
            <w:r>
              <w:rPr>
                <w:rFonts w:ascii="Times New Roman" w:cs="Times New Roman" w:eastAsia="Times New Roman" w:hAnsi="Times New Roman"/>
                <w:sz w:val="16"/>
                <w:szCs w:val="16"/>
                <w:b w:val="1"/>
                <w:bCs w:val="1"/>
                <w:color w:val="auto"/>
              </w:rPr>
              <w:t>(866) 292-4601</w:t>
            </w:r>
          </w:p>
        </w:tc>
        <w:tc>
          <w:tcPr>
            <w:tcW w:w="5100" w:type="dxa"/>
            <w:vAlign w:val="bottom"/>
          </w:tcPr>
          <w:p>
            <w:pPr>
              <w:jc w:val="center"/>
              <w:ind w:left="2579"/>
              <w:spacing w:after="0"/>
              <w:rPr>
                <w:sz w:val="20"/>
                <w:szCs w:val="20"/>
                <w:color w:val="auto"/>
              </w:rPr>
            </w:pPr>
            <w:r>
              <w:rPr>
                <w:rFonts w:ascii="Times New Roman" w:cs="Times New Roman" w:eastAsia="Times New Roman" w:hAnsi="Times New Roman"/>
                <w:sz w:val="16"/>
                <w:szCs w:val="16"/>
                <w:b w:val="1"/>
                <w:bCs w:val="1"/>
                <w:color w:val="auto"/>
                <w:w w:val="99"/>
              </w:rPr>
              <w:t>(416) 367-7388</w:t>
            </w:r>
          </w:p>
        </w:tc>
      </w:tr>
    </w:tbl>
    <w:p>
      <w:pPr>
        <w:spacing w:after="0" w:line="13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9"/>
          <w:szCs w:val="19"/>
          <w:b w:val="1"/>
          <w:bCs w:val="1"/>
          <w:color w:val="auto"/>
        </w:rPr>
        <w:t>Approximate date of commencement of proposed sale of the securities to the public:</w:t>
      </w:r>
    </w:p>
    <w:p>
      <w:pPr>
        <w:spacing w:after="0" w:line="18"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9"/>
          <w:szCs w:val="19"/>
          <w:color w:val="auto"/>
        </w:rPr>
        <w:t>From time to time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93345</wp:posOffset>
            </wp:positionV>
            <wp:extent cx="716978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0280"/>
          </w:cols>
          <w:pgMar w:left="1300" w:top="396" w:right="319" w:bottom="1440" w:gutter="0" w:footer="0" w:header="0"/>
        </w:sectPr>
      </w:pPr>
    </w:p>
    <w:bookmarkStart w:id="1" w:name="page2"/>
    <w:bookmarkEnd w:id="1"/>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Province of Ontario, Canada</w:t>
      </w:r>
    </w:p>
    <w:p>
      <w:pPr>
        <w:spacing w:after="0" w:line="1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i w:val="1"/>
          <w:iCs w:val="1"/>
          <w:color w:val="auto"/>
        </w:rPr>
        <w:t>(Principal jurisdiction regulating this offering)</w:t>
      </w:r>
    </w:p>
    <w:p>
      <w:pPr>
        <w:spacing w:after="0" w:line="128"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9"/>
          <w:szCs w:val="19"/>
          <w:color w:val="auto"/>
        </w:rPr>
        <w:t>It is proposed that this filing shall become effective (check appropriate box below):</w:t>
      </w:r>
    </w:p>
    <w:p>
      <w:pPr>
        <w:spacing w:after="0" w:line="133" w:lineRule="exact"/>
        <w:rPr>
          <w:sz w:val="20"/>
          <w:szCs w:val="20"/>
          <w:color w:val="auto"/>
        </w:rPr>
      </w:pPr>
    </w:p>
    <w:p>
      <w:pPr>
        <w:ind w:left="565" w:hanging="565"/>
        <w:spacing w:after="0" w:line="184" w:lineRule="exact"/>
        <w:tabs>
          <w:tab w:leader="none" w:pos="565" w:val="left"/>
        </w:tabs>
        <w:numPr>
          <w:ilvl w:val="0"/>
          <w:numId w:val="1"/>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upon filing with the Commission pursuant to Rule 467(a) (if in connection with an offering being made contemporaneously in the United States and Canada).</w:t>
      </w:r>
    </w:p>
    <w:p>
      <w:pPr>
        <w:spacing w:after="0" w:line="57" w:lineRule="exact"/>
        <w:rPr>
          <w:rFonts w:ascii="Times New Roman" w:cs="Times New Roman" w:eastAsia="Times New Roman" w:hAnsi="Times New Roman"/>
          <w:sz w:val="16"/>
          <w:szCs w:val="16"/>
          <w:color w:val="auto"/>
        </w:rPr>
      </w:pPr>
    </w:p>
    <w:p>
      <w:pPr>
        <w:ind w:left="565" w:hanging="565"/>
        <w:spacing w:after="0" w:line="184" w:lineRule="exact"/>
        <w:tabs>
          <w:tab w:leader="none" w:pos="565" w:val="left"/>
        </w:tabs>
        <w:numPr>
          <w:ilvl w:val="0"/>
          <w:numId w:val="1"/>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at some future date (check the appropriate box below):</w:t>
      </w:r>
    </w:p>
    <w:tbl>
      <w:tblPr>
        <w:tblLayout w:type="fixed"/>
        <w:tblInd w:w="565" w:type="dxa"/>
        <w:tblCellMar>
          <w:top w:w="0" w:type="dxa"/>
          <w:left w:w="0" w:type="dxa"/>
          <w:bottom w:w="0" w:type="dxa"/>
          <w:right w:w="0" w:type="dxa"/>
        </w:tblCellMar>
      </w:tblPr>
      <w:tr>
        <w:trPr>
          <w:trHeight w:val="146"/>
        </w:trPr>
        <w:tc>
          <w:tcPr>
            <w:tcW w:w="320" w:type="dxa"/>
            <w:vAlign w:val="bottom"/>
          </w:tcPr>
          <w:p>
            <w:pPr>
              <w:jc w:val="right"/>
              <w:ind w:right="147"/>
              <w:spacing w:after="0" w:line="146" w:lineRule="exact"/>
              <w:rPr>
                <w:sz w:val="20"/>
                <w:szCs w:val="20"/>
                <w:color w:val="auto"/>
              </w:rPr>
            </w:pPr>
            <w:r>
              <w:rPr>
                <w:rFonts w:ascii="Times New Roman" w:cs="Times New Roman" w:eastAsia="Times New Roman" w:hAnsi="Times New Roman"/>
                <w:sz w:val="15"/>
                <w:szCs w:val="15"/>
                <w:color w:val="auto"/>
                <w:w w:val="70"/>
              </w:rPr>
              <w:t>1.</w:t>
            </w:r>
          </w:p>
        </w:tc>
        <w:tc>
          <w:tcPr>
            <w:tcW w:w="580" w:type="dxa"/>
            <w:vAlign w:val="bottom"/>
          </w:tcPr>
          <w:p>
            <w:pPr>
              <w:ind w:left="220"/>
              <w:spacing w:after="0" w:line="146" w:lineRule="exact"/>
              <w:rPr>
                <w:sz w:val="20"/>
                <w:szCs w:val="20"/>
                <w:color w:val="auto"/>
              </w:rPr>
            </w:pPr>
            <w:r>
              <w:rPr>
                <w:rFonts w:ascii="MS PGothic" w:cs="MS PGothic" w:eastAsia="MS PGothic" w:hAnsi="MS PGothic"/>
                <w:sz w:val="16"/>
                <w:szCs w:val="16"/>
                <w:color w:val="auto"/>
              </w:rPr>
              <w:t>☐</w:t>
            </w:r>
          </w:p>
        </w:tc>
        <w:tc>
          <w:tcPr>
            <w:tcW w:w="2240" w:type="dxa"/>
            <w:vAlign w:val="bottom"/>
          </w:tcPr>
          <w:p>
            <w:pPr>
              <w:ind w:left="200"/>
              <w:spacing w:after="0" w:line="146" w:lineRule="exact"/>
              <w:rPr>
                <w:sz w:val="20"/>
                <w:szCs w:val="20"/>
                <w:color w:val="auto"/>
              </w:rPr>
            </w:pPr>
            <w:r>
              <w:rPr>
                <w:rFonts w:ascii="Times New Roman" w:cs="Times New Roman" w:eastAsia="Times New Roman" w:hAnsi="Times New Roman"/>
                <w:sz w:val="16"/>
                <w:szCs w:val="16"/>
                <w:color w:val="auto"/>
              </w:rPr>
              <w:t>pursuant to Rule 467(b) on (</w:t>
            </w:r>
          </w:p>
        </w:tc>
        <w:tc>
          <w:tcPr>
            <w:tcW w:w="780" w:type="dxa"/>
            <w:vAlign w:val="bottom"/>
          </w:tcPr>
          <w:p>
            <w:pPr>
              <w:ind w:left="220"/>
              <w:spacing w:after="0" w:line="146" w:lineRule="exact"/>
              <w:rPr>
                <w:sz w:val="20"/>
                <w:szCs w:val="20"/>
                <w:color w:val="auto"/>
              </w:rPr>
            </w:pPr>
            <w:r>
              <w:rPr>
                <w:rFonts w:ascii="Times New Roman" w:cs="Times New Roman" w:eastAsia="Times New Roman" w:hAnsi="Times New Roman"/>
                <w:sz w:val="16"/>
                <w:szCs w:val="16"/>
                <w:color w:val="auto"/>
              </w:rPr>
              <w:t>) at (</w:t>
            </w:r>
          </w:p>
        </w:tc>
        <w:tc>
          <w:tcPr>
            <w:tcW w:w="6760" w:type="dxa"/>
            <w:vAlign w:val="bottom"/>
            <w:gridSpan w:val="2"/>
          </w:tcPr>
          <w:p>
            <w:pPr>
              <w:jc w:val="right"/>
              <w:ind w:right="2461"/>
              <w:spacing w:after="0" w:line="146" w:lineRule="exact"/>
              <w:rPr>
                <w:sz w:val="20"/>
                <w:szCs w:val="20"/>
                <w:color w:val="auto"/>
              </w:rPr>
            </w:pPr>
            <w:r>
              <w:rPr>
                <w:rFonts w:ascii="Times New Roman" w:cs="Times New Roman" w:eastAsia="Times New Roman" w:hAnsi="Times New Roman"/>
                <w:sz w:val="16"/>
                <w:szCs w:val="16"/>
                <w:color w:val="auto"/>
              </w:rPr>
              <w:t>) (designate a time not sooner than 7 calendar days after filing).</w:t>
            </w:r>
          </w:p>
        </w:tc>
      </w:tr>
      <w:tr>
        <w:trPr>
          <w:trHeight w:val="220"/>
        </w:trPr>
        <w:tc>
          <w:tcPr>
            <w:tcW w:w="32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w w:val="70"/>
              </w:rPr>
              <w:t>2.</w:t>
            </w:r>
          </w:p>
        </w:tc>
        <w:tc>
          <w:tcPr>
            <w:tcW w:w="5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pursuant to Rule 467(b) on (</w:t>
            </w:r>
          </w:p>
        </w:tc>
        <w:tc>
          <w:tcPr>
            <w:tcW w:w="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 at (</w:t>
            </w: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(designate a time 7 calendar days or sooner after filing) because the securities regulatory authority in</w:t>
            </w:r>
          </w:p>
        </w:tc>
      </w:tr>
      <w:tr>
        <w:trPr>
          <w:trHeight w:val="201"/>
        </w:trPr>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14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the review jurisdiction has issued a receipt or notification of clearance on (</w:t>
            </w:r>
          </w:p>
        </w:tc>
        <w:tc>
          <w:tcPr>
            <w:tcW w:w="4640" w:type="dxa"/>
            <w:vAlign w:val="bottom"/>
          </w:tcPr>
          <w:p>
            <w:pPr>
              <w:jc w:val="right"/>
              <w:ind w:right="4221"/>
              <w:spacing w:after="0"/>
              <w:rPr>
                <w:sz w:val="20"/>
                <w:szCs w:val="20"/>
                <w:color w:val="auto"/>
              </w:rPr>
            </w:pPr>
            <w:r>
              <w:rPr>
                <w:rFonts w:ascii="Times New Roman" w:cs="Times New Roman" w:eastAsia="Times New Roman" w:hAnsi="Times New Roman"/>
                <w:sz w:val="16"/>
                <w:szCs w:val="16"/>
                <w:color w:val="auto"/>
              </w:rPr>
              <w:t>).</w:t>
            </w:r>
          </w:p>
        </w:tc>
      </w:tr>
    </w:tbl>
    <w:p>
      <w:pPr>
        <w:ind w:left="1665" w:right="20" w:hanging="1110"/>
        <w:spacing w:after="0" w:line="192" w:lineRule="exact"/>
        <w:tabs>
          <w:tab w:leader="none" w:pos="1109" w:val="left"/>
        </w:tabs>
        <w:numPr>
          <w:ilvl w:val="0"/>
          <w:numId w:val="2"/>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pursuant to Rule 467(b) as soon as practicable after notification of the Commission by the Registrant or the Canadian securities regulatory authority of the review jurisdiction that a receipt or notification of clearance has been issued with respect hereto.</w:t>
      </w:r>
    </w:p>
    <w:p>
      <w:pPr>
        <w:ind w:left="1105" w:hanging="550"/>
        <w:spacing w:after="0" w:line="184" w:lineRule="exact"/>
        <w:tabs>
          <w:tab w:leader="none" w:pos="1105" w:val="left"/>
        </w:tabs>
        <w:numPr>
          <w:ilvl w:val="0"/>
          <w:numId w:val="2"/>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after the filing of the next amendment to this Form (if preliminary material is being filed).</w:t>
      </w:r>
    </w:p>
    <w:p>
      <w:pPr>
        <w:spacing w:after="0" w:line="135" w:lineRule="exact"/>
        <w:rPr>
          <w:sz w:val="20"/>
          <w:szCs w:val="20"/>
          <w:color w:val="auto"/>
        </w:rPr>
      </w:pPr>
    </w:p>
    <w:p>
      <w:pPr>
        <w:jc w:val="both"/>
        <w:ind w:left="5" w:right="20" w:firstLine="577"/>
        <w:spacing w:after="0" w:line="250" w:lineRule="exact"/>
        <w:rPr>
          <w:sz w:val="20"/>
          <w:szCs w:val="20"/>
          <w:color w:val="auto"/>
        </w:rPr>
      </w:pPr>
      <w:r>
        <w:rPr>
          <w:rFonts w:ascii="Times New Roman" w:cs="Times New Roman" w:eastAsia="Times New Roman" w:hAnsi="Times New Roman"/>
          <w:sz w:val="19"/>
          <w:szCs w:val="19"/>
          <w:color w:val="auto"/>
        </w:rPr>
        <w:t xml:space="preserve">If any of the securities being registered on this Form are to be offered on a delayed or continuous basis pursuant to the home jurisdiction's shelf prospectus offering procedures, check the following box. </w:t>
      </w:r>
      <w:r>
        <w:rPr>
          <w:rFonts w:ascii="MS PGothic" w:cs="MS PGothic" w:eastAsia="MS PGothic" w:hAnsi="MS PGothic"/>
          <w:sz w:val="19"/>
          <w:szCs w:val="19"/>
          <w:color w:val="auto"/>
        </w:rPr>
        <w:t>☒</w:t>
      </w:r>
    </w:p>
    <w:p>
      <w:pPr>
        <w:spacing w:after="0" w:line="88" w:lineRule="exact"/>
        <w:rPr>
          <w:sz w:val="20"/>
          <w:szCs w:val="20"/>
          <w:color w:val="auto"/>
        </w:rPr>
      </w:pPr>
    </w:p>
    <w:p>
      <w:pPr>
        <w:jc w:val="both"/>
        <w:ind w:left="5"/>
        <w:spacing w:after="0" w:line="266" w:lineRule="auto"/>
        <w:rPr>
          <w:sz w:val="20"/>
          <w:szCs w:val="20"/>
          <w:color w:val="auto"/>
        </w:rPr>
      </w:pPr>
      <w:r>
        <w:rPr>
          <w:rFonts w:ascii="Times New Roman" w:cs="Times New Roman" w:eastAsia="Times New Roman" w:hAnsi="Times New Roman"/>
          <w:sz w:val="19"/>
          <w:szCs w:val="19"/>
          <w:b w:val="1"/>
          <w:bCs w:val="1"/>
          <w:color w:val="auto"/>
        </w:rPr>
        <w:t>Pursuant to Rule 429 under the Securities Act, the prospectus contained in this Registration Statement relates to Registration Statement 333-289139.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716978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pacing w:after="0" w:line="30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Amendment No. 1 dated December 19, 2025 to the Short Form Base Shelf Prospectus dated September 17, 2025</w:t>
      </w:r>
    </w:p>
    <w:p>
      <w:pPr>
        <w:spacing w:after="0" w:line="148" w:lineRule="exact"/>
        <w:rPr>
          <w:sz w:val="20"/>
          <w:szCs w:val="20"/>
          <w:color w:val="auto"/>
        </w:rPr>
      </w:pPr>
    </w:p>
    <w:p>
      <w:pPr>
        <w:jc w:val="both"/>
        <w:ind w:left="5"/>
        <w:spacing w:after="0"/>
        <w:rPr>
          <w:sz w:val="20"/>
          <w:szCs w:val="20"/>
          <w:color w:val="auto"/>
        </w:rPr>
      </w:pPr>
      <w:r>
        <w:rPr>
          <w:rFonts w:ascii="Times New Roman" w:cs="Times New Roman" w:eastAsia="Times New Roman" w:hAnsi="Times New Roman"/>
          <w:sz w:val="19"/>
          <w:szCs w:val="19"/>
          <w:i w:val="1"/>
          <w:iCs w:val="1"/>
          <w:color w:val="FF0000"/>
        </w:rPr>
        <w:t>This short form prospectus is a base shelf prospectus. This short form base shelf prospectus dated September 17, 2025, as amended by this amendment, has been filed under legislation in each of the provinces and the territories of Canada that permits certain information about these securities to be determined after the short form prospectus dated September 17, 2025, as amended by this amendment, has become final and that permits the omission from the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has been obtained.</w:t>
      </w:r>
    </w:p>
    <w:p>
      <w:pPr>
        <w:spacing w:after="0" w:line="130" w:lineRule="exact"/>
        <w:rPr>
          <w:sz w:val="20"/>
          <w:szCs w:val="20"/>
          <w:color w:val="auto"/>
        </w:rPr>
      </w:pPr>
    </w:p>
    <w:p>
      <w:pPr>
        <w:jc w:val="both"/>
        <w:ind w:left="5" w:right="20"/>
        <w:spacing w:after="0" w:line="251" w:lineRule="auto"/>
        <w:rPr>
          <w:sz w:val="20"/>
          <w:szCs w:val="20"/>
          <w:color w:val="auto"/>
        </w:rPr>
      </w:pPr>
      <w:r>
        <w:rPr>
          <w:rFonts w:ascii="Times New Roman" w:cs="Times New Roman" w:eastAsia="Times New Roman" w:hAnsi="Times New Roman"/>
          <w:sz w:val="19"/>
          <w:szCs w:val="19"/>
          <w:b w:val="1"/>
          <w:bCs w:val="1"/>
          <w:i w:val="1"/>
          <w:iCs w:val="1"/>
          <w:color w:val="auto"/>
        </w:rPr>
        <w:t>No securities regulatory authority has expressed an opinion about these securities and it is an offence to claim otherwise. The short form base shelf prospectus dated September 17, 2025, as amended by this amendment, constitutes a public offering of these securities only in those jurisdictions where they may be lawfully offered for sale and therein only by persons permitted to sell such securities.</w:t>
      </w:r>
    </w:p>
    <w:p>
      <w:pPr>
        <w:spacing w:after="0" w:line="109" w:lineRule="exact"/>
        <w:rPr>
          <w:sz w:val="20"/>
          <w:szCs w:val="20"/>
          <w:color w:val="auto"/>
        </w:rPr>
      </w:pPr>
    </w:p>
    <w:p>
      <w:pPr>
        <w:jc w:val="both"/>
        <w:ind w:left="5" w:right="20"/>
        <w:spacing w:after="0" w:line="242" w:lineRule="auto"/>
        <w:rPr>
          <w:sz w:val="20"/>
          <w:szCs w:val="20"/>
          <w:color w:val="auto"/>
        </w:rPr>
      </w:pPr>
      <w:r>
        <w:rPr>
          <w:rFonts w:ascii="Times New Roman" w:cs="Times New Roman" w:eastAsia="Times New Roman" w:hAnsi="Times New Roman"/>
          <w:sz w:val="19"/>
          <w:szCs w:val="19"/>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i w:val="1"/>
          <w:iCs w:val="1"/>
          <w:color w:val="auto"/>
        </w:rPr>
        <w:t>"). These securities may not be sold nor may offers to buy be accepted prior to the time the registration statement becomes effective. The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15" w:lineRule="exact"/>
        <w:rPr>
          <w:sz w:val="20"/>
          <w:szCs w:val="20"/>
          <w:color w:val="auto"/>
        </w:rPr>
      </w:pPr>
    </w:p>
    <w:p>
      <w:pPr>
        <w:jc w:val="both"/>
        <w:ind w:left="5"/>
        <w:spacing w:after="0" w:line="245"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19"/>
          <w:szCs w:val="19"/>
          <w:i w:val="1"/>
          <w:iCs w:val="1"/>
          <w:color w:val="auto"/>
        </w:rPr>
        <w:t>Copies of the documents incorporated herein by reference may be obtained on request without charge from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Secretary of Cybin Inc. at 100 King Street West, Suite 5600, Toronto, Ontario M5X 1C9, telephone 1-866-292-4601, and are also available electronically at www.sedarplus.ca.</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December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108585</wp:posOffset>
            </wp:positionV>
            <wp:extent cx="1351915" cy="788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191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105"/>
        <w:spacing w:after="0"/>
        <w:rPr>
          <w:sz w:val="20"/>
          <w:szCs w:val="20"/>
          <w:color w:val="auto"/>
        </w:rPr>
      </w:pPr>
      <w:r>
        <w:rPr>
          <w:rFonts w:ascii="Times New Roman" w:cs="Times New Roman" w:eastAsia="Times New Roman" w:hAnsi="Times New Roman"/>
          <w:sz w:val="19"/>
          <w:szCs w:val="19"/>
          <w:b w:val="1"/>
          <w:bCs w:val="1"/>
          <w:color w:val="auto"/>
        </w:rPr>
        <w:t>CYBIN INC.</w:t>
      </w:r>
    </w:p>
    <w:p>
      <w:pPr>
        <w:spacing w:after="0" w:line="160" w:lineRule="exact"/>
        <w:rPr>
          <w:sz w:val="20"/>
          <w:szCs w:val="20"/>
          <w:color w:val="auto"/>
        </w:rPr>
      </w:pPr>
    </w:p>
    <w:p>
      <w:pPr>
        <w:ind w:left="5045"/>
        <w:spacing w:after="0"/>
        <w:rPr>
          <w:sz w:val="20"/>
          <w:szCs w:val="20"/>
          <w:color w:val="auto"/>
        </w:rPr>
      </w:pPr>
      <w:r>
        <w:rPr>
          <w:rFonts w:ascii="Times New Roman" w:cs="Times New Roman" w:eastAsia="Times New Roman" w:hAnsi="Times New Roman"/>
          <w:sz w:val="19"/>
          <w:szCs w:val="19"/>
          <w:b w:val="1"/>
          <w:bCs w:val="1"/>
          <w:color w:val="auto"/>
        </w:rPr>
        <w:t>$1,700,000,000</w:t>
      </w:r>
    </w:p>
    <w:p>
      <w:pPr>
        <w:spacing w:after="0" w:line="1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Common Shares</w:t>
      </w:r>
    </w:p>
    <w:p>
      <w:pPr>
        <w:jc w:val="center"/>
        <w:ind w:right="-4"/>
        <w:spacing w:after="0" w:line="233" w:lineRule="auto"/>
        <w:rPr>
          <w:sz w:val="20"/>
          <w:szCs w:val="20"/>
          <w:color w:val="auto"/>
        </w:rPr>
      </w:pPr>
      <w:r>
        <w:rPr>
          <w:rFonts w:ascii="Times New Roman" w:cs="Times New Roman" w:eastAsia="Times New Roman" w:hAnsi="Times New Roman"/>
          <w:sz w:val="19"/>
          <w:szCs w:val="19"/>
          <w:b w:val="1"/>
          <w:bCs w:val="1"/>
          <w:color w:val="auto"/>
        </w:rPr>
        <w:t>Warrants</w:t>
      </w:r>
    </w:p>
    <w:p>
      <w:pPr>
        <w:jc w:val="center"/>
        <w:ind w:right="-4"/>
        <w:spacing w:after="0" w:line="234" w:lineRule="auto"/>
        <w:rPr>
          <w:sz w:val="20"/>
          <w:szCs w:val="20"/>
          <w:color w:val="auto"/>
        </w:rPr>
      </w:pPr>
      <w:r>
        <w:rPr>
          <w:rFonts w:ascii="Times New Roman" w:cs="Times New Roman" w:eastAsia="Times New Roman" w:hAnsi="Times New Roman"/>
          <w:sz w:val="19"/>
          <w:szCs w:val="19"/>
          <w:b w:val="1"/>
          <w:bCs w:val="1"/>
          <w:color w:val="auto"/>
        </w:rPr>
        <w:t>Units</w:t>
      </w:r>
    </w:p>
    <w:p>
      <w:pPr>
        <w:jc w:val="center"/>
        <w:ind w:right="-4"/>
        <w:spacing w:after="0" w:line="234" w:lineRule="auto"/>
        <w:rPr>
          <w:sz w:val="20"/>
          <w:szCs w:val="20"/>
          <w:color w:val="auto"/>
        </w:rPr>
      </w:pPr>
      <w:r>
        <w:rPr>
          <w:rFonts w:ascii="Times New Roman" w:cs="Times New Roman" w:eastAsia="Times New Roman" w:hAnsi="Times New Roman"/>
          <w:sz w:val="19"/>
          <w:szCs w:val="19"/>
          <w:b w:val="1"/>
          <w:bCs w:val="1"/>
          <w:color w:val="auto"/>
        </w:rPr>
        <w:t>Debt Securities</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Subscription Receipts</w:t>
      </w:r>
    </w:p>
    <w:p>
      <w:pPr>
        <w:spacing w:after="0" w:line="124" w:lineRule="exact"/>
        <w:rPr>
          <w:sz w:val="20"/>
          <w:szCs w:val="20"/>
          <w:color w:val="auto"/>
        </w:rPr>
      </w:pPr>
    </w:p>
    <w:p>
      <w:pPr>
        <w:jc w:val="both"/>
        <w:ind w:left="5"/>
        <w:spacing w:after="0" w:line="244" w:lineRule="auto"/>
        <w:rPr>
          <w:sz w:val="20"/>
          <w:szCs w:val="20"/>
          <w:color w:val="auto"/>
        </w:rPr>
      </w:pPr>
      <w:r>
        <w:rPr>
          <w:rFonts w:ascii="Times New Roman" w:cs="Times New Roman" w:eastAsia="Times New Roman" w:hAnsi="Times New Roman"/>
          <w:sz w:val="19"/>
          <w:szCs w:val="19"/>
          <w:color w:val="auto"/>
        </w:rPr>
        <w:t>The short form base shelf prospectus dated September 17, 2025 (the "</w:t>
      </w:r>
      <w:r>
        <w:rPr>
          <w:rFonts w:ascii="Times New Roman" w:cs="Times New Roman" w:eastAsia="Times New Roman" w:hAnsi="Times New Roman"/>
          <w:sz w:val="19"/>
          <w:szCs w:val="19"/>
          <w:b w:val="1"/>
          <w:bCs w:val="1"/>
          <w:color w:val="auto"/>
        </w:rPr>
        <w:t>Prospectus</w:t>
      </w:r>
      <w:r>
        <w:rPr>
          <w:rFonts w:ascii="Times New Roman" w:cs="Times New Roman" w:eastAsia="Times New Roman" w:hAnsi="Times New Roman"/>
          <w:sz w:val="19"/>
          <w:szCs w:val="19"/>
          <w:color w:val="auto"/>
        </w:rPr>
        <w:t>") of Cybin Inc. (the "</w:t>
      </w:r>
      <w:r>
        <w:rPr>
          <w:rFonts w:ascii="Times New Roman" w:cs="Times New Roman" w:eastAsia="Times New Roman" w:hAnsi="Times New Roman"/>
          <w:sz w:val="19"/>
          <w:szCs w:val="19"/>
          <w:b w:val="1"/>
          <w:bCs w:val="1"/>
          <w:color w:val="auto"/>
        </w:rPr>
        <w:t>Corporation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Cybin</w:t>
      </w:r>
      <w:r>
        <w:rPr>
          <w:rFonts w:ascii="Times New Roman" w:cs="Times New Roman" w:eastAsia="Times New Roman" w:hAnsi="Times New Roman"/>
          <w:sz w:val="19"/>
          <w:szCs w:val="19"/>
          <w:color w:val="auto"/>
        </w:rPr>
        <w:t>") is hereby amended by this Amendment No. 1 to increase the aggregate amount of Securities that may be offered from time to time under the Prospectus from $800,000,000 to $1,700,000,000. Capitalized terms used but not otherwise defined in this Amendment No. 1 have the meanings ascribed thereto in the Prospectus.</w:t>
      </w:r>
    </w:p>
    <w:p>
      <w:pPr>
        <w:spacing w:after="0" w:line="121" w:lineRule="exact"/>
        <w:rPr>
          <w:sz w:val="20"/>
          <w:szCs w:val="20"/>
          <w:color w:val="auto"/>
        </w:rPr>
      </w:pPr>
    </w:p>
    <w:p>
      <w:pPr>
        <w:ind w:left="4345"/>
        <w:spacing w:after="0"/>
        <w:rPr>
          <w:sz w:val="20"/>
          <w:szCs w:val="20"/>
          <w:color w:val="auto"/>
        </w:rPr>
      </w:pPr>
      <w:r>
        <w:rPr>
          <w:rFonts w:ascii="Times New Roman" w:cs="Times New Roman" w:eastAsia="Times New Roman" w:hAnsi="Times New Roman"/>
          <w:sz w:val="19"/>
          <w:szCs w:val="19"/>
          <w:color w:val="auto"/>
        </w:rPr>
        <w:t>___________________________</w:t>
      </w:r>
    </w:p>
    <w:p>
      <w:pPr>
        <w:spacing w:after="0" w:line="156" w:lineRule="exact"/>
        <w:rPr>
          <w:sz w:val="20"/>
          <w:szCs w:val="20"/>
          <w:color w:val="auto"/>
        </w:rPr>
      </w:pPr>
    </w:p>
    <w:p>
      <w:pPr>
        <w:jc w:val="both"/>
        <w:ind w:left="5"/>
        <w:spacing w:after="0" w:line="239" w:lineRule="auto"/>
        <w:rPr>
          <w:sz w:val="20"/>
          <w:szCs w:val="20"/>
          <w:color w:val="auto"/>
        </w:rPr>
      </w:pPr>
      <w:r>
        <w:rPr>
          <w:rFonts w:ascii="Times New Roman" w:cs="Times New Roman" w:eastAsia="Times New Roman" w:hAnsi="Times New Roman"/>
          <w:sz w:val="19"/>
          <w:szCs w:val="19"/>
          <w:b w:val="1"/>
          <w:bCs w:val="1"/>
          <w:color w:val="auto"/>
        </w:rPr>
        <w:t>The Corporation is a foreign private issuer under United States securities laws and is permitted under the multijurisdictional disclosure system adopted by the United States and Canada to prepare the Prospectus in accordance with Canadian disclosure requirements. Prospective investors should be aware that such requirements are different from those of the United States. The Corporation has prepared its consolidated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ectPr>
          <w:pgSz w:w="11900" w:h="16838" w:orient="portrait"/>
          <w:cols w:equalWidth="0" w:num="1">
            <w:col w:w="11265"/>
          </w:cols>
          <w:pgMar w:left="315" w:top="111" w:right="319" w:bottom="481" w:gutter="0" w:footer="0" w:header="0"/>
        </w:sectPr>
      </w:pPr>
    </w:p>
    <w:p>
      <w:pPr>
        <w:spacing w:after="0" w:line="12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106045</wp:posOffset>
            </wp:positionV>
            <wp:extent cx="716978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5"/>
          </w:cols>
          <w:pgMar w:left="315" w:top="111" w:right="319" w:bottom="481" w:gutter="0" w:footer="0" w:header="0"/>
          <w:type w:val="continuous"/>
        </w:sectPr>
      </w:pPr>
    </w:p>
    <w:bookmarkStart w:id="2" w:name="page3"/>
    <w:bookmarkEnd w:id="2"/>
    <w:p>
      <w:pPr>
        <w:jc w:val="both"/>
        <w:ind w:left="5" w:right="20"/>
        <w:spacing w:after="0" w:line="250" w:lineRule="auto"/>
        <w:rPr>
          <w:sz w:val="20"/>
          <w:szCs w:val="20"/>
          <w:color w:val="auto"/>
        </w:rPr>
      </w:pPr>
      <w:r>
        <w:rPr>
          <w:rFonts w:ascii="Times New Roman" w:cs="Times New Roman" w:eastAsia="Times New Roman" w:hAnsi="Times New Roman"/>
          <w:sz w:val="19"/>
          <w:szCs w:val="19"/>
          <w:b w:val="1"/>
          <w:bCs w:val="1"/>
          <w:color w:val="auto"/>
        </w:rPr>
        <w:t>Prospective investors should be aware that the purchase of Securities may have tax consequences that may not be fully described in the Prospectus or in any Prospectus Supplement, and should carefully review the tax discussion, if any, in the applicable Prospectus Supplement and in any event consult with a tax advisor.</w:t>
      </w:r>
    </w:p>
    <w:p>
      <w:pPr>
        <w:spacing w:after="0" w:line="111" w:lineRule="exact"/>
        <w:rPr>
          <w:sz w:val="20"/>
          <w:szCs w:val="20"/>
          <w:color w:val="auto"/>
        </w:rPr>
      </w:pPr>
    </w:p>
    <w:p>
      <w:pPr>
        <w:jc w:val="both"/>
        <w:ind w:left="5" w:right="20"/>
        <w:spacing w:after="0" w:line="244" w:lineRule="auto"/>
        <w:rPr>
          <w:sz w:val="20"/>
          <w:szCs w:val="20"/>
          <w:color w:val="auto"/>
        </w:rPr>
      </w:pPr>
      <w:r>
        <w:rPr>
          <w:rFonts w:ascii="Times New Roman" w:cs="Times New Roman" w:eastAsia="Times New Roman" w:hAnsi="Times New Roman"/>
          <w:sz w:val="19"/>
          <w:szCs w:val="19"/>
          <w:b w:val="1"/>
          <w:bCs w:val="1"/>
          <w:color w:val="auto"/>
        </w:rPr>
        <w:t>An investor's ability to enforce civil liabilities under the United States federal securities laws may be affected adversely because the Corporation is incorporated in Canada, the majority of its officers and directors named in the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19"/>
          <w:szCs w:val="19"/>
          <w:b w:val="1"/>
          <w:bCs w:val="1"/>
          <w:i w:val="1"/>
          <w:iCs w:val="1"/>
          <w:color w:val="auto"/>
        </w:rPr>
        <w:t>Risk Factors - Enforcement of Civil Liabilities</w:t>
      </w:r>
      <w:r>
        <w:rPr>
          <w:rFonts w:ascii="Times New Roman" w:cs="Times New Roman" w:eastAsia="Times New Roman" w:hAnsi="Times New Roman"/>
          <w:sz w:val="19"/>
          <w:szCs w:val="19"/>
          <w:b w:val="1"/>
          <w:bCs w:val="1"/>
          <w:color w:val="auto"/>
        </w:rPr>
        <w:t>" in the Prospectus and in this Amendment No. 1.</w:t>
      </w:r>
    </w:p>
    <w:p>
      <w:pPr>
        <w:spacing w:after="0" w:line="127" w:lineRule="exact"/>
        <w:rPr>
          <w:sz w:val="20"/>
          <w:szCs w:val="20"/>
          <w:color w:val="auto"/>
        </w:rPr>
      </w:pPr>
    </w:p>
    <w:p>
      <w:pPr>
        <w:jc w:val="both"/>
        <w:ind w:left="5"/>
        <w:spacing w:after="0" w:line="251" w:lineRule="auto"/>
        <w:rPr>
          <w:sz w:val="20"/>
          <w:szCs w:val="20"/>
          <w:color w:val="auto"/>
        </w:rPr>
      </w:pPr>
      <w:r>
        <w:rPr>
          <w:rFonts w:ascii="Times New Roman" w:cs="Times New Roman" w:eastAsia="Times New Roman" w:hAnsi="Times New Roman"/>
          <w:sz w:val="19"/>
          <w:szCs w:val="19"/>
          <w:b w:val="1"/>
          <w:bCs w:val="1"/>
          <w:color w:val="auto"/>
        </w:rPr>
        <w:t>See "</w:t>
      </w:r>
      <w:r>
        <w:rPr>
          <w:rFonts w:ascii="Times New Roman" w:cs="Times New Roman" w:eastAsia="Times New Roman" w:hAnsi="Times New Roman"/>
          <w:sz w:val="19"/>
          <w:szCs w:val="19"/>
          <w:b w:val="1"/>
          <w:bCs w:val="1"/>
          <w:i w:val="1"/>
          <w:iCs w:val="1"/>
          <w:color w:val="auto"/>
        </w:rPr>
        <w:t>Cautionary Note Regarding Forward-Looking Information</w:t>
      </w:r>
      <w:r>
        <w:rPr>
          <w:rFonts w:ascii="Times New Roman" w:cs="Times New Roman" w:eastAsia="Times New Roman" w:hAnsi="Times New Roman"/>
          <w:sz w:val="19"/>
          <w:szCs w:val="19"/>
          <w:b w:val="1"/>
          <w:bCs w:val="1"/>
          <w:color w:val="auto"/>
        </w:rPr>
        <w:t>" and "</w:t>
      </w:r>
      <w:r>
        <w:rPr>
          <w:rFonts w:ascii="Times New Roman" w:cs="Times New Roman" w:eastAsia="Times New Roman" w:hAnsi="Times New Roman"/>
          <w:sz w:val="19"/>
          <w:szCs w:val="19"/>
          <w:b w:val="1"/>
          <w:bCs w:val="1"/>
          <w:i w:val="1"/>
          <w:iCs w:val="1"/>
          <w:color w:val="auto"/>
        </w:rPr>
        <w:t>Risk Factors</w:t>
      </w:r>
      <w:r>
        <w:rPr>
          <w:rFonts w:ascii="Times New Roman" w:cs="Times New Roman" w:eastAsia="Times New Roman" w:hAnsi="Times New Roman"/>
          <w:sz w:val="19"/>
          <w:szCs w:val="19"/>
          <w:b w:val="1"/>
          <w:bCs w:val="1"/>
          <w:color w:val="auto"/>
        </w:rPr>
        <w:t>" beginning on pages 1 and 32 of the Prospectus, respectively, and the documents incorporated or deemed to be incorporated by reference therein and the applicable Prospectus Supplement, for a discussion of certain risks that you should consider in connection with an investment in these Securities.</w:t>
      </w:r>
    </w:p>
    <w:p>
      <w:pPr>
        <w:spacing w:after="0" w:line="109" w:lineRule="exact"/>
        <w:rPr>
          <w:sz w:val="20"/>
          <w:szCs w:val="20"/>
          <w:color w:val="auto"/>
        </w:rPr>
      </w:pPr>
    </w:p>
    <w:p>
      <w:pPr>
        <w:jc w:val="both"/>
        <w:ind w:left="5"/>
        <w:spacing w:after="0" w:line="244" w:lineRule="auto"/>
        <w:rPr>
          <w:sz w:val="20"/>
          <w:szCs w:val="20"/>
          <w:color w:val="auto"/>
        </w:rPr>
      </w:pPr>
      <w:r>
        <w:rPr>
          <w:rFonts w:ascii="Times New Roman" w:cs="Times New Roman" w:eastAsia="Times New Roman" w:hAnsi="Times New Roman"/>
          <w:sz w:val="19"/>
          <w:szCs w:val="19"/>
          <w:b w:val="1"/>
          <w:bCs w:val="1"/>
          <w:color w:val="auto"/>
        </w:rPr>
        <w:t>NEITHER THE SEC NOR ANY CANADIAN SECURITIES REGULATOR, NOR ANY STATE SECURITIES REGULATOR, HAS APPROVED OR DISAPPROVED THE SECURITIES OFFERED HEREBY OR PASSED UPON THE ACCURACY OR ADEQUACY OF THE PROSPECTUS OR DETERMINED IF THE PROSPECTUS IS TRUTHFUL OR COMPLETE. ANY REPRESENTATION TO THE CONTRARY IS A CRIMINAL OFFENCE.</w:t>
      </w:r>
    </w:p>
    <w:p>
      <w:pPr>
        <w:spacing w:after="0" w:line="121" w:lineRule="exact"/>
        <w:rPr>
          <w:sz w:val="20"/>
          <w:szCs w:val="20"/>
          <w:color w:val="auto"/>
        </w:rPr>
      </w:pPr>
    </w:p>
    <w:p>
      <w:pPr>
        <w:ind w:left="4345"/>
        <w:spacing w:after="0"/>
        <w:rPr>
          <w:sz w:val="20"/>
          <w:szCs w:val="20"/>
          <w:color w:val="auto"/>
        </w:rPr>
      </w:pPr>
      <w:r>
        <w:rPr>
          <w:rFonts w:ascii="Times New Roman" w:cs="Times New Roman" w:eastAsia="Times New Roman" w:hAnsi="Times New Roman"/>
          <w:sz w:val="19"/>
          <w:szCs w:val="19"/>
          <w:color w:val="auto"/>
        </w:rPr>
        <w:t>___________________________</w:t>
      </w:r>
    </w:p>
    <w:p>
      <w:pPr>
        <w:spacing w:after="0" w:line="160" w:lineRule="exact"/>
        <w:rPr>
          <w:sz w:val="20"/>
          <w:szCs w:val="20"/>
          <w:color w:val="auto"/>
        </w:rPr>
      </w:pPr>
    </w:p>
    <w:p>
      <w:pPr>
        <w:jc w:val="both"/>
        <w:ind w:left="5"/>
        <w:spacing w:after="0" w:line="248" w:lineRule="auto"/>
        <w:rPr>
          <w:sz w:val="20"/>
          <w:szCs w:val="20"/>
          <w:color w:val="auto"/>
        </w:rPr>
      </w:pPr>
      <w:r>
        <w:rPr>
          <w:rFonts w:ascii="Times New Roman" w:cs="Times New Roman" w:eastAsia="Times New Roman" w:hAnsi="Times New Roman"/>
          <w:sz w:val="19"/>
          <w:szCs w:val="19"/>
          <w:color w:val="auto"/>
        </w:rPr>
        <w:t>Specifically, the Prospectus is amended by deleting all references to "$800,000,000" contained on the face page of the Prospectus and substituting "$1,700,000,000" therefor. The first paragraph of the text on the face page of the Prospectus, as so amended, is deleted and replaced with the following:</w:t>
      </w:r>
    </w:p>
    <w:p>
      <w:pPr>
        <w:spacing w:after="0" w:line="111" w:lineRule="exact"/>
        <w:rPr>
          <w:sz w:val="20"/>
          <w:szCs w:val="20"/>
          <w:color w:val="auto"/>
        </w:rPr>
      </w:pPr>
    </w:p>
    <w:p>
      <w:pPr>
        <w:jc w:val="both"/>
        <w:ind w:left="565"/>
        <w:spacing w:after="0" w:line="252" w:lineRule="auto"/>
        <w:rPr>
          <w:sz w:val="20"/>
          <w:szCs w:val="20"/>
          <w:color w:val="auto"/>
        </w:rPr>
      </w:pPr>
      <w:r>
        <w:rPr>
          <w:rFonts w:ascii="Times New Roman" w:cs="Times New Roman" w:eastAsia="Times New Roman" w:hAnsi="Times New Roman"/>
          <w:sz w:val="18"/>
          <w:szCs w:val="18"/>
          <w:color w:val="auto"/>
        </w:rPr>
        <w:t>"This short form base shelf prospectus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relates to the offering for sale from time to time (each, an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by Cybin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Cybin</w:t>
      </w:r>
      <w:r>
        <w:rPr>
          <w:rFonts w:ascii="Times New Roman" w:cs="Times New Roman" w:eastAsia="Times New Roman" w:hAnsi="Times New Roman"/>
          <w:sz w:val="18"/>
          <w:szCs w:val="18"/>
          <w:color w:val="auto"/>
        </w:rPr>
        <w:t>") during the 25-month period commencing on September 17, 2025, that this Prospectus, including any amendments thereto, remains valid, of up to $1,700,000,000 in the aggregate of: (i) common shares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of the Corporation; (ii) warrants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purchase other Securities (as defined below) of the Corporation; (iii) units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comprised of one or more of the other Securities, (iv) senior and subordinated unsecured debt securities (collectively,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including debt securities convertible or exchangeable into other securities of the Corporation, and (v) subscription receipts ("</w:t>
      </w:r>
      <w:r>
        <w:rPr>
          <w:rFonts w:ascii="Times New Roman" w:cs="Times New Roman" w:eastAsia="Times New Roman" w:hAnsi="Times New Roman"/>
          <w:sz w:val="18"/>
          <w:szCs w:val="18"/>
          <w:b w:val="1"/>
          <w:bCs w:val="1"/>
          <w:color w:val="auto"/>
        </w:rPr>
        <w:t>Subscription Receipts</w:t>
      </w:r>
      <w:r>
        <w:rPr>
          <w:rFonts w:ascii="Times New Roman" w:cs="Times New Roman" w:eastAsia="Times New Roman" w:hAnsi="Times New Roman"/>
          <w:sz w:val="18"/>
          <w:szCs w:val="18"/>
          <w:color w:val="auto"/>
        </w:rPr>
        <w:t>" and together with the Common Shares, Warrants, Units and Debt Securities, collectively referred to herein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xml:space="preserve"> "). In addition, one or more securityholders of the Corporation (each a "</w:t>
      </w:r>
      <w:r>
        <w:rPr>
          <w:rFonts w:ascii="Times New Roman" w:cs="Times New Roman" w:eastAsia="Times New Roman" w:hAnsi="Times New Roman"/>
          <w:sz w:val="18"/>
          <w:szCs w:val="18"/>
          <w:b w:val="1"/>
          <w:bCs w:val="1"/>
          <w:color w:val="auto"/>
        </w:rPr>
        <w:t>Selling Securityholder</w:t>
      </w:r>
      <w:r>
        <w:rPr>
          <w:rFonts w:ascii="Times New Roman" w:cs="Times New Roman" w:eastAsia="Times New Roman" w:hAnsi="Times New Roman"/>
          <w:sz w:val="18"/>
          <w:szCs w:val="18"/>
          <w:color w:val="auto"/>
        </w:rPr>
        <w:t>") may also offer and sell Securities under this Prospectus. See "</w:t>
      </w:r>
      <w:r>
        <w:rPr>
          <w:rFonts w:ascii="Times New Roman" w:cs="Times New Roman" w:eastAsia="Times New Roman" w:hAnsi="Times New Roman"/>
          <w:sz w:val="18"/>
          <w:szCs w:val="18"/>
          <w:i w:val="1"/>
          <w:iCs w:val="1"/>
          <w:color w:val="auto"/>
        </w:rPr>
        <w:t>Selling Securityholders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color w:val="auto"/>
        </w:rPr>
        <w:t>The Prospectus is further amended by deleting the fourth paragraph on page iii of the Prospectus, and replacing it with the following:</w:t>
      </w:r>
    </w:p>
    <w:p>
      <w:pPr>
        <w:spacing w:after="0" w:line="160" w:lineRule="exact"/>
        <w:rPr>
          <w:sz w:val="20"/>
          <w:szCs w:val="20"/>
          <w:color w:val="auto"/>
        </w:rPr>
      </w:pPr>
    </w:p>
    <w:p>
      <w:pPr>
        <w:jc w:val="both"/>
        <w:ind w:left="565"/>
        <w:spacing w:after="0" w:line="235" w:lineRule="auto"/>
        <w:rPr>
          <w:sz w:val="20"/>
          <w:szCs w:val="20"/>
          <w:color w:val="auto"/>
        </w:rPr>
      </w:pPr>
      <w:r>
        <w:rPr>
          <w:rFonts w:ascii="Times New Roman" w:cs="Times New Roman" w:eastAsia="Times New Roman" w:hAnsi="Times New Roman"/>
          <w:sz w:val="19"/>
          <w:szCs w:val="19"/>
          <w:color w:val="auto"/>
        </w:rPr>
        <w:t>"In determining that the Corporation has a reasonable expectation to distribute, during the 25-month period commencing on September 17, 2025 that this Prospectus, including any amendments hereto, remains valid, up to $1,700,000,000 in the aggregate of Securities, management of the Corporation has considered its ongoing contractual commitments amounting to (i) approximately $60,083,262 which will be used to qualify, in the United States pursuant to prospectus supplements to the Corporation's registration statement on Form F-10, the Common Shares issuable from time to time upon the exercise of certain Common Share purchase warrants issued by the Corporation on August 4, 2023 and November 14, 2023 in connection with unit offerings of the Corporation, and (ii) approximately $238,407,547 which will be used to qualify the periodic resale in the United States, pursuant to prospectus supplements to the Registration Statement (as defined below), by certain selling shareholders of previously issued Common Shares (collectively, the "</w:t>
      </w:r>
      <w:r>
        <w:rPr>
          <w:rFonts w:ascii="Times New Roman" w:cs="Times New Roman" w:eastAsia="Times New Roman" w:hAnsi="Times New Roman"/>
          <w:sz w:val="19"/>
          <w:szCs w:val="19"/>
          <w:b w:val="1"/>
          <w:bCs w:val="1"/>
          <w:color w:val="auto"/>
        </w:rPr>
        <w:t>Commitment Amount</w:t>
      </w:r>
      <w:r>
        <w:rPr>
          <w:rFonts w:ascii="Times New Roman" w:cs="Times New Roman" w:eastAsia="Times New Roman" w:hAnsi="Times New Roman"/>
          <w:sz w:val="19"/>
          <w:szCs w:val="19"/>
          <w:color w:val="auto"/>
        </w:rPr>
        <w:t>"). Further, on October 31, 2025, the Corporation completed a registered direct offering of 22,277,750 Common Shares (the "</w:t>
      </w:r>
      <w:r>
        <w:rPr>
          <w:rFonts w:ascii="Times New Roman" w:cs="Times New Roman" w:eastAsia="Times New Roman" w:hAnsi="Times New Roman"/>
          <w:sz w:val="19"/>
          <w:szCs w:val="19"/>
          <w:b w:val="1"/>
          <w:bCs w:val="1"/>
          <w:color w:val="auto"/>
        </w:rPr>
        <w:t>Offered Shares</w:t>
      </w:r>
      <w:r>
        <w:rPr>
          <w:rFonts w:ascii="Times New Roman" w:cs="Times New Roman" w:eastAsia="Times New Roman" w:hAnsi="Times New Roman"/>
          <w:sz w:val="19"/>
          <w:szCs w:val="19"/>
          <w:color w:val="auto"/>
        </w:rPr>
        <w:t>") and, in lieu of Common Shares to certain investors, 4,605,500 pre-funded Common Share purchase warrants (the "</w:t>
      </w:r>
      <w:r>
        <w:rPr>
          <w:rFonts w:ascii="Times New Roman" w:cs="Times New Roman" w:eastAsia="Times New Roman" w:hAnsi="Times New Roman"/>
          <w:sz w:val="19"/>
          <w:szCs w:val="19"/>
          <w:b w:val="1"/>
          <w:bCs w:val="1"/>
          <w:color w:val="auto"/>
        </w:rPr>
        <w:t>Pre-Funded Warrants</w:t>
      </w:r>
      <w:r>
        <w:rPr>
          <w:rFonts w:ascii="Times New Roman" w:cs="Times New Roman" w:eastAsia="Times New Roman" w:hAnsi="Times New Roman"/>
          <w:sz w:val="19"/>
          <w:szCs w:val="19"/>
          <w:color w:val="auto"/>
        </w:rPr>
        <w:t>") at a price of US$6.51 per Common Share and US$6.50999 per Pre-Funded Warrant (the "</w:t>
      </w:r>
      <w:r>
        <w:rPr>
          <w:rFonts w:ascii="Times New Roman" w:cs="Times New Roman" w:eastAsia="Times New Roman" w:hAnsi="Times New Roman"/>
          <w:sz w:val="19"/>
          <w:szCs w:val="19"/>
          <w:b w:val="1"/>
          <w:bCs w:val="1"/>
          <w:color w:val="auto"/>
        </w:rPr>
        <w:t>Registered Direct Offering</w:t>
      </w:r>
      <w:r>
        <w:rPr>
          <w:rFonts w:ascii="Times New Roman" w:cs="Times New Roman" w:eastAsia="Times New Roman" w:hAnsi="Times New Roman"/>
          <w:sz w:val="19"/>
          <w:szCs w:val="19"/>
          <w:color w:val="auto"/>
        </w:rPr>
        <w:t>"). Each Offered Share and Pre-Funded Warrant was accompanied by 0.35 of one Common Share purchase warrant (each whole warrant, an "</w:t>
      </w:r>
      <w:r>
        <w:rPr>
          <w:rFonts w:ascii="Times New Roman" w:cs="Times New Roman" w:eastAsia="Times New Roman" w:hAnsi="Times New Roman"/>
          <w:sz w:val="19"/>
          <w:szCs w:val="19"/>
          <w:b w:val="1"/>
          <w:bCs w:val="1"/>
          <w:color w:val="auto"/>
        </w:rPr>
        <w:t>October Warrant</w:t>
      </w:r>
      <w:r>
        <w:rPr>
          <w:rFonts w:ascii="Times New Roman" w:cs="Times New Roman" w:eastAsia="Times New Roman" w:hAnsi="Times New Roman"/>
          <w:sz w:val="19"/>
          <w:szCs w:val="19"/>
          <w:color w:val="auto"/>
        </w:rPr>
        <w:t>" and, together with the Offered Shares and Pre-Funded Warrants, the "</w:t>
      </w:r>
      <w:r>
        <w:rPr>
          <w:rFonts w:ascii="Times New Roman" w:cs="Times New Roman" w:eastAsia="Times New Roman" w:hAnsi="Times New Roman"/>
          <w:sz w:val="19"/>
          <w:szCs w:val="19"/>
          <w:b w:val="1"/>
          <w:bCs w:val="1"/>
          <w:color w:val="auto"/>
        </w:rPr>
        <w:t>Offered Securities</w:t>
      </w:r>
      <w:r>
        <w:rPr>
          <w:rFonts w:ascii="Times New Roman" w:cs="Times New Roman" w:eastAsia="Times New Roman" w:hAnsi="Times New Roman"/>
          <w:sz w:val="19"/>
          <w:szCs w:val="19"/>
          <w:color w:val="auto"/>
        </w:rPr>
        <w:t>"). Each October Warrant is exercisable to acquire one Common Share at a price of US$8.14 per Common Share. The Corporation qualified the Offered Securities in the United States pursuant to a prospectus supplement dated October 28, 2025 to the Corporation's registration statement on Form F-10, as amended (File No. 333-289139) (the "</w:t>
      </w:r>
      <w:r>
        <w:rPr>
          <w:rFonts w:ascii="Times New Roman" w:cs="Times New Roman" w:eastAsia="Times New Roman" w:hAnsi="Times New Roman"/>
          <w:sz w:val="19"/>
          <w:szCs w:val="19"/>
          <w:b w:val="1"/>
          <w:bCs w:val="1"/>
          <w:color w:val="auto"/>
        </w:rPr>
        <w:t>Registration Statement</w:t>
      </w:r>
      <w:r>
        <w:rPr>
          <w:rFonts w:ascii="Times New Roman" w:cs="Times New Roman" w:eastAsia="Times New Roman" w:hAnsi="Times New Roman"/>
          <w:sz w:val="19"/>
          <w:szCs w:val="19"/>
          <w:color w:val="auto"/>
        </w:rPr>
        <w:t>"), which was initially filed with the SEC, under the U.S. Securities Act, on July 31, 2025, as amended on September 17, 2025 concurrent with the filing of this Prospectus. Approximately $351,208,916 has been used to qualify the Offered Securities. Given the Commitment Amount and the closing of the Registered Direct Offering, as of December 19, 2025, the Corporation will have approximately $1,050,300,275 available under the Prospectus, which management of the Corporation reasonably expects to distribute during the 25-month period commencing on September 17, 2025 that this Prospectus, including any amendments</w:t>
      </w:r>
    </w:p>
    <w:p>
      <w:pPr>
        <w:spacing w:after="0" w:line="4"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9"/>
          <w:szCs w:val="19"/>
          <w:color w:val="auto"/>
        </w:rPr>
        <w:t>hereto, remains valid.</w:t>
      </w:r>
      <w:r>
        <w:rPr>
          <w:rFonts w:ascii="Times New Roman" w:cs="Times New Roman" w:eastAsia="Times New Roman" w:hAnsi="Times New Roman"/>
          <w:sz w:val="31"/>
          <w:szCs w:val="3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23583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8390" cy="7620"/>
                    </a:xfrm>
                    <a:prstGeom prst="rect">
                      <a:avLst/>
                    </a:prstGeom>
                    <a:noFill/>
                  </pic:spPr>
                </pic:pic>
              </a:graphicData>
            </a:graphic>
          </wp:anchor>
        </w:drawing>
      </w:r>
    </w:p>
    <w:p>
      <w:pPr>
        <w:spacing w:after="0" w:line="167" w:lineRule="exact"/>
        <w:rPr>
          <w:sz w:val="20"/>
          <w:szCs w:val="20"/>
          <w:color w:val="auto"/>
        </w:rPr>
      </w:pPr>
    </w:p>
    <w:p>
      <w:pPr>
        <w:ind w:left="5" w:right="20" w:hanging="5"/>
        <w:spacing w:after="0" w:line="187" w:lineRule="auto"/>
        <w:tabs>
          <w:tab w:leader="none" w:pos="138" w:val="left"/>
        </w:tabs>
        <w:numPr>
          <w:ilvl w:val="0"/>
          <w:numId w:val="3"/>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9"/>
          <w:szCs w:val="19"/>
          <w:color w:val="auto"/>
        </w:rPr>
        <w:t>This is a forward-looking statement that involves material assumptions by the Corporation. There is no certainty as to the Corporation's ability to distribute securities or to raise additional funding to support operations. See "</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w:t>
      </w:r>
    </w:p>
    <w:p>
      <w:pPr>
        <w:spacing w:after="0" w:line="12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16978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5"/>
          </w:cols>
          <w:pgMar w:left="315" w:top="111" w:right="319" w:bottom="1440" w:gutter="0" w:footer="0" w:header="0"/>
        </w:sectPr>
      </w:pPr>
    </w:p>
    <w:bookmarkStart w:id="3" w:name="page4"/>
    <w:bookmarkEnd w:id="3"/>
    <w:p>
      <w:pPr>
        <w:jc w:val="both"/>
        <w:ind w:left="560"/>
        <w:spacing w:after="0" w:line="238" w:lineRule="auto"/>
        <w:rPr>
          <w:sz w:val="20"/>
          <w:szCs w:val="20"/>
          <w:color w:val="auto"/>
        </w:rPr>
      </w:pPr>
      <w:r>
        <w:rPr>
          <w:rFonts w:ascii="Times New Roman" w:cs="Times New Roman" w:eastAsia="Times New Roman" w:hAnsi="Times New Roman"/>
          <w:sz w:val="19"/>
          <w:szCs w:val="19"/>
          <w:color w:val="auto"/>
        </w:rPr>
        <w:t>In addition, management of the Corporation has considered U.S. securities laws in connection with the registration of the Common Shares underlying Warrants issued pursuant to an Offering. The registration under the United States Securities Act of 1933, as amended (the "</w:t>
      </w:r>
      <w:r>
        <w:rPr>
          <w:rFonts w:ascii="Times New Roman" w:cs="Times New Roman" w:eastAsia="Times New Roman" w:hAnsi="Times New Roman"/>
          <w:sz w:val="19"/>
          <w:szCs w:val="19"/>
          <w:b w:val="1"/>
          <w:bCs w:val="1"/>
          <w:color w:val="auto"/>
        </w:rPr>
        <w:t>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Securities Act</w:t>
      </w:r>
      <w:r>
        <w:rPr>
          <w:rFonts w:ascii="Times New Roman" w:cs="Times New Roman" w:eastAsia="Times New Roman" w:hAnsi="Times New Roman"/>
          <w:sz w:val="19"/>
          <w:szCs w:val="19"/>
          <w:color w:val="auto"/>
        </w:rPr>
        <w:t>") of the Common Shares underlying Warrants initially sold to, or for the account or benefit of, U.S. persons (as defined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Regulation S Under the U.S. Securities Act) or persons in the United States pursuant to exemptions from the registration requirements of the U.S. Securities Act, permits the selling securityholders named in the U.S. prospectus supplements to the Corporation's registration statement on Form F-10 to re-sell such Common Shares without restriction under the U.S. Securities Act. In the absence of such registration, re-sales of such Common Shares would be required to comply with an exemption or exclusion from the registration requirements of the U.S. Securities Act.</w:t>
      </w:r>
    </w:p>
    <w:p>
      <w:pPr>
        <w:spacing w:after="0" w:line="124" w:lineRule="exact"/>
        <w:rPr>
          <w:sz w:val="20"/>
          <w:szCs w:val="20"/>
          <w:color w:val="auto"/>
        </w:rPr>
      </w:pPr>
    </w:p>
    <w:p>
      <w:pPr>
        <w:jc w:val="both"/>
        <w:ind w:left="560"/>
        <w:spacing w:after="0" w:line="248" w:lineRule="auto"/>
        <w:rPr>
          <w:sz w:val="20"/>
          <w:szCs w:val="20"/>
          <w:color w:val="auto"/>
        </w:rPr>
      </w:pPr>
      <w:r>
        <w:rPr>
          <w:rFonts w:ascii="Times New Roman" w:cs="Times New Roman" w:eastAsia="Times New Roman" w:hAnsi="Times New Roman"/>
          <w:sz w:val="19"/>
          <w:szCs w:val="19"/>
          <w:color w:val="auto"/>
        </w:rPr>
        <w:t>The Corporation's Registration Statement was filed with the SEC concurrent with the filing of this Prospectus, for the equivalent United States dollar value of this Prospectus, being US$1,234,209,379.99 (converted from $1,700,000,000 at an exchange rate of US$1.00=CAD$1.3774, which was the daily average exchange rate reported by the Bank of Canada on December 18, 2025)."</w:t>
      </w:r>
    </w:p>
    <w:p>
      <w:pPr>
        <w:spacing w:after="0" w:line="12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The Prospectus is further amended by deleting the reference to "$800,000,000" contained in the first sentence of the first paragraph under the heading "Plan of Distribution" on page 31, so that such sentence, as so amended, reads as follows:</w:t>
      </w:r>
    </w:p>
    <w:p>
      <w:pPr>
        <w:spacing w:after="0" w:line="102" w:lineRule="exact"/>
        <w:rPr>
          <w:sz w:val="20"/>
          <w:szCs w:val="20"/>
          <w:color w:val="auto"/>
        </w:rPr>
      </w:pPr>
    </w:p>
    <w:p>
      <w:pPr>
        <w:jc w:val="both"/>
        <w:ind w:left="560"/>
        <w:spacing w:after="0" w:line="243" w:lineRule="auto"/>
        <w:rPr>
          <w:sz w:val="20"/>
          <w:szCs w:val="20"/>
          <w:color w:val="auto"/>
        </w:rPr>
      </w:pPr>
      <w:r>
        <w:rPr>
          <w:rFonts w:ascii="Times New Roman" w:cs="Times New Roman" w:eastAsia="Times New Roman" w:hAnsi="Times New Roman"/>
          <w:sz w:val="19"/>
          <w:szCs w:val="19"/>
          <w:color w:val="auto"/>
        </w:rPr>
        <w:t>"The Corporation and the Selling Securityholders may from time to time during the 25-month period commencing on September 17, 2025, that this Prospectus, including any amendments and supplements hereto, remains valid, offer for sale and sell up to an aggregate of $1,700,000,000 in Securities hereunder. To the extent there are any Secondary Offerings, the aggregate amount of Securities that may be offered and sold by the Corporation hereunder shall be reduced by the aggregate amount of such Secondary Offerings."</w:t>
      </w:r>
    </w:p>
    <w:p>
      <w:pPr>
        <w:spacing w:after="0" w:line="1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The Prospectus is further amended by deleting the second paragraph under the section titled "Documents Incorporated by Reference" and replacing it with the following:</w:t>
      </w:r>
    </w:p>
    <w:p>
      <w:pPr>
        <w:spacing w:after="0" w:line="114" w:lineRule="exact"/>
        <w:rPr>
          <w:sz w:val="20"/>
          <w:szCs w:val="20"/>
          <w:color w:val="auto"/>
        </w:rPr>
      </w:pPr>
    </w:p>
    <w:p>
      <w:pPr>
        <w:ind w:left="560" w:right="20"/>
        <w:spacing w:after="0" w:line="262" w:lineRule="auto"/>
        <w:rPr>
          <w:sz w:val="20"/>
          <w:szCs w:val="20"/>
          <w:color w:val="auto"/>
        </w:rPr>
      </w:pPr>
      <w:r>
        <w:rPr>
          <w:rFonts w:ascii="Times New Roman" w:cs="Times New Roman" w:eastAsia="Times New Roman" w:hAnsi="Times New Roman"/>
          <w:sz w:val="19"/>
          <w:szCs w:val="19"/>
          <w:color w:val="auto"/>
        </w:rPr>
        <w:t>"The following documents of the Corporation filed with the securities commissions or similar authorities in Canada are incorporated by reference in this Prospectus:</w:t>
      </w:r>
    </w:p>
    <w:p>
      <w:pPr>
        <w:spacing w:after="0" w:line="98" w:lineRule="exact"/>
        <w:rPr>
          <w:sz w:val="20"/>
          <w:szCs w:val="20"/>
          <w:color w:val="auto"/>
        </w:rPr>
      </w:pPr>
    </w:p>
    <w:p>
      <w:pPr>
        <w:ind w:left="1140" w:hanging="294"/>
        <w:spacing w:after="0" w:line="266" w:lineRule="auto"/>
        <w:tabs>
          <w:tab w:leader="none" w:pos="116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annual information form of the Corporation dated June 30, 2025, for the year ended March 31, 2025 (the "</w:t>
      </w:r>
      <w:r>
        <w:rPr>
          <w:rFonts w:ascii="Times New Roman" w:cs="Times New Roman" w:eastAsia="Times New Roman" w:hAnsi="Times New Roman"/>
          <w:sz w:val="19"/>
          <w:szCs w:val="19"/>
          <w:b w:val="1"/>
          <w:bCs w:val="1"/>
          <w:color w:val="auto"/>
        </w:rPr>
        <w:t>Annual Information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Form</w:t>
      </w:r>
      <w:r>
        <w:rPr>
          <w:rFonts w:ascii="Times New Roman" w:cs="Times New Roman" w:eastAsia="Times New Roman" w:hAnsi="Times New Roman"/>
          <w:sz w:val="19"/>
          <w:szCs w:val="19"/>
          <w:color w:val="auto"/>
        </w:rPr>
        <w:t>");</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4" w:name="page5"/>
    <w:bookmarkEnd w:id="4"/>
    <w:p>
      <w:pPr>
        <w:ind w:left="1140" w:right="20" w:hanging="294"/>
        <w:spacing w:after="0" w:line="263" w:lineRule="auto"/>
        <w:tabs>
          <w:tab w:leader="none" w:pos="1164"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audited consolidated financial statements of the Corporation and the notes thereto as at and for the fiscal years ended March 31, 2025 and 2024, together with the auditor's report thereon;</w:t>
      </w:r>
    </w:p>
    <w:p>
      <w:pPr>
        <w:spacing w:after="0" w:line="101" w:lineRule="exact"/>
        <w:rPr>
          <w:rFonts w:ascii="Times New Roman" w:cs="Times New Roman" w:eastAsia="Times New Roman" w:hAnsi="Times New Roman"/>
          <w:sz w:val="19"/>
          <w:szCs w:val="19"/>
          <w:color w:val="auto"/>
        </w:rPr>
      </w:pPr>
    </w:p>
    <w:p>
      <w:pPr>
        <w:ind w:left="1160" w:hanging="314"/>
        <w:spacing w:after="0"/>
        <w:tabs>
          <w:tab w:leader="none" w:pos="116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management's discussion and analysis of the Corporation for the year ended March 31, 2025;</w:t>
      </w:r>
    </w:p>
    <w:p>
      <w:pPr>
        <w:spacing w:after="0" w:line="159" w:lineRule="exact"/>
        <w:rPr>
          <w:rFonts w:ascii="Times New Roman" w:cs="Times New Roman" w:eastAsia="Times New Roman" w:hAnsi="Times New Roman"/>
          <w:sz w:val="19"/>
          <w:szCs w:val="19"/>
          <w:color w:val="auto"/>
        </w:rPr>
      </w:pPr>
    </w:p>
    <w:p>
      <w:pPr>
        <w:ind w:left="1140" w:hanging="294"/>
        <w:spacing w:after="0" w:line="262" w:lineRule="auto"/>
        <w:tabs>
          <w:tab w:leader="none" w:pos="1164"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unaudited interim condensed consolidated financial statements of the Corporation and the notes thereto for the three and six months ended September 30, 2025 (the "</w:t>
      </w:r>
      <w:r>
        <w:rPr>
          <w:rFonts w:ascii="Times New Roman" w:cs="Times New Roman" w:eastAsia="Times New Roman" w:hAnsi="Times New Roman"/>
          <w:sz w:val="19"/>
          <w:szCs w:val="19"/>
          <w:b w:val="1"/>
          <w:bCs w:val="1"/>
          <w:color w:val="auto"/>
        </w:rPr>
        <w:t>Interim Financial Statements</w:t>
      </w:r>
      <w:r>
        <w:rPr>
          <w:rFonts w:ascii="Times New Roman" w:cs="Times New Roman" w:eastAsia="Times New Roman" w:hAnsi="Times New Roman"/>
          <w:sz w:val="19"/>
          <w:szCs w:val="19"/>
          <w:color w:val="auto"/>
        </w:rPr>
        <w:t>");</w:t>
      </w:r>
    </w:p>
    <w:p>
      <w:pPr>
        <w:spacing w:after="0" w:line="98" w:lineRule="exact"/>
        <w:rPr>
          <w:rFonts w:ascii="Times New Roman" w:cs="Times New Roman" w:eastAsia="Times New Roman" w:hAnsi="Times New Roman"/>
          <w:sz w:val="19"/>
          <w:szCs w:val="19"/>
          <w:color w:val="auto"/>
        </w:rPr>
      </w:pPr>
    </w:p>
    <w:p>
      <w:pPr>
        <w:ind w:left="1140" w:hanging="294"/>
        <w:spacing w:after="0" w:line="266" w:lineRule="auto"/>
        <w:tabs>
          <w:tab w:leader="none" w:pos="1164"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management's discussion and analysis of the Corporation for the three and six months ended September 30, 2025 (the "</w:t>
      </w:r>
      <w:r>
        <w:rPr>
          <w:rFonts w:ascii="Times New Roman" w:cs="Times New Roman" w:eastAsia="Times New Roman" w:hAnsi="Times New Roman"/>
          <w:sz w:val="19"/>
          <w:szCs w:val="19"/>
          <w:b w:val="1"/>
          <w:bCs w:val="1"/>
          <w:color w:val="auto"/>
        </w:rPr>
        <w:t>Interim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MD&amp;A</w:t>
      </w:r>
      <w:r>
        <w:rPr>
          <w:rFonts w:ascii="Times New Roman" w:cs="Times New Roman" w:eastAsia="Times New Roman" w:hAnsi="Times New Roman"/>
          <w:sz w:val="19"/>
          <w:szCs w:val="19"/>
          <w:color w:val="auto"/>
        </w:rPr>
        <w:t>");</w:t>
      </w:r>
    </w:p>
    <w:p>
      <w:pPr>
        <w:spacing w:after="0" w:line="99" w:lineRule="exact"/>
        <w:rPr>
          <w:rFonts w:ascii="Times New Roman" w:cs="Times New Roman" w:eastAsia="Times New Roman" w:hAnsi="Times New Roman"/>
          <w:sz w:val="19"/>
          <w:szCs w:val="19"/>
          <w:color w:val="auto"/>
        </w:rPr>
      </w:pPr>
    </w:p>
    <w:p>
      <w:pPr>
        <w:jc w:val="both"/>
        <w:ind w:left="1140" w:hanging="294"/>
        <w:spacing w:after="0" w:line="243" w:lineRule="auto"/>
        <w:tabs>
          <w:tab w:leader="none" w:pos="1164"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material change report dated July 9, 2025, relating to the private placement completed by the Corporation on June 30, 2025, of US$50,000,000 aggregate principal amount of unsecured convertible debentures, as amended and restated on August 12, 2025 (the "</w:t>
      </w:r>
      <w:r>
        <w:rPr>
          <w:rFonts w:ascii="Times New Roman" w:cs="Times New Roman" w:eastAsia="Times New Roman" w:hAnsi="Times New Roman"/>
          <w:sz w:val="19"/>
          <w:szCs w:val="19"/>
          <w:b w:val="1"/>
          <w:bCs w:val="1"/>
          <w:color w:val="auto"/>
        </w:rPr>
        <w:t>Convertible Debentures</w:t>
      </w:r>
      <w:r>
        <w:rPr>
          <w:rFonts w:ascii="Times New Roman" w:cs="Times New Roman" w:eastAsia="Times New Roman" w:hAnsi="Times New Roman"/>
          <w:sz w:val="19"/>
          <w:szCs w:val="19"/>
          <w:color w:val="auto"/>
        </w:rPr>
        <w:t>") issued to a single investor ("</w:t>
      </w:r>
      <w:r>
        <w:rPr>
          <w:rFonts w:ascii="Times New Roman" w:cs="Times New Roman" w:eastAsia="Times New Roman" w:hAnsi="Times New Roman"/>
          <w:sz w:val="19"/>
          <w:szCs w:val="19"/>
          <w:b w:val="1"/>
          <w:bCs w:val="1"/>
          <w:color w:val="auto"/>
        </w:rPr>
        <w:t>High Trail</w:t>
      </w:r>
      <w:r>
        <w:rPr>
          <w:rFonts w:ascii="Times New Roman" w:cs="Times New Roman" w:eastAsia="Times New Roman" w:hAnsi="Times New Roman"/>
          <w:sz w:val="19"/>
          <w:szCs w:val="19"/>
          <w:color w:val="auto"/>
        </w:rPr>
        <w:t>") pursuant to a securities purchase agreement, dated June 30, 2025, as amended on August 12, 2025 (the "</w:t>
      </w:r>
      <w:r>
        <w:rPr>
          <w:rFonts w:ascii="Times New Roman" w:cs="Times New Roman" w:eastAsia="Times New Roman" w:hAnsi="Times New Roman"/>
          <w:sz w:val="19"/>
          <w:szCs w:val="19"/>
          <w:b w:val="1"/>
          <w:bCs w:val="1"/>
          <w:color w:val="auto"/>
        </w:rPr>
        <w:t>Securities Purchase Agreement</w:t>
      </w:r>
      <w:r>
        <w:rPr>
          <w:rFonts w:ascii="Times New Roman" w:cs="Times New Roman" w:eastAsia="Times New Roman" w:hAnsi="Times New Roman"/>
          <w:sz w:val="19"/>
          <w:szCs w:val="19"/>
          <w:color w:val="auto"/>
        </w:rPr>
        <w:t>");</w:t>
      </w:r>
    </w:p>
    <w:p>
      <w:pPr>
        <w:spacing w:after="0" w:line="132" w:lineRule="exact"/>
        <w:rPr>
          <w:rFonts w:ascii="Times New Roman" w:cs="Times New Roman" w:eastAsia="Times New Roman" w:hAnsi="Times New Roman"/>
          <w:sz w:val="19"/>
          <w:szCs w:val="19"/>
          <w:color w:val="auto"/>
        </w:rPr>
      </w:pPr>
    </w:p>
    <w:p>
      <w:pPr>
        <w:ind w:left="1160" w:hanging="314"/>
        <w:spacing w:after="0"/>
        <w:tabs>
          <w:tab w:leader="none" w:pos="116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material change report dated September 3, 2025, relating to senior leadership changes;</w:t>
      </w:r>
    </w:p>
    <w:p>
      <w:pPr>
        <w:spacing w:after="0" w:line="148" w:lineRule="exact"/>
        <w:rPr>
          <w:rFonts w:ascii="Times New Roman" w:cs="Times New Roman" w:eastAsia="Times New Roman" w:hAnsi="Times New Roman"/>
          <w:sz w:val="19"/>
          <w:szCs w:val="19"/>
          <w:color w:val="auto"/>
        </w:rPr>
      </w:pPr>
    </w:p>
    <w:p>
      <w:pPr>
        <w:ind w:left="1160" w:hanging="314"/>
        <w:spacing w:after="0"/>
        <w:tabs>
          <w:tab w:leader="none" w:pos="116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material change report dated November 7, 2025, relating to the Registered Direct Offering of the Offered Securities; and</w:t>
      </w:r>
    </w:p>
    <w:p>
      <w:pPr>
        <w:spacing w:after="0" w:line="148" w:lineRule="exact"/>
        <w:rPr>
          <w:rFonts w:ascii="Times New Roman" w:cs="Times New Roman" w:eastAsia="Times New Roman" w:hAnsi="Times New Roman"/>
          <w:sz w:val="19"/>
          <w:szCs w:val="19"/>
          <w:color w:val="auto"/>
        </w:rPr>
      </w:pPr>
    </w:p>
    <w:p>
      <w:pPr>
        <w:ind w:left="1140" w:hanging="294"/>
        <w:spacing w:after="0" w:line="262" w:lineRule="auto"/>
        <w:tabs>
          <w:tab w:leader="none" w:pos="1164"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management information circular of the Corporation dated July 14, 2025 relating to the annual meeting of shareholders of the Corporation held on August 18, 2025."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Prospectus is further amended by deleting the section titled "Select Recent Developments" and replacing it with the following:</w:t>
      </w:r>
    </w:p>
    <w:p>
      <w:pPr>
        <w:spacing w:after="0" w:line="148" w:lineRule="exact"/>
        <w:rPr>
          <w:sz w:val="20"/>
          <w:szCs w:val="20"/>
          <w:color w:val="auto"/>
        </w:rPr>
      </w:pPr>
    </w:p>
    <w:p>
      <w:pPr>
        <w:jc w:val="both"/>
        <w:ind w:left="560" w:right="20"/>
        <w:spacing w:after="0" w:line="248" w:lineRule="auto"/>
        <w:rPr>
          <w:sz w:val="20"/>
          <w:szCs w:val="20"/>
          <w:color w:val="auto"/>
        </w:rPr>
      </w:pPr>
      <w:r>
        <w:rPr>
          <w:rFonts w:ascii="Times New Roman" w:cs="Times New Roman" w:eastAsia="Times New Roman" w:hAnsi="Times New Roman"/>
          <w:sz w:val="19"/>
          <w:szCs w:val="19"/>
          <w:color w:val="auto"/>
        </w:rPr>
        <w:t>"Other than as set forth below and generally in this Prospectus or the documents incorporated by reference herein, there have been no material developments in the business of the Corporation since November 12, 2025, the date of the Interim Financial Statements and Interim MD&amp;A.</w:t>
      </w:r>
    </w:p>
    <w:p>
      <w:pPr>
        <w:spacing w:after="0" w:line="115" w:lineRule="exact"/>
        <w:rPr>
          <w:sz w:val="20"/>
          <w:szCs w:val="20"/>
          <w:color w:val="auto"/>
        </w:rPr>
      </w:pPr>
    </w:p>
    <w:p>
      <w:pPr>
        <w:jc w:val="both"/>
        <w:ind w:left="560"/>
        <w:spacing w:after="0" w:line="239" w:lineRule="auto"/>
        <w:rPr>
          <w:sz w:val="20"/>
          <w:szCs w:val="20"/>
          <w:color w:val="auto"/>
        </w:rPr>
      </w:pPr>
      <w:r>
        <w:rPr>
          <w:rFonts w:ascii="Times New Roman" w:cs="Times New Roman" w:eastAsia="Times New Roman" w:hAnsi="Times New Roman"/>
          <w:sz w:val="19"/>
          <w:szCs w:val="19"/>
          <w:color w:val="auto"/>
        </w:rPr>
        <w:t>On December 18, 2025, the Corporation announced that it will voluntarily transfer its U.S. stock exchange listing to the Nasdaq Global Market (“Nasdaq”) from the NYSE American. The Corporation expects that its Common Shares will cease trading on the NYSE American at market close on January 4, 2026 and commence trading on the Nasdaq at market open on January 5, 2026. Concurrent with the commencement of trading on Nasdaq, the Corporation will no longer trade under the ticker symbol “CYBN” and instead will trade under the ticker symbol “HELP”. The Corporation will continue to be listed on the CBOE Canada and will also trade under the new “HELP” ticker symbol commencing on January 5,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Prospectus is further amended by deleting the section titled "Consolidated Capitalization" and replacing it with the following:</w:t>
      </w:r>
    </w:p>
    <w:p>
      <w:pPr>
        <w:spacing w:after="0" w:line="148" w:lineRule="exact"/>
        <w:rPr>
          <w:sz w:val="20"/>
          <w:szCs w:val="20"/>
          <w:color w:val="auto"/>
        </w:rPr>
      </w:pPr>
    </w:p>
    <w:p>
      <w:pPr>
        <w:jc w:val="both"/>
        <w:ind w:left="560"/>
        <w:spacing w:after="0" w:line="262" w:lineRule="auto"/>
        <w:rPr>
          <w:sz w:val="20"/>
          <w:szCs w:val="20"/>
          <w:color w:val="auto"/>
        </w:rPr>
      </w:pPr>
      <w:r>
        <w:rPr>
          <w:rFonts w:ascii="Times New Roman" w:cs="Times New Roman" w:eastAsia="Times New Roman" w:hAnsi="Times New Roman"/>
          <w:sz w:val="19"/>
          <w:szCs w:val="19"/>
          <w:color w:val="auto"/>
        </w:rPr>
        <w:t>"Other than as disclosed herein and in the documents incorporated by reference in this Prospectus, there have been no material changes to the share and loan capitalization of the Corporation since the date of the Interim Financial Statements.</w:t>
      </w:r>
    </w:p>
    <w:p>
      <w:pPr>
        <w:spacing w:after="0" w:line="102" w:lineRule="exact"/>
        <w:rPr>
          <w:sz w:val="20"/>
          <w:szCs w:val="20"/>
          <w:color w:val="auto"/>
        </w:rPr>
      </w:pPr>
    </w:p>
    <w:p>
      <w:pPr>
        <w:jc w:val="both"/>
        <w:ind w:left="560"/>
        <w:spacing w:after="0" w:line="241" w:lineRule="auto"/>
        <w:rPr>
          <w:sz w:val="20"/>
          <w:szCs w:val="20"/>
          <w:color w:val="auto"/>
        </w:rPr>
      </w:pPr>
      <w:r>
        <w:rPr>
          <w:rFonts w:ascii="Times New Roman" w:cs="Times New Roman" w:eastAsia="Times New Roman" w:hAnsi="Times New Roman"/>
          <w:sz w:val="19"/>
          <w:szCs w:val="19"/>
          <w:color w:val="auto"/>
        </w:rPr>
        <w:t>The following table sets forth the consolidated capitalization of the Corporation as at December 18, 2025, the date immediately before the date of this Prospectus. This table should be read in conjunction with the Interim Financial Statements and the related notes and the Interim MD&amp;A that are incorporated by reference in this Prospectus. On September 19, 2024, the outstanding Common Shares were consolidated on the basis of one new Common Share for every 38 existing Common Shares (the "</w:t>
      </w:r>
      <w:r>
        <w:rPr>
          <w:rFonts w:ascii="Times New Roman" w:cs="Times New Roman" w:eastAsia="Times New Roman" w:hAnsi="Times New Roman"/>
          <w:sz w:val="19"/>
          <w:szCs w:val="19"/>
          <w:b w:val="1"/>
          <w:bCs w:val="1"/>
          <w:color w:val="auto"/>
        </w:rPr>
        <w:t>Consolidation</w:t>
      </w:r>
      <w:r>
        <w:rPr>
          <w:rFonts w:ascii="Times New Roman" w:cs="Times New Roman" w:eastAsia="Times New Roman" w:hAnsi="Times New Roman"/>
          <w:sz w:val="19"/>
          <w:szCs w:val="19"/>
          <w:color w:val="auto"/>
        </w:rPr>
        <w:t>"). All figures in the table below related to securities are represented on a post-Consolidation basis.</w:t>
      </w:r>
    </w:p>
    <w:p>
      <w:pPr>
        <w:spacing w:after="0" w:line="138" w:lineRule="exact"/>
        <w:rPr>
          <w:sz w:val="20"/>
          <w:szCs w:val="20"/>
          <w:color w:val="auto"/>
        </w:rPr>
      </w:pPr>
    </w:p>
    <w:tbl>
      <w:tblPr>
        <w:tblLayout w:type="fixed"/>
        <w:tblInd w:w="1680" w:type="dxa"/>
        <w:tblCellMar>
          <w:top w:w="0" w:type="dxa"/>
          <w:left w:w="0" w:type="dxa"/>
          <w:bottom w:w="0" w:type="dxa"/>
          <w:right w:w="0" w:type="dxa"/>
        </w:tblCellMar>
      </w:tblPr>
      <w:tr>
        <w:trPr>
          <w:trHeight w:val="208"/>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 of Capital</w:t>
            </w:r>
          </w:p>
        </w:tc>
        <w:tc>
          <w:tcPr>
            <w:tcW w:w="386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8"/>
              </w:rPr>
              <w:t>December 18, 2025</w:t>
            </w:r>
          </w:p>
        </w:tc>
      </w:tr>
      <w:tr>
        <w:trPr>
          <w:trHeight w:val="217"/>
        </w:trPr>
        <w:tc>
          <w:tcPr>
            <w:tcW w:w="3880" w:type="dxa"/>
            <w:vAlign w:val="bottom"/>
            <w:tcBorders>
              <w:top w:val="single" w:sz="8" w:color="auto"/>
            </w:tcBorders>
            <w:shd w:val="clear" w:color="auto" w:fill="E6EFFF"/>
          </w:tcPr>
          <w:p>
            <w:pPr>
              <w:spacing w:after="0"/>
              <w:rPr>
                <w:sz w:val="20"/>
                <w:szCs w:val="20"/>
                <w:color w:val="auto"/>
              </w:rPr>
            </w:pPr>
            <w:r>
              <w:rPr>
                <w:rFonts w:ascii="Times New Roman" w:cs="Times New Roman" w:eastAsia="Times New Roman" w:hAnsi="Times New Roman"/>
                <w:sz w:val="16"/>
                <w:szCs w:val="16"/>
                <w:color w:val="auto"/>
              </w:rPr>
              <w:t>Loans and Borrowings</w:t>
            </w:r>
          </w:p>
        </w:tc>
        <w:tc>
          <w:tcPr>
            <w:tcW w:w="140" w:type="dxa"/>
            <w:vAlign w:val="bottom"/>
            <w:tcBorders>
              <w:top w:val="single" w:sz="8" w:color="E6EFFF"/>
            </w:tcBorders>
            <w:shd w:val="clear" w:color="auto" w:fill="E6EFFF"/>
          </w:tcPr>
          <w:p>
            <w:pPr>
              <w:spacing w:after="0"/>
              <w:rPr>
                <w:sz w:val="18"/>
                <w:szCs w:val="18"/>
                <w:color w:val="auto"/>
              </w:rPr>
            </w:pPr>
          </w:p>
        </w:tc>
        <w:tc>
          <w:tcPr>
            <w:tcW w:w="3860" w:type="dxa"/>
            <w:vAlign w:val="bottom"/>
            <w:tcBorders>
              <w:top w:val="single" w:sz="8" w:color="auto"/>
            </w:tcBorders>
            <w:shd w:val="clear" w:color="auto" w:fill="E6EFFF"/>
          </w:tcPr>
          <w:p>
            <w:pPr>
              <w:jc w:val="center"/>
              <w:ind w:right="62"/>
              <w:spacing w:after="0" w:line="216" w:lineRule="exact"/>
              <w:rPr>
                <w:sz w:val="20"/>
                <w:szCs w:val="20"/>
                <w:color w:val="auto"/>
              </w:rPr>
            </w:pPr>
            <w:r>
              <w:rPr>
                <w:rFonts w:ascii="Times New Roman" w:cs="Times New Roman" w:eastAsia="Times New Roman" w:hAnsi="Times New Roman"/>
                <w:sz w:val="15"/>
                <w:szCs w:val="15"/>
                <w:color w:val="auto"/>
                <w:w w:val="93"/>
              </w:rPr>
              <w:t>Nil</w:t>
            </w:r>
            <w:r>
              <w:rPr>
                <w:rFonts w:ascii="Times New Roman" w:cs="Times New Roman" w:eastAsia="Times New Roman" w:hAnsi="Times New Roman"/>
                <w:sz w:val="25"/>
                <w:szCs w:val="25"/>
                <w:color w:val="auto"/>
                <w:w w:val="93"/>
                <w:vertAlign w:val="superscript"/>
              </w:rPr>
              <w:t>(1)</w:t>
            </w:r>
          </w:p>
        </w:tc>
      </w:tr>
      <w:tr>
        <w:trPr>
          <w:trHeight w:val="189"/>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3860" w:type="dxa"/>
            <w:vAlign w:val="bottom"/>
          </w:tcPr>
          <w:p>
            <w:pPr>
              <w:jc w:val="center"/>
              <w:ind w:right="62"/>
              <w:spacing w:after="0"/>
              <w:rPr>
                <w:sz w:val="20"/>
                <w:szCs w:val="20"/>
                <w:color w:val="auto"/>
              </w:rPr>
            </w:pPr>
            <w:r>
              <w:rPr>
                <w:rFonts w:ascii="Times New Roman" w:cs="Times New Roman" w:eastAsia="Times New Roman" w:hAnsi="Times New Roman"/>
                <w:sz w:val="16"/>
                <w:szCs w:val="16"/>
                <w:color w:val="auto"/>
                <w:w w:val="99"/>
              </w:rPr>
              <w:t>49,894,131</w:t>
            </w:r>
          </w:p>
        </w:tc>
      </w:tr>
      <w:tr>
        <w:trPr>
          <w:trHeight w:val="225"/>
        </w:trPr>
        <w:tc>
          <w:tcPr>
            <w:tcW w:w="402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3860" w:type="dxa"/>
            <w:vAlign w:val="bottom"/>
            <w:shd w:val="clear" w:color="auto" w:fill="E6EFFF"/>
          </w:tcPr>
          <w:p>
            <w:pPr>
              <w:jc w:val="center"/>
              <w:ind w:right="42"/>
              <w:spacing w:after="0" w:line="225" w:lineRule="exact"/>
              <w:rPr>
                <w:sz w:val="20"/>
                <w:szCs w:val="20"/>
                <w:color w:val="auto"/>
              </w:rPr>
            </w:pPr>
            <w:r>
              <w:rPr>
                <w:rFonts w:ascii="Times New Roman" w:cs="Times New Roman" w:eastAsia="Times New Roman" w:hAnsi="Times New Roman"/>
                <w:sz w:val="16"/>
                <w:szCs w:val="16"/>
                <w:color w:val="auto"/>
                <w:w w:val="92"/>
              </w:rPr>
              <w:t>4,171,897</w:t>
            </w:r>
            <w:r>
              <w:rPr>
                <w:rFonts w:ascii="Times New Roman" w:cs="Times New Roman" w:eastAsia="Times New Roman" w:hAnsi="Times New Roman"/>
                <w:sz w:val="26"/>
                <w:szCs w:val="26"/>
                <w:color w:val="auto"/>
                <w:w w:val="92"/>
                <w:vertAlign w:val="superscript"/>
              </w:rPr>
              <w:t>(2)</w:t>
            </w:r>
          </w:p>
        </w:tc>
      </w:tr>
      <w:tr>
        <w:trPr>
          <w:trHeight w:val="225"/>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Restricted share units</w:t>
            </w:r>
          </w:p>
        </w:tc>
        <w:tc>
          <w:tcPr>
            <w:tcW w:w="3860" w:type="dxa"/>
            <w:vAlign w:val="bottom"/>
          </w:tcPr>
          <w:p>
            <w:pPr>
              <w:jc w:val="center"/>
              <w:ind w:right="42"/>
              <w:spacing w:after="0" w:line="225" w:lineRule="exact"/>
              <w:rPr>
                <w:sz w:val="20"/>
                <w:szCs w:val="20"/>
                <w:color w:val="auto"/>
              </w:rPr>
            </w:pPr>
            <w:r>
              <w:rPr>
                <w:rFonts w:ascii="Times New Roman" w:cs="Times New Roman" w:eastAsia="Times New Roman" w:hAnsi="Times New Roman"/>
                <w:sz w:val="16"/>
                <w:szCs w:val="16"/>
                <w:color w:val="auto"/>
                <w:w w:val="92"/>
              </w:rPr>
              <w:t>4,164,440</w:t>
            </w:r>
            <w:r>
              <w:rPr>
                <w:rFonts w:ascii="Times New Roman" w:cs="Times New Roman" w:eastAsia="Times New Roman" w:hAnsi="Times New Roman"/>
                <w:sz w:val="26"/>
                <w:szCs w:val="26"/>
                <w:color w:val="auto"/>
                <w:w w:val="92"/>
                <w:vertAlign w:val="superscript"/>
              </w:rPr>
              <w:t>(3)</w:t>
            </w:r>
          </w:p>
        </w:tc>
      </w:tr>
      <w:tr>
        <w:trPr>
          <w:trHeight w:val="225"/>
        </w:trPr>
        <w:tc>
          <w:tcPr>
            <w:tcW w:w="402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6"/>
                <w:szCs w:val="16"/>
                <w:color w:val="auto"/>
              </w:rPr>
              <w:t>Common Share purchase warrants</w:t>
            </w:r>
          </w:p>
        </w:tc>
        <w:tc>
          <w:tcPr>
            <w:tcW w:w="3860" w:type="dxa"/>
            <w:vAlign w:val="bottom"/>
            <w:shd w:val="clear" w:color="auto" w:fill="E6EFFF"/>
          </w:tcPr>
          <w:p>
            <w:pPr>
              <w:jc w:val="center"/>
              <w:ind w:right="42"/>
              <w:spacing w:after="0" w:line="225" w:lineRule="exact"/>
              <w:rPr>
                <w:sz w:val="20"/>
                <w:szCs w:val="20"/>
                <w:color w:val="auto"/>
              </w:rPr>
            </w:pPr>
            <w:r>
              <w:rPr>
                <w:rFonts w:ascii="Times New Roman" w:cs="Times New Roman" w:eastAsia="Times New Roman" w:hAnsi="Times New Roman"/>
                <w:sz w:val="16"/>
                <w:szCs w:val="16"/>
                <w:color w:val="auto"/>
                <w:w w:val="93"/>
              </w:rPr>
              <w:t>12,205,334</w:t>
            </w:r>
            <w:r>
              <w:rPr>
                <w:rFonts w:ascii="Times New Roman" w:cs="Times New Roman" w:eastAsia="Times New Roman" w:hAnsi="Times New Roman"/>
                <w:sz w:val="26"/>
                <w:szCs w:val="26"/>
                <w:color w:val="auto"/>
                <w:w w:val="93"/>
                <w:vertAlign w:val="superscript"/>
              </w:rPr>
              <w:t>(4)</w:t>
            </w:r>
          </w:p>
        </w:tc>
      </w:tr>
      <w:tr>
        <w:trPr>
          <w:trHeight w:val="347"/>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Pre-Funded Warrants</w:t>
            </w:r>
          </w:p>
        </w:tc>
        <w:tc>
          <w:tcPr>
            <w:tcW w:w="3860" w:type="dxa"/>
            <w:vAlign w:val="bottom"/>
          </w:tcPr>
          <w:p>
            <w:pPr>
              <w:jc w:val="center"/>
              <w:ind w:right="42"/>
              <w:spacing w:after="0"/>
              <w:rPr>
                <w:sz w:val="20"/>
                <w:szCs w:val="20"/>
                <w:color w:val="auto"/>
              </w:rPr>
            </w:pPr>
            <w:r>
              <w:rPr>
                <w:rFonts w:ascii="Times New Roman" w:cs="Times New Roman" w:eastAsia="Times New Roman" w:hAnsi="Times New Roman"/>
                <w:sz w:val="16"/>
                <w:szCs w:val="16"/>
                <w:color w:val="auto"/>
                <w:w w:val="92"/>
              </w:rPr>
              <w:t>4,605,500</w:t>
            </w:r>
            <w:r>
              <w:rPr>
                <w:rFonts w:ascii="Times New Roman" w:cs="Times New Roman" w:eastAsia="Times New Roman" w:hAnsi="Times New Roman"/>
                <w:sz w:val="26"/>
                <w:szCs w:val="26"/>
                <w:color w:val="auto"/>
                <w:w w:val="92"/>
                <w:vertAlign w:val="superscript"/>
              </w:rPr>
              <w:t>(5)</w:t>
            </w:r>
          </w:p>
        </w:tc>
      </w:tr>
    </w:tbl>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b w:val="1"/>
          <w:bCs w:val="1"/>
          <w:color w:val="auto"/>
        </w:rPr>
        <w:t>Notes:</w:t>
      </w:r>
    </w:p>
    <w:p>
      <w:pPr>
        <w:spacing w:after="0" w:line="152" w:lineRule="exact"/>
        <w:rPr>
          <w:sz w:val="20"/>
          <w:szCs w:val="20"/>
          <w:color w:val="auto"/>
        </w:rPr>
      </w:pPr>
    </w:p>
    <w:p>
      <w:pPr>
        <w:jc w:val="both"/>
        <w:ind w:left="840" w:right="20" w:hanging="278"/>
        <w:spacing w:after="0" w:line="248" w:lineRule="auto"/>
        <w:tabs>
          <w:tab w:leader="none" w:pos="87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November 3, 2025, the Corporation used a portion of the net proceeds of the Registered Direct Offering to repay the remaining balance outstanding under the Convertible Debentures held by High Trail of US$20,150,000 and incurred early repayment fees of US$2,615,000, resulting in a total cash repayment of US$22,765,000.</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5" w:name="page6"/>
    <w:bookmarkEnd w:id="5"/>
    <w:p>
      <w:pPr>
        <w:ind w:left="840" w:hanging="278"/>
        <w:spacing w:after="0" w:line="245" w:lineRule="auto"/>
        <w:tabs>
          <w:tab w:leader="none" w:pos="887"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November 14, 2025, options to purchase an aggregate of 48,240 Common Shares at an exercise price of $8.39 per Common Share were granted under the Corporation's equity incentive plan (the "Equity Incentive Plan").</w:t>
      </w:r>
    </w:p>
    <w:p>
      <w:pPr>
        <w:ind w:left="880" w:hanging="318"/>
        <w:spacing w:after="0" w:line="233" w:lineRule="auto"/>
        <w:tabs>
          <w:tab w:leader="none" w:pos="8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November 3, 2025, 3,564,440 restricted share units were granted under the Equity Incentive Plan.</w:t>
      </w:r>
    </w:p>
    <w:p>
      <w:pPr>
        <w:jc w:val="both"/>
        <w:ind w:left="840" w:right="20" w:hanging="278"/>
        <w:spacing w:after="0" w:line="233" w:lineRule="auto"/>
        <w:tabs>
          <w:tab w:leader="none" w:pos="879"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ease of reference, the Common Share purchase warrants are presented above on a post-Consolidation basis however, the total number of Common Share purchase warrants outstanding have not been consolidated. Rather, the exchange ratio was adjusted on the Consolidation such that the number of Common Shares underlying each Common Share purchase warrant was consolidated.</w:t>
      </w:r>
    </w:p>
    <w:p>
      <w:pPr>
        <w:spacing w:after="0" w:line="2" w:lineRule="exact"/>
        <w:rPr>
          <w:rFonts w:ascii="Times New Roman" w:cs="Times New Roman" w:eastAsia="Times New Roman" w:hAnsi="Times New Roman"/>
          <w:sz w:val="19"/>
          <w:szCs w:val="19"/>
          <w:color w:val="auto"/>
        </w:rPr>
      </w:pPr>
    </w:p>
    <w:p>
      <w:pPr>
        <w:ind w:left="880" w:hanging="318"/>
        <w:spacing w:after="0"/>
        <w:tabs>
          <w:tab w:leader="none" w:pos="8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Pre-Funded Warrants were issued pursuant to the Registered Direct Offering.</w:t>
      </w:r>
    </w:p>
    <w:p>
      <w:pPr>
        <w:spacing w:after="0" w:line="128" w:lineRule="exact"/>
        <w:rPr>
          <w:sz w:val="20"/>
          <w:szCs w:val="20"/>
          <w:color w:val="auto"/>
        </w:rPr>
      </w:pPr>
    </w:p>
    <w:p>
      <w:pPr>
        <w:jc w:val="both"/>
        <w:ind w:left="560"/>
        <w:spacing w:after="0" w:line="262" w:lineRule="auto"/>
        <w:rPr>
          <w:sz w:val="20"/>
          <w:szCs w:val="20"/>
          <w:color w:val="auto"/>
        </w:rPr>
      </w:pPr>
      <w:r>
        <w:rPr>
          <w:rFonts w:ascii="Times New Roman" w:cs="Times New Roman" w:eastAsia="Times New Roman" w:hAnsi="Times New Roman"/>
          <w:sz w:val="19"/>
          <w:szCs w:val="19"/>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Prospectus is further amended by deleting the section titled "Use of Proceeds" and replacing it with the following:</w:t>
      </w:r>
    </w:p>
    <w:p>
      <w:pPr>
        <w:spacing w:after="0" w:line="148" w:lineRule="exact"/>
        <w:rPr>
          <w:sz w:val="20"/>
          <w:szCs w:val="20"/>
          <w:color w:val="auto"/>
        </w:rPr>
      </w:pPr>
    </w:p>
    <w:p>
      <w:pPr>
        <w:jc w:val="both"/>
        <w:ind w:left="560"/>
        <w:spacing w:after="0" w:line="239" w:lineRule="auto"/>
        <w:rPr>
          <w:sz w:val="20"/>
          <w:szCs w:val="20"/>
          <w:color w:val="auto"/>
        </w:rPr>
      </w:pPr>
      <w:r>
        <w:rPr>
          <w:rFonts w:ascii="Times New Roman" w:cs="Times New Roman" w:eastAsia="Times New Roman" w:hAnsi="Times New Roman"/>
          <w:sz w:val="19"/>
          <w:szCs w:val="19"/>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19"/>
          <w:szCs w:val="19"/>
          <w:i w:val="1"/>
          <w:iCs w:val="1"/>
          <w:color w:val="auto"/>
        </w:rPr>
        <w:t>"Risk Factors - Risks Related to an Offering - Discretion over the Use of Proceeds"</w:t>
      </w:r>
      <w:r>
        <w:rPr>
          <w:rFonts w:ascii="Times New Roman" w:cs="Times New Roman" w:eastAsia="Times New Roman" w:hAnsi="Times New Roman"/>
          <w:sz w:val="19"/>
          <w:szCs w:val="19"/>
          <w:color w:val="auto"/>
        </w:rPr>
        <w:t>. The Corporation will not receive any proceeds from any sale of Securities by a Selling Securityholder.</w:t>
      </w:r>
    </w:p>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b w:val="1"/>
          <w:bCs w:val="1"/>
          <w:color w:val="auto"/>
        </w:rPr>
        <w:t>Sources and Uses of Capital</w:t>
      </w:r>
    </w:p>
    <w:p>
      <w:pPr>
        <w:spacing w:after="0" w:line="164" w:lineRule="exact"/>
        <w:rPr>
          <w:sz w:val="20"/>
          <w:szCs w:val="20"/>
          <w:color w:val="auto"/>
        </w:rPr>
      </w:pPr>
    </w:p>
    <w:p>
      <w:pPr>
        <w:jc w:val="both"/>
        <w:ind w:left="560"/>
        <w:spacing w:after="0" w:line="243" w:lineRule="auto"/>
        <w:rPr>
          <w:sz w:val="20"/>
          <w:szCs w:val="20"/>
          <w:color w:val="auto"/>
        </w:rPr>
      </w:pPr>
      <w:r>
        <w:rPr>
          <w:rFonts w:ascii="Times New Roman" w:cs="Times New Roman" w:eastAsia="Times New Roman" w:hAnsi="Times New Roman"/>
          <w:sz w:val="19"/>
          <w:szCs w:val="19"/>
          <w:color w:val="auto"/>
        </w:rPr>
        <w:t>As at December 19, 2025, the Corporation had approximately US$202,000,000 in cash. As at December 19, 2025, the Corporation anticipates that it will require approximately US$202,000,000 to continue operations over the next 12 months, including funding towards the achievement of the next significant milestone under the Corporation's Deuterated Psilocin Program (CYB003), Deuterated Dimethyltryptamine Program (CYB004), and Phenethylamine and Tryptamine Derivatives Program (CYB005).</w:t>
      </w:r>
    </w:p>
    <w:p>
      <w:pPr>
        <w:spacing w:after="0" w:line="120" w:lineRule="exact"/>
        <w:rPr>
          <w:sz w:val="20"/>
          <w:szCs w:val="20"/>
          <w:color w:val="auto"/>
        </w:rPr>
      </w:pPr>
    </w:p>
    <w:p>
      <w:pPr>
        <w:jc w:val="both"/>
        <w:ind w:left="560"/>
        <w:spacing w:after="0" w:line="239" w:lineRule="auto"/>
        <w:rPr>
          <w:sz w:val="20"/>
          <w:szCs w:val="20"/>
          <w:color w:val="auto"/>
        </w:rPr>
      </w:pPr>
      <w:r>
        <w:rPr>
          <w:rFonts w:ascii="Times New Roman" w:cs="Times New Roman" w:eastAsia="Times New Roman" w:hAnsi="Times New Roman"/>
          <w:sz w:val="19"/>
          <w:szCs w:val="19"/>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30" w:lineRule="exact"/>
        <w:rPr>
          <w:sz w:val="20"/>
          <w:szCs w:val="20"/>
          <w:color w:val="auto"/>
        </w:rPr>
      </w:pPr>
    </w:p>
    <w:tbl>
      <w:tblPr>
        <w:tblLayout w:type="fixed"/>
        <w:tblInd w:w="56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4640" w:type="dxa"/>
            <w:vAlign w:val="bottom"/>
          </w:tcPr>
          <w:p>
            <w:pPr>
              <w:jc w:val="center"/>
              <w:ind w:left="3144"/>
              <w:spacing w:after="0"/>
              <w:rPr>
                <w:sz w:val="20"/>
                <w:szCs w:val="20"/>
                <w:color w:val="auto"/>
              </w:rPr>
            </w:pPr>
            <w:r>
              <w:rPr>
                <w:rFonts w:ascii="Times New Roman" w:cs="Times New Roman" w:eastAsia="Times New Roman" w:hAnsi="Times New Roman"/>
                <w:sz w:val="16"/>
                <w:szCs w:val="16"/>
                <w:b w:val="1"/>
                <w:bCs w:val="1"/>
                <w:color w:val="auto"/>
                <w:w w:val="97"/>
              </w:rPr>
              <w:t>Anticipated</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00" w:type="dxa"/>
            <w:vAlign w:val="bottom"/>
          </w:tcPr>
          <w:p>
            <w:pPr>
              <w:spacing w:after="0"/>
              <w:rPr>
                <w:sz w:val="16"/>
                <w:szCs w:val="16"/>
                <w:color w:val="auto"/>
              </w:rPr>
            </w:pPr>
          </w:p>
        </w:tc>
        <w:tc>
          <w:tcPr>
            <w:tcW w:w="4640" w:type="dxa"/>
            <w:vAlign w:val="bottom"/>
          </w:tcPr>
          <w:p>
            <w:pPr>
              <w:jc w:val="center"/>
              <w:ind w:left="3144"/>
              <w:spacing w:after="0"/>
              <w:rPr>
                <w:sz w:val="20"/>
                <w:szCs w:val="20"/>
                <w:color w:val="auto"/>
              </w:rPr>
            </w:pPr>
            <w:r>
              <w:rPr>
                <w:rFonts w:ascii="Times New Roman" w:cs="Times New Roman" w:eastAsia="Times New Roman" w:hAnsi="Times New Roman"/>
                <w:sz w:val="16"/>
                <w:szCs w:val="16"/>
                <w:b w:val="1"/>
                <w:bCs w:val="1"/>
                <w:color w:val="auto"/>
                <w:w w:val="98"/>
              </w:rPr>
              <w:t>12 Month Use</w:t>
            </w:r>
          </w:p>
        </w:tc>
        <w:tc>
          <w:tcPr>
            <w:tcW w:w="1680" w:type="dxa"/>
            <w:vAlign w:val="bottom"/>
            <w:vMerge w:val="restart"/>
          </w:tcPr>
          <w:p>
            <w:pPr>
              <w:jc w:val="center"/>
              <w:ind w:left="181"/>
              <w:spacing w:after="0"/>
              <w:rPr>
                <w:sz w:val="20"/>
                <w:szCs w:val="20"/>
                <w:color w:val="auto"/>
              </w:rPr>
            </w:pPr>
            <w:r>
              <w:rPr>
                <w:rFonts w:ascii="Times New Roman" w:cs="Times New Roman" w:eastAsia="Times New Roman" w:hAnsi="Times New Roman"/>
                <w:sz w:val="16"/>
                <w:szCs w:val="16"/>
                <w:b w:val="1"/>
                <w:bCs w:val="1"/>
                <w:color w:val="auto"/>
                <w:w w:val="98"/>
              </w:rPr>
              <w:t>Anticipated Timeline</w:t>
            </w:r>
          </w:p>
        </w:tc>
        <w:tc>
          <w:tcPr>
            <w:tcW w:w="0" w:type="dxa"/>
            <w:vAlign w:val="bottom"/>
          </w:tcPr>
          <w:p>
            <w:pPr>
              <w:spacing w:after="0"/>
              <w:rPr>
                <w:sz w:val="1"/>
                <w:szCs w:val="1"/>
                <w:color w:val="auto"/>
              </w:rPr>
            </w:pPr>
          </w:p>
        </w:tc>
      </w:tr>
      <w:tr>
        <w:trPr>
          <w:trHeight w:val="192"/>
        </w:trPr>
        <w:tc>
          <w:tcPr>
            <w:tcW w:w="4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Program</w:t>
            </w:r>
            <w:r>
              <w:rPr>
                <w:rFonts w:ascii="Times New Roman" w:cs="Times New Roman" w:eastAsia="Times New Roman" w:hAnsi="Times New Roman"/>
                <w:sz w:val="26"/>
                <w:szCs w:val="26"/>
                <w:b w:val="1"/>
                <w:bCs w:val="1"/>
                <w:color w:val="auto"/>
                <w:vertAlign w:val="superscript"/>
              </w:rPr>
              <w:t>(1)</w:t>
            </w:r>
          </w:p>
        </w:tc>
        <w:tc>
          <w:tcPr>
            <w:tcW w:w="4640" w:type="dxa"/>
            <w:vAlign w:val="bottom"/>
          </w:tcPr>
          <w:p>
            <w:pPr>
              <w:jc w:val="center"/>
              <w:ind w:left="3184"/>
              <w:spacing w:after="0" w:line="192" w:lineRule="exact"/>
              <w:rPr>
                <w:sz w:val="20"/>
                <w:szCs w:val="20"/>
                <w:color w:val="auto"/>
              </w:rPr>
            </w:pPr>
            <w:r>
              <w:rPr>
                <w:rFonts w:ascii="Times New Roman" w:cs="Times New Roman" w:eastAsia="Times New Roman" w:hAnsi="Times New Roman"/>
                <w:sz w:val="14"/>
                <w:szCs w:val="14"/>
                <w:b w:val="1"/>
                <w:bCs w:val="1"/>
                <w:color w:val="auto"/>
              </w:rPr>
              <w:t>of Funds</w:t>
            </w:r>
            <w:r>
              <w:rPr>
                <w:rFonts w:ascii="Times New Roman" w:cs="Times New Roman" w:eastAsia="Times New Roman" w:hAnsi="Times New Roman"/>
                <w:sz w:val="22"/>
                <w:szCs w:val="22"/>
                <w:b w:val="1"/>
                <w:bCs w:val="1"/>
                <w:color w:val="auto"/>
                <w:vertAlign w:val="superscript"/>
              </w:rPr>
              <w:t>(2)(3)</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00" w:type="dxa"/>
            <w:vAlign w:val="bottom"/>
            <w:vMerge w:val="continue"/>
          </w:tcPr>
          <w:p>
            <w:pPr>
              <w:spacing w:after="0"/>
              <w:rPr>
                <w:sz w:val="20"/>
                <w:szCs w:val="20"/>
                <w:color w:val="auto"/>
              </w:rPr>
            </w:pPr>
          </w:p>
        </w:tc>
        <w:tc>
          <w:tcPr>
            <w:tcW w:w="4640" w:type="dxa"/>
            <w:vAlign w:val="bottom"/>
          </w:tcPr>
          <w:p>
            <w:pPr>
              <w:jc w:val="center"/>
              <w:ind w:left="3184"/>
              <w:spacing w:after="0"/>
              <w:rPr>
                <w:sz w:val="20"/>
                <w:szCs w:val="20"/>
                <w:color w:val="auto"/>
              </w:rPr>
            </w:pPr>
            <w:r>
              <w:rPr>
                <w:rFonts w:ascii="Times New Roman" w:cs="Times New Roman" w:eastAsia="Times New Roman" w:hAnsi="Times New Roman"/>
                <w:sz w:val="16"/>
                <w:szCs w:val="16"/>
                <w:b w:val="1"/>
                <w:bCs w:val="1"/>
                <w:color w:val="auto"/>
                <w:w w:val="97"/>
              </w:rPr>
              <w:t>US($)</w:t>
            </w:r>
          </w:p>
        </w:tc>
        <w:tc>
          <w:tcPr>
            <w:tcW w:w="1680" w:type="dxa"/>
            <w:vAlign w:val="bottom"/>
          </w:tcPr>
          <w:p>
            <w:pPr>
              <w:jc w:val="center"/>
              <w:ind w:left="161"/>
              <w:spacing w:after="0" w:line="237" w:lineRule="exact"/>
              <w:rPr>
                <w:sz w:val="20"/>
                <w:szCs w:val="20"/>
                <w:color w:val="auto"/>
              </w:rPr>
            </w:pPr>
            <w:r>
              <w:rPr>
                <w:rFonts w:ascii="Times New Roman" w:cs="Times New Roman" w:eastAsia="Times New Roman" w:hAnsi="Times New Roman"/>
                <w:sz w:val="16"/>
                <w:szCs w:val="16"/>
                <w:b w:val="1"/>
                <w:bCs w:val="1"/>
                <w:color w:val="auto"/>
                <w:w w:val="96"/>
              </w:rPr>
              <w:t>for Completion</w:t>
            </w:r>
            <w:r>
              <w:rPr>
                <w:rFonts w:ascii="Times New Roman" w:cs="Times New Roman" w:eastAsia="Times New Roman" w:hAnsi="Times New Roman"/>
                <w:sz w:val="26"/>
                <w:szCs w:val="26"/>
                <w:b w:val="1"/>
                <w:bCs w:val="1"/>
                <w:color w:val="auto"/>
                <w:w w:val="96"/>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0</wp:posOffset>
            </wp:positionV>
            <wp:extent cx="6788785" cy="142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88785" cy="14287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p>
      <w:pPr>
        <w:ind w:left="560"/>
        <w:spacing w:after="0" w:line="180" w:lineRule="auto"/>
        <w:rPr>
          <w:sz w:val="20"/>
          <w:szCs w:val="20"/>
          <w:color w:val="auto"/>
        </w:rPr>
      </w:pPr>
      <w:r>
        <w:rPr>
          <w:rFonts w:ascii="Times New Roman" w:cs="Times New Roman" w:eastAsia="Times New Roman" w:hAnsi="Times New Roman"/>
          <w:sz w:val="16"/>
          <w:szCs w:val="16"/>
          <w:color w:val="auto"/>
        </w:rPr>
        <w:t>Deuterated Psilocin Program (CYB003)</w:t>
      </w:r>
      <w:r>
        <w:rPr>
          <w:rFonts w:ascii="Times New Roman" w:cs="Times New Roman" w:eastAsia="Times New Roman" w:hAnsi="Times New Roman"/>
          <w:sz w:val="26"/>
          <w:szCs w:val="26"/>
          <w:color w:val="auto"/>
          <w:vertAlign w:val="superscript"/>
        </w:rPr>
        <w:t>(5)</w:t>
      </w:r>
    </w:p>
    <w:p>
      <w:pPr>
        <w:spacing w:after="0" w:line="1" w:lineRule="exact"/>
        <w:rPr>
          <w:sz w:val="20"/>
          <w:szCs w:val="20"/>
          <w:color w:val="auto"/>
        </w:rPr>
      </w:pPr>
    </w:p>
    <w:p>
      <w:pPr>
        <w:ind w:left="800" w:right="1780"/>
        <w:spacing w:after="0" w:line="262" w:lineRule="auto"/>
        <w:rPr>
          <w:sz w:val="20"/>
          <w:szCs w:val="20"/>
          <w:color w:val="auto"/>
        </w:rPr>
      </w:pPr>
      <w:r>
        <w:rPr>
          <w:rFonts w:ascii="Times New Roman" w:cs="Times New Roman" w:eastAsia="Times New Roman" w:hAnsi="Times New Roman"/>
          <w:sz w:val="15"/>
          <w:szCs w:val="15"/>
          <w:color w:val="auto"/>
        </w:rPr>
        <w:t>Provide topline efficacy data readout from the first Phase 3 study, APPROACH Initiation of enrollment in the second Phase 3 study, EMBRACE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-119380</wp:posOffset>
            </wp:positionV>
            <wp:extent cx="6788785"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88785" cy="120015"/>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6"/>
          <w:szCs w:val="16"/>
          <w:color w:val="auto"/>
        </w:rPr>
        <w:t>Progression of the second Phase 3 study, EMBRACE</w:t>
      </w:r>
    </w:p>
    <w:p>
      <w:pPr>
        <w:spacing w:after="0" w:line="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Progression of the third Phase 3 study, EXTEND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-113030</wp:posOffset>
            </wp:positionV>
            <wp:extent cx="6788785" cy="142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88785" cy="142875"/>
                    </a:xfrm>
                    <a:prstGeom prst="rect">
                      <a:avLst/>
                    </a:prstGeom>
                    <a:noFill/>
                  </pic:spPr>
                </pic:pic>
              </a:graphicData>
            </a:graphic>
          </wp:anchor>
        </w:drawing>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Deuterated Dimethyltryptamine Program (CYB004)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13970</wp:posOffset>
            </wp:positionV>
            <wp:extent cx="6788785"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88785" cy="120015"/>
                    </a:xfrm>
                    <a:prstGeom prst="rect">
                      <a:avLst/>
                    </a:prstGeom>
                    <a:noFill/>
                  </pic:spPr>
                </pic:pic>
              </a:graphicData>
            </a:graphic>
          </wp:anchor>
        </w:drawing>
      </w: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Provide topline data readout from the Phase 2 GAD study</w:t>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Phenethylamine and Tryptamine Derivatives Program (CYB005)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3175</wp:posOffset>
            </wp:positionV>
            <wp:extent cx="6788785"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88785" cy="120015"/>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6"/>
          <w:szCs w:val="16"/>
          <w:color w:val="auto"/>
        </w:rPr>
        <w:t>Deliver a drug development candidate</w:t>
      </w:r>
    </w:p>
    <w:p>
      <w:pPr>
        <w:ind w:left="560"/>
        <w:spacing w:after="0" w:line="185" w:lineRule="auto"/>
        <w:rPr>
          <w:sz w:val="20"/>
          <w:szCs w:val="20"/>
          <w:color w:val="auto"/>
        </w:rPr>
      </w:pPr>
      <w:r>
        <w:rPr>
          <w:rFonts w:ascii="Times New Roman" w:cs="Times New Roman" w:eastAsia="Times New Roman" w:hAnsi="Times New Roman"/>
          <w:sz w:val="16"/>
          <w:szCs w:val="16"/>
          <w:color w:val="auto"/>
        </w:rPr>
        <w:t>Working Capital, and General Corporate Purposes</w:t>
      </w:r>
      <w:r>
        <w:rPr>
          <w:rFonts w:ascii="Times New Roman" w:cs="Times New Roman" w:eastAsia="Times New Roman" w:hAnsi="Times New Roman"/>
          <w:sz w:val="26"/>
          <w:szCs w:val="26"/>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0</wp:posOffset>
            </wp:positionV>
            <wp:extent cx="6788785"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88785" cy="12001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189"/>
        </w:trPr>
        <w:tc>
          <w:tcPr>
            <w:tcW w:w="1220" w:type="dxa"/>
            <w:vAlign w:val="bottom"/>
          </w:tcPr>
          <w:p>
            <w:pPr>
              <w:jc w:val="center"/>
              <w:ind w:right="441"/>
              <w:spacing w:after="0"/>
              <w:rPr>
                <w:sz w:val="20"/>
                <w:szCs w:val="20"/>
                <w:color w:val="auto"/>
              </w:rPr>
            </w:pPr>
            <w:r>
              <w:rPr>
                <w:rFonts w:ascii="Times New Roman" w:cs="Times New Roman" w:eastAsia="Times New Roman" w:hAnsi="Times New Roman"/>
                <w:sz w:val="16"/>
                <w:szCs w:val="16"/>
                <w:color w:val="auto"/>
                <w:w w:val="97"/>
              </w:rPr>
              <w:t>35,051,000</w:t>
            </w:r>
          </w:p>
        </w:tc>
        <w:tc>
          <w:tcPr>
            <w:tcW w:w="1060" w:type="dxa"/>
            <w:vAlign w:val="bottom"/>
          </w:tcPr>
          <w:p>
            <w:pPr>
              <w:jc w:val="center"/>
              <w:ind w:left="421"/>
              <w:spacing w:after="0"/>
              <w:rPr>
                <w:sz w:val="20"/>
                <w:szCs w:val="20"/>
                <w:color w:val="auto"/>
              </w:rPr>
            </w:pPr>
            <w:r>
              <w:rPr>
                <w:rFonts w:ascii="Times New Roman" w:cs="Times New Roman" w:eastAsia="Times New Roman" w:hAnsi="Times New Roman"/>
                <w:sz w:val="16"/>
                <w:szCs w:val="16"/>
                <w:color w:val="auto"/>
              </w:rPr>
              <w:t>Q4 2026</w:t>
            </w:r>
          </w:p>
        </w:tc>
      </w:tr>
      <w:tr>
        <w:trPr>
          <w:trHeight w:val="189"/>
        </w:trPr>
        <w:tc>
          <w:tcPr>
            <w:tcW w:w="1220" w:type="dxa"/>
            <w:vAlign w:val="bottom"/>
          </w:tcPr>
          <w:p>
            <w:pPr>
              <w:jc w:val="center"/>
              <w:ind w:right="441"/>
              <w:spacing w:after="0"/>
              <w:rPr>
                <w:sz w:val="20"/>
                <w:szCs w:val="20"/>
                <w:color w:val="auto"/>
              </w:rPr>
            </w:pPr>
            <w:r>
              <w:rPr>
                <w:rFonts w:ascii="Times New Roman" w:cs="Times New Roman" w:eastAsia="Times New Roman" w:hAnsi="Times New Roman"/>
                <w:sz w:val="16"/>
                <w:szCs w:val="16"/>
                <w:color w:val="auto"/>
                <w:w w:val="96"/>
              </w:rPr>
              <w:t>399,000</w:t>
            </w:r>
          </w:p>
        </w:tc>
        <w:tc>
          <w:tcPr>
            <w:tcW w:w="1060" w:type="dxa"/>
            <w:vAlign w:val="bottom"/>
          </w:tcPr>
          <w:p>
            <w:pPr>
              <w:jc w:val="center"/>
              <w:ind w:left="421"/>
              <w:spacing w:after="0"/>
              <w:rPr>
                <w:sz w:val="20"/>
                <w:szCs w:val="20"/>
                <w:color w:val="auto"/>
              </w:rPr>
            </w:pPr>
            <w:r>
              <w:rPr>
                <w:rFonts w:ascii="Times New Roman" w:cs="Times New Roman" w:eastAsia="Times New Roman" w:hAnsi="Times New Roman"/>
                <w:sz w:val="16"/>
                <w:szCs w:val="16"/>
                <w:color w:val="auto"/>
              </w:rPr>
              <w:t>Q4 2025</w:t>
            </w:r>
          </w:p>
        </w:tc>
      </w:tr>
      <w:tr>
        <w:trPr>
          <w:trHeight w:val="225"/>
        </w:trPr>
        <w:tc>
          <w:tcPr>
            <w:tcW w:w="1220" w:type="dxa"/>
            <w:vAlign w:val="bottom"/>
          </w:tcPr>
          <w:p>
            <w:pPr>
              <w:jc w:val="center"/>
              <w:ind w:right="441"/>
              <w:spacing w:after="0"/>
              <w:rPr>
                <w:sz w:val="20"/>
                <w:szCs w:val="20"/>
                <w:color w:val="auto"/>
              </w:rPr>
            </w:pPr>
            <w:r>
              <w:rPr>
                <w:rFonts w:ascii="Times New Roman" w:cs="Times New Roman" w:eastAsia="Times New Roman" w:hAnsi="Times New Roman"/>
                <w:sz w:val="16"/>
                <w:szCs w:val="16"/>
                <w:color w:val="auto"/>
                <w:w w:val="97"/>
              </w:rPr>
              <w:t>38,122,000</w:t>
            </w:r>
          </w:p>
        </w:tc>
        <w:tc>
          <w:tcPr>
            <w:tcW w:w="1060" w:type="dxa"/>
            <w:vAlign w:val="bottom"/>
          </w:tcPr>
          <w:p>
            <w:pPr>
              <w:jc w:val="center"/>
              <w:ind w:left="421"/>
              <w:spacing w:after="0" w:line="225" w:lineRule="exact"/>
              <w:rPr>
                <w:sz w:val="20"/>
                <w:szCs w:val="20"/>
                <w:color w:val="auto"/>
              </w:rPr>
            </w:pPr>
            <w:r>
              <w:rPr>
                <w:rFonts w:ascii="Times New Roman" w:cs="Times New Roman" w:eastAsia="Times New Roman" w:hAnsi="Times New Roman"/>
                <w:sz w:val="16"/>
                <w:szCs w:val="16"/>
                <w:color w:val="auto"/>
                <w:w w:val="92"/>
              </w:rPr>
              <w:t>N/A</w:t>
            </w:r>
            <w:r>
              <w:rPr>
                <w:rFonts w:ascii="Times New Roman" w:cs="Times New Roman" w:eastAsia="Times New Roman" w:hAnsi="Times New Roman"/>
                <w:sz w:val="26"/>
                <w:szCs w:val="26"/>
                <w:color w:val="auto"/>
                <w:w w:val="92"/>
                <w:vertAlign w:val="superscript"/>
              </w:rPr>
              <w:t>(7)</w:t>
            </w:r>
          </w:p>
        </w:tc>
      </w:tr>
      <w:tr>
        <w:trPr>
          <w:trHeight w:val="350"/>
        </w:trPr>
        <w:tc>
          <w:tcPr>
            <w:tcW w:w="1220" w:type="dxa"/>
            <w:vAlign w:val="bottom"/>
          </w:tcPr>
          <w:p>
            <w:pPr>
              <w:jc w:val="center"/>
              <w:ind w:right="441"/>
              <w:spacing w:after="0"/>
              <w:rPr>
                <w:sz w:val="20"/>
                <w:szCs w:val="20"/>
                <w:color w:val="auto"/>
              </w:rPr>
            </w:pPr>
            <w:r>
              <w:rPr>
                <w:rFonts w:ascii="Times New Roman" w:cs="Times New Roman" w:eastAsia="Times New Roman" w:hAnsi="Times New Roman"/>
                <w:sz w:val="16"/>
                <w:szCs w:val="16"/>
                <w:color w:val="auto"/>
                <w:w w:val="97"/>
              </w:rPr>
              <w:t>25,995,000</w:t>
            </w:r>
          </w:p>
        </w:tc>
        <w:tc>
          <w:tcPr>
            <w:tcW w:w="1060" w:type="dxa"/>
            <w:vAlign w:val="bottom"/>
          </w:tcPr>
          <w:p>
            <w:pPr>
              <w:jc w:val="center"/>
              <w:ind w:left="421"/>
              <w:spacing w:after="0"/>
              <w:rPr>
                <w:sz w:val="20"/>
                <w:szCs w:val="20"/>
                <w:color w:val="auto"/>
              </w:rPr>
            </w:pPr>
            <w:r>
              <w:rPr>
                <w:rFonts w:ascii="Times New Roman" w:cs="Times New Roman" w:eastAsia="Times New Roman" w:hAnsi="Times New Roman"/>
                <w:sz w:val="16"/>
                <w:szCs w:val="16"/>
                <w:color w:val="auto"/>
                <w:w w:val="92"/>
              </w:rPr>
              <w:t>N/A</w:t>
            </w:r>
            <w:r>
              <w:rPr>
                <w:rFonts w:ascii="Times New Roman" w:cs="Times New Roman" w:eastAsia="Times New Roman" w:hAnsi="Times New Roman"/>
                <w:sz w:val="26"/>
                <w:szCs w:val="26"/>
                <w:color w:val="auto"/>
                <w:w w:val="92"/>
                <w:vertAlign w:val="superscript"/>
              </w:rPr>
              <w:t>(7)</w:t>
            </w:r>
          </w:p>
        </w:tc>
      </w:tr>
      <w:tr>
        <w:trPr>
          <w:trHeight w:val="270"/>
        </w:trPr>
        <w:tc>
          <w:tcPr>
            <w:tcW w:w="1220" w:type="dxa"/>
            <w:vAlign w:val="bottom"/>
          </w:tcPr>
          <w:p>
            <w:pPr>
              <w:jc w:val="center"/>
              <w:ind w:right="441"/>
              <w:spacing w:after="0"/>
              <w:rPr>
                <w:sz w:val="20"/>
                <w:szCs w:val="20"/>
                <w:color w:val="auto"/>
              </w:rPr>
            </w:pPr>
            <w:r>
              <w:rPr>
                <w:rFonts w:ascii="Times New Roman" w:cs="Times New Roman" w:eastAsia="Times New Roman" w:hAnsi="Times New Roman"/>
                <w:sz w:val="16"/>
                <w:szCs w:val="16"/>
                <w:color w:val="auto"/>
                <w:w w:val="96"/>
              </w:rPr>
              <w:t>1,339,000</w:t>
            </w:r>
          </w:p>
        </w:tc>
        <w:tc>
          <w:tcPr>
            <w:tcW w:w="1060" w:type="dxa"/>
            <w:vAlign w:val="bottom"/>
          </w:tcPr>
          <w:p>
            <w:pPr>
              <w:jc w:val="center"/>
              <w:ind w:left="421"/>
              <w:spacing w:after="0"/>
              <w:rPr>
                <w:sz w:val="20"/>
                <w:szCs w:val="20"/>
                <w:color w:val="auto"/>
              </w:rPr>
            </w:pPr>
            <w:r>
              <w:rPr>
                <w:rFonts w:ascii="Times New Roman" w:cs="Times New Roman" w:eastAsia="Times New Roman" w:hAnsi="Times New Roman"/>
                <w:sz w:val="16"/>
                <w:szCs w:val="16"/>
                <w:color w:val="auto"/>
              </w:rPr>
              <w:t>Q1 2026</w:t>
            </w:r>
          </w:p>
        </w:tc>
      </w:tr>
      <w:tr>
        <w:trPr>
          <w:trHeight w:val="361"/>
        </w:trPr>
        <w:tc>
          <w:tcPr>
            <w:tcW w:w="1220" w:type="dxa"/>
            <w:vAlign w:val="bottom"/>
          </w:tcPr>
          <w:p>
            <w:pPr>
              <w:jc w:val="center"/>
              <w:ind w:right="441"/>
              <w:spacing w:after="0"/>
              <w:rPr>
                <w:sz w:val="20"/>
                <w:szCs w:val="20"/>
                <w:color w:val="auto"/>
              </w:rPr>
            </w:pPr>
            <w:r>
              <w:rPr>
                <w:rFonts w:ascii="Times New Roman" w:cs="Times New Roman" w:eastAsia="Times New Roman" w:hAnsi="Times New Roman"/>
                <w:sz w:val="16"/>
                <w:szCs w:val="16"/>
                <w:color w:val="auto"/>
                <w:w w:val="96"/>
              </w:rPr>
              <w:t>1,404,000</w:t>
            </w:r>
          </w:p>
        </w:tc>
        <w:tc>
          <w:tcPr>
            <w:tcW w:w="1060" w:type="dxa"/>
            <w:vAlign w:val="bottom"/>
          </w:tcPr>
          <w:p>
            <w:pPr>
              <w:jc w:val="center"/>
              <w:ind w:left="421"/>
              <w:spacing w:after="0"/>
              <w:rPr>
                <w:sz w:val="20"/>
                <w:szCs w:val="20"/>
                <w:color w:val="auto"/>
              </w:rPr>
            </w:pPr>
            <w:r>
              <w:rPr>
                <w:rFonts w:ascii="Times New Roman" w:cs="Times New Roman" w:eastAsia="Times New Roman" w:hAnsi="Times New Roman"/>
                <w:sz w:val="16"/>
                <w:szCs w:val="16"/>
                <w:color w:val="auto"/>
              </w:rPr>
              <w:t>Q3 2026</w:t>
            </w:r>
          </w:p>
        </w:tc>
      </w:tr>
      <w:tr>
        <w:trPr>
          <w:trHeight w:val="206"/>
        </w:trPr>
        <w:tc>
          <w:tcPr>
            <w:tcW w:w="1220" w:type="dxa"/>
            <w:vAlign w:val="bottom"/>
          </w:tcPr>
          <w:p>
            <w:pPr>
              <w:jc w:val="center"/>
              <w:ind w:right="441"/>
              <w:spacing w:after="0"/>
              <w:rPr>
                <w:sz w:val="20"/>
                <w:szCs w:val="20"/>
                <w:color w:val="auto"/>
              </w:rPr>
            </w:pPr>
            <w:r>
              <w:rPr>
                <w:rFonts w:ascii="Times New Roman" w:cs="Times New Roman" w:eastAsia="Times New Roman" w:hAnsi="Times New Roman"/>
                <w:sz w:val="16"/>
                <w:szCs w:val="16"/>
                <w:color w:val="auto"/>
                <w:w w:val="97"/>
              </w:rPr>
              <w:t>99,690,000</w:t>
            </w:r>
          </w:p>
        </w:tc>
        <w:tc>
          <w:tcPr>
            <w:tcW w:w="1060" w:type="dxa"/>
            <w:vAlign w:val="bottom"/>
          </w:tcPr>
          <w:p>
            <w:pPr>
              <w:jc w:val="center"/>
              <w:ind w:left="421"/>
              <w:spacing w:after="0"/>
              <w:rPr>
                <w:sz w:val="20"/>
                <w:szCs w:val="20"/>
                <w:color w:val="auto"/>
              </w:rPr>
            </w:pPr>
            <w:r>
              <w:rPr>
                <w:rFonts w:ascii="Times New Roman" w:cs="Times New Roman" w:eastAsia="Times New Roman" w:hAnsi="Times New Roman"/>
                <w:sz w:val="16"/>
                <w:szCs w:val="16"/>
                <w:color w:val="auto"/>
              </w:rPr>
              <w:t>N/A</w:t>
            </w:r>
          </w:p>
        </w:tc>
      </w:tr>
    </w:tbl>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202,000,000</w:t>
      </w:r>
    </w:p>
    <w:p>
      <w:pPr>
        <w:spacing w:after="0" w:line="220" w:lineRule="exact"/>
        <w:rPr>
          <w:sz w:val="20"/>
          <w:szCs w:val="20"/>
          <w:color w:val="auto"/>
        </w:rPr>
      </w:pPr>
    </w:p>
    <w:p>
      <w:pPr>
        <w:sectPr>
          <w:pgSz w:w="11900" w:h="16838" w:orient="portrait"/>
          <w:cols w:equalWidth="0" w:num="2">
            <w:col w:w="7600" w:space="720"/>
            <w:col w:w="2940"/>
          </w:cols>
          <w:pgMar w:left="320" w:top="115" w:right="319" w:bottom="1440" w:gutter="0" w:footer="0" w:header="0"/>
          <w:type w:val="continuous"/>
        </w:sectPr>
      </w:pP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9"/>
          <w:szCs w:val="19"/>
          <w:b w:val="1"/>
          <w:bCs w:val="1"/>
          <w:u w:val="single" w:color="auto"/>
          <w:color w:val="auto"/>
        </w:rPr>
        <w:t>Notes:</w:t>
      </w:r>
    </w:p>
    <w:p>
      <w:pPr>
        <w:spacing w:after="0" w:line="164" w:lineRule="exact"/>
        <w:rPr>
          <w:sz w:val="20"/>
          <w:szCs w:val="20"/>
          <w:color w:val="auto"/>
        </w:rPr>
      </w:pPr>
    </w:p>
    <w:p>
      <w:pPr>
        <w:ind w:left="440" w:hanging="218"/>
        <w:spacing w:after="0" w:line="244" w:lineRule="auto"/>
        <w:tabs>
          <w:tab w:leader="none" w:pos="482"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Please see the Interim MD&amp;A for a description of the Corporation's programs. All milestones are subject to receipt of all necessary approvals, including the academic and scientific organizations with which the Corporation is working.</w:t>
      </w:r>
    </w:p>
    <w:p>
      <w:pPr>
        <w:spacing w:after="0" w:line="1" w:lineRule="exact"/>
        <w:rPr>
          <w:rFonts w:ascii="Times New Roman" w:cs="Times New Roman" w:eastAsia="Times New Roman" w:hAnsi="Times New Roman"/>
          <w:sz w:val="19"/>
          <w:szCs w:val="19"/>
          <w:color w:val="auto"/>
        </w:rPr>
      </w:pPr>
    </w:p>
    <w:p>
      <w:pPr>
        <w:jc w:val="both"/>
        <w:ind w:left="440" w:right="20" w:hanging="218"/>
        <w:spacing w:after="0" w:line="233" w:lineRule="auto"/>
        <w:tabs>
          <w:tab w:leader="none" w:pos="482"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Effective April 1, 2025, the Corporation changed its presentation currency from the Canadian dollar to the United States dollar. The change in presentation currency was made to better reflect the Corporation's operations, align with the currency in which the majority of cash based expenses are denominated, and improve comparability of its financial results with other publicly traded businesses in the industry. As a result, all amounts presented under the heading "Sources and Uses of Capital" are in United States dollar unless otherwise stated.</w:t>
      </w:r>
    </w:p>
    <w:p>
      <w:pPr>
        <w:spacing w:after="0" w:line="3" w:lineRule="exact"/>
        <w:rPr>
          <w:rFonts w:ascii="Times New Roman" w:cs="Times New Roman" w:eastAsia="Times New Roman" w:hAnsi="Times New Roman"/>
          <w:sz w:val="19"/>
          <w:szCs w:val="19"/>
          <w:color w:val="auto"/>
        </w:rPr>
      </w:pPr>
    </w:p>
    <w:p>
      <w:pPr>
        <w:ind w:left="480" w:hanging="258"/>
        <w:spacing w:after="0" w:line="233" w:lineRule="auto"/>
        <w:tabs>
          <w:tab w:leader="none" w:pos="48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Represents proceeds from private placements and offerings previously disclosed.</w:t>
      </w:r>
    </w:p>
    <w:p>
      <w:pPr>
        <w:jc w:val="both"/>
        <w:ind w:left="440" w:hanging="218"/>
        <w:spacing w:after="0" w:line="233" w:lineRule="auto"/>
        <w:tabs>
          <w:tab w:leader="none" w:pos="476"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Anticipated timeline for completion is based on the calendar year. There is no assurance that these timelines will be met or that the programs will advance. Drug development involves long lead times, is very expensive and involves many variables of uncertainty. Anticipated spending and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7" w:lineRule="exact"/>
        <w:rPr>
          <w:rFonts w:ascii="Times New Roman" w:cs="Times New Roman" w:eastAsia="Times New Roman" w:hAnsi="Times New Roman"/>
          <w:sz w:val="19"/>
          <w:szCs w:val="19"/>
          <w:color w:val="auto"/>
        </w:rPr>
      </w:pPr>
    </w:p>
    <w:p>
      <w:pPr>
        <w:jc w:val="both"/>
        <w:ind w:left="440" w:hanging="218"/>
        <w:spacing w:after="0" w:line="233" w:lineRule="auto"/>
        <w:tabs>
          <w:tab w:leader="none" w:pos="476"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Corporation's APPROACH trial participants (n=220) will be randomized 1:1 to receive 16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APPROACH is expected to enroll at approximately 45 clinical sites across the U.S. The Corporation's EMBRACE trial participants (n=330) will be randomized 1:1:1 to receive 16 mg of CYB003 (n=110), 8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EMBRACE is expected to enroll at approximately 60 clinical sites, with minimal site overlap with the APPROACH study. Participants (up to n=550) from APPROACH and EMBRACE will roll over into EXTEND, the Corporation's Phase 3 Pivotal study 3 trial, after the completion of the 12-week, double-blind, placebo-controlled treatment periods. 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 The Corporation has engaged Worldwide Clinical Trials Inc, a full-service contract research organization with deep expertise in central nervous system drug development, to carry out the Phase 3 pivotal studies of CYB003. The Corporation cannot at this time estimate the cost of bringing CYB003 drug candidate to market as much of the associated costs depend on the outcomes of the phase III pivotal clinical trials. Further, there is no assurance that the aforementioned timelines will be met or that such studies will be completed.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20" w:lineRule="exact"/>
        <w:rPr>
          <w:rFonts w:ascii="Times New Roman" w:cs="Times New Roman" w:eastAsia="Times New Roman" w:hAnsi="Times New Roman"/>
          <w:sz w:val="19"/>
          <w:szCs w:val="19"/>
          <w:color w:val="auto"/>
        </w:rPr>
      </w:pPr>
    </w:p>
    <w:p>
      <w:pPr>
        <w:jc w:val="both"/>
        <w:ind w:left="440" w:hanging="218"/>
        <w:spacing w:after="0" w:line="233" w:lineRule="auto"/>
        <w:tabs>
          <w:tab w:leader="none" w:pos="482"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Psilocin Program and Deuterated Dimethyltryptamine Program. The allocation between and specific milestones within these programs have not yet been determined.</w:t>
      </w:r>
    </w:p>
    <w:p>
      <w:pPr>
        <w:spacing w:after="0" w:line="3" w:lineRule="exact"/>
        <w:rPr>
          <w:rFonts w:ascii="Times New Roman" w:cs="Times New Roman" w:eastAsia="Times New Roman" w:hAnsi="Times New Roman"/>
          <w:sz w:val="19"/>
          <w:szCs w:val="19"/>
          <w:color w:val="auto"/>
        </w:rPr>
      </w:pPr>
    </w:p>
    <w:p>
      <w:pPr>
        <w:ind w:left="440" w:right="20" w:hanging="218"/>
        <w:spacing w:after="0"/>
        <w:tabs>
          <w:tab w:leader="none" w:pos="49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 will progress the Phase 3 study EMBRACE and Phase 3 study EXTEND over the next 12 months however, these studies are not anticipated to be completed within the 12 month timeframe.</w:t>
      </w:r>
    </w:p>
    <w:p>
      <w:pPr>
        <w:spacing w:after="0" w:line="119" w:lineRule="exact"/>
        <w:rPr>
          <w:sz w:val="20"/>
          <w:szCs w:val="20"/>
          <w:color w:val="auto"/>
        </w:rPr>
      </w:pPr>
    </w:p>
    <w:p>
      <w:pPr>
        <w:jc w:val="both"/>
        <w:ind w:left="220" w:right="20"/>
        <w:spacing w:after="0" w:line="244" w:lineRule="auto"/>
        <w:rPr>
          <w:sz w:val="20"/>
          <w:szCs w:val="20"/>
          <w:color w:val="auto"/>
        </w:rPr>
      </w:pPr>
      <w:r>
        <w:rPr>
          <w:rFonts w:ascii="Times New Roman" w:cs="Times New Roman" w:eastAsia="Times New Roman" w:hAnsi="Times New Roman"/>
          <w:sz w:val="19"/>
          <w:szCs w:val="19"/>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2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113665</wp:posOffset>
            </wp:positionV>
            <wp:extent cx="716978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040"/>
          </w:cols>
          <w:pgMar w:left="540" w:top="479" w:right="319" w:bottom="1440" w:gutter="0" w:footer="0" w:header="0"/>
        </w:sectPr>
      </w:pPr>
    </w:p>
    <w:bookmarkStart w:id="7" w:name="page8"/>
    <w:bookmarkEnd w:id="7"/>
    <w:p>
      <w:pPr>
        <w:jc w:val="both"/>
        <w:ind w:left="440" w:right="20"/>
        <w:spacing w:after="0" w:line="248" w:lineRule="auto"/>
        <w:rPr>
          <w:sz w:val="20"/>
          <w:szCs w:val="20"/>
          <w:color w:val="auto"/>
        </w:rPr>
      </w:pPr>
      <w:r>
        <w:rPr>
          <w:rFonts w:ascii="Times New Roman" w:cs="Times New Roman" w:eastAsia="Times New Roman" w:hAnsi="Times New Roman"/>
          <w:sz w:val="19"/>
          <w:szCs w:val="19"/>
          <w:color w:val="auto"/>
        </w:rPr>
        <w:t>As at December 19, 2025, the Corporation's current financial resources, absent any capital injections, will be sufficient to meet the Corporation's short-term liquidity requirements and to fund its operations for the coming 12 months. The Corporation makes this statement based on its current cash position of approximately US$202,000,000.</w:t>
      </w:r>
    </w:p>
    <w:p>
      <w:pPr>
        <w:spacing w:after="0" w:line="112" w:lineRule="exact"/>
        <w:rPr>
          <w:sz w:val="20"/>
          <w:szCs w:val="20"/>
          <w:color w:val="auto"/>
        </w:rPr>
      </w:pPr>
    </w:p>
    <w:p>
      <w:pPr>
        <w:jc w:val="both"/>
        <w:ind w:left="440" w:right="20"/>
        <w:spacing w:after="0" w:line="266" w:lineRule="auto"/>
        <w:rPr>
          <w:sz w:val="20"/>
          <w:szCs w:val="20"/>
          <w:color w:val="auto"/>
        </w:rPr>
      </w:pPr>
      <w:r>
        <w:rPr>
          <w:rFonts w:ascii="Times New Roman" w:cs="Times New Roman" w:eastAsia="Times New Roman" w:hAnsi="Times New Roman"/>
          <w:sz w:val="19"/>
          <w:szCs w:val="19"/>
          <w:color w:val="auto"/>
        </w:rPr>
        <w:t>The Corporation's expectation is based on certain assumptions and risks as set forth in the section "</w:t>
      </w:r>
      <w:r>
        <w:rPr>
          <w:rFonts w:ascii="Times New Roman" w:cs="Times New Roman" w:eastAsia="Times New Roman" w:hAnsi="Times New Roman"/>
          <w:sz w:val="19"/>
          <w:szCs w:val="19"/>
          <w:i w:val="1"/>
          <w:iCs w:val="1"/>
          <w:color w:val="auto"/>
        </w:rPr>
        <w:t>Cautionary Note Regarding Forward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Looking Information</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 in this Prospectus.</w:t>
      </w:r>
    </w:p>
    <w:p>
      <w:pPr>
        <w:spacing w:after="0" w:line="111" w:lineRule="exact"/>
        <w:rPr>
          <w:sz w:val="20"/>
          <w:szCs w:val="20"/>
          <w:color w:val="auto"/>
        </w:rPr>
      </w:pPr>
    </w:p>
    <w:p>
      <w:pPr>
        <w:jc w:val="both"/>
        <w:ind w:left="440"/>
        <w:spacing w:after="0" w:line="237" w:lineRule="auto"/>
        <w:rPr>
          <w:sz w:val="20"/>
          <w:szCs w:val="20"/>
          <w:color w:val="auto"/>
        </w:rPr>
      </w:pPr>
      <w:r>
        <w:rPr>
          <w:rFonts w:ascii="Times New Roman" w:cs="Times New Roman" w:eastAsia="Times New Roman" w:hAnsi="Times New Roman"/>
          <w:sz w:val="19"/>
          <w:szCs w:val="19"/>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19"/>
          <w:szCs w:val="19"/>
          <w:i w:val="1"/>
          <w:iCs w:val="1"/>
          <w:color w:val="auto"/>
        </w:rPr>
        <w:t>Cautionary Note Regarding Forward-Looking Information"</w:t>
      </w:r>
      <w:r>
        <w:rPr>
          <w:rFonts w:ascii="Times New Roman" w:cs="Times New Roman" w:eastAsia="Times New Roman" w:hAnsi="Times New Roman"/>
          <w:sz w:val="19"/>
          <w:szCs w:val="19"/>
          <w:color w:val="auto"/>
        </w:rPr>
        <w:t xml:space="preserve"> section above. The actual amount that the Corporation spends in connection with each of the identified uses and programs will depend on a number of factors, including those listed under </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 xml:space="preserve"> in, or incorporated by reference in, this Prospectus.</w:t>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Negative Cash Flow From Operations</w:t>
      </w:r>
    </w:p>
    <w:p>
      <w:pPr>
        <w:spacing w:after="0" w:line="152" w:lineRule="exact"/>
        <w:rPr>
          <w:sz w:val="20"/>
          <w:szCs w:val="20"/>
          <w:color w:val="auto"/>
        </w:rPr>
      </w:pPr>
    </w:p>
    <w:p>
      <w:pPr>
        <w:jc w:val="both"/>
        <w:ind w:left="440"/>
        <w:spacing w:after="0" w:line="236" w:lineRule="auto"/>
        <w:rPr>
          <w:sz w:val="20"/>
          <w:szCs w:val="20"/>
          <w:color w:val="auto"/>
        </w:rPr>
      </w:pPr>
      <w:r>
        <w:rPr>
          <w:rFonts w:ascii="Times New Roman" w:cs="Times New Roman" w:eastAsia="Times New Roman" w:hAnsi="Times New Roman"/>
          <w:sz w:val="19"/>
          <w:szCs w:val="19"/>
          <w:color w:val="auto"/>
        </w:rPr>
        <w:t xml:space="preserve">Since inception, the Corporation has financed its operations primarily from the issuance of equity and interest income on funds available for investment. To date, the Corporation has raised approximately US$537,755,000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19"/>
          <w:szCs w:val="19"/>
          <w:i w:val="1"/>
          <w:iCs w:val="1"/>
          <w:color w:val="auto"/>
        </w:rPr>
        <w:t>"Risk Factors - Risks Related to an Offering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Negative Operating Cash Flow".</w:t>
      </w:r>
      <w:r>
        <w:rPr>
          <w:rFonts w:ascii="Times New Roman" w:cs="Times New Roman" w:eastAsia="Times New Roman" w:hAnsi="Times New Roman"/>
          <w:sz w:val="19"/>
          <w:szCs w:val="19"/>
          <w:color w:val="auto"/>
        </w:rPr>
        <w:t>"</w:t>
      </w:r>
    </w:p>
    <w:p>
      <w:pPr>
        <w:spacing w:after="0" w:line="14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Prospectus must be read together with this amendment, any documents incorporated or deemed to be incorporated by reference therein from time to time and any supplements relating to an Offering of Securities thereunder. The statements contained in the Prospectus or in a document incorporated or deemed to be incorporated by reference therein on or subsequent to December 19, 2025, are modified or superseded for the purposes of this amendment to the extent that a statement contained in any subsequently filed document, which is also or is deemed to be incorporated by reference therein, modifies or superseded that statement.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RISK FACTORS</w:t>
      </w:r>
    </w:p>
    <w:p>
      <w:pPr>
        <w:spacing w:after="0" w:line="14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Times New Roman" w:cs="Times New Roman" w:eastAsia="Times New Roman" w:hAnsi="Times New Roman"/>
          <w:sz w:val="19"/>
          <w:szCs w:val="19"/>
          <w:b w:val="1"/>
          <w:bCs w:val="1"/>
          <w:i w:val="1"/>
          <w:iCs w:val="1"/>
          <w:color w:val="auto"/>
        </w:rPr>
        <w:t>Risk Factors"</w:t>
      </w:r>
      <w:r>
        <w:rPr>
          <w:rFonts w:ascii="Times New Roman" w:cs="Times New Roman" w:eastAsia="Times New Roman" w:hAnsi="Times New Roman"/>
          <w:sz w:val="19"/>
          <w:szCs w:val="19"/>
          <w:b w:val="1"/>
          <w:bCs w:val="1"/>
          <w:color w:val="auto"/>
        </w:rPr>
        <w:t xml:space="preserve"> in the Annual Information Form and in the Interim MD&amp;A, and any other risk factors described herein or in a document incorporated by reference herein, which investors should carefully consider before investing. </w:t>
      </w:r>
      <w:r>
        <w:rPr>
          <w:rFonts w:ascii="Times New Roman" w:cs="Times New Roman" w:eastAsia="Times New Roman" w:hAnsi="Times New Roman"/>
          <w:sz w:val="19"/>
          <w:szCs w:val="19"/>
          <w:color w:val="auto"/>
        </w:rPr>
        <w:t>Additional risk factors relating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9"/>
          <w:szCs w:val="19"/>
          <w:i w:val="1"/>
          <w:iCs w:val="1"/>
          <w:color w:val="auto"/>
        </w:rPr>
        <w:t>Enforcement of Civil Liabilities</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3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2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Most of the officers and directors named in this Prospectus are not residents of the United States, and some of the Corporation's assets and all or a substantial portion of the assets of such person are located outside of the United States.</w:t>
      </w:r>
    </w:p>
    <w:p>
      <w:pPr>
        <w:spacing w:after="0" w:line="102"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33"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INFORMATION REQUIRED TO BE DELIVERED TO OFFEREES OR PURCHASERS</w:t>
      </w:r>
    </w:p>
    <w:p>
      <w:pPr>
        <w:spacing w:after="0" w:line="16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i w:val="1"/>
          <w:iCs w:val="1"/>
          <w:color w:val="FF0000"/>
        </w:rPr>
        <w:t>This short form prospectus is a base shelf prospectus. This short form base shelf prospectus has been filed under legislation in each of the provinces and the territories of Canada that permits certain information about these securities to be determined after this prospectus has become final and that permits the omission from this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has been obtained.</w:t>
      </w:r>
    </w:p>
    <w:p>
      <w:pPr>
        <w:spacing w:after="0" w:line="115"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9"/>
          <w:szCs w:val="19"/>
          <w:b w:val="1"/>
          <w:bCs w:val="1"/>
          <w:i w:val="1"/>
          <w:iCs w:val="1"/>
          <w:color w:val="auto"/>
        </w:rPr>
        <w:t>No securities regulatory authority has expressed an opinion about these securities and it is an offence to claim otherwise. This short form base shelf prospectus constitutes a public offering of these securities only in those jurisdictions where they may be lawfully offered for sale and therein only by persons permitted to sell such securities.</w:t>
      </w:r>
    </w:p>
    <w:p>
      <w:pPr>
        <w:spacing w:after="0" w:line="109"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9"/>
          <w:szCs w:val="19"/>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i w:val="1"/>
          <w:iCs w:val="1"/>
          <w:color w:val="auto"/>
        </w:rPr>
        <w:t>"). These securities may not be sold nor may offers to buy be accepted prior to the time the registration statement becomes effective. This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19"/>
          <w:szCs w:val="19"/>
          <w:i w:val="1"/>
          <w:iCs w:val="1"/>
          <w:color w:val="auto"/>
        </w:rPr>
        <w:t>Copies of the documents incorporated herein by reference may be obtained on request without charge from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Secretary of Cybin Inc. at 100 King Street West, Suite 5600, Toronto, Ontario M5X 1C9, telephone 1-866-292-4601, and are also available electronically at www.sedarplus.ca.</w:t>
      </w:r>
    </w:p>
    <w:p>
      <w:pPr>
        <w:spacing w:after="0" w:line="126" w:lineRule="exact"/>
        <w:rPr>
          <w:sz w:val="20"/>
          <w:szCs w:val="20"/>
          <w:color w:val="auto"/>
        </w:rPr>
      </w:pPr>
    </w:p>
    <w:p>
      <w:pPr>
        <w:spacing w:after="0"/>
        <w:tabs>
          <w:tab w:leader="none" w:pos="9960" w:val="left"/>
        </w:tabs>
        <w:rPr>
          <w:sz w:val="20"/>
          <w:szCs w:val="20"/>
          <w:color w:val="auto"/>
        </w:rPr>
      </w:pPr>
      <w:r>
        <w:rPr>
          <w:rFonts w:ascii="Times New Roman" w:cs="Times New Roman" w:eastAsia="Times New Roman" w:hAnsi="Times New Roman"/>
          <w:sz w:val="16"/>
          <w:szCs w:val="16"/>
          <w:u w:val="single" w:color="auto"/>
          <w:color w:val="auto"/>
        </w:rPr>
        <w:t>New Issue and/or Secondary Offering</w:t>
      </w:r>
      <w:r>
        <w:rPr>
          <w:sz w:val="20"/>
          <w:szCs w:val="20"/>
          <w:color w:val="auto"/>
        </w:rPr>
        <w:tab/>
      </w:r>
      <w:r>
        <w:rPr>
          <w:rFonts w:ascii="Times New Roman" w:cs="Times New Roman" w:eastAsia="Times New Roman" w:hAnsi="Times New Roman"/>
          <w:sz w:val="15"/>
          <w:szCs w:val="15"/>
          <w:color w:val="auto"/>
        </w:rPr>
        <w:t>September 17, 2025</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SHORT FORM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118745</wp:posOffset>
            </wp:positionV>
            <wp:extent cx="1704975" cy="1036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04975" cy="103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$800,000,000</w:t>
      </w:r>
    </w:p>
    <w:p>
      <w:pPr>
        <w:jc w:val="center"/>
        <w:spacing w:after="0" w:line="233" w:lineRule="auto"/>
        <w:rPr>
          <w:sz w:val="20"/>
          <w:szCs w:val="20"/>
          <w:color w:val="auto"/>
        </w:rPr>
      </w:pPr>
      <w:r>
        <w:rPr>
          <w:rFonts w:ascii="Times New Roman" w:cs="Times New Roman" w:eastAsia="Times New Roman" w:hAnsi="Times New Roman"/>
          <w:sz w:val="19"/>
          <w:szCs w:val="19"/>
          <w:b w:val="1"/>
          <w:bCs w:val="1"/>
          <w:color w:val="auto"/>
        </w:rPr>
        <w:t>Common Shares</w:t>
      </w:r>
    </w:p>
    <w:p>
      <w:pPr>
        <w:jc w:val="center"/>
        <w:spacing w:after="0" w:line="234" w:lineRule="auto"/>
        <w:rPr>
          <w:sz w:val="20"/>
          <w:szCs w:val="20"/>
          <w:color w:val="auto"/>
        </w:rPr>
      </w:pPr>
      <w:r>
        <w:rPr>
          <w:rFonts w:ascii="Times New Roman" w:cs="Times New Roman" w:eastAsia="Times New Roman" w:hAnsi="Times New Roman"/>
          <w:sz w:val="19"/>
          <w:szCs w:val="19"/>
          <w:b w:val="1"/>
          <w:bCs w:val="1"/>
          <w:color w:val="auto"/>
        </w:rPr>
        <w:t>Warrants</w:t>
      </w:r>
    </w:p>
    <w:p>
      <w:pPr>
        <w:jc w:val="center"/>
        <w:spacing w:after="0" w:line="234" w:lineRule="auto"/>
        <w:rPr>
          <w:sz w:val="20"/>
          <w:szCs w:val="20"/>
          <w:color w:val="auto"/>
        </w:rPr>
      </w:pPr>
      <w:r>
        <w:rPr>
          <w:rFonts w:ascii="Times New Roman" w:cs="Times New Roman" w:eastAsia="Times New Roman" w:hAnsi="Times New Roman"/>
          <w:sz w:val="19"/>
          <w:szCs w:val="19"/>
          <w:b w:val="1"/>
          <w:bCs w:val="1"/>
          <w:color w:val="auto"/>
        </w:rPr>
        <w:t>Units</w:t>
      </w:r>
    </w:p>
    <w:p>
      <w:pPr>
        <w:jc w:val="center"/>
        <w:spacing w:after="0" w:line="234" w:lineRule="auto"/>
        <w:rPr>
          <w:sz w:val="20"/>
          <w:szCs w:val="20"/>
          <w:color w:val="auto"/>
        </w:rPr>
      </w:pPr>
      <w:r>
        <w:rPr>
          <w:rFonts w:ascii="Times New Roman" w:cs="Times New Roman" w:eastAsia="Times New Roman" w:hAnsi="Times New Roman"/>
          <w:sz w:val="19"/>
          <w:szCs w:val="19"/>
          <w:b w:val="1"/>
          <w:bCs w:val="1"/>
          <w:color w:val="auto"/>
        </w:rPr>
        <w:t>Debt Securities</w:t>
      </w:r>
    </w:p>
    <w:p>
      <w:pPr>
        <w:jc w:val="center"/>
        <w:spacing w:after="0"/>
        <w:rPr>
          <w:sz w:val="20"/>
          <w:szCs w:val="20"/>
          <w:color w:val="auto"/>
        </w:rPr>
      </w:pPr>
      <w:r>
        <w:rPr>
          <w:rFonts w:ascii="Times New Roman" w:cs="Times New Roman" w:eastAsia="Times New Roman" w:hAnsi="Times New Roman"/>
          <w:sz w:val="19"/>
          <w:szCs w:val="19"/>
          <w:b w:val="1"/>
          <w:bCs w:val="1"/>
          <w:color w:val="auto"/>
        </w:rPr>
        <w:t>Subscription Receipts</w:t>
      </w:r>
    </w:p>
    <w:p>
      <w:pPr>
        <w:spacing w:after="0" w:line="12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This short form base shelf prospectus ("</w:t>
      </w:r>
      <w:r>
        <w:rPr>
          <w:rFonts w:ascii="Times New Roman" w:cs="Times New Roman" w:eastAsia="Times New Roman" w:hAnsi="Times New Roman"/>
          <w:sz w:val="19"/>
          <w:szCs w:val="19"/>
          <w:b w:val="1"/>
          <w:bCs w:val="1"/>
          <w:color w:val="auto"/>
        </w:rPr>
        <w:t>Prospectus</w:t>
      </w:r>
      <w:r>
        <w:rPr>
          <w:rFonts w:ascii="Times New Roman" w:cs="Times New Roman" w:eastAsia="Times New Roman" w:hAnsi="Times New Roman"/>
          <w:sz w:val="19"/>
          <w:szCs w:val="19"/>
          <w:color w:val="auto"/>
        </w:rPr>
        <w:t>") relates to the offering for sale from time to time (each, an "</w:t>
      </w:r>
      <w:r>
        <w:rPr>
          <w:rFonts w:ascii="Times New Roman" w:cs="Times New Roman" w:eastAsia="Times New Roman" w:hAnsi="Times New Roman"/>
          <w:sz w:val="19"/>
          <w:szCs w:val="19"/>
          <w:b w:val="1"/>
          <w:bCs w:val="1"/>
          <w:color w:val="auto"/>
        </w:rPr>
        <w:t>Offering</w:t>
      </w:r>
      <w:r>
        <w:rPr>
          <w:rFonts w:ascii="Times New Roman" w:cs="Times New Roman" w:eastAsia="Times New Roman" w:hAnsi="Times New Roman"/>
          <w:sz w:val="19"/>
          <w:szCs w:val="19"/>
          <w:color w:val="auto"/>
        </w:rPr>
        <w:t>") by Cybin Inc. (the "</w:t>
      </w:r>
      <w:r>
        <w:rPr>
          <w:rFonts w:ascii="Times New Roman" w:cs="Times New Roman" w:eastAsia="Times New Roman" w:hAnsi="Times New Roman"/>
          <w:sz w:val="19"/>
          <w:szCs w:val="19"/>
          <w:b w:val="1"/>
          <w:bCs w:val="1"/>
          <w:color w:val="auto"/>
        </w:rPr>
        <w:t>Corporation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Cybin</w:t>
      </w:r>
      <w:r>
        <w:rPr>
          <w:rFonts w:ascii="Times New Roman" w:cs="Times New Roman" w:eastAsia="Times New Roman" w:hAnsi="Times New Roman"/>
          <w:sz w:val="19"/>
          <w:szCs w:val="19"/>
          <w:color w:val="auto"/>
        </w:rPr>
        <w:t>") during the 25-month period that this Prospectus, including any of amendments thereto, remains valid, of up to $</w:t>
      </w:r>
      <w:r>
        <w:rPr>
          <w:rFonts w:ascii="Times New Roman" w:cs="Times New Roman" w:eastAsia="Times New Roman" w:hAnsi="Times New Roman"/>
          <w:sz w:val="19"/>
          <w:szCs w:val="19"/>
          <w:b w:val="1"/>
          <w:bCs w:val="1"/>
          <w:color w:val="auto"/>
        </w:rPr>
        <w:t>800,000,000</w:t>
      </w:r>
      <w:r>
        <w:rPr>
          <w:rFonts w:ascii="Times New Roman" w:cs="Times New Roman" w:eastAsia="Times New Roman" w:hAnsi="Times New Roman"/>
          <w:sz w:val="19"/>
          <w:szCs w:val="19"/>
          <w:color w:val="auto"/>
        </w:rPr>
        <w:t xml:space="preserve"> in the aggregate of: (i) common shares ("</w:t>
      </w:r>
      <w:r>
        <w:rPr>
          <w:rFonts w:ascii="Times New Roman" w:cs="Times New Roman" w:eastAsia="Times New Roman" w:hAnsi="Times New Roman"/>
          <w:sz w:val="19"/>
          <w:szCs w:val="19"/>
          <w:b w:val="1"/>
          <w:bCs w:val="1"/>
          <w:color w:val="auto"/>
        </w:rPr>
        <w:t>Common Shares</w:t>
      </w:r>
      <w:r>
        <w:rPr>
          <w:rFonts w:ascii="Times New Roman" w:cs="Times New Roman" w:eastAsia="Times New Roman" w:hAnsi="Times New Roman"/>
          <w:sz w:val="19"/>
          <w:szCs w:val="19"/>
          <w:color w:val="auto"/>
        </w:rPr>
        <w:t>") of the Corporation; (ii) warrants ("</w:t>
      </w:r>
      <w:r>
        <w:rPr>
          <w:rFonts w:ascii="Times New Roman" w:cs="Times New Roman" w:eastAsia="Times New Roman" w:hAnsi="Times New Roman"/>
          <w:sz w:val="19"/>
          <w:szCs w:val="19"/>
          <w:b w:val="1"/>
          <w:bCs w:val="1"/>
          <w:color w:val="auto"/>
        </w:rPr>
        <w:t>Warrants</w:t>
      </w:r>
      <w:r>
        <w:rPr>
          <w:rFonts w:ascii="Times New Roman" w:cs="Times New Roman" w:eastAsia="Times New Roman" w:hAnsi="Times New Roman"/>
          <w:sz w:val="19"/>
          <w:szCs w:val="19"/>
          <w:color w:val="auto"/>
        </w:rPr>
        <w:t>") to purchase other Securities (as defined below) of the Corporation; (iii) units ("</w:t>
      </w:r>
      <w:r>
        <w:rPr>
          <w:rFonts w:ascii="Times New Roman" w:cs="Times New Roman" w:eastAsia="Times New Roman" w:hAnsi="Times New Roman"/>
          <w:sz w:val="19"/>
          <w:szCs w:val="19"/>
          <w:b w:val="1"/>
          <w:bCs w:val="1"/>
          <w:color w:val="auto"/>
        </w:rPr>
        <w:t>Units</w:t>
      </w:r>
      <w:r>
        <w:rPr>
          <w:rFonts w:ascii="Times New Roman" w:cs="Times New Roman" w:eastAsia="Times New Roman" w:hAnsi="Times New Roman"/>
          <w:sz w:val="19"/>
          <w:szCs w:val="19"/>
          <w:color w:val="auto"/>
        </w:rPr>
        <w:t xml:space="preserve">") comprising of one or more of the other Securities, (iv) senior and subordinated unsecured debt securities (collectively, " </w:t>
      </w:r>
      <w:r>
        <w:rPr>
          <w:rFonts w:ascii="Times New Roman" w:cs="Times New Roman" w:eastAsia="Times New Roman" w:hAnsi="Times New Roman"/>
          <w:sz w:val="19"/>
          <w:szCs w:val="19"/>
          <w:b w:val="1"/>
          <w:bCs w:val="1"/>
          <w:color w:val="auto"/>
        </w:rPr>
        <w:t>Debt Securities</w:t>
      </w:r>
      <w:r>
        <w:rPr>
          <w:rFonts w:ascii="Times New Roman" w:cs="Times New Roman" w:eastAsia="Times New Roman" w:hAnsi="Times New Roman"/>
          <w:sz w:val="19"/>
          <w:szCs w:val="19"/>
          <w:color w:val="auto"/>
        </w:rPr>
        <w:t>"), including debt securities convertible or exchangeable into other securities of the Corporation, and (v) subscription receipts ("</w:t>
      </w:r>
      <w:r>
        <w:rPr>
          <w:rFonts w:ascii="Times New Roman" w:cs="Times New Roman" w:eastAsia="Times New Roman" w:hAnsi="Times New Roman"/>
          <w:sz w:val="19"/>
          <w:szCs w:val="19"/>
          <w:b w:val="1"/>
          <w:bCs w:val="1"/>
          <w:color w:val="auto"/>
        </w:rPr>
        <w:t>Subscription Receipts</w:t>
      </w:r>
      <w:r>
        <w:rPr>
          <w:rFonts w:ascii="Times New Roman" w:cs="Times New Roman" w:eastAsia="Times New Roman" w:hAnsi="Times New Roman"/>
          <w:sz w:val="19"/>
          <w:szCs w:val="19"/>
          <w:color w:val="auto"/>
        </w:rPr>
        <w:t>" and together with the Common Shares, Warrants, Units and Debt Securities, collectively referred to herein as the "</w:t>
      </w:r>
      <w:r>
        <w:rPr>
          <w:rFonts w:ascii="Times New Roman" w:cs="Times New Roman" w:eastAsia="Times New Roman" w:hAnsi="Times New Roman"/>
          <w:sz w:val="19"/>
          <w:szCs w:val="19"/>
          <w:b w:val="1"/>
          <w:bCs w:val="1"/>
          <w:color w:val="auto"/>
        </w:rPr>
        <w:t>Securities</w:t>
      </w:r>
      <w:r>
        <w:rPr>
          <w:rFonts w:ascii="Times New Roman" w:cs="Times New Roman" w:eastAsia="Times New Roman" w:hAnsi="Times New Roman"/>
          <w:sz w:val="19"/>
          <w:szCs w:val="19"/>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19"/>
          <w:szCs w:val="19"/>
          <w:b w:val="1"/>
          <w:bCs w:val="1"/>
          <w:color w:val="auto"/>
        </w:rPr>
        <w:t>Prospectus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Supplement</w:t>
      </w:r>
      <w:r>
        <w:rPr>
          <w:rFonts w:ascii="Times New Roman" w:cs="Times New Roman" w:eastAsia="Times New Roman" w:hAnsi="Times New Roman"/>
          <w:sz w:val="19"/>
          <w:szCs w:val="19"/>
          <w:color w:val="auto"/>
        </w:rPr>
        <w:t>"). In addition, one or more securityholders of the Corporation (each a "</w:t>
      </w:r>
      <w:r>
        <w:rPr>
          <w:rFonts w:ascii="Times New Roman" w:cs="Times New Roman" w:eastAsia="Times New Roman" w:hAnsi="Times New Roman"/>
          <w:sz w:val="19"/>
          <w:szCs w:val="19"/>
          <w:b w:val="1"/>
          <w:bCs w:val="1"/>
          <w:color w:val="auto"/>
        </w:rPr>
        <w:t>Selling Securityholder</w:t>
      </w:r>
      <w:r>
        <w:rPr>
          <w:rFonts w:ascii="Times New Roman" w:cs="Times New Roman" w:eastAsia="Times New Roman" w:hAnsi="Times New Roman"/>
          <w:sz w:val="19"/>
          <w:szCs w:val="19"/>
          <w:color w:val="auto"/>
        </w:rPr>
        <w:t>") may also offer and sell Securities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 this Prospectus. See "</w:t>
      </w:r>
      <w:r>
        <w:rPr>
          <w:rFonts w:ascii="Times New Roman" w:cs="Times New Roman" w:eastAsia="Times New Roman" w:hAnsi="Times New Roman"/>
          <w:sz w:val="19"/>
          <w:szCs w:val="19"/>
          <w:i w:val="1"/>
          <w:iCs w:val="1"/>
          <w:color w:val="auto"/>
        </w:rPr>
        <w:t>Selling Securityholders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6978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10" w:name="page11"/>
    <w:bookmarkEnd w:id="10"/>
    <w:p>
      <w:pPr>
        <w:jc w:val="both"/>
        <w:ind w:left="5"/>
        <w:spacing w:after="0" w:line="241" w:lineRule="auto"/>
        <w:rPr>
          <w:sz w:val="20"/>
          <w:szCs w:val="20"/>
          <w:color w:val="auto"/>
        </w:rPr>
      </w:pPr>
      <w:r>
        <w:rPr>
          <w:rFonts w:ascii="Times New Roman" w:cs="Times New Roman" w:eastAsia="Times New Roman" w:hAnsi="Times New Roman"/>
          <w:sz w:val="19"/>
          <w:szCs w:val="19"/>
          <w:color w:val="auto"/>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spacing w:after="0" w:line="122" w:lineRule="exact"/>
        <w:rPr>
          <w:sz w:val="20"/>
          <w:szCs w:val="20"/>
          <w:color w:val="auto"/>
        </w:rPr>
      </w:pPr>
    </w:p>
    <w:p>
      <w:pPr>
        <w:jc w:val="both"/>
        <w:ind w:left="5" w:right="20"/>
        <w:spacing w:after="0" w:line="250" w:lineRule="auto"/>
        <w:rPr>
          <w:sz w:val="20"/>
          <w:szCs w:val="20"/>
          <w:color w:val="auto"/>
        </w:rPr>
      </w:pPr>
      <w:r>
        <w:rPr>
          <w:rFonts w:ascii="Times New Roman" w:cs="Times New Roman" w:eastAsia="Times New Roman" w:hAnsi="Times New Roman"/>
          <w:sz w:val="18"/>
          <w:szCs w:val="18"/>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w:t>
      </w:r>
    </w:p>
    <w:p>
      <w:pPr>
        <w:spacing w:after="0" w:line="4" w:lineRule="exact"/>
        <w:rPr>
          <w:sz w:val="20"/>
          <w:szCs w:val="20"/>
          <w:color w:val="auto"/>
        </w:rPr>
      </w:pPr>
    </w:p>
    <w:p>
      <w:pPr>
        <w:jc w:val="both"/>
        <w:ind w:left="5" w:hanging="5"/>
        <w:spacing w:after="0" w:line="234" w:lineRule="auto"/>
        <w:tabs>
          <w:tab w:leader="none" w:pos="347"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and (vi) in the case of Securities to be offered and sold by Selling Securityholders, such information in respect of such Selling Securityholders as may be required under applicable securities laws. A Prospectus Supplement relating to a particular Offering of Securities may include terms pertaining to the Securities being offered thereunder that are not within the terms and parameters described in this Prospectus.</w:t>
      </w:r>
    </w:p>
    <w:p>
      <w:pPr>
        <w:spacing w:after="0" w:line="144" w:lineRule="exact"/>
        <w:rPr>
          <w:sz w:val="20"/>
          <w:szCs w:val="20"/>
          <w:color w:val="auto"/>
        </w:rPr>
      </w:pPr>
    </w:p>
    <w:p>
      <w:pPr>
        <w:jc w:val="both"/>
        <w:ind w:left="5"/>
        <w:spacing w:after="0" w:line="238" w:lineRule="auto"/>
        <w:rPr>
          <w:sz w:val="20"/>
          <w:szCs w:val="20"/>
          <w:color w:val="auto"/>
        </w:rPr>
      </w:pPr>
      <w:r>
        <w:rPr>
          <w:rFonts w:ascii="Times New Roman" w:cs="Times New Roman" w:eastAsia="Times New Roman" w:hAnsi="Times New Roman"/>
          <w:sz w:val="19"/>
          <w:szCs w:val="19"/>
          <w:color w:val="auto"/>
        </w:rPr>
        <w:t>The Corporation and the Selling Securityholder(s) may sell the Securities through underwriters or dealers, directly by the Corporation or the Selling Securityholder(s) pursuant to applicable statutory exemptions, or through designated agents from time to time. See "</w:t>
      </w:r>
      <w:r>
        <w:rPr>
          <w:rFonts w:ascii="Times New Roman" w:cs="Times New Roman" w:eastAsia="Times New Roman" w:hAnsi="Times New Roman"/>
          <w:sz w:val="19"/>
          <w:szCs w:val="19"/>
          <w:i w:val="1"/>
          <w:iCs w:val="1"/>
          <w:color w:val="auto"/>
        </w:rPr>
        <w:t>Plan of Distribution</w:t>
      </w:r>
      <w:r>
        <w:rPr>
          <w:rFonts w:ascii="Times New Roman" w:cs="Times New Roman" w:eastAsia="Times New Roman" w:hAnsi="Times New Roman"/>
          <w:sz w:val="19"/>
          <w:szCs w:val="19"/>
          <w:color w:val="auto"/>
        </w:rPr>
        <w:t>". The Prospectus Supplement relating to a particular Offering of Securities will identify each underwriter, dealer or agent, as the case may be, engaged by the Corporation or the Selling Securityholder(s)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or the Selling Securityholder(s) and any other material terms of the plan of distribution.</w:t>
      </w:r>
    </w:p>
    <w:p>
      <w:pPr>
        <w:spacing w:after="0" w:line="127" w:lineRule="exact"/>
        <w:rPr>
          <w:sz w:val="20"/>
          <w:szCs w:val="20"/>
          <w:color w:val="auto"/>
        </w:rPr>
      </w:pPr>
    </w:p>
    <w:p>
      <w:pPr>
        <w:jc w:val="both"/>
        <w:ind w:left="5"/>
        <w:spacing w:after="0" w:line="237" w:lineRule="auto"/>
        <w:rPr>
          <w:sz w:val="20"/>
          <w:szCs w:val="20"/>
          <w:color w:val="auto"/>
        </w:rPr>
      </w:pPr>
      <w:r>
        <w:rPr>
          <w:rFonts w:ascii="Times New Roman" w:cs="Times New Roman" w:eastAsia="Times New Roman" w:hAnsi="Times New Roman"/>
          <w:sz w:val="19"/>
          <w:szCs w:val="19"/>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Times New Roman" w:cs="Times New Roman" w:eastAsia="Times New Roman" w:hAnsi="Times New Roman"/>
          <w:sz w:val="19"/>
          <w:szCs w:val="19"/>
          <w:i w:val="1"/>
          <w:iCs w:val="1"/>
          <w:color w:val="auto"/>
        </w:rPr>
        <w:t>Shelf Distributions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NI 44-102</w:t>
      </w:r>
      <w:r>
        <w:rPr>
          <w:rFonts w:ascii="Times New Roman" w:cs="Times New Roman" w:eastAsia="Times New Roman" w:hAnsi="Times New Roman"/>
          <w:sz w:val="19"/>
          <w:szCs w:val="19"/>
          <w:color w:val="auto"/>
        </w:rPr>
        <w:t>"). If offered on a non-fixed price basis, the Securities may be offered at market prices 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Cboe Canada Inc. (the "</w:t>
      </w:r>
      <w:r>
        <w:rPr>
          <w:rFonts w:ascii="Times New Roman" w:cs="Times New Roman" w:eastAsia="Times New Roman" w:hAnsi="Times New Roman"/>
          <w:sz w:val="19"/>
          <w:szCs w:val="19"/>
          <w:b w:val="1"/>
          <w:bCs w:val="1"/>
          <w:color w:val="auto"/>
        </w:rPr>
        <w:t>CBOE Canada</w:t>
      </w:r>
      <w:r>
        <w:rPr>
          <w:rFonts w:ascii="Times New Roman" w:cs="Times New Roman" w:eastAsia="Times New Roman" w:hAnsi="Times New Roman"/>
          <w:sz w:val="19"/>
          <w:szCs w:val="19"/>
          <w:color w:val="auto"/>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 See </w:t>
      </w:r>
      <w:r>
        <w:rPr>
          <w:rFonts w:ascii="Times New Roman" w:cs="Times New Roman" w:eastAsia="Times New Roman" w:hAnsi="Times New Roman"/>
          <w:sz w:val="19"/>
          <w:szCs w:val="19"/>
          <w:i w:val="1"/>
          <w:iCs w:val="1"/>
          <w:color w:val="auto"/>
        </w:rPr>
        <w:t>"Plan of Distribution"</w:t>
      </w:r>
      <w:r>
        <w:rPr>
          <w:rFonts w:ascii="Times New Roman" w:cs="Times New Roman" w:eastAsia="Times New Roman" w:hAnsi="Times New Roman"/>
          <w:sz w:val="19"/>
          <w:szCs w:val="19"/>
          <w:color w:val="auto"/>
        </w:rPr>
        <w:t>.</w:t>
      </w:r>
    </w:p>
    <w:p>
      <w:pPr>
        <w:spacing w:after="0" w:line="12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16978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5"/>
          </w:cols>
          <w:pgMar w:left="315" w:top="116" w:right="319" w:bottom="1440" w:gutter="0" w:footer="0" w:header="0"/>
        </w:sectPr>
      </w:pPr>
    </w:p>
    <w:bookmarkStart w:id="11" w:name="page12"/>
    <w:bookmarkEnd w:id="11"/>
    <w:p>
      <w:pPr>
        <w:jc w:val="both"/>
        <w:ind w:left="5"/>
        <w:spacing w:after="0" w:line="238" w:lineRule="auto"/>
        <w:rPr>
          <w:sz w:val="20"/>
          <w:szCs w:val="20"/>
          <w:color w:val="auto"/>
        </w:rPr>
      </w:pPr>
      <w:r>
        <w:rPr>
          <w:rFonts w:ascii="Times New Roman" w:cs="Times New Roman" w:eastAsia="Times New Roman" w:hAnsi="Times New Roman"/>
          <w:sz w:val="19"/>
          <w:szCs w:val="19"/>
          <w:color w:val="auto"/>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Canadian Overnight Repo Rate Average (CORRA), Secured Overnight Financing Rate (SOFR), Euro Inter-Bank Offered Rate (EURIBOR) or an alternative United States federal fund rate.</w:t>
      </w:r>
    </w:p>
    <w:p>
      <w:pPr>
        <w:spacing w:after="0" w:line="124" w:lineRule="exact"/>
        <w:rPr>
          <w:sz w:val="20"/>
          <w:szCs w:val="20"/>
          <w:color w:val="auto"/>
        </w:rPr>
      </w:pPr>
    </w:p>
    <w:p>
      <w:pPr>
        <w:jc w:val="both"/>
        <w:ind w:left="5"/>
        <w:spacing w:after="0" w:line="241" w:lineRule="auto"/>
        <w:rPr>
          <w:sz w:val="20"/>
          <w:szCs w:val="20"/>
          <w:color w:val="auto"/>
        </w:rPr>
      </w:pPr>
      <w:r>
        <w:rPr>
          <w:rFonts w:ascii="Times New Roman" w:cs="Times New Roman" w:eastAsia="Times New Roman" w:hAnsi="Times New Roman"/>
          <w:sz w:val="19"/>
          <w:szCs w:val="19"/>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33" w:lineRule="exact"/>
        <w:rPr>
          <w:sz w:val="20"/>
          <w:szCs w:val="20"/>
          <w:color w:val="auto"/>
        </w:rPr>
      </w:pPr>
    </w:p>
    <w:p>
      <w:pPr>
        <w:jc w:val="both"/>
        <w:ind w:left="5"/>
        <w:spacing w:after="0" w:line="248" w:lineRule="auto"/>
        <w:rPr>
          <w:sz w:val="20"/>
          <w:szCs w:val="20"/>
          <w:color w:val="auto"/>
        </w:rPr>
      </w:pPr>
      <w:r>
        <w:rPr>
          <w:rFonts w:ascii="Times New Roman" w:cs="Times New Roman" w:eastAsia="Times New Roman" w:hAnsi="Times New Roman"/>
          <w:sz w:val="19"/>
          <w:szCs w:val="19"/>
          <w:color w:val="auto"/>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Times New Roman" w:cs="Times New Roman" w:eastAsia="Times New Roman" w:hAnsi="Times New Roman"/>
          <w:sz w:val="19"/>
          <w:szCs w:val="19"/>
          <w:i w:val="1"/>
          <w:iCs w:val="1"/>
          <w:color w:val="auto"/>
        </w:rPr>
        <w:t>"Plan of Distribution"</w:t>
      </w:r>
      <w:r>
        <w:rPr>
          <w:rFonts w:ascii="Times New Roman" w:cs="Times New Roman" w:eastAsia="Times New Roman" w:hAnsi="Times New Roman"/>
          <w:sz w:val="19"/>
          <w:szCs w:val="19"/>
          <w:color w:val="auto"/>
        </w:rPr>
        <w:t>.</w:t>
      </w:r>
    </w:p>
    <w:p>
      <w:pPr>
        <w:spacing w:after="0" w:line="115" w:lineRule="exact"/>
        <w:rPr>
          <w:sz w:val="20"/>
          <w:szCs w:val="20"/>
          <w:color w:val="auto"/>
        </w:rPr>
      </w:pPr>
    </w:p>
    <w:p>
      <w:pPr>
        <w:jc w:val="both"/>
        <w:ind w:left="5"/>
        <w:spacing w:after="0" w:line="249" w:lineRule="auto"/>
        <w:rPr>
          <w:sz w:val="20"/>
          <w:szCs w:val="20"/>
          <w:color w:val="auto"/>
        </w:rPr>
      </w:pPr>
      <w:r>
        <w:rPr>
          <w:rFonts w:ascii="Times New Roman" w:cs="Times New Roman" w:eastAsia="Times New Roman" w:hAnsi="Times New Roman"/>
          <w:sz w:val="18"/>
          <w:szCs w:val="18"/>
          <w:color w:val="auto"/>
        </w:rPr>
        <w:t>In determining that the Corporation has a reasonable expectation to distribute, during the 25-month period that this Prospectus, including any amendments hereto, remains valid, up to $800,000,000 in the aggregate of Securities, management of the Corporation has considered its ongoing contractual commitments amounting to (i) approximately $60,083,262 which will be used to qualify, in the United States pursuant to prospectus supplements to the Corporation’s registration statement on Form F-10, the Common Shares issuable from time to time upon the exercise of certain Common Share purchase warrants issued by the Corporation on August 4, 2023 and November 14, 2023 in connection with unit offerings of the Corporation, and (ii) approximately $265,998,942 which will be used to qualify the periodic resale in the United States, pursuant to prospectus supplements to the Registration Statement (as defined below), by certain selling shareholders of previously issued Common Shares (collectively, the “</w:t>
      </w:r>
      <w:r>
        <w:rPr>
          <w:rFonts w:ascii="Times New Roman" w:cs="Times New Roman" w:eastAsia="Times New Roman" w:hAnsi="Times New Roman"/>
          <w:sz w:val="18"/>
          <w:szCs w:val="18"/>
          <w:b w:val="1"/>
          <w:bCs w:val="1"/>
          <w:color w:val="auto"/>
        </w:rPr>
        <w:t>Commitment Amount</w:t>
      </w:r>
      <w:r>
        <w:rPr>
          <w:rFonts w:ascii="Times New Roman" w:cs="Times New Roman" w:eastAsia="Times New Roman" w:hAnsi="Times New Roman"/>
          <w:sz w:val="18"/>
          <w:szCs w:val="18"/>
          <w:color w:val="auto"/>
        </w:rPr>
        <w:t>”). Given the Commitment Amount, the Corporation will have approximately $473,917,796 available under the Prospectus, which management of the Corporation reasonably expects to distribute during the 25-month period that this Prospectus, including any amendments</w:t>
      </w:r>
    </w:p>
    <w:p>
      <w:pPr>
        <w:spacing w:after="0" w:line="8" w:lineRule="exact"/>
        <w:rPr>
          <w:sz w:val="20"/>
          <w:szCs w:val="20"/>
          <w:color w:val="auto"/>
        </w:rPr>
      </w:pPr>
    </w:p>
    <w:p>
      <w:pPr>
        <w:jc w:val="both"/>
        <w:ind w:left="5"/>
        <w:spacing w:after="0" w:line="226" w:lineRule="auto"/>
        <w:rPr>
          <w:sz w:val="20"/>
          <w:szCs w:val="20"/>
          <w:color w:val="auto"/>
        </w:rPr>
      </w:pPr>
      <w:r>
        <w:rPr>
          <w:rFonts w:ascii="Times New Roman" w:cs="Times New Roman" w:eastAsia="Times New Roman" w:hAnsi="Times New Roman"/>
          <w:sz w:val="19"/>
          <w:szCs w:val="19"/>
          <w:color w:val="auto"/>
        </w:rPr>
        <w:t>hereto, remains valid.</w:t>
      </w: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9"/>
          <w:szCs w:val="19"/>
          <w:color w:val="auto"/>
        </w:rPr>
        <w:t xml:space="preserve"> In addition, management of the Corporation has considered U.S. securities laws in connection with the registration of the Common Shares underlying Warrants issued pursuant to an Offering. The registration under the United States Securities Act of 1933, as amended (the “</w:t>
      </w:r>
      <w:r>
        <w:rPr>
          <w:rFonts w:ascii="Times New Roman" w:cs="Times New Roman" w:eastAsia="Times New Roman" w:hAnsi="Times New Roman"/>
          <w:sz w:val="19"/>
          <w:szCs w:val="19"/>
          <w:b w:val="1"/>
          <w:bCs w:val="1"/>
          <w:color w:val="auto"/>
        </w:rPr>
        <w:t>U.S. Securities Act</w:t>
      </w:r>
      <w:r>
        <w:rPr>
          <w:rFonts w:ascii="Times New Roman" w:cs="Times New Roman" w:eastAsia="Times New Roman" w:hAnsi="Times New Roman"/>
          <w:sz w:val="19"/>
          <w:szCs w:val="19"/>
          <w:color w:val="auto"/>
        </w:rPr>
        <w:t>”) of the Common Shares underlying Warrants initially sold to, or for the account or benefit of, U.S. persons (as defined in Regulation S Under the U.S. Securities Act) or persons in the United States pursuant to exemptions from the registration requirements of the U.S. Securities Act, permits the selling securityholders named in the U.S. prospectus supplements to the Corporation’s registration statement on Form F-10 to re-sell such Common Shares without restriction under the U.S. Securities Act. In the absence of such registration, re-sales of such Common Shares would be required to comply with an exemption or exclusion from the registration requirements of the U.S. Securities Act. The Corporation has filed a registration statement on Form F-10, as amended (File No. 333-289139) (the “</w:t>
      </w:r>
      <w:r>
        <w:rPr>
          <w:rFonts w:ascii="Times New Roman" w:cs="Times New Roman" w:eastAsia="Times New Roman" w:hAnsi="Times New Roman"/>
          <w:sz w:val="19"/>
          <w:szCs w:val="19"/>
          <w:b w:val="1"/>
          <w:bCs w:val="1"/>
          <w:color w:val="auto"/>
        </w:rPr>
        <w:t>Registration Statement</w:t>
      </w:r>
      <w:r>
        <w:rPr>
          <w:rFonts w:ascii="Times New Roman" w:cs="Times New Roman" w:eastAsia="Times New Roman" w:hAnsi="Times New Roman"/>
          <w:sz w:val="19"/>
          <w:szCs w:val="19"/>
          <w:color w:val="auto"/>
        </w:rPr>
        <w:t>”), which was initially filed with the SEC, under the U.S. Securities Act, on July 31, 2025, as amended on September 17, 2025 concurrent with the filing of this Prospectus, for the equivalent United States dollar value of this Prospectus, being US$577,700.572 (converted from $800,000,000 at an exchange rate of US$1.00=CAD$1.3848, which was the daily average exchange rate reported by the Bank of Canada on September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235839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58390" cy="7620"/>
                    </a:xfrm>
                    <a:prstGeom prst="rect">
                      <a:avLst/>
                    </a:prstGeom>
                    <a:noFill/>
                  </pic:spPr>
                </pic:pic>
              </a:graphicData>
            </a:graphic>
          </wp:anchor>
        </w:drawing>
      </w:r>
    </w:p>
    <w:p>
      <w:pPr>
        <w:spacing w:after="0" w:line="259" w:lineRule="exact"/>
        <w:rPr>
          <w:sz w:val="20"/>
          <w:szCs w:val="20"/>
          <w:color w:val="auto"/>
        </w:rPr>
      </w:pPr>
    </w:p>
    <w:p>
      <w:pPr>
        <w:ind w:left="5" w:hanging="5"/>
        <w:spacing w:after="0" w:line="187" w:lineRule="auto"/>
        <w:tabs>
          <w:tab w:leader="none" w:pos="136" w:val="left"/>
        </w:tabs>
        <w:numPr>
          <w:ilvl w:val="0"/>
          <w:numId w:val="10"/>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9"/>
          <w:szCs w:val="19"/>
          <w:color w:val="auto"/>
        </w:rPr>
        <w:t>This is a forward-looking statement that involves material assumptions by the Corporation. There is no certainty as to the Corporation’s ability to distribute securities or to raise additional funding to support operations. See “</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w:t>
      </w:r>
    </w:p>
    <w:p>
      <w:pPr>
        <w:spacing w:after="0" w:line="34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106045</wp:posOffset>
            </wp:positionV>
            <wp:extent cx="716978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5"/>
          </w:cols>
          <w:pgMar w:left="315" w:top="116" w:right="319" w:bottom="1440" w:gutter="0" w:footer="0" w:header="0"/>
        </w:sectPr>
      </w:pPr>
    </w:p>
    <w:bookmarkStart w:id="12" w:name="page13"/>
    <w:bookmarkEnd w:id="12"/>
    <w:p>
      <w:pPr>
        <w:jc w:val="both"/>
        <w:ind w:left="5"/>
        <w:spacing w:after="0" w:line="243" w:lineRule="auto"/>
        <w:rPr>
          <w:sz w:val="20"/>
          <w:szCs w:val="20"/>
          <w:color w:val="auto"/>
        </w:rPr>
      </w:pPr>
      <w:r>
        <w:rPr>
          <w:rFonts w:ascii="Times New Roman" w:cs="Times New Roman" w:eastAsia="Times New Roman" w:hAnsi="Times New Roman"/>
          <w:sz w:val="19"/>
          <w:szCs w:val="19"/>
          <w:color w:val="auto"/>
        </w:rPr>
        <w:t>For illustrative purposes only, if the Corporation were to complete an Offering for US$150,000,000, and if the Offering was an Offering of Units with each Unit consisting of one Common Share and one Warrant, with each Warrant exercisable at 115% of the Unit purchase price, then the Offering would require a total of $446,598,000 worth of space under this Prospectus. The following calculations are demonstrated in USD and</w:t>
      </w:r>
    </w:p>
    <w:p>
      <w:pPr>
        <w:ind w:left="5"/>
        <w:spacing w:after="0"/>
        <w:rPr>
          <w:sz w:val="20"/>
          <w:szCs w:val="20"/>
          <w:color w:val="auto"/>
        </w:rPr>
      </w:pPr>
      <w:r>
        <w:rPr>
          <w:rFonts w:ascii="Times New Roman" w:cs="Times New Roman" w:eastAsia="Times New Roman" w:hAnsi="Times New Roman"/>
          <w:sz w:val="19"/>
          <w:szCs w:val="19"/>
          <w:color w:val="auto"/>
        </w:rPr>
        <w:t>CAD:</w:t>
      </w:r>
      <w:r>
        <w:rPr>
          <w:rFonts w:ascii="Times New Roman" w:cs="Times New Roman" w:eastAsia="Times New Roman" w:hAnsi="Times New Roman"/>
          <w:sz w:val="31"/>
          <w:szCs w:val="3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7149465" cy="615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615950"/>
                    </a:xfrm>
                    <a:prstGeom prst="rect">
                      <a:avLst/>
                    </a:prstGeom>
                    <a:noFill/>
                  </pic:spPr>
                </pic:pic>
              </a:graphicData>
            </a:graphic>
          </wp:anchor>
        </w:drawing>
      </w:r>
    </w:p>
    <w:p>
      <w:pPr>
        <w:spacing w:after="0" w:line="68" w:lineRule="exact"/>
        <w:rPr>
          <w:sz w:val="20"/>
          <w:szCs w:val="20"/>
          <w:color w:val="auto"/>
        </w:rPr>
      </w:pPr>
    </w:p>
    <w:tbl>
      <w:tblPr>
        <w:tblLayout w:type="fixed"/>
        <w:tblInd w:w="5" w:type="dxa"/>
        <w:tblCellMar>
          <w:top w:w="0" w:type="dxa"/>
          <w:left w:w="0" w:type="dxa"/>
          <w:bottom w:w="0" w:type="dxa"/>
          <w:right w:w="0" w:type="dxa"/>
        </w:tblCellMar>
      </w:tblPr>
      <w:tr>
        <w:trPr>
          <w:trHeight w:val="299"/>
        </w:trPr>
        <w:tc>
          <w:tcPr>
            <w:tcW w:w="4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Amount to Qualify a Unit Distribution</w:t>
            </w:r>
          </w:p>
        </w:tc>
        <w:tc>
          <w:tcPr>
            <w:tcW w:w="34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6"/>
                <w:szCs w:val="16"/>
                <w:color w:val="auto"/>
              </w:rPr>
              <w:t>US$150,000,000</w:t>
            </w:r>
          </w:p>
        </w:tc>
        <w:tc>
          <w:tcPr>
            <w:tcW w:w="30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C$207,720,000</w:t>
            </w:r>
            <w:r>
              <w:rPr>
                <w:rFonts w:ascii="Times New Roman" w:cs="Times New Roman" w:eastAsia="Times New Roman" w:hAnsi="Times New Roman"/>
                <w:sz w:val="26"/>
                <w:szCs w:val="26"/>
                <w:color w:val="auto"/>
                <w:vertAlign w:val="superscript"/>
              </w:rPr>
              <w:t>(1)</w:t>
            </w:r>
          </w:p>
        </w:tc>
      </w:tr>
      <w:tr>
        <w:trPr>
          <w:trHeight w:val="311"/>
        </w:trPr>
        <w:tc>
          <w:tcPr>
            <w:tcW w:w="4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Amount to Qualify the Underlying Warrant Shares</w:t>
            </w:r>
          </w:p>
        </w:tc>
        <w:tc>
          <w:tcPr>
            <w:tcW w:w="34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6"/>
                <w:szCs w:val="16"/>
                <w:color w:val="auto"/>
              </w:rPr>
              <w:t>US$172,500,000</w:t>
            </w:r>
            <w:r>
              <w:rPr>
                <w:rFonts w:ascii="Times New Roman" w:cs="Times New Roman" w:eastAsia="Times New Roman" w:hAnsi="Times New Roman"/>
                <w:sz w:val="26"/>
                <w:szCs w:val="26"/>
                <w:color w:val="auto"/>
                <w:vertAlign w:val="superscript"/>
              </w:rPr>
              <w:t>(2)</w:t>
            </w:r>
          </w:p>
        </w:tc>
        <w:tc>
          <w:tcPr>
            <w:tcW w:w="30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C$238,878,000</w:t>
            </w:r>
          </w:p>
        </w:tc>
      </w:tr>
      <w:tr>
        <w:trPr>
          <w:trHeight w:val="229"/>
        </w:trPr>
        <w:tc>
          <w:tcPr>
            <w:tcW w:w="4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Base Shelf Amount Used</w:t>
            </w:r>
          </w:p>
        </w:tc>
        <w:tc>
          <w:tcPr>
            <w:tcW w:w="342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US$322,500,000</w:t>
            </w:r>
          </w:p>
        </w:tc>
        <w:tc>
          <w:tcPr>
            <w:tcW w:w="3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C$446,598,000</w:t>
            </w:r>
          </w:p>
        </w:tc>
      </w:tr>
    </w:tbl>
    <w:p>
      <w:pPr>
        <w:spacing w:after="0" w:line="3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b w:val="1"/>
          <w:bCs w:val="1"/>
          <w:u w:val="single" w:color="auto"/>
          <w:color w:val="auto"/>
        </w:rPr>
        <w:t>Notes:</w:t>
      </w:r>
    </w:p>
    <w:p>
      <w:pPr>
        <w:spacing w:after="0" w:line="188" w:lineRule="exact"/>
        <w:rPr>
          <w:sz w:val="20"/>
          <w:szCs w:val="20"/>
          <w:color w:val="auto"/>
        </w:rPr>
      </w:pPr>
    </w:p>
    <w:p>
      <w:pPr>
        <w:ind w:left="465" w:right="260" w:hanging="182"/>
        <w:spacing w:after="0" w:line="244" w:lineRule="auto"/>
        <w:tabs>
          <w:tab w:leader="none" w:pos="465"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Conversion to Canadian dollars completed on the basis of the Bank of Canada’s daily average exchange rate on September 12, 2025 (being US$1.00=C$1.3848).</w:t>
      </w:r>
    </w:p>
    <w:p>
      <w:pPr>
        <w:spacing w:after="0" w:line="1" w:lineRule="exact"/>
        <w:rPr>
          <w:rFonts w:ascii="Times New Roman" w:cs="Times New Roman" w:eastAsia="Times New Roman" w:hAnsi="Times New Roman"/>
          <w:sz w:val="19"/>
          <w:szCs w:val="19"/>
          <w:color w:val="auto"/>
        </w:rPr>
      </w:pPr>
    </w:p>
    <w:p>
      <w:pPr>
        <w:ind w:left="465" w:hanging="182"/>
        <w:spacing w:after="0"/>
        <w:tabs>
          <w:tab w:leader="none" w:pos="465"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Reflects a theoretical Unit purchase price (US$150,000,000) multiplied by 115% (representing the theoretical Warrant exercise price).</w:t>
      </w:r>
    </w:p>
    <w:p>
      <w:pPr>
        <w:spacing w:after="0" w:line="164" w:lineRule="exact"/>
        <w:rPr>
          <w:sz w:val="20"/>
          <w:szCs w:val="20"/>
          <w:color w:val="auto"/>
        </w:rPr>
      </w:pPr>
    </w:p>
    <w:p>
      <w:pPr>
        <w:jc w:val="both"/>
        <w:ind w:left="5"/>
        <w:spacing w:after="0" w:line="248" w:lineRule="auto"/>
        <w:rPr>
          <w:sz w:val="20"/>
          <w:szCs w:val="20"/>
          <w:color w:val="auto"/>
        </w:rPr>
      </w:pPr>
      <w:r>
        <w:rPr>
          <w:rFonts w:ascii="Times New Roman" w:cs="Times New Roman" w:eastAsia="Times New Roman" w:hAnsi="Times New Roman"/>
          <w:sz w:val="19"/>
          <w:szCs w:val="19"/>
          <w:color w:val="auto"/>
        </w:rPr>
        <w:t>The Common Shares are listed on the CBOE Canada under the trading symbol “CYBN”, and in the United States on the NYSE American LLC stock exchange (the “</w:t>
      </w:r>
      <w:r>
        <w:rPr>
          <w:rFonts w:ascii="Times New Roman" w:cs="Times New Roman" w:eastAsia="Times New Roman" w:hAnsi="Times New Roman"/>
          <w:sz w:val="19"/>
          <w:szCs w:val="19"/>
          <w:b w:val="1"/>
          <w:bCs w:val="1"/>
          <w:color w:val="auto"/>
        </w:rPr>
        <w:t>NYSE American</w:t>
      </w:r>
      <w:r>
        <w:rPr>
          <w:rFonts w:ascii="Times New Roman" w:cs="Times New Roman" w:eastAsia="Times New Roman" w:hAnsi="Times New Roman"/>
          <w:sz w:val="19"/>
          <w:szCs w:val="19"/>
          <w:color w:val="auto"/>
        </w:rPr>
        <w:t>”) under the symbol “CYBN”. On September 16, 2025, the last trading day prior to the filing of this Prospectus, the closing prices of the Common Shares listed on the CBOE Canada and the NYSE American were $8.32 and US$6.04 respectively.</w:t>
      </w:r>
    </w:p>
    <w:p>
      <w:pPr>
        <w:spacing w:after="0" w:line="123" w:lineRule="exact"/>
        <w:rPr>
          <w:sz w:val="20"/>
          <w:szCs w:val="20"/>
          <w:color w:val="auto"/>
        </w:rPr>
      </w:pPr>
    </w:p>
    <w:p>
      <w:pPr>
        <w:jc w:val="both"/>
        <w:ind w:left="5"/>
        <w:spacing w:after="0" w:line="242" w:lineRule="auto"/>
        <w:rPr>
          <w:sz w:val="20"/>
          <w:szCs w:val="20"/>
          <w:color w:val="auto"/>
        </w:rPr>
      </w:pPr>
      <w:r>
        <w:rPr>
          <w:rFonts w:ascii="Times New Roman" w:cs="Times New Roman" w:eastAsia="Times New Roman" w:hAnsi="Times New Roman"/>
          <w:sz w:val="19"/>
          <w:szCs w:val="19"/>
          <w:b w:val="1"/>
          <w:bCs w:val="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19"/>
          <w:szCs w:val="19"/>
          <w:b w:val="1"/>
          <w:bCs w:val="1"/>
          <w:i w:val="1"/>
          <w:iCs w:val="1"/>
          <w:color w:val="auto"/>
        </w:rPr>
        <w:t>"Risk Factors"</w:t>
      </w:r>
      <w:r>
        <w:rPr>
          <w:rFonts w:ascii="Times New Roman" w:cs="Times New Roman" w:eastAsia="Times New Roman" w:hAnsi="Times New Roman"/>
          <w:sz w:val="19"/>
          <w:szCs w:val="19"/>
          <w:b w:val="1"/>
          <w:bCs w:val="1"/>
          <w:color w:val="auto"/>
        </w:rPr>
        <w:t>.</w:t>
      </w:r>
    </w:p>
    <w:p>
      <w:pPr>
        <w:spacing w:after="0" w:line="117" w:lineRule="exact"/>
        <w:rPr>
          <w:sz w:val="20"/>
          <w:szCs w:val="20"/>
          <w:color w:val="auto"/>
        </w:rPr>
      </w:pPr>
    </w:p>
    <w:p>
      <w:pPr>
        <w:jc w:val="both"/>
        <w:ind w:left="5"/>
        <w:spacing w:after="0" w:line="239" w:lineRule="auto"/>
        <w:rPr>
          <w:sz w:val="20"/>
          <w:szCs w:val="20"/>
          <w:color w:val="auto"/>
        </w:rPr>
      </w:pPr>
      <w:r>
        <w:rPr>
          <w:rFonts w:ascii="Times New Roman" w:cs="Times New Roman" w:eastAsia="Times New Roman" w:hAnsi="Times New Roman"/>
          <w:sz w:val="19"/>
          <w:szCs w:val="19"/>
          <w:b w:val="1"/>
          <w:bCs w:val="1"/>
          <w:color w:val="auto"/>
        </w:rPr>
        <w:t>The Corporation is a foreign private issuer under United States securities laws and is permitted under the multijurisdictional disclosure system adopted by the United States and Canada to prepare this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pacing w:after="0" w:line="121" w:lineRule="exact"/>
        <w:rPr>
          <w:sz w:val="20"/>
          <w:szCs w:val="20"/>
          <w:color w:val="auto"/>
        </w:rPr>
      </w:pPr>
    </w:p>
    <w:p>
      <w:pPr>
        <w:jc w:val="both"/>
        <w:ind w:left="5" w:right="20"/>
        <w:spacing w:after="0" w:line="250" w:lineRule="auto"/>
        <w:rPr>
          <w:sz w:val="20"/>
          <w:szCs w:val="20"/>
          <w:color w:val="auto"/>
        </w:rPr>
      </w:pPr>
      <w:r>
        <w:rPr>
          <w:rFonts w:ascii="Times New Roman" w:cs="Times New Roman" w:eastAsia="Times New Roman" w:hAnsi="Times New Roman"/>
          <w:sz w:val="19"/>
          <w:szCs w:val="19"/>
          <w:b w:val="1"/>
          <w:bCs w:val="1"/>
          <w:color w:val="auto"/>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spacing w:after="0" w:line="121" w:lineRule="exact"/>
        <w:rPr>
          <w:sz w:val="20"/>
          <w:szCs w:val="20"/>
          <w:color w:val="auto"/>
        </w:rPr>
      </w:pPr>
    </w:p>
    <w:p>
      <w:pPr>
        <w:jc w:val="both"/>
        <w:ind w:left="5" w:right="20"/>
        <w:spacing w:after="0" w:line="244" w:lineRule="auto"/>
        <w:rPr>
          <w:sz w:val="20"/>
          <w:szCs w:val="20"/>
          <w:color w:val="auto"/>
        </w:rPr>
      </w:pPr>
      <w:r>
        <w:rPr>
          <w:rFonts w:ascii="Times New Roman" w:cs="Times New Roman" w:eastAsia="Times New Roman" w:hAnsi="Times New Roman"/>
          <w:sz w:val="19"/>
          <w:szCs w:val="19"/>
          <w:b w:val="1"/>
          <w:bCs w:val="1"/>
          <w:color w:val="auto"/>
        </w:rPr>
        <w:t>An investors ability to enforce civil liabilities under the United States federal securities laws may be affected adversely because the Corporation is incorporated in Canada, the majority of its officers and directors named in this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19"/>
          <w:szCs w:val="19"/>
          <w:b w:val="1"/>
          <w:bCs w:val="1"/>
          <w:i w:val="1"/>
          <w:iCs w:val="1"/>
          <w:color w:val="auto"/>
        </w:rPr>
        <w:t>Risk Factors - Enforcement of Civil Liabilities</w:t>
      </w:r>
      <w:r>
        <w:rPr>
          <w:rFonts w:ascii="Times New Roman" w:cs="Times New Roman" w:eastAsia="Times New Roman" w:hAnsi="Times New Roman"/>
          <w:sz w:val="19"/>
          <w:szCs w:val="19"/>
          <w:b w:val="1"/>
          <w:bCs w:val="1"/>
          <w:color w:val="auto"/>
        </w:rPr>
        <w:t>".</w:t>
      </w:r>
    </w:p>
    <w:p>
      <w:pPr>
        <w:spacing w:after="0" w:line="117" w:lineRule="exact"/>
        <w:rPr>
          <w:sz w:val="20"/>
          <w:szCs w:val="20"/>
          <w:color w:val="auto"/>
        </w:rPr>
      </w:pPr>
    </w:p>
    <w:p>
      <w:pPr>
        <w:jc w:val="both"/>
        <w:ind w:left="5" w:right="20"/>
        <w:spacing w:after="0" w:line="250" w:lineRule="auto"/>
        <w:rPr>
          <w:sz w:val="20"/>
          <w:szCs w:val="20"/>
          <w:color w:val="auto"/>
        </w:rPr>
      </w:pPr>
      <w:r>
        <w:rPr>
          <w:rFonts w:ascii="Times New Roman" w:cs="Times New Roman" w:eastAsia="Times New Roman" w:hAnsi="Times New Roman"/>
          <w:sz w:val="19"/>
          <w:szCs w:val="19"/>
          <w:b w:val="1"/>
          <w:bCs w:val="1"/>
          <w:color w:val="auto"/>
        </w:rPr>
        <w:t xml:space="preserve">An investment in the Securities is subject to a number of risks, including those risks described in this Prospectus and documents incorporated by reference into this Prospectus. See </w:t>
      </w:r>
      <w:r>
        <w:rPr>
          <w:rFonts w:ascii="Times New Roman" w:cs="Times New Roman" w:eastAsia="Times New Roman" w:hAnsi="Times New Roman"/>
          <w:sz w:val="19"/>
          <w:szCs w:val="19"/>
          <w:b w:val="1"/>
          <w:bCs w:val="1"/>
          <w:i w:val="1"/>
          <w:iCs w:val="1"/>
          <w:color w:val="auto"/>
        </w:rPr>
        <w:t>"Risk Factors"</w:t>
      </w:r>
      <w:r>
        <w:rPr>
          <w:rFonts w:ascii="Times New Roman" w:cs="Times New Roman" w:eastAsia="Times New Roman" w:hAnsi="Times New Roman"/>
          <w:sz w:val="19"/>
          <w:szCs w:val="19"/>
          <w:b w:val="1"/>
          <w:bCs w:val="1"/>
          <w:color w:val="auto"/>
        </w:rPr>
        <w:t xml:space="preserve"> in this Prospectus and in the Corporation's Annual Information Form and Interim MD&amp;A (each as defined herein)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235839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58390" cy="7620"/>
                    </a:xfrm>
                    <a:prstGeom prst="rect">
                      <a:avLst/>
                    </a:prstGeom>
                    <a:noFill/>
                  </pic:spPr>
                </pic:pic>
              </a:graphicData>
            </a:graphic>
          </wp:anchor>
        </w:drawing>
      </w:r>
    </w:p>
    <w:p>
      <w:pPr>
        <w:spacing w:after="0" w:line="247" w:lineRule="exact"/>
        <w:rPr>
          <w:sz w:val="20"/>
          <w:szCs w:val="20"/>
          <w:color w:val="auto"/>
        </w:rPr>
      </w:pPr>
    </w:p>
    <w:p>
      <w:pPr>
        <w:jc w:val="both"/>
        <w:ind w:left="5" w:hanging="5"/>
        <w:spacing w:after="0" w:line="217" w:lineRule="auto"/>
        <w:tabs>
          <w:tab w:leader="none" w:pos="169" w:val="left"/>
        </w:tabs>
        <w:numPr>
          <w:ilvl w:val="0"/>
          <w:numId w:val="12"/>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9"/>
          <w:szCs w:val="19"/>
          <w:color w:val="auto"/>
        </w:rPr>
        <w:t>This paragraph and table are strictly for illustrative purposes and are forward-looking statements that involve material assumptions by the Corporation, including the participation in any future Offering by United States investors requiring the Common Shares issuable on exercise of the Warrants to be registered under the U.S. Securities Act, the Corporation’s completion of an Offering, the theoretical size of the Offering, and the Warrant exercise price. There is no certainty as to the Corporation’s ability to raise additional capital or complete an Offering in the future. Further, there is no certainty that an Offering made to United States investors of Units, comprised of Common Shares and Warrants, would require a registration statement on Form F-10 qualifying the resale of the Common Shares issuable on exercise of the Warrants without restriction under the U.S. Securities Act. See “</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w:t>
      </w:r>
    </w:p>
    <w:p>
      <w:pPr>
        <w:spacing w:after="0" w:line="13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106045</wp:posOffset>
            </wp:positionV>
            <wp:extent cx="716978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5"/>
          </w:cols>
          <w:pgMar w:left="315" w:top="115" w:right="319" w:bottom="1440" w:gutter="0" w:footer="0" w:header="0"/>
        </w:sectPr>
      </w:pPr>
    </w:p>
    <w:bookmarkStart w:id="13" w:name="page14"/>
    <w:bookmarkEnd w:id="13"/>
    <w:p>
      <w:pPr>
        <w:jc w:val="both"/>
        <w:ind w:right="20"/>
        <w:spacing w:after="0" w:line="268" w:lineRule="auto"/>
        <w:rPr>
          <w:sz w:val="20"/>
          <w:szCs w:val="20"/>
          <w:color w:val="auto"/>
        </w:rPr>
      </w:pPr>
      <w:r>
        <w:rPr>
          <w:rFonts w:ascii="Times New Roman" w:cs="Times New Roman" w:eastAsia="Times New Roman" w:hAnsi="Times New Roman"/>
          <w:sz w:val="19"/>
          <w:szCs w:val="19"/>
          <w:b w:val="1"/>
          <w:bCs w:val="1"/>
          <w:color w:val="auto"/>
        </w:rPr>
        <w:t>No person is authorized by the Corporation to provide any information or to make any representation other than as contained in this Prospectus in connection with the issue and sale of the Securities offered hereunder.</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 underwriter has been involved in the preparation of this Prospectus or performed any review of the contents hereof.</w:t>
      </w:r>
    </w:p>
    <w:p>
      <w:pPr>
        <w:spacing w:after="0" w:line="1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b w:val="1"/>
          <w:bCs w:val="1"/>
          <w:color w:val="auto"/>
        </w:rPr>
        <w:t>NEITHER THE SEC NOR ANY CANADIAN SECURITIES REGULATOR, NOR ANY STATE SECURITIES REGULATOR, HAS APPROVED OR DISAPPROVED THE SECURITIES OFFERED HEREBY OR PASSED UPON THE ACCURACY OR ADEQUACY OF THIS PROSPECTUS OR DETERMINED IF THIS PROSPECTUS IS TRUTHFUL OR COMPLETE. ANY REPRESENTATION TO THE CONTRARY IS A CRIMINAL OFFENCE.</w:t>
      </w:r>
    </w:p>
    <w:p>
      <w:pPr>
        <w:spacing w:after="0" w:line="1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 xml:space="preserve">Eric So, a director and officer of the Corporation, and Paul Glavine, a director and officer of the Corporation, each reside outside of Canada. They have appointed Aird &amp; Berlis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cs="Times New Roman" w:eastAsia="Times New Roman" w:hAnsi="Times New Roman"/>
          <w:sz w:val="19"/>
          <w:szCs w:val="19"/>
          <w:i w:val="1"/>
          <w:iCs w:val="1"/>
          <w:color w:val="auto"/>
        </w:rPr>
        <w:t>“Risk Factors – Risks Related to an Offering – Enforcement of Civil Liabilities”</w:t>
      </w:r>
      <w:r>
        <w:rPr>
          <w:rFonts w:ascii="Times New Roman" w:cs="Times New Roman" w:eastAsia="Times New Roman" w:hAnsi="Times New Roman"/>
          <w:sz w:val="19"/>
          <w:szCs w:val="19"/>
          <w:color w:val="auto"/>
        </w:rPr>
        <w:t>.</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color w:val="auto"/>
        </w:rPr>
        <w:t>In this Prospectus, references to the "</w:t>
      </w:r>
      <w:r>
        <w:rPr>
          <w:rFonts w:ascii="Times New Roman" w:cs="Times New Roman" w:eastAsia="Times New Roman" w:hAnsi="Times New Roman"/>
          <w:sz w:val="19"/>
          <w:szCs w:val="19"/>
          <w:b w:val="1"/>
          <w:bCs w:val="1"/>
          <w:color w:val="auto"/>
        </w:rPr>
        <w:t>Corporation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Cybin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we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us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our</w:t>
      </w:r>
      <w:r>
        <w:rPr>
          <w:rFonts w:ascii="Times New Roman" w:cs="Times New Roman" w:eastAsia="Times New Roman" w:hAnsi="Times New Roman"/>
          <w:sz w:val="19"/>
          <w:szCs w:val="19"/>
          <w:color w:val="auto"/>
        </w:rPr>
        <w:t>" refer to Cybin Inc. and/or, as applicable, one or more of its subsidiaries. The Corporation's registered and head office is located at 100 King Street West, Suite 5600, Toronto, Ontario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149465" cy="25082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08250"/>
                    </a:xfrm>
                    <a:prstGeom prst="rect">
                      <a:avLst/>
                    </a:prstGeom>
                    <a:noFill/>
                  </pic:spPr>
                </pic:pic>
              </a:graphicData>
            </a:graphic>
          </wp:anchor>
        </w:drawing>
      </w:r>
    </w:p>
    <w:p>
      <w:pPr>
        <w:spacing w:after="0" w:line="178" w:lineRule="exact"/>
        <w:rPr>
          <w:sz w:val="20"/>
          <w:szCs w:val="20"/>
          <w:color w:val="auto"/>
        </w:rPr>
      </w:pPr>
    </w:p>
    <w:p>
      <w:pPr>
        <w:jc w:val="both"/>
        <w:ind w:left="80" w:right="100"/>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The Corporation's current business focuses on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Like most pharmaceutical companies, the Corporation's business is focused on research and development, see </w:t>
      </w:r>
      <w:r>
        <w:rPr>
          <w:rFonts w:ascii="Times New Roman" w:cs="Times New Roman" w:eastAsia="Times New Roman" w:hAnsi="Times New Roman"/>
          <w:sz w:val="16"/>
          <w:szCs w:val="16"/>
          <w:b w:val="1"/>
          <w:bCs w:val="1"/>
          <w:i w:val="1"/>
          <w:iCs w:val="1"/>
          <w:color w:val="auto"/>
        </w:rPr>
        <w:t>"Use of Proceeds"</w:t>
      </w:r>
      <w:r>
        <w:rPr>
          <w:rFonts w:ascii="Times New Roman" w:cs="Times New Roman" w:eastAsia="Times New Roman" w:hAnsi="Times New Roman"/>
          <w:sz w:val="16"/>
          <w:szCs w:val="16"/>
          <w:b w:val="1"/>
          <w:bCs w:val="1"/>
          <w:color w:val="auto"/>
        </w:rPr>
        <w:t>.</w:t>
      </w:r>
    </w:p>
    <w:p>
      <w:pPr>
        <w:spacing w:after="0" w:line="156" w:lineRule="exact"/>
        <w:rPr>
          <w:sz w:val="20"/>
          <w:szCs w:val="20"/>
          <w:color w:val="auto"/>
        </w:rPr>
      </w:pPr>
    </w:p>
    <w:p>
      <w:pPr>
        <w:jc w:val="both"/>
        <w:ind w:left="80" w:right="100"/>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The Canadian and United States federal governments regulate drugs through the </w:t>
      </w:r>
      <w:r>
        <w:rPr>
          <w:rFonts w:ascii="Times New Roman" w:cs="Times New Roman" w:eastAsia="Times New Roman" w:hAnsi="Times New Roman"/>
          <w:sz w:val="16"/>
          <w:szCs w:val="16"/>
          <w:b w:val="1"/>
          <w:bCs w:val="1"/>
          <w:i w:val="1"/>
          <w:iCs w:val="1"/>
          <w:color w:val="auto"/>
        </w:rPr>
        <w:t>Controlled Drugs and Substances Act</w:t>
      </w:r>
      <w:r>
        <w:rPr>
          <w:rFonts w:ascii="Times New Roman" w:cs="Times New Roman" w:eastAsia="Times New Roman" w:hAnsi="Times New Roman"/>
          <w:sz w:val="16"/>
          <w:szCs w:val="16"/>
          <w:b w:val="1"/>
          <w:bCs w:val="1"/>
          <w:color w:val="auto"/>
        </w:rPr>
        <w:t xml:space="preserve"> (Canada) (the "CDSA") and the </w:t>
      </w:r>
      <w:r>
        <w:rPr>
          <w:rFonts w:ascii="Times New Roman" w:cs="Times New Roman" w:eastAsia="Times New Roman" w:hAnsi="Times New Roman"/>
          <w:sz w:val="16"/>
          <w:szCs w:val="16"/>
          <w:b w:val="1"/>
          <w:bCs w:val="1"/>
          <w:i w:val="1"/>
          <w:iCs w:val="1"/>
          <w:color w:val="auto"/>
        </w:rPr>
        <w:t>Controlled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i w:val="1"/>
          <w:iCs w:val="1"/>
          <w:color w:val="auto"/>
        </w:rPr>
        <w:t xml:space="preserve">Substances Act </w:t>
      </w:r>
      <w:r>
        <w:rPr>
          <w:rFonts w:ascii="Times New Roman" w:cs="Times New Roman" w:eastAsia="Times New Roman" w:hAnsi="Times New Roman"/>
          <w:sz w:val="16"/>
          <w:szCs w:val="16"/>
          <w:b w:val="1"/>
          <w:bCs w:val="1"/>
          <w:color w:val="auto"/>
        </w:rPr>
        <w:t>(21 U.S.C. § 811) (the "CSA"), respectively, which place controlled substances in a schedule. Under the CDSA, psilocin is currently a Schedule III</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color w:val="auto"/>
        </w:rPr>
        <w:t>drug. Under the CSA, psilocin is currently a Schedule I drug.</w:t>
      </w:r>
    </w:p>
    <w:p>
      <w:pPr>
        <w:spacing w:after="0" w:line="152" w:lineRule="exact"/>
        <w:rPr>
          <w:sz w:val="20"/>
          <w:szCs w:val="20"/>
          <w:color w:val="auto"/>
        </w:rPr>
      </w:pPr>
    </w:p>
    <w:p>
      <w:pPr>
        <w:jc w:val="both"/>
        <w:ind w:left="80" w:right="100"/>
        <w:spacing w:after="0" w:line="279" w:lineRule="auto"/>
        <w:rPr>
          <w:sz w:val="20"/>
          <w:szCs w:val="20"/>
          <w:color w:val="auto"/>
        </w:rPr>
      </w:pPr>
      <w:r>
        <w:rPr>
          <w:rFonts w:ascii="Times New Roman" w:cs="Times New Roman" w:eastAsia="Times New Roman" w:hAnsi="Times New Roman"/>
          <w:sz w:val="15"/>
          <w:szCs w:val="15"/>
          <w:b w:val="1"/>
          <w:bCs w:val="1"/>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United States Food and Drug Administration ("FDA"), have not approved psilocin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Times New Roman" w:cs="Times New Roman" w:eastAsia="Times New Roman" w:hAnsi="Times New Roman"/>
          <w:sz w:val="15"/>
          <w:szCs w:val="15"/>
          <w:b w:val="1"/>
          <w:bCs w:val="1"/>
          <w:i w:val="1"/>
          <w:iCs w:val="1"/>
          <w:color w:val="auto"/>
        </w:rPr>
        <w:t>"Regulatory Overview - Research and Development"</w:t>
      </w:r>
      <w:r>
        <w:rPr>
          <w:rFonts w:ascii="Times New Roman" w:cs="Times New Roman" w:eastAsia="Times New Roman" w:hAnsi="Times New Roman"/>
          <w:sz w:val="15"/>
          <w:szCs w:val="15"/>
          <w:b w:val="1"/>
          <w:bCs w:val="1"/>
          <w:color w:val="auto"/>
        </w:rPr>
        <w:t>.</w:t>
      </w:r>
    </w:p>
    <w:p>
      <w:pPr>
        <w:spacing w:after="0" w:line="144" w:lineRule="exact"/>
        <w:rPr>
          <w:sz w:val="20"/>
          <w:szCs w:val="20"/>
          <w:color w:val="auto"/>
        </w:rPr>
      </w:pPr>
    </w:p>
    <w:p>
      <w:pPr>
        <w:jc w:val="both"/>
        <w:ind w:left="80" w:right="100"/>
        <w:spacing w:after="0" w:line="273" w:lineRule="auto"/>
        <w:rPr>
          <w:sz w:val="20"/>
          <w:szCs w:val="20"/>
          <w:color w:val="auto"/>
        </w:rPr>
      </w:pPr>
      <w:r>
        <w:rPr>
          <w:rFonts w:ascii="Times New Roman" w:cs="Times New Roman" w:eastAsia="Times New Roman" w:hAnsi="Times New Roman"/>
          <w:sz w:val="15"/>
          <w:szCs w:val="15"/>
          <w:b w:val="1"/>
          <w:bCs w:val="1"/>
          <w:color w:val="auto"/>
        </w:rPr>
        <w:t>The Corporation does not deal with psychedelic substances except in jurisdictions where such activity is not illegal and then only within laboratory and clinical trial settings conducted within approved regulatory frameworks. The Corporation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 The Corporation does not advocate for the legalization of psychedelic substances for recreational purposes and does not deal with psychedelic substances except within laboratory and clinical trial settings conducted within approved regulatory frameworks.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14" w:name="page15"/>
    <w:bookmarkEnd w:id="14"/>
    <w:p>
      <w:pPr>
        <w:jc w:val="both"/>
        <w:spacing w:after="0" w:line="253"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9465" cy="382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3829685"/>
                    </a:xfrm>
                    <a:prstGeom prst="rect">
                      <a:avLst/>
                    </a:prstGeom>
                    <a:noFill/>
                  </pic:spPr>
                </pic:pic>
              </a:graphicData>
            </a:graphic>
          </wp:anchor>
        </w:drawing>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Times New Roman" w:cs="Times New Roman" w:eastAsia="Times New Roman" w:hAnsi="Times New Roman"/>
          <w:sz w:val="16"/>
          <w:szCs w:val="16"/>
          <w:b w:val="1"/>
          <w:bCs w:val="1"/>
          <w:i w:val="1"/>
          <w:iCs w:val="1"/>
          <w:color w:val="auto"/>
        </w:rPr>
        <w:t>"Risk Factors"</w:t>
      </w:r>
      <w:r>
        <w:rPr>
          <w:rFonts w:ascii="Times New Roman" w:cs="Times New Roman" w:eastAsia="Times New Roman" w:hAnsi="Times New Roman"/>
          <w:sz w:val="16"/>
          <w:szCs w:val="16"/>
          <w:b w:val="1"/>
          <w:bCs w:val="1"/>
          <w:color w:val="auto"/>
        </w:rPr>
        <w:t xml:space="preserve"> herein and </w:t>
      </w:r>
      <w:r>
        <w:rPr>
          <w:rFonts w:ascii="Times New Roman" w:cs="Times New Roman" w:eastAsia="Times New Roman" w:hAnsi="Times New Roman"/>
          <w:sz w:val="16"/>
          <w:szCs w:val="16"/>
          <w:b w:val="1"/>
          <w:bCs w:val="1"/>
          <w:i w:val="1"/>
          <w:iCs w:val="1"/>
          <w:color w:val="auto"/>
        </w:rPr>
        <w:t xml:space="preserve">"Risk Factors" </w:t>
      </w:r>
      <w:r>
        <w:rPr>
          <w:rFonts w:ascii="Times New Roman" w:cs="Times New Roman" w:eastAsia="Times New Roman" w:hAnsi="Times New Roman"/>
          <w:sz w:val="16"/>
          <w:szCs w:val="16"/>
          <w:b w:val="1"/>
          <w:bCs w:val="1"/>
          <w:color w:val="auto"/>
        </w:rPr>
        <w:t>in the Annual Information Form.</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Certain statements throughout this Prospectus regarding psilocin, psilocybin, N, N-dimethyltryptamine ("DMT"), psychedelic tryptamine, tryptamine derivatives or other psychedelic compounds have not been evaluated by Health Canada, the FDA or other similar regulatory authorities, nor has the efficacy of psilocin, psilocybin, DMT, psychedelic tryptamine, tryptamine derivatives or other psychedelic compounds been confirmed by approved research. There is no assurance that psilocin, psilocybin, DMT, psychedelic tryptamine, tryptamine derivatives or other psychedelic compounds can be used to diagnose, treat, cure or prevent any disease or condition and robust scientific research and clinical trials are needed. There are multiple risk factors regarding the ability to successfully commercially scale a chemically synthesized process to obtain psilocin and other analogues, including, but not limited to, regulatory changes or other changes in law, and risks related to drug development. See </w:t>
      </w:r>
      <w:r>
        <w:rPr>
          <w:rFonts w:ascii="Times New Roman" w:cs="Times New Roman" w:eastAsia="Times New Roman" w:hAnsi="Times New Roman"/>
          <w:sz w:val="16"/>
          <w:szCs w:val="16"/>
          <w:b w:val="1"/>
          <w:bCs w:val="1"/>
          <w:i w:val="1"/>
          <w:iCs w:val="1"/>
          <w:color w:val="auto"/>
        </w:rPr>
        <w:t>"Risk Factors"</w:t>
      </w:r>
      <w:r>
        <w:rPr>
          <w:rFonts w:ascii="Times New Roman" w:cs="Times New Roman" w:eastAsia="Times New Roman" w:hAnsi="Times New Roman"/>
          <w:sz w:val="16"/>
          <w:szCs w:val="16"/>
          <w:b w:val="1"/>
          <w:bCs w:val="1"/>
          <w:color w:val="auto"/>
        </w:rPr>
        <w:t xml:space="preserve"> herein and </w:t>
      </w:r>
      <w:r>
        <w:rPr>
          <w:rFonts w:ascii="Times New Roman" w:cs="Times New Roman" w:eastAsia="Times New Roman" w:hAnsi="Times New Roman"/>
          <w:sz w:val="16"/>
          <w:szCs w:val="16"/>
          <w:b w:val="1"/>
          <w:bCs w:val="1"/>
          <w:i w:val="1"/>
          <w:iCs w:val="1"/>
          <w:color w:val="auto"/>
        </w:rPr>
        <w:t>"Risk Factors"</w:t>
      </w:r>
      <w:r>
        <w:rPr>
          <w:rFonts w:ascii="Times New Roman" w:cs="Times New Roman" w:eastAsia="Times New Roman" w:hAnsi="Times New Roman"/>
          <w:sz w:val="16"/>
          <w:szCs w:val="16"/>
          <w:b w:val="1"/>
          <w:bCs w:val="1"/>
          <w:color w:val="auto"/>
        </w:rPr>
        <w:t xml:space="preserve"> in the Annual Information Form.</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The Corporation's operations are conducted in strict compliance with local laws where such activities are permissible and do not require any specific legal or regulatory approvals. 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Times New Roman" w:cs="Times New Roman" w:eastAsia="Times New Roman" w:hAnsi="Times New Roman"/>
          <w:sz w:val="16"/>
          <w:szCs w:val="16"/>
          <w:b w:val="1"/>
          <w:bCs w:val="1"/>
          <w:i w:val="1"/>
          <w:iCs w:val="1"/>
          <w:color w:val="auto"/>
        </w:rPr>
        <w:t>"Compliance Program"</w:t>
      </w:r>
      <w:r>
        <w:rPr>
          <w:rFonts w:ascii="Times New Roman" w:cs="Times New Roman" w:eastAsia="Times New Roman" w:hAnsi="Times New Roman"/>
          <w:sz w:val="16"/>
          <w:szCs w:val="16"/>
          <w:b w:val="1"/>
          <w:bCs w:val="1"/>
          <w:color w:val="auto"/>
        </w:rPr>
        <w:t>. Additionally, the Corporation has received legal opinions or advice in each jurisdiction where it currently operates regarding (a) compliance with applicable regulatory frameworks and (b) potential exposure and implications arising from applicable laws in jurisdictions where the Corporation has operations or intends to operate.</w:t>
      </w:r>
    </w:p>
    <w:p>
      <w:pPr>
        <w:spacing w:after="0" w:line="1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Times New Roman" w:cs="Times New Roman" w:eastAsia="Times New Roman" w:hAnsi="Times New Roman"/>
          <w:sz w:val="16"/>
          <w:szCs w:val="16"/>
          <w:b w:val="1"/>
          <w:bCs w:val="1"/>
          <w:i w:val="1"/>
          <w:iCs w:val="1"/>
          <w:color w:val="auto"/>
        </w:rPr>
        <w:t>"Risk Factors"</w:t>
      </w:r>
      <w:r>
        <w:rPr>
          <w:rFonts w:ascii="Times New Roman" w:cs="Times New Roman" w:eastAsia="Times New Roman" w:hAnsi="Times New Roman"/>
          <w:sz w:val="16"/>
          <w:szCs w:val="16"/>
          <w:b w:val="1"/>
          <w:bCs w:val="1"/>
          <w:color w:val="auto"/>
        </w:rPr>
        <w:t xml:space="preserve"> herein and </w:t>
      </w:r>
      <w:r>
        <w:rPr>
          <w:rFonts w:ascii="Times New Roman" w:cs="Times New Roman" w:eastAsia="Times New Roman" w:hAnsi="Times New Roman"/>
          <w:sz w:val="16"/>
          <w:szCs w:val="16"/>
          <w:b w:val="1"/>
          <w:bCs w:val="1"/>
          <w:i w:val="1"/>
          <w:iCs w:val="1"/>
          <w:color w:val="auto"/>
        </w:rPr>
        <w:t>"Risk Factors"</w:t>
      </w:r>
      <w:r>
        <w:rPr>
          <w:rFonts w:ascii="Times New Roman" w:cs="Times New Roman" w:eastAsia="Times New Roman" w:hAnsi="Times New Roman"/>
          <w:sz w:val="16"/>
          <w:szCs w:val="16"/>
          <w:b w:val="1"/>
          <w:bCs w:val="1"/>
          <w:color w:val="auto"/>
        </w:rPr>
        <w:t xml:space="preserve"> in the Annual Information Form.</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Times New Roman" w:cs="Times New Roman" w:eastAsia="Times New Roman" w:hAnsi="Times New Roman"/>
          <w:sz w:val="16"/>
          <w:szCs w:val="16"/>
          <w:b w:val="1"/>
          <w:bCs w:val="1"/>
          <w:i w:val="1"/>
          <w:iCs w:val="1"/>
          <w:color w:val="auto"/>
        </w:rPr>
        <w:t>"Risk Factors"</w:t>
      </w:r>
      <w:r>
        <w:rPr>
          <w:rFonts w:ascii="Times New Roman" w:cs="Times New Roman" w:eastAsia="Times New Roman" w:hAnsi="Times New Roman"/>
          <w:sz w:val="16"/>
          <w:szCs w:val="16"/>
          <w:b w:val="1"/>
          <w:bCs w:val="1"/>
          <w:color w:val="auto"/>
        </w:rPr>
        <w:t xml:space="preserve"> in this Prospectus, prior to investing in the Securities. See </w:t>
      </w:r>
      <w:r>
        <w:rPr>
          <w:rFonts w:ascii="Times New Roman" w:cs="Times New Roman" w:eastAsia="Times New Roman" w:hAnsi="Times New Roman"/>
          <w:sz w:val="16"/>
          <w:szCs w:val="16"/>
          <w:b w:val="1"/>
          <w:bCs w:val="1"/>
          <w:i w:val="1"/>
          <w:iCs w:val="1"/>
          <w:color w:val="auto"/>
        </w:rPr>
        <w:t>"Cautionary Note Regarding Forward-Looking Information"</w:t>
      </w:r>
      <w:r>
        <w:rPr>
          <w:rFonts w:ascii="Times New Roman" w:cs="Times New Roman" w:eastAsia="Times New Roman" w:hAnsi="Times New Roman"/>
          <w:sz w:val="16"/>
          <w:szCs w:val="16"/>
          <w:b w:val="1"/>
          <w:bCs w:val="1"/>
          <w:color w:val="auto"/>
        </w:rPr>
        <w:t xml:space="preserve"> and </w:t>
      </w:r>
      <w:r>
        <w:rPr>
          <w:rFonts w:ascii="Times New Roman" w:cs="Times New Roman" w:eastAsia="Times New Roman" w:hAnsi="Times New Roman"/>
          <w:sz w:val="16"/>
          <w:szCs w:val="16"/>
          <w:b w:val="1"/>
          <w:bCs w:val="1"/>
          <w:i w:val="1"/>
          <w:iCs w:val="1"/>
          <w:color w:val="auto"/>
        </w:rPr>
        <w:t>"Risk Factors"</w:t>
      </w: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113665</wp:posOffset>
            </wp:positionV>
            <wp:extent cx="716978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080"/>
          </w:cols>
          <w:pgMar w:left="400" w:top="204" w:right="419" w:bottom="1440" w:gutter="0" w:footer="0" w:header="0"/>
        </w:sectPr>
      </w:pPr>
    </w:p>
    <w:bookmarkStart w:id="15" w:name="page16"/>
    <w:bookmarkEnd w:id="15"/>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240" w:type="dxa"/>
            <w:vAlign w:val="bottom"/>
            <w:gridSpan w:val="4"/>
          </w:tcPr>
          <w:p>
            <w:pPr>
              <w:ind w:left="28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59"/>
        </w:trPr>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77"/>
        </w:trPr>
        <w:tc>
          <w:tcPr>
            <w:tcW w:w="8040" w:type="dxa"/>
            <w:vAlign w:val="bottom"/>
            <w:gridSpan w:val="20"/>
            <w:shd w:val="clear" w:color="auto" w:fill="EEEEEE"/>
          </w:tcPr>
          <w:p>
            <w:pPr>
              <w:spacing w:after="0" w:line="178" w:lineRule="exact"/>
              <w:rPr>
                <w:sz w:val="20"/>
                <w:szCs w:val="20"/>
                <w:color w:val="auto"/>
              </w:rPr>
            </w:pPr>
            <w:r>
              <w:rPr>
                <w:rFonts w:ascii="Times New Roman" w:cs="Times New Roman" w:eastAsia="Times New Roman" w:hAnsi="Times New Roman"/>
                <w:sz w:val="16"/>
                <w:szCs w:val="16"/>
                <w:color w:val="0000EE"/>
              </w:rPr>
              <w:t>GENERAL MATTERS</w:t>
            </w:r>
          </w:p>
        </w:tc>
        <w:tc>
          <w:tcPr>
            <w:tcW w:w="3220" w:type="dxa"/>
            <w:vAlign w:val="bottom"/>
            <w:gridSpan w:val="3"/>
            <w:shd w:val="clear" w:color="auto" w:fill="EEEEEE"/>
          </w:tcPr>
          <w:p>
            <w:pPr>
              <w:jc w:val="right"/>
              <w:spacing w:after="0" w:line="178" w:lineRule="exact"/>
              <w:rPr>
                <w:sz w:val="20"/>
                <w:szCs w:val="20"/>
                <w:color w:val="auto"/>
              </w:rPr>
            </w:pPr>
            <w:r>
              <w:rPr>
                <w:rFonts w:ascii="Times New Roman" w:cs="Times New Roman" w:eastAsia="Times New Roman" w:hAnsi="Times New Roman"/>
                <w:sz w:val="16"/>
                <w:szCs w:val="16"/>
                <w:color w:val="0000EE"/>
              </w:rPr>
              <w:t>1</w:t>
            </w:r>
          </w:p>
        </w:tc>
        <w:tc>
          <w:tcPr>
            <w:tcW w:w="20" w:type="dxa"/>
            <w:vAlign w:val="bottom"/>
          </w:tcPr>
          <w:p>
            <w:pPr>
              <w:spacing w:after="0"/>
              <w:rPr>
                <w:sz w:val="15"/>
                <w:szCs w:val="15"/>
                <w:color w:val="auto"/>
              </w:rPr>
            </w:pPr>
          </w:p>
        </w:tc>
      </w:tr>
      <w:tr>
        <w:trPr>
          <w:trHeight w:val="39"/>
        </w:trPr>
        <w:tc>
          <w:tcPr>
            <w:tcW w:w="1080" w:type="dxa"/>
            <w:vAlign w:val="bottom"/>
            <w:tcBorders>
              <w:top w:val="single" w:sz="8" w:color="0000EE"/>
            </w:tcBorders>
            <w:shd w:val="clear" w:color="auto" w:fill="EEEEEE"/>
          </w:tcPr>
          <w:p>
            <w:pPr>
              <w:spacing w:after="0"/>
              <w:rPr>
                <w:sz w:val="3"/>
                <w:szCs w:val="3"/>
                <w:color w:val="auto"/>
              </w:rPr>
            </w:pPr>
          </w:p>
        </w:tc>
        <w:tc>
          <w:tcPr>
            <w:tcW w:w="180" w:type="dxa"/>
            <w:vAlign w:val="bottom"/>
            <w:tcBorders>
              <w:top w:val="single" w:sz="8" w:color="0000EE"/>
            </w:tcBorders>
            <w:shd w:val="clear" w:color="auto" w:fill="EEEEEE"/>
          </w:tcPr>
          <w:p>
            <w:pPr>
              <w:spacing w:after="0"/>
              <w:rPr>
                <w:sz w:val="3"/>
                <w:szCs w:val="3"/>
                <w:color w:val="auto"/>
              </w:rPr>
            </w:pPr>
          </w:p>
        </w:tc>
        <w:tc>
          <w:tcPr>
            <w:tcW w:w="120" w:type="dxa"/>
            <w:vAlign w:val="bottom"/>
            <w:tcBorders>
              <w:top w:val="single" w:sz="8" w:color="0000EE"/>
            </w:tcBorders>
            <w:shd w:val="clear" w:color="auto" w:fill="EEEEEE"/>
          </w:tcPr>
          <w:p>
            <w:pPr>
              <w:spacing w:after="0"/>
              <w:rPr>
                <w:sz w:val="3"/>
                <w:szCs w:val="3"/>
                <w:color w:val="auto"/>
              </w:rPr>
            </w:pPr>
          </w:p>
        </w:tc>
        <w:tc>
          <w:tcPr>
            <w:tcW w:w="6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300" w:type="dxa"/>
            <w:vAlign w:val="bottom"/>
            <w:tcBorders>
              <w:top w:val="single" w:sz="8" w:color="EEEEEE"/>
            </w:tcBorders>
            <w:shd w:val="clear" w:color="auto" w:fill="EEEEEE"/>
          </w:tcPr>
          <w:p>
            <w:pPr>
              <w:spacing w:after="0"/>
              <w:rPr>
                <w:sz w:val="3"/>
                <w:szCs w:val="3"/>
                <w:color w:val="auto"/>
              </w:rPr>
            </w:pPr>
          </w:p>
        </w:tc>
        <w:tc>
          <w:tcPr>
            <w:tcW w:w="60" w:type="dxa"/>
            <w:vAlign w:val="bottom"/>
            <w:tcBorders>
              <w:top w:val="single" w:sz="8" w:color="EEEEEE"/>
            </w:tcBorders>
            <w:shd w:val="clear" w:color="auto" w:fill="EEEEEE"/>
          </w:tcPr>
          <w:p>
            <w:pPr>
              <w:spacing w:after="0"/>
              <w:rPr>
                <w:sz w:val="3"/>
                <w:szCs w:val="3"/>
                <w:color w:val="auto"/>
              </w:rPr>
            </w:pPr>
          </w:p>
        </w:tc>
        <w:tc>
          <w:tcPr>
            <w:tcW w:w="20" w:type="dxa"/>
            <w:vAlign w:val="bottom"/>
            <w:tcBorders>
              <w:top w:val="single" w:sz="8" w:color="EEEEEE"/>
            </w:tcBorders>
            <w:shd w:val="clear" w:color="auto" w:fill="EEEEEE"/>
          </w:tcPr>
          <w:p>
            <w:pPr>
              <w:spacing w:after="0"/>
              <w:rPr>
                <w:sz w:val="3"/>
                <w:szCs w:val="3"/>
                <w:color w:val="auto"/>
              </w:rPr>
            </w:pPr>
          </w:p>
        </w:tc>
        <w:tc>
          <w:tcPr>
            <w:tcW w:w="40" w:type="dxa"/>
            <w:vAlign w:val="bottom"/>
            <w:tcBorders>
              <w:top w:val="single" w:sz="8" w:color="EEEEEE"/>
            </w:tcBorders>
            <w:shd w:val="clear" w:color="auto" w:fill="EEEEEE"/>
          </w:tcPr>
          <w:p>
            <w:pPr>
              <w:spacing w:after="0"/>
              <w:rPr>
                <w:sz w:val="3"/>
                <w:szCs w:val="3"/>
                <w:color w:val="auto"/>
              </w:rPr>
            </w:pPr>
          </w:p>
        </w:tc>
        <w:tc>
          <w:tcPr>
            <w:tcW w:w="280" w:type="dxa"/>
            <w:vAlign w:val="bottom"/>
            <w:tcBorders>
              <w:top w:val="single" w:sz="8" w:color="EEEEEE"/>
            </w:tcBorders>
            <w:shd w:val="clear" w:color="auto" w:fill="EEEEEE"/>
          </w:tcPr>
          <w:p>
            <w:pPr>
              <w:spacing w:after="0"/>
              <w:rPr>
                <w:sz w:val="3"/>
                <w:szCs w:val="3"/>
                <w:color w:val="auto"/>
              </w:rPr>
            </w:pPr>
          </w:p>
        </w:tc>
        <w:tc>
          <w:tcPr>
            <w:tcW w:w="140" w:type="dxa"/>
            <w:vAlign w:val="bottom"/>
            <w:tcBorders>
              <w:top w:val="single" w:sz="8" w:color="EEEEEE"/>
            </w:tcBorders>
            <w:shd w:val="clear" w:color="auto" w:fill="EEEEEE"/>
          </w:tcPr>
          <w:p>
            <w:pPr>
              <w:spacing w:after="0"/>
              <w:rPr>
                <w:sz w:val="3"/>
                <w:szCs w:val="3"/>
                <w:color w:val="auto"/>
              </w:rPr>
            </w:pPr>
          </w:p>
        </w:tc>
        <w:tc>
          <w:tcPr>
            <w:tcW w:w="180" w:type="dxa"/>
            <w:vAlign w:val="bottom"/>
            <w:tcBorders>
              <w:top w:val="single" w:sz="8" w:color="EEEEEE"/>
            </w:tcBorders>
            <w:shd w:val="clear" w:color="auto" w:fill="EEEEEE"/>
          </w:tcPr>
          <w:p>
            <w:pPr>
              <w:spacing w:after="0"/>
              <w:rPr>
                <w:sz w:val="3"/>
                <w:szCs w:val="3"/>
                <w:color w:val="auto"/>
              </w:rPr>
            </w:pPr>
          </w:p>
        </w:tc>
        <w:tc>
          <w:tcPr>
            <w:tcW w:w="240" w:type="dxa"/>
            <w:vAlign w:val="bottom"/>
            <w:tcBorders>
              <w:top w:val="single" w:sz="8" w:color="EEEEEE"/>
            </w:tcBorders>
            <w:shd w:val="clear" w:color="auto" w:fill="EEEEEE"/>
          </w:tcPr>
          <w:p>
            <w:pPr>
              <w:spacing w:after="0"/>
              <w:rPr>
                <w:sz w:val="3"/>
                <w:szCs w:val="3"/>
                <w:color w:val="auto"/>
              </w:rPr>
            </w:pPr>
          </w:p>
        </w:tc>
        <w:tc>
          <w:tcPr>
            <w:tcW w:w="680" w:type="dxa"/>
            <w:vAlign w:val="bottom"/>
            <w:tcBorders>
              <w:top w:val="single" w:sz="8" w:color="EEEEEE"/>
            </w:tcBorders>
            <w:shd w:val="clear" w:color="auto" w:fill="EEEEEE"/>
          </w:tcPr>
          <w:p>
            <w:pPr>
              <w:spacing w:after="0"/>
              <w:rPr>
                <w:sz w:val="3"/>
                <w:szCs w:val="3"/>
                <w:color w:val="auto"/>
              </w:rPr>
            </w:pPr>
          </w:p>
        </w:tc>
        <w:tc>
          <w:tcPr>
            <w:tcW w:w="120" w:type="dxa"/>
            <w:vAlign w:val="bottom"/>
            <w:tcBorders>
              <w:top w:val="single" w:sz="8" w:color="EEEEEE"/>
            </w:tcBorders>
            <w:shd w:val="clear" w:color="auto" w:fill="EEEEEE"/>
          </w:tcPr>
          <w:p>
            <w:pPr>
              <w:spacing w:after="0"/>
              <w:rPr>
                <w:sz w:val="3"/>
                <w:szCs w:val="3"/>
                <w:color w:val="auto"/>
              </w:rPr>
            </w:pPr>
          </w:p>
        </w:tc>
        <w:tc>
          <w:tcPr>
            <w:tcW w:w="240" w:type="dxa"/>
            <w:vAlign w:val="bottom"/>
            <w:tcBorders>
              <w:top w:val="single" w:sz="8" w:color="EEEEEE"/>
            </w:tcBorders>
            <w:shd w:val="clear" w:color="auto" w:fill="EEEEEE"/>
          </w:tcPr>
          <w:p>
            <w:pPr>
              <w:spacing w:after="0"/>
              <w:rPr>
                <w:sz w:val="3"/>
                <w:szCs w:val="3"/>
                <w:color w:val="auto"/>
              </w:rPr>
            </w:pPr>
          </w:p>
        </w:tc>
        <w:tc>
          <w:tcPr>
            <w:tcW w:w="20" w:type="dxa"/>
            <w:vAlign w:val="bottom"/>
            <w:tcBorders>
              <w:top w:val="single" w:sz="8" w:color="EEEEEE"/>
            </w:tcBorders>
            <w:shd w:val="clear" w:color="auto" w:fill="EEEEEE"/>
          </w:tcPr>
          <w:p>
            <w:pPr>
              <w:spacing w:after="0"/>
              <w:rPr>
                <w:sz w:val="3"/>
                <w:szCs w:val="3"/>
                <w:color w:val="auto"/>
              </w:rPr>
            </w:pPr>
          </w:p>
        </w:tc>
        <w:tc>
          <w:tcPr>
            <w:tcW w:w="1020" w:type="dxa"/>
            <w:vAlign w:val="bottom"/>
            <w:tcBorders>
              <w:top w:val="single" w:sz="8" w:color="EEEEEE"/>
            </w:tcBorders>
            <w:shd w:val="clear" w:color="auto" w:fill="EEEEEE"/>
          </w:tcPr>
          <w:p>
            <w:pPr>
              <w:spacing w:after="0"/>
              <w:rPr>
                <w:sz w:val="3"/>
                <w:szCs w:val="3"/>
                <w:color w:val="auto"/>
              </w:rPr>
            </w:pPr>
          </w:p>
        </w:tc>
        <w:tc>
          <w:tcPr>
            <w:tcW w:w="340" w:type="dxa"/>
            <w:vAlign w:val="bottom"/>
            <w:tcBorders>
              <w:top w:val="single" w:sz="8" w:color="EEEEEE"/>
            </w:tcBorders>
            <w:shd w:val="clear" w:color="auto" w:fill="EEEEEE"/>
          </w:tcPr>
          <w:p>
            <w:pPr>
              <w:spacing w:after="0"/>
              <w:rPr>
                <w:sz w:val="3"/>
                <w:szCs w:val="3"/>
                <w:color w:val="auto"/>
              </w:rPr>
            </w:pPr>
          </w:p>
        </w:tc>
        <w:tc>
          <w:tcPr>
            <w:tcW w:w="2880" w:type="dxa"/>
            <w:vAlign w:val="bottom"/>
            <w:tcBorders>
              <w:top w:val="single" w:sz="8" w:color="EEEEEE"/>
            </w:tcBorders>
            <w:shd w:val="clear" w:color="auto" w:fill="EEEEEE"/>
          </w:tcPr>
          <w:p>
            <w:pPr>
              <w:spacing w:after="0"/>
              <w:rPr>
                <w:sz w:val="3"/>
                <w:szCs w:val="3"/>
                <w:color w:val="auto"/>
              </w:rPr>
            </w:pPr>
          </w:p>
        </w:tc>
        <w:tc>
          <w:tcPr>
            <w:tcW w:w="306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0000EE"/>
            </w:tcBorders>
            <w:shd w:val="clear" w:color="auto" w:fill="EEEEEE"/>
          </w:tcPr>
          <w:p>
            <w:pPr>
              <w:spacing w:after="0"/>
              <w:rPr>
                <w:sz w:val="3"/>
                <w:szCs w:val="3"/>
                <w:color w:val="auto"/>
              </w:rPr>
            </w:pPr>
          </w:p>
        </w:tc>
        <w:tc>
          <w:tcPr>
            <w:tcW w:w="20" w:type="dxa"/>
            <w:vAlign w:val="bottom"/>
          </w:tcPr>
          <w:p>
            <w:pPr>
              <w:spacing w:after="0"/>
              <w:rPr>
                <w:sz w:val="3"/>
                <w:szCs w:val="3"/>
                <w:color w:val="auto"/>
              </w:rPr>
            </w:pPr>
          </w:p>
        </w:tc>
      </w:tr>
      <w:tr>
        <w:trPr>
          <w:trHeight w:val="177"/>
        </w:trPr>
        <w:tc>
          <w:tcPr>
            <w:tcW w:w="8040" w:type="dxa"/>
            <w:vAlign w:val="bottom"/>
            <w:gridSpan w:val="20"/>
          </w:tcPr>
          <w:p>
            <w:pPr>
              <w:spacing w:after="0" w:line="178" w:lineRule="exact"/>
              <w:rPr>
                <w:sz w:val="20"/>
                <w:szCs w:val="20"/>
                <w:color w:val="auto"/>
              </w:rPr>
            </w:pPr>
            <w:r>
              <w:rPr>
                <w:rFonts w:ascii="Times New Roman" w:cs="Times New Roman" w:eastAsia="Times New Roman" w:hAnsi="Times New Roman"/>
                <w:sz w:val="16"/>
                <w:szCs w:val="16"/>
                <w:color w:val="0000EE"/>
              </w:rPr>
              <w:t>CAUTIONARY NOTE REGARDING FORWARD-LOOKING INFORMATION</w:t>
            </w:r>
          </w:p>
        </w:tc>
        <w:tc>
          <w:tcPr>
            <w:tcW w:w="322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6"/>
                <w:szCs w:val="16"/>
                <w:color w:val="0000EE"/>
              </w:rPr>
              <w:t>1</w:t>
            </w:r>
          </w:p>
        </w:tc>
        <w:tc>
          <w:tcPr>
            <w:tcW w:w="20" w:type="dxa"/>
            <w:vAlign w:val="bottom"/>
          </w:tcPr>
          <w:p>
            <w:pPr>
              <w:spacing w:after="0"/>
              <w:rPr>
                <w:sz w:val="15"/>
                <w:szCs w:val="15"/>
                <w:color w:val="auto"/>
              </w:rPr>
            </w:pPr>
          </w:p>
        </w:tc>
      </w:tr>
      <w:tr>
        <w:trPr>
          <w:trHeight w:val="39"/>
        </w:trPr>
        <w:tc>
          <w:tcPr>
            <w:tcW w:w="108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28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77"/>
        </w:trPr>
        <w:tc>
          <w:tcPr>
            <w:tcW w:w="8040" w:type="dxa"/>
            <w:vAlign w:val="bottom"/>
            <w:gridSpan w:val="20"/>
            <w:shd w:val="clear" w:color="auto" w:fill="EEEEEE"/>
          </w:tcPr>
          <w:p>
            <w:pPr>
              <w:spacing w:after="0" w:line="178" w:lineRule="exact"/>
              <w:rPr>
                <w:sz w:val="20"/>
                <w:szCs w:val="20"/>
                <w:color w:val="auto"/>
              </w:rPr>
            </w:pPr>
            <w:r>
              <w:rPr>
                <w:rFonts w:ascii="Times New Roman" w:cs="Times New Roman" w:eastAsia="Times New Roman" w:hAnsi="Times New Roman"/>
                <w:sz w:val="16"/>
                <w:szCs w:val="16"/>
                <w:color w:val="0000EE"/>
              </w:rPr>
              <w:t>TRADEMARKS AND SERVICE MARKS</w:t>
            </w:r>
          </w:p>
        </w:tc>
        <w:tc>
          <w:tcPr>
            <w:tcW w:w="3220" w:type="dxa"/>
            <w:vAlign w:val="bottom"/>
            <w:gridSpan w:val="3"/>
            <w:shd w:val="clear" w:color="auto" w:fill="EEEEEE"/>
          </w:tcPr>
          <w:p>
            <w:pPr>
              <w:jc w:val="right"/>
              <w:spacing w:after="0" w:line="178" w:lineRule="exact"/>
              <w:rPr>
                <w:sz w:val="20"/>
                <w:szCs w:val="20"/>
                <w:color w:val="auto"/>
              </w:rPr>
            </w:pPr>
            <w:r>
              <w:rPr>
                <w:rFonts w:ascii="Times New Roman" w:cs="Times New Roman" w:eastAsia="Times New Roman" w:hAnsi="Times New Roman"/>
                <w:sz w:val="16"/>
                <w:szCs w:val="16"/>
                <w:color w:val="0000EE"/>
              </w:rPr>
              <w:t>3</w:t>
            </w:r>
          </w:p>
        </w:tc>
        <w:tc>
          <w:tcPr>
            <w:tcW w:w="20" w:type="dxa"/>
            <w:vAlign w:val="bottom"/>
          </w:tcPr>
          <w:p>
            <w:pPr>
              <w:spacing w:after="0"/>
              <w:rPr>
                <w:sz w:val="15"/>
                <w:szCs w:val="15"/>
                <w:color w:val="auto"/>
              </w:rPr>
            </w:pPr>
          </w:p>
        </w:tc>
      </w:tr>
      <w:tr>
        <w:trPr>
          <w:trHeight w:val="39"/>
        </w:trPr>
        <w:tc>
          <w:tcPr>
            <w:tcW w:w="1080" w:type="dxa"/>
            <w:vAlign w:val="bottom"/>
            <w:tcBorders>
              <w:top w:val="single" w:sz="8" w:color="0000EE"/>
            </w:tcBorders>
            <w:shd w:val="clear" w:color="auto" w:fill="EEEEEE"/>
          </w:tcPr>
          <w:p>
            <w:pPr>
              <w:spacing w:after="0"/>
              <w:rPr>
                <w:sz w:val="3"/>
                <w:szCs w:val="3"/>
                <w:color w:val="auto"/>
              </w:rPr>
            </w:pPr>
          </w:p>
        </w:tc>
        <w:tc>
          <w:tcPr>
            <w:tcW w:w="180" w:type="dxa"/>
            <w:vAlign w:val="bottom"/>
            <w:tcBorders>
              <w:top w:val="single" w:sz="8" w:color="0000EE"/>
            </w:tcBorders>
            <w:shd w:val="clear" w:color="auto" w:fill="EEEEEE"/>
          </w:tcPr>
          <w:p>
            <w:pPr>
              <w:spacing w:after="0"/>
              <w:rPr>
                <w:sz w:val="3"/>
                <w:szCs w:val="3"/>
                <w:color w:val="auto"/>
              </w:rPr>
            </w:pPr>
          </w:p>
        </w:tc>
        <w:tc>
          <w:tcPr>
            <w:tcW w:w="120" w:type="dxa"/>
            <w:vAlign w:val="bottom"/>
            <w:tcBorders>
              <w:top w:val="single" w:sz="8" w:color="0000EE"/>
            </w:tcBorders>
            <w:shd w:val="clear" w:color="auto" w:fill="EEEEEE"/>
          </w:tcPr>
          <w:p>
            <w:pPr>
              <w:spacing w:after="0"/>
              <w:rPr>
                <w:sz w:val="3"/>
                <w:szCs w:val="3"/>
                <w:color w:val="auto"/>
              </w:rPr>
            </w:pPr>
          </w:p>
        </w:tc>
        <w:tc>
          <w:tcPr>
            <w:tcW w:w="6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300" w:type="dxa"/>
            <w:vAlign w:val="bottom"/>
            <w:tcBorders>
              <w:top w:val="single" w:sz="8" w:color="0000EE"/>
            </w:tcBorders>
            <w:shd w:val="clear" w:color="auto" w:fill="EEEEEE"/>
          </w:tcPr>
          <w:p>
            <w:pPr>
              <w:spacing w:after="0"/>
              <w:rPr>
                <w:sz w:val="3"/>
                <w:szCs w:val="3"/>
                <w:color w:val="auto"/>
              </w:rPr>
            </w:pPr>
          </w:p>
        </w:tc>
        <w:tc>
          <w:tcPr>
            <w:tcW w:w="60" w:type="dxa"/>
            <w:vAlign w:val="bottom"/>
            <w:tcBorders>
              <w:top w:val="single" w:sz="8" w:color="0000EE"/>
            </w:tcBorders>
            <w:shd w:val="clear" w:color="auto" w:fill="EEEEEE"/>
          </w:tcPr>
          <w:p>
            <w:pPr>
              <w:spacing w:after="0"/>
              <w:rPr>
                <w:sz w:val="3"/>
                <w:szCs w:val="3"/>
                <w:color w:val="auto"/>
              </w:rPr>
            </w:pPr>
          </w:p>
        </w:tc>
        <w:tc>
          <w:tcPr>
            <w:tcW w:w="2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280" w:type="dxa"/>
            <w:vAlign w:val="bottom"/>
            <w:tcBorders>
              <w:top w:val="single" w:sz="8" w:color="0000EE"/>
            </w:tcBorders>
            <w:shd w:val="clear" w:color="auto" w:fill="EEEEEE"/>
          </w:tcPr>
          <w:p>
            <w:pPr>
              <w:spacing w:after="0"/>
              <w:rPr>
                <w:sz w:val="3"/>
                <w:szCs w:val="3"/>
                <w:color w:val="auto"/>
              </w:rPr>
            </w:pPr>
          </w:p>
        </w:tc>
        <w:tc>
          <w:tcPr>
            <w:tcW w:w="140" w:type="dxa"/>
            <w:vAlign w:val="bottom"/>
            <w:tcBorders>
              <w:top w:val="single" w:sz="8" w:color="0000EE"/>
            </w:tcBorders>
            <w:shd w:val="clear" w:color="auto" w:fill="EEEEEE"/>
          </w:tcPr>
          <w:p>
            <w:pPr>
              <w:spacing w:after="0"/>
              <w:rPr>
                <w:sz w:val="3"/>
                <w:szCs w:val="3"/>
                <w:color w:val="auto"/>
              </w:rPr>
            </w:pPr>
          </w:p>
        </w:tc>
        <w:tc>
          <w:tcPr>
            <w:tcW w:w="180" w:type="dxa"/>
            <w:vAlign w:val="bottom"/>
            <w:tcBorders>
              <w:top w:val="single" w:sz="8" w:color="0000EE"/>
            </w:tcBorders>
            <w:shd w:val="clear" w:color="auto" w:fill="EEEEEE"/>
          </w:tcPr>
          <w:p>
            <w:pPr>
              <w:spacing w:after="0"/>
              <w:rPr>
                <w:sz w:val="3"/>
                <w:szCs w:val="3"/>
                <w:color w:val="auto"/>
              </w:rPr>
            </w:pPr>
          </w:p>
        </w:tc>
        <w:tc>
          <w:tcPr>
            <w:tcW w:w="240" w:type="dxa"/>
            <w:vAlign w:val="bottom"/>
            <w:tcBorders>
              <w:top w:val="single" w:sz="8" w:color="0000EE"/>
            </w:tcBorders>
            <w:shd w:val="clear" w:color="auto" w:fill="EEEEEE"/>
          </w:tcPr>
          <w:p>
            <w:pPr>
              <w:spacing w:after="0"/>
              <w:rPr>
                <w:sz w:val="3"/>
                <w:szCs w:val="3"/>
                <w:color w:val="auto"/>
              </w:rPr>
            </w:pPr>
          </w:p>
        </w:tc>
        <w:tc>
          <w:tcPr>
            <w:tcW w:w="680" w:type="dxa"/>
            <w:vAlign w:val="bottom"/>
            <w:tcBorders>
              <w:top w:val="single" w:sz="8" w:color="EEEEEE"/>
            </w:tcBorders>
            <w:shd w:val="clear" w:color="auto" w:fill="EEEEEE"/>
          </w:tcPr>
          <w:p>
            <w:pPr>
              <w:spacing w:after="0"/>
              <w:rPr>
                <w:sz w:val="3"/>
                <w:szCs w:val="3"/>
                <w:color w:val="auto"/>
              </w:rPr>
            </w:pPr>
          </w:p>
        </w:tc>
        <w:tc>
          <w:tcPr>
            <w:tcW w:w="120" w:type="dxa"/>
            <w:vAlign w:val="bottom"/>
            <w:tcBorders>
              <w:top w:val="single" w:sz="8" w:color="EEEEEE"/>
            </w:tcBorders>
            <w:shd w:val="clear" w:color="auto" w:fill="EEEEEE"/>
          </w:tcPr>
          <w:p>
            <w:pPr>
              <w:spacing w:after="0"/>
              <w:rPr>
                <w:sz w:val="3"/>
                <w:szCs w:val="3"/>
                <w:color w:val="auto"/>
              </w:rPr>
            </w:pPr>
          </w:p>
        </w:tc>
        <w:tc>
          <w:tcPr>
            <w:tcW w:w="240" w:type="dxa"/>
            <w:vAlign w:val="bottom"/>
            <w:tcBorders>
              <w:top w:val="single" w:sz="8" w:color="EEEEEE"/>
            </w:tcBorders>
            <w:shd w:val="clear" w:color="auto" w:fill="EEEEEE"/>
          </w:tcPr>
          <w:p>
            <w:pPr>
              <w:spacing w:after="0"/>
              <w:rPr>
                <w:sz w:val="3"/>
                <w:szCs w:val="3"/>
                <w:color w:val="auto"/>
              </w:rPr>
            </w:pPr>
          </w:p>
        </w:tc>
        <w:tc>
          <w:tcPr>
            <w:tcW w:w="20" w:type="dxa"/>
            <w:vAlign w:val="bottom"/>
            <w:tcBorders>
              <w:top w:val="single" w:sz="8" w:color="EEEEEE"/>
            </w:tcBorders>
            <w:shd w:val="clear" w:color="auto" w:fill="EEEEEE"/>
          </w:tcPr>
          <w:p>
            <w:pPr>
              <w:spacing w:after="0"/>
              <w:rPr>
                <w:sz w:val="3"/>
                <w:szCs w:val="3"/>
                <w:color w:val="auto"/>
              </w:rPr>
            </w:pPr>
          </w:p>
        </w:tc>
        <w:tc>
          <w:tcPr>
            <w:tcW w:w="1020" w:type="dxa"/>
            <w:vAlign w:val="bottom"/>
            <w:tcBorders>
              <w:top w:val="single" w:sz="8" w:color="EEEEEE"/>
            </w:tcBorders>
            <w:shd w:val="clear" w:color="auto" w:fill="EEEEEE"/>
          </w:tcPr>
          <w:p>
            <w:pPr>
              <w:spacing w:after="0"/>
              <w:rPr>
                <w:sz w:val="3"/>
                <w:szCs w:val="3"/>
                <w:color w:val="auto"/>
              </w:rPr>
            </w:pPr>
          </w:p>
        </w:tc>
        <w:tc>
          <w:tcPr>
            <w:tcW w:w="340" w:type="dxa"/>
            <w:vAlign w:val="bottom"/>
            <w:tcBorders>
              <w:top w:val="single" w:sz="8" w:color="EEEEEE"/>
            </w:tcBorders>
            <w:shd w:val="clear" w:color="auto" w:fill="EEEEEE"/>
          </w:tcPr>
          <w:p>
            <w:pPr>
              <w:spacing w:after="0"/>
              <w:rPr>
                <w:sz w:val="3"/>
                <w:szCs w:val="3"/>
                <w:color w:val="auto"/>
              </w:rPr>
            </w:pPr>
          </w:p>
        </w:tc>
        <w:tc>
          <w:tcPr>
            <w:tcW w:w="2880" w:type="dxa"/>
            <w:vAlign w:val="bottom"/>
            <w:tcBorders>
              <w:top w:val="single" w:sz="8" w:color="EEEEEE"/>
            </w:tcBorders>
            <w:shd w:val="clear" w:color="auto" w:fill="EEEEEE"/>
          </w:tcPr>
          <w:p>
            <w:pPr>
              <w:spacing w:after="0"/>
              <w:rPr>
                <w:sz w:val="3"/>
                <w:szCs w:val="3"/>
                <w:color w:val="auto"/>
              </w:rPr>
            </w:pPr>
          </w:p>
        </w:tc>
        <w:tc>
          <w:tcPr>
            <w:tcW w:w="306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0000EE"/>
            </w:tcBorders>
            <w:shd w:val="clear" w:color="auto" w:fill="EEEEEE"/>
          </w:tcPr>
          <w:p>
            <w:pPr>
              <w:spacing w:after="0"/>
              <w:rPr>
                <w:sz w:val="3"/>
                <w:szCs w:val="3"/>
                <w:color w:val="auto"/>
              </w:rPr>
            </w:pPr>
          </w:p>
        </w:tc>
        <w:tc>
          <w:tcPr>
            <w:tcW w:w="20" w:type="dxa"/>
            <w:vAlign w:val="bottom"/>
          </w:tcPr>
          <w:p>
            <w:pPr>
              <w:spacing w:after="0"/>
              <w:rPr>
                <w:sz w:val="3"/>
                <w:szCs w:val="3"/>
                <w:color w:val="auto"/>
              </w:rPr>
            </w:pPr>
          </w:p>
        </w:tc>
      </w:tr>
      <w:tr>
        <w:trPr>
          <w:trHeight w:val="177"/>
        </w:trPr>
        <w:tc>
          <w:tcPr>
            <w:tcW w:w="2740" w:type="dxa"/>
            <w:vAlign w:val="bottom"/>
            <w:gridSpan w:val="13"/>
          </w:tcPr>
          <w:p>
            <w:pPr>
              <w:spacing w:after="0" w:line="178" w:lineRule="exact"/>
              <w:rPr>
                <w:sz w:val="20"/>
                <w:szCs w:val="20"/>
                <w:color w:val="auto"/>
              </w:rPr>
            </w:pPr>
            <w:r>
              <w:rPr>
                <w:rFonts w:ascii="Times New Roman" w:cs="Times New Roman" w:eastAsia="Times New Roman" w:hAnsi="Times New Roman"/>
                <w:sz w:val="16"/>
                <w:szCs w:val="16"/>
                <w:color w:val="0000EE"/>
              </w:rPr>
              <w:t>MARKETING MATERIALS</w:t>
            </w:r>
          </w:p>
        </w:tc>
        <w:tc>
          <w:tcPr>
            <w:tcW w:w="5300" w:type="dxa"/>
            <w:vAlign w:val="bottom"/>
            <w:gridSpan w:val="7"/>
          </w:tcPr>
          <w:p>
            <w:pPr>
              <w:spacing w:after="0"/>
              <w:rPr>
                <w:sz w:val="15"/>
                <w:szCs w:val="15"/>
                <w:color w:val="auto"/>
              </w:rPr>
            </w:pPr>
          </w:p>
        </w:tc>
        <w:tc>
          <w:tcPr>
            <w:tcW w:w="322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6"/>
                <w:szCs w:val="16"/>
                <w:color w:val="0000EE"/>
              </w:rPr>
              <w:t>4</w:t>
            </w:r>
          </w:p>
        </w:tc>
        <w:tc>
          <w:tcPr>
            <w:tcW w:w="20" w:type="dxa"/>
            <w:vAlign w:val="bottom"/>
          </w:tcPr>
          <w:p>
            <w:pPr>
              <w:spacing w:after="0"/>
              <w:rPr>
                <w:sz w:val="15"/>
                <w:szCs w:val="15"/>
                <w:color w:val="auto"/>
              </w:rPr>
            </w:pPr>
          </w:p>
        </w:tc>
      </w:tr>
      <w:tr>
        <w:trPr>
          <w:trHeight w:val="39"/>
        </w:trPr>
        <w:tc>
          <w:tcPr>
            <w:tcW w:w="108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77"/>
        </w:trPr>
        <w:tc>
          <w:tcPr>
            <w:tcW w:w="2320" w:type="dxa"/>
            <w:vAlign w:val="bottom"/>
            <w:gridSpan w:val="11"/>
            <w:shd w:val="clear" w:color="auto" w:fill="EEEEEE"/>
          </w:tcPr>
          <w:p>
            <w:pPr>
              <w:spacing w:after="0" w:line="178" w:lineRule="exact"/>
              <w:rPr>
                <w:sz w:val="20"/>
                <w:szCs w:val="20"/>
                <w:color w:val="auto"/>
              </w:rPr>
            </w:pPr>
            <w:r>
              <w:rPr>
                <w:rFonts w:ascii="Times New Roman" w:cs="Times New Roman" w:eastAsia="Times New Roman" w:hAnsi="Times New Roman"/>
                <w:sz w:val="16"/>
                <w:szCs w:val="16"/>
                <w:color w:val="0000EE"/>
                <w:w w:val="96"/>
              </w:rPr>
              <w:t>MARKET AND INDUSTRY DATA</w:t>
            </w:r>
          </w:p>
        </w:tc>
        <w:tc>
          <w:tcPr>
            <w:tcW w:w="5720" w:type="dxa"/>
            <w:vAlign w:val="bottom"/>
            <w:gridSpan w:val="9"/>
            <w:shd w:val="clear" w:color="auto" w:fill="EEEEEE"/>
          </w:tcPr>
          <w:p>
            <w:pPr>
              <w:spacing w:after="0"/>
              <w:rPr>
                <w:sz w:val="15"/>
                <w:szCs w:val="15"/>
                <w:color w:val="auto"/>
              </w:rPr>
            </w:pPr>
          </w:p>
        </w:tc>
        <w:tc>
          <w:tcPr>
            <w:tcW w:w="3220" w:type="dxa"/>
            <w:vAlign w:val="bottom"/>
            <w:gridSpan w:val="3"/>
            <w:shd w:val="clear" w:color="auto" w:fill="EEEEEE"/>
          </w:tcPr>
          <w:p>
            <w:pPr>
              <w:jc w:val="right"/>
              <w:spacing w:after="0" w:line="178" w:lineRule="exact"/>
              <w:rPr>
                <w:sz w:val="20"/>
                <w:szCs w:val="20"/>
                <w:color w:val="auto"/>
              </w:rPr>
            </w:pPr>
            <w:r>
              <w:rPr>
                <w:rFonts w:ascii="Times New Roman" w:cs="Times New Roman" w:eastAsia="Times New Roman" w:hAnsi="Times New Roman"/>
                <w:sz w:val="16"/>
                <w:szCs w:val="16"/>
                <w:color w:val="0000EE"/>
              </w:rPr>
              <w:t>4</w:t>
            </w:r>
          </w:p>
        </w:tc>
        <w:tc>
          <w:tcPr>
            <w:tcW w:w="20" w:type="dxa"/>
            <w:vAlign w:val="bottom"/>
          </w:tcPr>
          <w:p>
            <w:pPr>
              <w:spacing w:after="0"/>
              <w:rPr>
                <w:sz w:val="15"/>
                <w:szCs w:val="15"/>
                <w:color w:val="auto"/>
              </w:rPr>
            </w:pPr>
          </w:p>
        </w:tc>
      </w:tr>
      <w:tr>
        <w:trPr>
          <w:trHeight w:val="39"/>
        </w:trPr>
        <w:tc>
          <w:tcPr>
            <w:tcW w:w="1080" w:type="dxa"/>
            <w:vAlign w:val="bottom"/>
            <w:tcBorders>
              <w:top w:val="single" w:sz="8" w:color="0000EE"/>
            </w:tcBorders>
            <w:shd w:val="clear" w:color="auto" w:fill="EEEEEE"/>
          </w:tcPr>
          <w:p>
            <w:pPr>
              <w:spacing w:after="0"/>
              <w:rPr>
                <w:sz w:val="3"/>
                <w:szCs w:val="3"/>
                <w:color w:val="auto"/>
              </w:rPr>
            </w:pPr>
          </w:p>
        </w:tc>
        <w:tc>
          <w:tcPr>
            <w:tcW w:w="180" w:type="dxa"/>
            <w:vAlign w:val="bottom"/>
            <w:tcBorders>
              <w:top w:val="single" w:sz="8" w:color="0000EE"/>
            </w:tcBorders>
            <w:shd w:val="clear" w:color="auto" w:fill="EEEEEE"/>
          </w:tcPr>
          <w:p>
            <w:pPr>
              <w:spacing w:after="0"/>
              <w:rPr>
                <w:sz w:val="3"/>
                <w:szCs w:val="3"/>
                <w:color w:val="auto"/>
              </w:rPr>
            </w:pPr>
          </w:p>
        </w:tc>
        <w:tc>
          <w:tcPr>
            <w:tcW w:w="120" w:type="dxa"/>
            <w:vAlign w:val="bottom"/>
            <w:tcBorders>
              <w:top w:val="single" w:sz="8" w:color="0000EE"/>
            </w:tcBorders>
            <w:shd w:val="clear" w:color="auto" w:fill="EEEEEE"/>
          </w:tcPr>
          <w:p>
            <w:pPr>
              <w:spacing w:after="0"/>
              <w:rPr>
                <w:sz w:val="3"/>
                <w:szCs w:val="3"/>
                <w:color w:val="auto"/>
              </w:rPr>
            </w:pPr>
          </w:p>
        </w:tc>
        <w:tc>
          <w:tcPr>
            <w:tcW w:w="6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300" w:type="dxa"/>
            <w:vAlign w:val="bottom"/>
            <w:tcBorders>
              <w:top w:val="single" w:sz="8" w:color="0000EE"/>
            </w:tcBorders>
            <w:shd w:val="clear" w:color="auto" w:fill="EEEEEE"/>
          </w:tcPr>
          <w:p>
            <w:pPr>
              <w:spacing w:after="0"/>
              <w:rPr>
                <w:sz w:val="3"/>
                <w:szCs w:val="3"/>
                <w:color w:val="auto"/>
              </w:rPr>
            </w:pPr>
          </w:p>
        </w:tc>
        <w:tc>
          <w:tcPr>
            <w:tcW w:w="60" w:type="dxa"/>
            <w:vAlign w:val="bottom"/>
            <w:tcBorders>
              <w:top w:val="single" w:sz="8" w:color="0000EE"/>
            </w:tcBorders>
            <w:shd w:val="clear" w:color="auto" w:fill="EEEEEE"/>
          </w:tcPr>
          <w:p>
            <w:pPr>
              <w:spacing w:after="0"/>
              <w:rPr>
                <w:sz w:val="3"/>
                <w:szCs w:val="3"/>
                <w:color w:val="auto"/>
              </w:rPr>
            </w:pPr>
          </w:p>
        </w:tc>
        <w:tc>
          <w:tcPr>
            <w:tcW w:w="2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280" w:type="dxa"/>
            <w:vAlign w:val="bottom"/>
            <w:tcBorders>
              <w:top w:val="single" w:sz="8" w:color="0000EE"/>
            </w:tcBorders>
            <w:shd w:val="clear" w:color="auto" w:fill="EEEEEE"/>
          </w:tcPr>
          <w:p>
            <w:pPr>
              <w:spacing w:after="0"/>
              <w:rPr>
                <w:sz w:val="3"/>
                <w:szCs w:val="3"/>
                <w:color w:val="auto"/>
              </w:rPr>
            </w:pPr>
          </w:p>
        </w:tc>
        <w:tc>
          <w:tcPr>
            <w:tcW w:w="140" w:type="dxa"/>
            <w:vAlign w:val="bottom"/>
            <w:tcBorders>
              <w:top w:val="single" w:sz="8" w:color="0000EE"/>
            </w:tcBorders>
            <w:shd w:val="clear" w:color="auto" w:fill="EEEEEE"/>
          </w:tcPr>
          <w:p>
            <w:pPr>
              <w:spacing w:after="0"/>
              <w:rPr>
                <w:sz w:val="3"/>
                <w:szCs w:val="3"/>
                <w:color w:val="auto"/>
              </w:rPr>
            </w:pPr>
          </w:p>
        </w:tc>
        <w:tc>
          <w:tcPr>
            <w:tcW w:w="180" w:type="dxa"/>
            <w:vAlign w:val="bottom"/>
            <w:tcBorders>
              <w:top w:val="single" w:sz="8" w:color="EEEEEE"/>
            </w:tcBorders>
            <w:shd w:val="clear" w:color="auto" w:fill="EEEEEE"/>
          </w:tcPr>
          <w:p>
            <w:pPr>
              <w:spacing w:after="0"/>
              <w:rPr>
                <w:sz w:val="3"/>
                <w:szCs w:val="3"/>
                <w:color w:val="auto"/>
              </w:rPr>
            </w:pPr>
          </w:p>
        </w:tc>
        <w:tc>
          <w:tcPr>
            <w:tcW w:w="240" w:type="dxa"/>
            <w:vAlign w:val="bottom"/>
            <w:tcBorders>
              <w:top w:val="single" w:sz="8" w:color="EEEEEE"/>
            </w:tcBorders>
            <w:shd w:val="clear" w:color="auto" w:fill="EEEEEE"/>
          </w:tcPr>
          <w:p>
            <w:pPr>
              <w:spacing w:after="0"/>
              <w:rPr>
                <w:sz w:val="3"/>
                <w:szCs w:val="3"/>
                <w:color w:val="auto"/>
              </w:rPr>
            </w:pPr>
          </w:p>
        </w:tc>
        <w:tc>
          <w:tcPr>
            <w:tcW w:w="680" w:type="dxa"/>
            <w:vAlign w:val="bottom"/>
            <w:tcBorders>
              <w:top w:val="single" w:sz="8" w:color="EEEEEE"/>
            </w:tcBorders>
            <w:shd w:val="clear" w:color="auto" w:fill="EEEEEE"/>
          </w:tcPr>
          <w:p>
            <w:pPr>
              <w:spacing w:after="0"/>
              <w:rPr>
                <w:sz w:val="3"/>
                <w:szCs w:val="3"/>
                <w:color w:val="auto"/>
              </w:rPr>
            </w:pPr>
          </w:p>
        </w:tc>
        <w:tc>
          <w:tcPr>
            <w:tcW w:w="120" w:type="dxa"/>
            <w:vAlign w:val="bottom"/>
            <w:tcBorders>
              <w:top w:val="single" w:sz="8" w:color="EEEEEE"/>
            </w:tcBorders>
            <w:shd w:val="clear" w:color="auto" w:fill="EEEEEE"/>
          </w:tcPr>
          <w:p>
            <w:pPr>
              <w:spacing w:after="0"/>
              <w:rPr>
                <w:sz w:val="3"/>
                <w:szCs w:val="3"/>
                <w:color w:val="auto"/>
              </w:rPr>
            </w:pPr>
          </w:p>
        </w:tc>
        <w:tc>
          <w:tcPr>
            <w:tcW w:w="240" w:type="dxa"/>
            <w:vAlign w:val="bottom"/>
            <w:tcBorders>
              <w:top w:val="single" w:sz="8" w:color="EEEEEE"/>
            </w:tcBorders>
            <w:shd w:val="clear" w:color="auto" w:fill="EEEEEE"/>
          </w:tcPr>
          <w:p>
            <w:pPr>
              <w:spacing w:after="0"/>
              <w:rPr>
                <w:sz w:val="3"/>
                <w:szCs w:val="3"/>
                <w:color w:val="auto"/>
              </w:rPr>
            </w:pPr>
          </w:p>
        </w:tc>
        <w:tc>
          <w:tcPr>
            <w:tcW w:w="20" w:type="dxa"/>
            <w:vAlign w:val="bottom"/>
            <w:tcBorders>
              <w:top w:val="single" w:sz="8" w:color="EEEEEE"/>
            </w:tcBorders>
            <w:shd w:val="clear" w:color="auto" w:fill="EEEEEE"/>
          </w:tcPr>
          <w:p>
            <w:pPr>
              <w:spacing w:after="0"/>
              <w:rPr>
                <w:sz w:val="3"/>
                <w:szCs w:val="3"/>
                <w:color w:val="auto"/>
              </w:rPr>
            </w:pPr>
          </w:p>
        </w:tc>
        <w:tc>
          <w:tcPr>
            <w:tcW w:w="1020" w:type="dxa"/>
            <w:vAlign w:val="bottom"/>
            <w:tcBorders>
              <w:top w:val="single" w:sz="8" w:color="EEEEEE"/>
            </w:tcBorders>
            <w:shd w:val="clear" w:color="auto" w:fill="EEEEEE"/>
          </w:tcPr>
          <w:p>
            <w:pPr>
              <w:spacing w:after="0"/>
              <w:rPr>
                <w:sz w:val="3"/>
                <w:szCs w:val="3"/>
                <w:color w:val="auto"/>
              </w:rPr>
            </w:pPr>
          </w:p>
        </w:tc>
        <w:tc>
          <w:tcPr>
            <w:tcW w:w="340" w:type="dxa"/>
            <w:vAlign w:val="bottom"/>
            <w:tcBorders>
              <w:top w:val="single" w:sz="8" w:color="EEEEEE"/>
            </w:tcBorders>
            <w:shd w:val="clear" w:color="auto" w:fill="EEEEEE"/>
          </w:tcPr>
          <w:p>
            <w:pPr>
              <w:spacing w:after="0"/>
              <w:rPr>
                <w:sz w:val="3"/>
                <w:szCs w:val="3"/>
                <w:color w:val="auto"/>
              </w:rPr>
            </w:pPr>
          </w:p>
        </w:tc>
        <w:tc>
          <w:tcPr>
            <w:tcW w:w="2880" w:type="dxa"/>
            <w:vAlign w:val="bottom"/>
            <w:tcBorders>
              <w:top w:val="single" w:sz="8" w:color="EEEEEE"/>
            </w:tcBorders>
            <w:shd w:val="clear" w:color="auto" w:fill="EEEEEE"/>
          </w:tcPr>
          <w:p>
            <w:pPr>
              <w:spacing w:after="0"/>
              <w:rPr>
                <w:sz w:val="3"/>
                <w:szCs w:val="3"/>
                <w:color w:val="auto"/>
              </w:rPr>
            </w:pPr>
          </w:p>
        </w:tc>
        <w:tc>
          <w:tcPr>
            <w:tcW w:w="306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0000EE"/>
            </w:tcBorders>
            <w:shd w:val="clear" w:color="auto" w:fill="EEEEEE"/>
          </w:tcPr>
          <w:p>
            <w:pPr>
              <w:spacing w:after="0"/>
              <w:rPr>
                <w:sz w:val="3"/>
                <w:szCs w:val="3"/>
                <w:color w:val="auto"/>
              </w:rPr>
            </w:pPr>
          </w:p>
        </w:tc>
        <w:tc>
          <w:tcPr>
            <w:tcW w:w="20" w:type="dxa"/>
            <w:vAlign w:val="bottom"/>
          </w:tcPr>
          <w:p>
            <w:pPr>
              <w:spacing w:after="0"/>
              <w:rPr>
                <w:sz w:val="3"/>
                <w:szCs w:val="3"/>
                <w:color w:val="auto"/>
              </w:rPr>
            </w:pPr>
          </w:p>
        </w:tc>
      </w:tr>
      <w:tr>
        <w:trPr>
          <w:trHeight w:val="177"/>
        </w:trPr>
        <w:tc>
          <w:tcPr>
            <w:tcW w:w="8040" w:type="dxa"/>
            <w:vAlign w:val="bottom"/>
            <w:gridSpan w:val="20"/>
          </w:tcPr>
          <w:p>
            <w:pPr>
              <w:spacing w:after="0" w:line="178" w:lineRule="exact"/>
              <w:rPr>
                <w:sz w:val="20"/>
                <w:szCs w:val="20"/>
                <w:color w:val="auto"/>
              </w:rPr>
            </w:pPr>
            <w:r>
              <w:rPr>
                <w:rFonts w:ascii="Times New Roman" w:cs="Times New Roman" w:eastAsia="Times New Roman" w:hAnsi="Times New Roman"/>
                <w:sz w:val="16"/>
                <w:szCs w:val="16"/>
                <w:color w:val="0000EE"/>
              </w:rPr>
              <w:t>DOCUMENTS INCORPORATED BY REFERENCE</w:t>
            </w:r>
          </w:p>
        </w:tc>
        <w:tc>
          <w:tcPr>
            <w:tcW w:w="322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6"/>
                <w:szCs w:val="16"/>
                <w:color w:val="0000EE"/>
              </w:rPr>
              <w:t>4</w:t>
            </w:r>
          </w:p>
        </w:tc>
        <w:tc>
          <w:tcPr>
            <w:tcW w:w="20" w:type="dxa"/>
            <w:vAlign w:val="bottom"/>
          </w:tcPr>
          <w:p>
            <w:pPr>
              <w:spacing w:after="0"/>
              <w:rPr>
                <w:sz w:val="15"/>
                <w:szCs w:val="15"/>
                <w:color w:val="auto"/>
              </w:rPr>
            </w:pPr>
          </w:p>
        </w:tc>
      </w:tr>
      <w:tr>
        <w:trPr>
          <w:trHeight w:val="39"/>
        </w:trPr>
        <w:tc>
          <w:tcPr>
            <w:tcW w:w="108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77"/>
        </w:trPr>
        <w:tc>
          <w:tcPr>
            <w:tcW w:w="8040" w:type="dxa"/>
            <w:vAlign w:val="bottom"/>
            <w:gridSpan w:val="20"/>
            <w:shd w:val="clear" w:color="auto" w:fill="EEEEEE"/>
          </w:tcPr>
          <w:p>
            <w:pPr>
              <w:spacing w:after="0" w:line="178" w:lineRule="exact"/>
              <w:rPr>
                <w:sz w:val="20"/>
                <w:szCs w:val="20"/>
                <w:color w:val="auto"/>
              </w:rPr>
            </w:pPr>
            <w:r>
              <w:rPr>
                <w:rFonts w:ascii="Times New Roman" w:cs="Times New Roman" w:eastAsia="Times New Roman" w:hAnsi="Times New Roman"/>
                <w:sz w:val="16"/>
                <w:szCs w:val="16"/>
                <w:color w:val="0000EE"/>
              </w:rPr>
              <w:t>DOCUMENTS FILED AS PART OF THE REGISTRATION STATEMENT</w:t>
            </w:r>
          </w:p>
        </w:tc>
        <w:tc>
          <w:tcPr>
            <w:tcW w:w="3220" w:type="dxa"/>
            <w:vAlign w:val="bottom"/>
            <w:gridSpan w:val="3"/>
            <w:shd w:val="clear" w:color="auto" w:fill="EEEEEE"/>
          </w:tcPr>
          <w:p>
            <w:pPr>
              <w:jc w:val="right"/>
              <w:spacing w:after="0" w:line="178" w:lineRule="exact"/>
              <w:rPr>
                <w:sz w:val="20"/>
                <w:szCs w:val="20"/>
                <w:color w:val="auto"/>
              </w:rPr>
            </w:pPr>
            <w:r>
              <w:rPr>
                <w:rFonts w:ascii="Times New Roman" w:cs="Times New Roman" w:eastAsia="Times New Roman" w:hAnsi="Times New Roman"/>
                <w:sz w:val="16"/>
                <w:szCs w:val="16"/>
                <w:color w:val="0000EE"/>
              </w:rPr>
              <w:t>5</w:t>
            </w:r>
          </w:p>
        </w:tc>
        <w:tc>
          <w:tcPr>
            <w:tcW w:w="20" w:type="dxa"/>
            <w:vAlign w:val="bottom"/>
          </w:tcPr>
          <w:p>
            <w:pPr>
              <w:spacing w:after="0"/>
              <w:rPr>
                <w:sz w:val="15"/>
                <w:szCs w:val="15"/>
                <w:color w:val="auto"/>
              </w:rPr>
            </w:pPr>
          </w:p>
        </w:tc>
      </w:tr>
      <w:tr>
        <w:trPr>
          <w:trHeight w:val="39"/>
        </w:trPr>
        <w:tc>
          <w:tcPr>
            <w:tcW w:w="1080" w:type="dxa"/>
            <w:vAlign w:val="bottom"/>
            <w:tcBorders>
              <w:top w:val="single" w:sz="8" w:color="0000EE"/>
            </w:tcBorders>
            <w:shd w:val="clear" w:color="auto" w:fill="EEEEEE"/>
          </w:tcPr>
          <w:p>
            <w:pPr>
              <w:spacing w:after="0"/>
              <w:rPr>
                <w:sz w:val="3"/>
                <w:szCs w:val="3"/>
                <w:color w:val="auto"/>
              </w:rPr>
            </w:pPr>
          </w:p>
        </w:tc>
        <w:tc>
          <w:tcPr>
            <w:tcW w:w="180" w:type="dxa"/>
            <w:vAlign w:val="bottom"/>
            <w:tcBorders>
              <w:top w:val="single" w:sz="8" w:color="0000EE"/>
            </w:tcBorders>
            <w:shd w:val="clear" w:color="auto" w:fill="EEEEEE"/>
          </w:tcPr>
          <w:p>
            <w:pPr>
              <w:spacing w:after="0"/>
              <w:rPr>
                <w:sz w:val="3"/>
                <w:szCs w:val="3"/>
                <w:color w:val="auto"/>
              </w:rPr>
            </w:pPr>
          </w:p>
        </w:tc>
        <w:tc>
          <w:tcPr>
            <w:tcW w:w="120" w:type="dxa"/>
            <w:vAlign w:val="bottom"/>
            <w:tcBorders>
              <w:top w:val="single" w:sz="8" w:color="0000EE"/>
            </w:tcBorders>
            <w:shd w:val="clear" w:color="auto" w:fill="EEEEEE"/>
          </w:tcPr>
          <w:p>
            <w:pPr>
              <w:spacing w:after="0"/>
              <w:rPr>
                <w:sz w:val="3"/>
                <w:szCs w:val="3"/>
                <w:color w:val="auto"/>
              </w:rPr>
            </w:pPr>
          </w:p>
        </w:tc>
        <w:tc>
          <w:tcPr>
            <w:tcW w:w="6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300" w:type="dxa"/>
            <w:vAlign w:val="bottom"/>
            <w:tcBorders>
              <w:top w:val="single" w:sz="8" w:color="0000EE"/>
            </w:tcBorders>
            <w:shd w:val="clear" w:color="auto" w:fill="EEEEEE"/>
          </w:tcPr>
          <w:p>
            <w:pPr>
              <w:spacing w:after="0"/>
              <w:rPr>
                <w:sz w:val="3"/>
                <w:szCs w:val="3"/>
                <w:color w:val="auto"/>
              </w:rPr>
            </w:pPr>
          </w:p>
        </w:tc>
        <w:tc>
          <w:tcPr>
            <w:tcW w:w="60" w:type="dxa"/>
            <w:vAlign w:val="bottom"/>
            <w:tcBorders>
              <w:top w:val="single" w:sz="8" w:color="0000EE"/>
            </w:tcBorders>
            <w:shd w:val="clear" w:color="auto" w:fill="EEEEEE"/>
          </w:tcPr>
          <w:p>
            <w:pPr>
              <w:spacing w:after="0"/>
              <w:rPr>
                <w:sz w:val="3"/>
                <w:szCs w:val="3"/>
                <w:color w:val="auto"/>
              </w:rPr>
            </w:pPr>
          </w:p>
        </w:tc>
        <w:tc>
          <w:tcPr>
            <w:tcW w:w="2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280" w:type="dxa"/>
            <w:vAlign w:val="bottom"/>
            <w:tcBorders>
              <w:top w:val="single" w:sz="8" w:color="0000EE"/>
            </w:tcBorders>
            <w:shd w:val="clear" w:color="auto" w:fill="EEEEEE"/>
          </w:tcPr>
          <w:p>
            <w:pPr>
              <w:spacing w:after="0"/>
              <w:rPr>
                <w:sz w:val="3"/>
                <w:szCs w:val="3"/>
                <w:color w:val="auto"/>
              </w:rPr>
            </w:pPr>
          </w:p>
        </w:tc>
        <w:tc>
          <w:tcPr>
            <w:tcW w:w="140" w:type="dxa"/>
            <w:vAlign w:val="bottom"/>
            <w:tcBorders>
              <w:top w:val="single" w:sz="8" w:color="0000EE"/>
            </w:tcBorders>
            <w:shd w:val="clear" w:color="auto" w:fill="EEEEEE"/>
          </w:tcPr>
          <w:p>
            <w:pPr>
              <w:spacing w:after="0"/>
              <w:rPr>
                <w:sz w:val="3"/>
                <w:szCs w:val="3"/>
                <w:color w:val="auto"/>
              </w:rPr>
            </w:pPr>
          </w:p>
        </w:tc>
        <w:tc>
          <w:tcPr>
            <w:tcW w:w="180" w:type="dxa"/>
            <w:vAlign w:val="bottom"/>
            <w:tcBorders>
              <w:top w:val="single" w:sz="8" w:color="0000EE"/>
            </w:tcBorders>
            <w:shd w:val="clear" w:color="auto" w:fill="EEEEEE"/>
          </w:tcPr>
          <w:p>
            <w:pPr>
              <w:spacing w:after="0"/>
              <w:rPr>
                <w:sz w:val="3"/>
                <w:szCs w:val="3"/>
                <w:color w:val="auto"/>
              </w:rPr>
            </w:pPr>
          </w:p>
        </w:tc>
        <w:tc>
          <w:tcPr>
            <w:tcW w:w="240" w:type="dxa"/>
            <w:vAlign w:val="bottom"/>
            <w:tcBorders>
              <w:top w:val="single" w:sz="8" w:color="0000EE"/>
            </w:tcBorders>
            <w:shd w:val="clear" w:color="auto" w:fill="EEEEEE"/>
          </w:tcPr>
          <w:p>
            <w:pPr>
              <w:spacing w:after="0"/>
              <w:rPr>
                <w:sz w:val="3"/>
                <w:szCs w:val="3"/>
                <w:color w:val="auto"/>
              </w:rPr>
            </w:pPr>
          </w:p>
        </w:tc>
        <w:tc>
          <w:tcPr>
            <w:tcW w:w="680" w:type="dxa"/>
            <w:vAlign w:val="bottom"/>
            <w:tcBorders>
              <w:top w:val="single" w:sz="8" w:color="0000EE"/>
            </w:tcBorders>
            <w:shd w:val="clear" w:color="auto" w:fill="EEEEEE"/>
          </w:tcPr>
          <w:p>
            <w:pPr>
              <w:spacing w:after="0"/>
              <w:rPr>
                <w:sz w:val="3"/>
                <w:szCs w:val="3"/>
                <w:color w:val="auto"/>
              </w:rPr>
            </w:pPr>
          </w:p>
        </w:tc>
        <w:tc>
          <w:tcPr>
            <w:tcW w:w="120" w:type="dxa"/>
            <w:vAlign w:val="bottom"/>
            <w:tcBorders>
              <w:top w:val="single" w:sz="8" w:color="0000EE"/>
            </w:tcBorders>
            <w:shd w:val="clear" w:color="auto" w:fill="EEEEEE"/>
          </w:tcPr>
          <w:p>
            <w:pPr>
              <w:spacing w:after="0"/>
              <w:rPr>
                <w:sz w:val="3"/>
                <w:szCs w:val="3"/>
                <w:color w:val="auto"/>
              </w:rPr>
            </w:pPr>
          </w:p>
        </w:tc>
        <w:tc>
          <w:tcPr>
            <w:tcW w:w="240" w:type="dxa"/>
            <w:vAlign w:val="bottom"/>
            <w:tcBorders>
              <w:top w:val="single" w:sz="8" w:color="0000EE"/>
            </w:tcBorders>
            <w:shd w:val="clear" w:color="auto" w:fill="EEEEEE"/>
          </w:tcPr>
          <w:p>
            <w:pPr>
              <w:spacing w:after="0"/>
              <w:rPr>
                <w:sz w:val="3"/>
                <w:szCs w:val="3"/>
                <w:color w:val="auto"/>
              </w:rPr>
            </w:pPr>
          </w:p>
        </w:tc>
        <w:tc>
          <w:tcPr>
            <w:tcW w:w="20" w:type="dxa"/>
            <w:vAlign w:val="bottom"/>
            <w:tcBorders>
              <w:top w:val="single" w:sz="8" w:color="0000EE"/>
            </w:tcBorders>
            <w:shd w:val="clear" w:color="auto" w:fill="EEEEEE"/>
          </w:tcPr>
          <w:p>
            <w:pPr>
              <w:spacing w:after="0"/>
              <w:rPr>
                <w:sz w:val="3"/>
                <w:szCs w:val="3"/>
                <w:color w:val="auto"/>
              </w:rPr>
            </w:pPr>
          </w:p>
        </w:tc>
        <w:tc>
          <w:tcPr>
            <w:tcW w:w="1020" w:type="dxa"/>
            <w:vAlign w:val="bottom"/>
            <w:tcBorders>
              <w:top w:val="single" w:sz="8" w:color="0000EE"/>
            </w:tcBorders>
            <w:shd w:val="clear" w:color="auto" w:fill="EEEEEE"/>
          </w:tcPr>
          <w:p>
            <w:pPr>
              <w:spacing w:after="0"/>
              <w:rPr>
                <w:sz w:val="3"/>
                <w:szCs w:val="3"/>
                <w:color w:val="auto"/>
              </w:rPr>
            </w:pPr>
          </w:p>
        </w:tc>
        <w:tc>
          <w:tcPr>
            <w:tcW w:w="340" w:type="dxa"/>
            <w:vAlign w:val="bottom"/>
            <w:tcBorders>
              <w:top w:val="single" w:sz="8" w:color="EEEEEE"/>
            </w:tcBorders>
            <w:shd w:val="clear" w:color="auto" w:fill="EEEEEE"/>
          </w:tcPr>
          <w:p>
            <w:pPr>
              <w:spacing w:after="0"/>
              <w:rPr>
                <w:sz w:val="3"/>
                <w:szCs w:val="3"/>
                <w:color w:val="auto"/>
              </w:rPr>
            </w:pPr>
          </w:p>
        </w:tc>
        <w:tc>
          <w:tcPr>
            <w:tcW w:w="2880" w:type="dxa"/>
            <w:vAlign w:val="bottom"/>
            <w:tcBorders>
              <w:top w:val="single" w:sz="8" w:color="EEEEEE"/>
            </w:tcBorders>
            <w:shd w:val="clear" w:color="auto" w:fill="EEEEEE"/>
          </w:tcPr>
          <w:p>
            <w:pPr>
              <w:spacing w:after="0"/>
              <w:rPr>
                <w:sz w:val="3"/>
                <w:szCs w:val="3"/>
                <w:color w:val="auto"/>
              </w:rPr>
            </w:pPr>
          </w:p>
        </w:tc>
        <w:tc>
          <w:tcPr>
            <w:tcW w:w="306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0000EE"/>
            </w:tcBorders>
            <w:shd w:val="clear" w:color="auto" w:fill="EEEEEE"/>
          </w:tcPr>
          <w:p>
            <w:pPr>
              <w:spacing w:after="0"/>
              <w:rPr>
                <w:sz w:val="3"/>
                <w:szCs w:val="3"/>
                <w:color w:val="auto"/>
              </w:rPr>
            </w:pPr>
          </w:p>
        </w:tc>
        <w:tc>
          <w:tcPr>
            <w:tcW w:w="20" w:type="dxa"/>
            <w:vAlign w:val="bottom"/>
          </w:tcPr>
          <w:p>
            <w:pPr>
              <w:spacing w:after="0"/>
              <w:rPr>
                <w:sz w:val="3"/>
                <w:szCs w:val="3"/>
                <w:color w:val="auto"/>
              </w:rPr>
            </w:pPr>
          </w:p>
        </w:tc>
      </w:tr>
      <w:tr>
        <w:trPr>
          <w:trHeight w:val="177"/>
        </w:trPr>
        <w:tc>
          <w:tcPr>
            <w:tcW w:w="4820" w:type="dxa"/>
            <w:vAlign w:val="bottom"/>
            <w:gridSpan w:val="18"/>
          </w:tcPr>
          <w:p>
            <w:pPr>
              <w:spacing w:after="0" w:line="178" w:lineRule="exact"/>
              <w:rPr>
                <w:sz w:val="20"/>
                <w:szCs w:val="20"/>
                <w:color w:val="auto"/>
              </w:rPr>
            </w:pPr>
            <w:r>
              <w:rPr>
                <w:rFonts w:ascii="Times New Roman" w:cs="Times New Roman" w:eastAsia="Times New Roman" w:hAnsi="Times New Roman"/>
                <w:sz w:val="16"/>
                <w:szCs w:val="16"/>
                <w:color w:val="0000EE"/>
              </w:rPr>
              <w:t>THE CORPORATION</w:t>
            </w:r>
          </w:p>
        </w:tc>
        <w:tc>
          <w:tcPr>
            <w:tcW w:w="3220" w:type="dxa"/>
            <w:vAlign w:val="bottom"/>
            <w:gridSpan w:val="2"/>
          </w:tcPr>
          <w:p>
            <w:pPr>
              <w:spacing w:after="0"/>
              <w:rPr>
                <w:sz w:val="15"/>
                <w:szCs w:val="15"/>
                <w:color w:val="auto"/>
              </w:rPr>
            </w:pPr>
          </w:p>
        </w:tc>
        <w:tc>
          <w:tcPr>
            <w:tcW w:w="322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6"/>
                <w:szCs w:val="16"/>
                <w:color w:val="0000EE"/>
              </w:rPr>
              <w:t>6</w:t>
            </w:r>
          </w:p>
        </w:tc>
        <w:tc>
          <w:tcPr>
            <w:tcW w:w="20" w:type="dxa"/>
            <w:vAlign w:val="bottom"/>
          </w:tcPr>
          <w:p>
            <w:pPr>
              <w:spacing w:after="0"/>
              <w:rPr>
                <w:sz w:val="15"/>
                <w:szCs w:val="15"/>
                <w:color w:val="auto"/>
              </w:rPr>
            </w:pPr>
          </w:p>
        </w:tc>
      </w:tr>
      <w:tr>
        <w:trPr>
          <w:trHeight w:val="39"/>
        </w:trPr>
        <w:tc>
          <w:tcPr>
            <w:tcW w:w="108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77"/>
        </w:trPr>
        <w:tc>
          <w:tcPr>
            <w:tcW w:w="8040" w:type="dxa"/>
            <w:vAlign w:val="bottom"/>
            <w:gridSpan w:val="20"/>
            <w:shd w:val="clear" w:color="auto" w:fill="EEEEEE"/>
          </w:tcPr>
          <w:p>
            <w:pPr>
              <w:spacing w:after="0" w:line="178" w:lineRule="exact"/>
              <w:rPr>
                <w:sz w:val="20"/>
                <w:szCs w:val="20"/>
                <w:color w:val="auto"/>
              </w:rPr>
            </w:pPr>
            <w:r>
              <w:rPr>
                <w:rFonts w:ascii="Times New Roman" w:cs="Times New Roman" w:eastAsia="Times New Roman" w:hAnsi="Times New Roman"/>
                <w:sz w:val="16"/>
                <w:szCs w:val="16"/>
                <w:color w:val="0000EE"/>
              </w:rPr>
              <w:t>REGULATORY OVERVIEW</w:t>
            </w:r>
          </w:p>
        </w:tc>
        <w:tc>
          <w:tcPr>
            <w:tcW w:w="3220" w:type="dxa"/>
            <w:vAlign w:val="bottom"/>
            <w:gridSpan w:val="3"/>
            <w:shd w:val="clear" w:color="auto" w:fill="EEEEEE"/>
          </w:tcPr>
          <w:p>
            <w:pPr>
              <w:jc w:val="right"/>
              <w:spacing w:after="0" w:line="178" w:lineRule="exact"/>
              <w:rPr>
                <w:sz w:val="20"/>
                <w:szCs w:val="20"/>
                <w:color w:val="auto"/>
              </w:rPr>
            </w:pPr>
            <w:r>
              <w:rPr>
                <w:rFonts w:ascii="Times New Roman" w:cs="Times New Roman" w:eastAsia="Times New Roman" w:hAnsi="Times New Roman"/>
                <w:sz w:val="16"/>
                <w:szCs w:val="16"/>
                <w:color w:val="0000EE"/>
              </w:rPr>
              <w:t>9</w:t>
            </w:r>
          </w:p>
        </w:tc>
        <w:tc>
          <w:tcPr>
            <w:tcW w:w="20" w:type="dxa"/>
            <w:vAlign w:val="bottom"/>
          </w:tcPr>
          <w:p>
            <w:pPr>
              <w:spacing w:after="0"/>
              <w:rPr>
                <w:sz w:val="15"/>
                <w:szCs w:val="15"/>
                <w:color w:val="auto"/>
              </w:rPr>
            </w:pPr>
          </w:p>
        </w:tc>
      </w:tr>
      <w:tr>
        <w:trPr>
          <w:trHeight w:val="39"/>
        </w:trPr>
        <w:tc>
          <w:tcPr>
            <w:tcW w:w="1080" w:type="dxa"/>
            <w:vAlign w:val="bottom"/>
            <w:tcBorders>
              <w:top w:val="single" w:sz="8" w:color="0000EE"/>
            </w:tcBorders>
            <w:shd w:val="clear" w:color="auto" w:fill="EEEEEE"/>
          </w:tcPr>
          <w:p>
            <w:pPr>
              <w:spacing w:after="0"/>
              <w:rPr>
                <w:sz w:val="3"/>
                <w:szCs w:val="3"/>
                <w:color w:val="auto"/>
              </w:rPr>
            </w:pPr>
          </w:p>
        </w:tc>
        <w:tc>
          <w:tcPr>
            <w:tcW w:w="180" w:type="dxa"/>
            <w:vAlign w:val="bottom"/>
            <w:tcBorders>
              <w:top w:val="single" w:sz="8" w:color="0000EE"/>
            </w:tcBorders>
            <w:shd w:val="clear" w:color="auto" w:fill="EEEEEE"/>
          </w:tcPr>
          <w:p>
            <w:pPr>
              <w:spacing w:after="0"/>
              <w:rPr>
                <w:sz w:val="3"/>
                <w:szCs w:val="3"/>
                <w:color w:val="auto"/>
              </w:rPr>
            </w:pPr>
          </w:p>
        </w:tc>
        <w:tc>
          <w:tcPr>
            <w:tcW w:w="120" w:type="dxa"/>
            <w:vAlign w:val="bottom"/>
            <w:tcBorders>
              <w:top w:val="single" w:sz="8" w:color="0000EE"/>
            </w:tcBorders>
            <w:shd w:val="clear" w:color="auto" w:fill="EEEEEE"/>
          </w:tcPr>
          <w:p>
            <w:pPr>
              <w:spacing w:after="0"/>
              <w:rPr>
                <w:sz w:val="3"/>
                <w:szCs w:val="3"/>
                <w:color w:val="auto"/>
              </w:rPr>
            </w:pPr>
          </w:p>
        </w:tc>
        <w:tc>
          <w:tcPr>
            <w:tcW w:w="6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300" w:type="dxa"/>
            <w:vAlign w:val="bottom"/>
            <w:tcBorders>
              <w:top w:val="single" w:sz="8" w:color="0000EE"/>
            </w:tcBorders>
            <w:shd w:val="clear" w:color="auto" w:fill="EEEEEE"/>
          </w:tcPr>
          <w:p>
            <w:pPr>
              <w:spacing w:after="0"/>
              <w:rPr>
                <w:sz w:val="3"/>
                <w:szCs w:val="3"/>
                <w:color w:val="auto"/>
              </w:rPr>
            </w:pPr>
          </w:p>
        </w:tc>
        <w:tc>
          <w:tcPr>
            <w:tcW w:w="60" w:type="dxa"/>
            <w:vAlign w:val="bottom"/>
            <w:tcBorders>
              <w:top w:val="single" w:sz="8" w:color="0000EE"/>
            </w:tcBorders>
            <w:shd w:val="clear" w:color="auto" w:fill="EEEEEE"/>
          </w:tcPr>
          <w:p>
            <w:pPr>
              <w:spacing w:after="0"/>
              <w:rPr>
                <w:sz w:val="3"/>
                <w:szCs w:val="3"/>
                <w:color w:val="auto"/>
              </w:rPr>
            </w:pPr>
          </w:p>
        </w:tc>
        <w:tc>
          <w:tcPr>
            <w:tcW w:w="2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280" w:type="dxa"/>
            <w:vAlign w:val="bottom"/>
            <w:tcBorders>
              <w:top w:val="single" w:sz="8" w:color="EEEEEE"/>
            </w:tcBorders>
            <w:shd w:val="clear" w:color="auto" w:fill="EEEEEE"/>
          </w:tcPr>
          <w:p>
            <w:pPr>
              <w:spacing w:after="0"/>
              <w:rPr>
                <w:sz w:val="3"/>
                <w:szCs w:val="3"/>
                <w:color w:val="auto"/>
              </w:rPr>
            </w:pPr>
          </w:p>
        </w:tc>
        <w:tc>
          <w:tcPr>
            <w:tcW w:w="140" w:type="dxa"/>
            <w:vAlign w:val="bottom"/>
            <w:tcBorders>
              <w:top w:val="single" w:sz="8" w:color="EEEEEE"/>
            </w:tcBorders>
            <w:shd w:val="clear" w:color="auto" w:fill="EEEEEE"/>
          </w:tcPr>
          <w:p>
            <w:pPr>
              <w:spacing w:after="0"/>
              <w:rPr>
                <w:sz w:val="3"/>
                <w:szCs w:val="3"/>
                <w:color w:val="auto"/>
              </w:rPr>
            </w:pPr>
          </w:p>
        </w:tc>
        <w:tc>
          <w:tcPr>
            <w:tcW w:w="180" w:type="dxa"/>
            <w:vAlign w:val="bottom"/>
            <w:tcBorders>
              <w:top w:val="single" w:sz="8" w:color="EEEEEE"/>
            </w:tcBorders>
            <w:shd w:val="clear" w:color="auto" w:fill="EEEEEE"/>
          </w:tcPr>
          <w:p>
            <w:pPr>
              <w:spacing w:after="0"/>
              <w:rPr>
                <w:sz w:val="3"/>
                <w:szCs w:val="3"/>
                <w:color w:val="auto"/>
              </w:rPr>
            </w:pPr>
          </w:p>
        </w:tc>
        <w:tc>
          <w:tcPr>
            <w:tcW w:w="240" w:type="dxa"/>
            <w:vAlign w:val="bottom"/>
            <w:tcBorders>
              <w:top w:val="single" w:sz="8" w:color="EEEEEE"/>
            </w:tcBorders>
            <w:shd w:val="clear" w:color="auto" w:fill="EEEEEE"/>
          </w:tcPr>
          <w:p>
            <w:pPr>
              <w:spacing w:after="0"/>
              <w:rPr>
                <w:sz w:val="3"/>
                <w:szCs w:val="3"/>
                <w:color w:val="auto"/>
              </w:rPr>
            </w:pPr>
          </w:p>
        </w:tc>
        <w:tc>
          <w:tcPr>
            <w:tcW w:w="680" w:type="dxa"/>
            <w:vAlign w:val="bottom"/>
            <w:tcBorders>
              <w:top w:val="single" w:sz="8" w:color="EEEEEE"/>
            </w:tcBorders>
            <w:shd w:val="clear" w:color="auto" w:fill="EEEEEE"/>
          </w:tcPr>
          <w:p>
            <w:pPr>
              <w:spacing w:after="0"/>
              <w:rPr>
                <w:sz w:val="3"/>
                <w:szCs w:val="3"/>
                <w:color w:val="auto"/>
              </w:rPr>
            </w:pPr>
          </w:p>
        </w:tc>
        <w:tc>
          <w:tcPr>
            <w:tcW w:w="120" w:type="dxa"/>
            <w:vAlign w:val="bottom"/>
            <w:tcBorders>
              <w:top w:val="single" w:sz="8" w:color="EEEEEE"/>
            </w:tcBorders>
            <w:shd w:val="clear" w:color="auto" w:fill="EEEEEE"/>
          </w:tcPr>
          <w:p>
            <w:pPr>
              <w:spacing w:after="0"/>
              <w:rPr>
                <w:sz w:val="3"/>
                <w:szCs w:val="3"/>
                <w:color w:val="auto"/>
              </w:rPr>
            </w:pPr>
          </w:p>
        </w:tc>
        <w:tc>
          <w:tcPr>
            <w:tcW w:w="240" w:type="dxa"/>
            <w:vAlign w:val="bottom"/>
            <w:tcBorders>
              <w:top w:val="single" w:sz="8" w:color="EEEEEE"/>
            </w:tcBorders>
            <w:shd w:val="clear" w:color="auto" w:fill="EEEEEE"/>
          </w:tcPr>
          <w:p>
            <w:pPr>
              <w:spacing w:after="0"/>
              <w:rPr>
                <w:sz w:val="3"/>
                <w:szCs w:val="3"/>
                <w:color w:val="auto"/>
              </w:rPr>
            </w:pPr>
          </w:p>
        </w:tc>
        <w:tc>
          <w:tcPr>
            <w:tcW w:w="20" w:type="dxa"/>
            <w:vAlign w:val="bottom"/>
            <w:tcBorders>
              <w:top w:val="single" w:sz="8" w:color="EEEEEE"/>
            </w:tcBorders>
            <w:shd w:val="clear" w:color="auto" w:fill="EEEEEE"/>
          </w:tcPr>
          <w:p>
            <w:pPr>
              <w:spacing w:after="0"/>
              <w:rPr>
                <w:sz w:val="3"/>
                <w:szCs w:val="3"/>
                <w:color w:val="auto"/>
              </w:rPr>
            </w:pPr>
          </w:p>
        </w:tc>
        <w:tc>
          <w:tcPr>
            <w:tcW w:w="1020" w:type="dxa"/>
            <w:vAlign w:val="bottom"/>
            <w:tcBorders>
              <w:top w:val="single" w:sz="8" w:color="EEEEEE"/>
            </w:tcBorders>
            <w:shd w:val="clear" w:color="auto" w:fill="EEEEEE"/>
          </w:tcPr>
          <w:p>
            <w:pPr>
              <w:spacing w:after="0"/>
              <w:rPr>
                <w:sz w:val="3"/>
                <w:szCs w:val="3"/>
                <w:color w:val="auto"/>
              </w:rPr>
            </w:pPr>
          </w:p>
        </w:tc>
        <w:tc>
          <w:tcPr>
            <w:tcW w:w="340" w:type="dxa"/>
            <w:vAlign w:val="bottom"/>
            <w:tcBorders>
              <w:top w:val="single" w:sz="8" w:color="EEEEEE"/>
            </w:tcBorders>
            <w:shd w:val="clear" w:color="auto" w:fill="EEEEEE"/>
          </w:tcPr>
          <w:p>
            <w:pPr>
              <w:spacing w:after="0"/>
              <w:rPr>
                <w:sz w:val="3"/>
                <w:szCs w:val="3"/>
                <w:color w:val="auto"/>
              </w:rPr>
            </w:pPr>
          </w:p>
        </w:tc>
        <w:tc>
          <w:tcPr>
            <w:tcW w:w="2880" w:type="dxa"/>
            <w:vAlign w:val="bottom"/>
            <w:tcBorders>
              <w:top w:val="single" w:sz="8" w:color="EEEEEE"/>
            </w:tcBorders>
            <w:shd w:val="clear" w:color="auto" w:fill="EEEEEE"/>
          </w:tcPr>
          <w:p>
            <w:pPr>
              <w:spacing w:after="0"/>
              <w:rPr>
                <w:sz w:val="3"/>
                <w:szCs w:val="3"/>
                <w:color w:val="auto"/>
              </w:rPr>
            </w:pPr>
          </w:p>
        </w:tc>
        <w:tc>
          <w:tcPr>
            <w:tcW w:w="306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0000EE"/>
            </w:tcBorders>
            <w:shd w:val="clear" w:color="auto" w:fill="EEEEEE"/>
          </w:tcPr>
          <w:p>
            <w:pPr>
              <w:spacing w:after="0"/>
              <w:rPr>
                <w:sz w:val="3"/>
                <w:szCs w:val="3"/>
                <w:color w:val="auto"/>
              </w:rPr>
            </w:pPr>
          </w:p>
        </w:tc>
        <w:tc>
          <w:tcPr>
            <w:tcW w:w="20" w:type="dxa"/>
            <w:vAlign w:val="bottom"/>
          </w:tcPr>
          <w:p>
            <w:pPr>
              <w:spacing w:after="0"/>
              <w:rPr>
                <w:sz w:val="3"/>
                <w:szCs w:val="3"/>
                <w:color w:val="auto"/>
              </w:rPr>
            </w:pPr>
          </w:p>
        </w:tc>
      </w:tr>
      <w:tr>
        <w:trPr>
          <w:trHeight w:val="177"/>
        </w:trPr>
        <w:tc>
          <w:tcPr>
            <w:tcW w:w="1900" w:type="dxa"/>
            <w:vAlign w:val="bottom"/>
            <w:gridSpan w:val="9"/>
          </w:tcPr>
          <w:p>
            <w:pPr>
              <w:spacing w:after="0" w:line="178" w:lineRule="exact"/>
              <w:rPr>
                <w:sz w:val="20"/>
                <w:szCs w:val="20"/>
                <w:color w:val="auto"/>
              </w:rPr>
            </w:pPr>
            <w:r>
              <w:rPr>
                <w:rFonts w:ascii="Times New Roman" w:cs="Times New Roman" w:eastAsia="Times New Roman" w:hAnsi="Times New Roman"/>
                <w:sz w:val="16"/>
                <w:szCs w:val="16"/>
                <w:color w:val="0000EE"/>
              </w:rPr>
              <w:t>COMPLIANCE PROGRAM</w:t>
            </w:r>
          </w:p>
        </w:tc>
        <w:tc>
          <w:tcPr>
            <w:tcW w:w="6140" w:type="dxa"/>
            <w:vAlign w:val="bottom"/>
            <w:gridSpan w:val="11"/>
          </w:tcPr>
          <w:p>
            <w:pPr>
              <w:spacing w:after="0"/>
              <w:rPr>
                <w:sz w:val="15"/>
                <w:szCs w:val="15"/>
                <w:color w:val="auto"/>
              </w:rPr>
            </w:pPr>
          </w:p>
        </w:tc>
        <w:tc>
          <w:tcPr>
            <w:tcW w:w="322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6"/>
                <w:szCs w:val="16"/>
                <w:color w:val="0000EE"/>
              </w:rPr>
              <w:t>23</w:t>
            </w:r>
          </w:p>
        </w:tc>
        <w:tc>
          <w:tcPr>
            <w:tcW w:w="20" w:type="dxa"/>
            <w:vAlign w:val="bottom"/>
          </w:tcPr>
          <w:p>
            <w:pPr>
              <w:spacing w:after="0"/>
              <w:rPr>
                <w:sz w:val="15"/>
                <w:szCs w:val="15"/>
                <w:color w:val="auto"/>
              </w:rPr>
            </w:pPr>
          </w:p>
        </w:tc>
      </w:tr>
      <w:tr>
        <w:trPr>
          <w:trHeight w:val="39"/>
        </w:trPr>
        <w:tc>
          <w:tcPr>
            <w:tcW w:w="108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77"/>
        </w:trPr>
        <w:tc>
          <w:tcPr>
            <w:tcW w:w="8040" w:type="dxa"/>
            <w:vAlign w:val="bottom"/>
            <w:gridSpan w:val="20"/>
            <w:shd w:val="clear" w:color="auto" w:fill="EEEEEE"/>
          </w:tcPr>
          <w:p>
            <w:pPr>
              <w:spacing w:after="0" w:line="178" w:lineRule="exact"/>
              <w:rPr>
                <w:sz w:val="20"/>
                <w:szCs w:val="20"/>
                <w:color w:val="auto"/>
              </w:rPr>
            </w:pPr>
            <w:r>
              <w:rPr>
                <w:rFonts w:ascii="Times New Roman" w:cs="Times New Roman" w:eastAsia="Times New Roman" w:hAnsi="Times New Roman"/>
                <w:sz w:val="16"/>
                <w:szCs w:val="16"/>
                <w:color w:val="0000EE"/>
              </w:rPr>
              <w:t>CONSOLIDATED CAPITALIZATION</w:t>
            </w:r>
          </w:p>
        </w:tc>
        <w:tc>
          <w:tcPr>
            <w:tcW w:w="3220" w:type="dxa"/>
            <w:vAlign w:val="bottom"/>
            <w:gridSpan w:val="3"/>
            <w:shd w:val="clear" w:color="auto" w:fill="EEEEEE"/>
          </w:tcPr>
          <w:p>
            <w:pPr>
              <w:jc w:val="right"/>
              <w:spacing w:after="0" w:line="178" w:lineRule="exact"/>
              <w:rPr>
                <w:sz w:val="20"/>
                <w:szCs w:val="20"/>
                <w:color w:val="auto"/>
              </w:rPr>
            </w:pPr>
            <w:r>
              <w:rPr>
                <w:rFonts w:ascii="Times New Roman" w:cs="Times New Roman" w:eastAsia="Times New Roman" w:hAnsi="Times New Roman"/>
                <w:sz w:val="16"/>
                <w:szCs w:val="16"/>
                <w:color w:val="0000EE"/>
              </w:rPr>
              <w:t>23</w:t>
            </w:r>
          </w:p>
        </w:tc>
        <w:tc>
          <w:tcPr>
            <w:tcW w:w="20" w:type="dxa"/>
            <w:vAlign w:val="bottom"/>
          </w:tcPr>
          <w:p>
            <w:pPr>
              <w:spacing w:after="0"/>
              <w:rPr>
                <w:sz w:val="15"/>
                <w:szCs w:val="15"/>
                <w:color w:val="auto"/>
              </w:rPr>
            </w:pPr>
          </w:p>
        </w:tc>
      </w:tr>
      <w:tr>
        <w:trPr>
          <w:trHeight w:val="39"/>
        </w:trPr>
        <w:tc>
          <w:tcPr>
            <w:tcW w:w="1080" w:type="dxa"/>
            <w:vAlign w:val="bottom"/>
            <w:tcBorders>
              <w:top w:val="single" w:sz="8" w:color="0000EE"/>
            </w:tcBorders>
            <w:shd w:val="clear" w:color="auto" w:fill="EEEEEE"/>
          </w:tcPr>
          <w:p>
            <w:pPr>
              <w:spacing w:after="0"/>
              <w:rPr>
                <w:sz w:val="3"/>
                <w:szCs w:val="3"/>
                <w:color w:val="auto"/>
              </w:rPr>
            </w:pPr>
          </w:p>
        </w:tc>
        <w:tc>
          <w:tcPr>
            <w:tcW w:w="180" w:type="dxa"/>
            <w:vAlign w:val="bottom"/>
            <w:tcBorders>
              <w:top w:val="single" w:sz="8" w:color="0000EE"/>
            </w:tcBorders>
            <w:shd w:val="clear" w:color="auto" w:fill="EEEEEE"/>
          </w:tcPr>
          <w:p>
            <w:pPr>
              <w:spacing w:after="0"/>
              <w:rPr>
                <w:sz w:val="3"/>
                <w:szCs w:val="3"/>
                <w:color w:val="auto"/>
              </w:rPr>
            </w:pPr>
          </w:p>
        </w:tc>
        <w:tc>
          <w:tcPr>
            <w:tcW w:w="120" w:type="dxa"/>
            <w:vAlign w:val="bottom"/>
            <w:tcBorders>
              <w:top w:val="single" w:sz="8" w:color="0000EE"/>
            </w:tcBorders>
            <w:shd w:val="clear" w:color="auto" w:fill="EEEEEE"/>
          </w:tcPr>
          <w:p>
            <w:pPr>
              <w:spacing w:after="0"/>
              <w:rPr>
                <w:sz w:val="3"/>
                <w:szCs w:val="3"/>
                <w:color w:val="auto"/>
              </w:rPr>
            </w:pPr>
          </w:p>
        </w:tc>
        <w:tc>
          <w:tcPr>
            <w:tcW w:w="6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300" w:type="dxa"/>
            <w:vAlign w:val="bottom"/>
            <w:tcBorders>
              <w:top w:val="single" w:sz="8" w:color="0000EE"/>
            </w:tcBorders>
            <w:shd w:val="clear" w:color="auto" w:fill="EEEEEE"/>
          </w:tcPr>
          <w:p>
            <w:pPr>
              <w:spacing w:after="0"/>
              <w:rPr>
                <w:sz w:val="3"/>
                <w:szCs w:val="3"/>
                <w:color w:val="auto"/>
              </w:rPr>
            </w:pPr>
          </w:p>
        </w:tc>
        <w:tc>
          <w:tcPr>
            <w:tcW w:w="60" w:type="dxa"/>
            <w:vAlign w:val="bottom"/>
            <w:tcBorders>
              <w:top w:val="single" w:sz="8" w:color="0000EE"/>
            </w:tcBorders>
            <w:shd w:val="clear" w:color="auto" w:fill="EEEEEE"/>
          </w:tcPr>
          <w:p>
            <w:pPr>
              <w:spacing w:after="0"/>
              <w:rPr>
                <w:sz w:val="3"/>
                <w:szCs w:val="3"/>
                <w:color w:val="auto"/>
              </w:rPr>
            </w:pPr>
          </w:p>
        </w:tc>
        <w:tc>
          <w:tcPr>
            <w:tcW w:w="2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280" w:type="dxa"/>
            <w:vAlign w:val="bottom"/>
            <w:tcBorders>
              <w:top w:val="single" w:sz="8" w:color="0000EE"/>
            </w:tcBorders>
            <w:shd w:val="clear" w:color="auto" w:fill="EEEEEE"/>
          </w:tcPr>
          <w:p>
            <w:pPr>
              <w:spacing w:after="0"/>
              <w:rPr>
                <w:sz w:val="3"/>
                <w:szCs w:val="3"/>
                <w:color w:val="auto"/>
              </w:rPr>
            </w:pPr>
          </w:p>
        </w:tc>
        <w:tc>
          <w:tcPr>
            <w:tcW w:w="140" w:type="dxa"/>
            <w:vAlign w:val="bottom"/>
            <w:tcBorders>
              <w:top w:val="single" w:sz="8" w:color="0000EE"/>
            </w:tcBorders>
            <w:shd w:val="clear" w:color="auto" w:fill="EEEEEE"/>
          </w:tcPr>
          <w:p>
            <w:pPr>
              <w:spacing w:after="0"/>
              <w:rPr>
                <w:sz w:val="3"/>
                <w:szCs w:val="3"/>
                <w:color w:val="auto"/>
              </w:rPr>
            </w:pPr>
          </w:p>
        </w:tc>
        <w:tc>
          <w:tcPr>
            <w:tcW w:w="180" w:type="dxa"/>
            <w:vAlign w:val="bottom"/>
            <w:tcBorders>
              <w:top w:val="single" w:sz="8" w:color="0000EE"/>
            </w:tcBorders>
            <w:shd w:val="clear" w:color="auto" w:fill="EEEEEE"/>
          </w:tcPr>
          <w:p>
            <w:pPr>
              <w:spacing w:after="0"/>
              <w:rPr>
                <w:sz w:val="3"/>
                <w:szCs w:val="3"/>
                <w:color w:val="auto"/>
              </w:rPr>
            </w:pPr>
          </w:p>
        </w:tc>
        <w:tc>
          <w:tcPr>
            <w:tcW w:w="240" w:type="dxa"/>
            <w:vAlign w:val="bottom"/>
            <w:tcBorders>
              <w:top w:val="single" w:sz="8" w:color="EEEEEE"/>
            </w:tcBorders>
            <w:shd w:val="clear" w:color="auto" w:fill="EEEEEE"/>
          </w:tcPr>
          <w:p>
            <w:pPr>
              <w:spacing w:after="0"/>
              <w:rPr>
                <w:sz w:val="3"/>
                <w:szCs w:val="3"/>
                <w:color w:val="auto"/>
              </w:rPr>
            </w:pPr>
          </w:p>
        </w:tc>
        <w:tc>
          <w:tcPr>
            <w:tcW w:w="680" w:type="dxa"/>
            <w:vAlign w:val="bottom"/>
            <w:tcBorders>
              <w:top w:val="single" w:sz="8" w:color="EEEEEE"/>
            </w:tcBorders>
            <w:shd w:val="clear" w:color="auto" w:fill="EEEEEE"/>
          </w:tcPr>
          <w:p>
            <w:pPr>
              <w:spacing w:after="0"/>
              <w:rPr>
                <w:sz w:val="3"/>
                <w:szCs w:val="3"/>
                <w:color w:val="auto"/>
              </w:rPr>
            </w:pPr>
          </w:p>
        </w:tc>
        <w:tc>
          <w:tcPr>
            <w:tcW w:w="120" w:type="dxa"/>
            <w:vAlign w:val="bottom"/>
            <w:tcBorders>
              <w:top w:val="single" w:sz="8" w:color="EEEEEE"/>
            </w:tcBorders>
            <w:shd w:val="clear" w:color="auto" w:fill="EEEEEE"/>
          </w:tcPr>
          <w:p>
            <w:pPr>
              <w:spacing w:after="0"/>
              <w:rPr>
                <w:sz w:val="3"/>
                <w:szCs w:val="3"/>
                <w:color w:val="auto"/>
              </w:rPr>
            </w:pPr>
          </w:p>
        </w:tc>
        <w:tc>
          <w:tcPr>
            <w:tcW w:w="240" w:type="dxa"/>
            <w:vAlign w:val="bottom"/>
            <w:tcBorders>
              <w:top w:val="single" w:sz="8" w:color="EEEEEE"/>
            </w:tcBorders>
            <w:shd w:val="clear" w:color="auto" w:fill="EEEEEE"/>
          </w:tcPr>
          <w:p>
            <w:pPr>
              <w:spacing w:after="0"/>
              <w:rPr>
                <w:sz w:val="3"/>
                <w:szCs w:val="3"/>
                <w:color w:val="auto"/>
              </w:rPr>
            </w:pPr>
          </w:p>
        </w:tc>
        <w:tc>
          <w:tcPr>
            <w:tcW w:w="20" w:type="dxa"/>
            <w:vAlign w:val="bottom"/>
            <w:tcBorders>
              <w:top w:val="single" w:sz="8" w:color="EEEEEE"/>
            </w:tcBorders>
            <w:shd w:val="clear" w:color="auto" w:fill="EEEEEE"/>
          </w:tcPr>
          <w:p>
            <w:pPr>
              <w:spacing w:after="0"/>
              <w:rPr>
                <w:sz w:val="3"/>
                <w:szCs w:val="3"/>
                <w:color w:val="auto"/>
              </w:rPr>
            </w:pPr>
          </w:p>
        </w:tc>
        <w:tc>
          <w:tcPr>
            <w:tcW w:w="1020" w:type="dxa"/>
            <w:vAlign w:val="bottom"/>
            <w:tcBorders>
              <w:top w:val="single" w:sz="8" w:color="EEEEEE"/>
            </w:tcBorders>
            <w:shd w:val="clear" w:color="auto" w:fill="EEEEEE"/>
          </w:tcPr>
          <w:p>
            <w:pPr>
              <w:spacing w:after="0"/>
              <w:rPr>
                <w:sz w:val="3"/>
                <w:szCs w:val="3"/>
                <w:color w:val="auto"/>
              </w:rPr>
            </w:pPr>
          </w:p>
        </w:tc>
        <w:tc>
          <w:tcPr>
            <w:tcW w:w="340" w:type="dxa"/>
            <w:vAlign w:val="bottom"/>
            <w:tcBorders>
              <w:top w:val="single" w:sz="8" w:color="EEEEEE"/>
            </w:tcBorders>
            <w:shd w:val="clear" w:color="auto" w:fill="EEEEEE"/>
          </w:tcPr>
          <w:p>
            <w:pPr>
              <w:spacing w:after="0"/>
              <w:rPr>
                <w:sz w:val="3"/>
                <w:szCs w:val="3"/>
                <w:color w:val="auto"/>
              </w:rPr>
            </w:pPr>
          </w:p>
        </w:tc>
        <w:tc>
          <w:tcPr>
            <w:tcW w:w="2880" w:type="dxa"/>
            <w:vAlign w:val="bottom"/>
            <w:tcBorders>
              <w:top w:val="single" w:sz="8" w:color="EEEEEE"/>
            </w:tcBorders>
            <w:shd w:val="clear" w:color="auto" w:fill="EEEEEE"/>
          </w:tcPr>
          <w:p>
            <w:pPr>
              <w:spacing w:after="0"/>
              <w:rPr>
                <w:sz w:val="3"/>
                <w:szCs w:val="3"/>
                <w:color w:val="auto"/>
              </w:rPr>
            </w:pPr>
          </w:p>
        </w:tc>
        <w:tc>
          <w:tcPr>
            <w:tcW w:w="306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0000EE"/>
            </w:tcBorders>
            <w:shd w:val="clear" w:color="auto" w:fill="EEEEEE"/>
          </w:tcPr>
          <w:p>
            <w:pPr>
              <w:spacing w:after="0"/>
              <w:rPr>
                <w:sz w:val="3"/>
                <w:szCs w:val="3"/>
                <w:color w:val="auto"/>
              </w:rPr>
            </w:pPr>
          </w:p>
        </w:tc>
        <w:tc>
          <w:tcPr>
            <w:tcW w:w="80" w:type="dxa"/>
            <w:vAlign w:val="bottom"/>
            <w:tcBorders>
              <w:top w:val="single" w:sz="8" w:color="0000EE"/>
            </w:tcBorders>
            <w:shd w:val="clear" w:color="auto" w:fill="EEEEEE"/>
          </w:tcPr>
          <w:p>
            <w:pPr>
              <w:spacing w:after="0"/>
              <w:rPr>
                <w:sz w:val="3"/>
                <w:szCs w:val="3"/>
                <w:color w:val="auto"/>
              </w:rPr>
            </w:pPr>
          </w:p>
        </w:tc>
        <w:tc>
          <w:tcPr>
            <w:tcW w:w="20" w:type="dxa"/>
            <w:vAlign w:val="bottom"/>
          </w:tcPr>
          <w:p>
            <w:pPr>
              <w:spacing w:after="0"/>
              <w:rPr>
                <w:sz w:val="3"/>
                <w:szCs w:val="3"/>
                <w:color w:val="auto"/>
              </w:rPr>
            </w:pPr>
          </w:p>
        </w:tc>
      </w:tr>
      <w:tr>
        <w:trPr>
          <w:trHeight w:val="177"/>
        </w:trPr>
        <w:tc>
          <w:tcPr>
            <w:tcW w:w="2500" w:type="dxa"/>
            <w:vAlign w:val="bottom"/>
            <w:gridSpan w:val="12"/>
          </w:tcPr>
          <w:p>
            <w:pPr>
              <w:spacing w:after="0" w:line="178" w:lineRule="exact"/>
              <w:rPr>
                <w:sz w:val="20"/>
                <w:szCs w:val="20"/>
                <w:color w:val="auto"/>
              </w:rPr>
            </w:pPr>
            <w:r>
              <w:rPr>
                <w:rFonts w:ascii="Times New Roman" w:cs="Times New Roman" w:eastAsia="Times New Roman" w:hAnsi="Times New Roman"/>
                <w:sz w:val="16"/>
                <w:szCs w:val="16"/>
                <w:color w:val="0000EE"/>
              </w:rPr>
              <w:t>USE OF PROCEEDS</w:t>
            </w:r>
          </w:p>
        </w:tc>
        <w:tc>
          <w:tcPr>
            <w:tcW w:w="5540" w:type="dxa"/>
            <w:vAlign w:val="bottom"/>
            <w:gridSpan w:val="8"/>
          </w:tcPr>
          <w:p>
            <w:pPr>
              <w:spacing w:after="0"/>
              <w:rPr>
                <w:sz w:val="15"/>
                <w:szCs w:val="15"/>
                <w:color w:val="auto"/>
              </w:rPr>
            </w:pPr>
          </w:p>
        </w:tc>
        <w:tc>
          <w:tcPr>
            <w:tcW w:w="322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6"/>
                <w:szCs w:val="16"/>
                <w:color w:val="0000EE"/>
              </w:rPr>
              <w:t>24</w:t>
            </w:r>
          </w:p>
        </w:tc>
        <w:tc>
          <w:tcPr>
            <w:tcW w:w="20" w:type="dxa"/>
            <w:vAlign w:val="bottom"/>
          </w:tcPr>
          <w:p>
            <w:pPr>
              <w:spacing w:after="0"/>
              <w:rPr>
                <w:sz w:val="15"/>
                <w:szCs w:val="15"/>
                <w:color w:val="auto"/>
              </w:rPr>
            </w:pPr>
          </w:p>
        </w:tc>
      </w:tr>
      <w:tr>
        <w:trPr>
          <w:trHeight w:val="39"/>
        </w:trPr>
        <w:tc>
          <w:tcPr>
            <w:tcW w:w="108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77"/>
        </w:trPr>
        <w:tc>
          <w:tcPr>
            <w:tcW w:w="8040" w:type="dxa"/>
            <w:vAlign w:val="bottom"/>
            <w:gridSpan w:val="20"/>
            <w:shd w:val="clear" w:color="auto" w:fill="EEEEEE"/>
          </w:tcPr>
          <w:p>
            <w:pPr>
              <w:spacing w:after="0" w:line="178" w:lineRule="exact"/>
              <w:rPr>
                <w:sz w:val="20"/>
                <w:szCs w:val="20"/>
                <w:color w:val="auto"/>
              </w:rPr>
            </w:pPr>
            <w:r>
              <w:rPr>
                <w:rFonts w:ascii="Times New Roman" w:cs="Times New Roman" w:eastAsia="Times New Roman" w:hAnsi="Times New Roman"/>
                <w:sz w:val="16"/>
                <w:szCs w:val="16"/>
                <w:color w:val="0000EE"/>
              </w:rPr>
              <w:t>SELLING SECURITYHOLDERS</w:t>
            </w:r>
          </w:p>
        </w:tc>
        <w:tc>
          <w:tcPr>
            <w:tcW w:w="3220" w:type="dxa"/>
            <w:vAlign w:val="bottom"/>
            <w:gridSpan w:val="3"/>
            <w:shd w:val="clear" w:color="auto" w:fill="EEEEEE"/>
          </w:tcPr>
          <w:p>
            <w:pPr>
              <w:jc w:val="right"/>
              <w:spacing w:after="0" w:line="178" w:lineRule="exact"/>
              <w:rPr>
                <w:sz w:val="20"/>
                <w:szCs w:val="20"/>
                <w:color w:val="auto"/>
              </w:rPr>
            </w:pPr>
            <w:r>
              <w:rPr>
                <w:rFonts w:ascii="Times New Roman" w:cs="Times New Roman" w:eastAsia="Times New Roman" w:hAnsi="Times New Roman"/>
                <w:sz w:val="16"/>
                <w:szCs w:val="16"/>
                <w:color w:val="0000EE"/>
              </w:rPr>
              <w:t>27</w:t>
            </w:r>
          </w:p>
        </w:tc>
        <w:tc>
          <w:tcPr>
            <w:tcW w:w="20" w:type="dxa"/>
            <w:vAlign w:val="bottom"/>
          </w:tcPr>
          <w:p>
            <w:pPr>
              <w:spacing w:after="0"/>
              <w:rPr>
                <w:sz w:val="15"/>
                <w:szCs w:val="15"/>
                <w:color w:val="auto"/>
              </w:rPr>
            </w:pPr>
          </w:p>
        </w:tc>
      </w:tr>
      <w:tr>
        <w:trPr>
          <w:trHeight w:val="39"/>
        </w:trPr>
        <w:tc>
          <w:tcPr>
            <w:tcW w:w="1080" w:type="dxa"/>
            <w:vAlign w:val="bottom"/>
            <w:tcBorders>
              <w:top w:val="single" w:sz="8" w:color="0000EE"/>
            </w:tcBorders>
            <w:shd w:val="clear" w:color="auto" w:fill="EEEEEE"/>
          </w:tcPr>
          <w:p>
            <w:pPr>
              <w:spacing w:after="0"/>
              <w:rPr>
                <w:sz w:val="3"/>
                <w:szCs w:val="3"/>
                <w:color w:val="auto"/>
              </w:rPr>
            </w:pPr>
          </w:p>
        </w:tc>
        <w:tc>
          <w:tcPr>
            <w:tcW w:w="180" w:type="dxa"/>
            <w:vAlign w:val="bottom"/>
            <w:tcBorders>
              <w:top w:val="single" w:sz="8" w:color="0000EE"/>
            </w:tcBorders>
            <w:shd w:val="clear" w:color="auto" w:fill="EEEEEE"/>
          </w:tcPr>
          <w:p>
            <w:pPr>
              <w:spacing w:after="0"/>
              <w:rPr>
                <w:sz w:val="3"/>
                <w:szCs w:val="3"/>
                <w:color w:val="auto"/>
              </w:rPr>
            </w:pPr>
          </w:p>
        </w:tc>
        <w:tc>
          <w:tcPr>
            <w:tcW w:w="120" w:type="dxa"/>
            <w:vAlign w:val="bottom"/>
            <w:tcBorders>
              <w:top w:val="single" w:sz="8" w:color="0000EE"/>
            </w:tcBorders>
            <w:shd w:val="clear" w:color="auto" w:fill="EEEEEE"/>
          </w:tcPr>
          <w:p>
            <w:pPr>
              <w:spacing w:after="0"/>
              <w:rPr>
                <w:sz w:val="3"/>
                <w:szCs w:val="3"/>
                <w:color w:val="auto"/>
              </w:rPr>
            </w:pPr>
          </w:p>
        </w:tc>
        <w:tc>
          <w:tcPr>
            <w:tcW w:w="6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300" w:type="dxa"/>
            <w:vAlign w:val="bottom"/>
            <w:tcBorders>
              <w:top w:val="single" w:sz="8" w:color="0000EE"/>
            </w:tcBorders>
            <w:shd w:val="clear" w:color="auto" w:fill="EEEEEE"/>
          </w:tcPr>
          <w:p>
            <w:pPr>
              <w:spacing w:after="0"/>
              <w:rPr>
                <w:sz w:val="3"/>
                <w:szCs w:val="3"/>
                <w:color w:val="auto"/>
              </w:rPr>
            </w:pPr>
          </w:p>
        </w:tc>
        <w:tc>
          <w:tcPr>
            <w:tcW w:w="60" w:type="dxa"/>
            <w:vAlign w:val="bottom"/>
            <w:tcBorders>
              <w:top w:val="single" w:sz="8" w:color="0000EE"/>
            </w:tcBorders>
            <w:shd w:val="clear" w:color="auto" w:fill="EEEEEE"/>
          </w:tcPr>
          <w:p>
            <w:pPr>
              <w:spacing w:after="0"/>
              <w:rPr>
                <w:sz w:val="3"/>
                <w:szCs w:val="3"/>
                <w:color w:val="auto"/>
              </w:rPr>
            </w:pPr>
          </w:p>
        </w:tc>
        <w:tc>
          <w:tcPr>
            <w:tcW w:w="2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280" w:type="dxa"/>
            <w:vAlign w:val="bottom"/>
            <w:tcBorders>
              <w:top w:val="single" w:sz="8" w:color="0000EE"/>
            </w:tcBorders>
            <w:shd w:val="clear" w:color="auto" w:fill="EEEEEE"/>
          </w:tcPr>
          <w:p>
            <w:pPr>
              <w:spacing w:after="0"/>
              <w:rPr>
                <w:sz w:val="3"/>
                <w:szCs w:val="3"/>
                <w:color w:val="auto"/>
              </w:rPr>
            </w:pPr>
          </w:p>
        </w:tc>
        <w:tc>
          <w:tcPr>
            <w:tcW w:w="140" w:type="dxa"/>
            <w:vAlign w:val="bottom"/>
            <w:tcBorders>
              <w:top w:val="single" w:sz="8" w:color="EEEEEE"/>
            </w:tcBorders>
            <w:shd w:val="clear" w:color="auto" w:fill="EEEEEE"/>
          </w:tcPr>
          <w:p>
            <w:pPr>
              <w:spacing w:after="0"/>
              <w:rPr>
                <w:sz w:val="3"/>
                <w:szCs w:val="3"/>
                <w:color w:val="auto"/>
              </w:rPr>
            </w:pPr>
          </w:p>
        </w:tc>
        <w:tc>
          <w:tcPr>
            <w:tcW w:w="180" w:type="dxa"/>
            <w:vAlign w:val="bottom"/>
            <w:tcBorders>
              <w:top w:val="single" w:sz="8" w:color="EEEEEE"/>
            </w:tcBorders>
            <w:shd w:val="clear" w:color="auto" w:fill="EEEEEE"/>
          </w:tcPr>
          <w:p>
            <w:pPr>
              <w:spacing w:after="0"/>
              <w:rPr>
                <w:sz w:val="3"/>
                <w:szCs w:val="3"/>
                <w:color w:val="auto"/>
              </w:rPr>
            </w:pPr>
          </w:p>
        </w:tc>
        <w:tc>
          <w:tcPr>
            <w:tcW w:w="240" w:type="dxa"/>
            <w:vAlign w:val="bottom"/>
            <w:tcBorders>
              <w:top w:val="single" w:sz="8" w:color="EEEEEE"/>
            </w:tcBorders>
            <w:shd w:val="clear" w:color="auto" w:fill="EEEEEE"/>
          </w:tcPr>
          <w:p>
            <w:pPr>
              <w:spacing w:after="0"/>
              <w:rPr>
                <w:sz w:val="3"/>
                <w:szCs w:val="3"/>
                <w:color w:val="auto"/>
              </w:rPr>
            </w:pPr>
          </w:p>
        </w:tc>
        <w:tc>
          <w:tcPr>
            <w:tcW w:w="680" w:type="dxa"/>
            <w:vAlign w:val="bottom"/>
            <w:tcBorders>
              <w:top w:val="single" w:sz="8" w:color="EEEEEE"/>
            </w:tcBorders>
            <w:shd w:val="clear" w:color="auto" w:fill="EEEEEE"/>
          </w:tcPr>
          <w:p>
            <w:pPr>
              <w:spacing w:after="0"/>
              <w:rPr>
                <w:sz w:val="3"/>
                <w:szCs w:val="3"/>
                <w:color w:val="auto"/>
              </w:rPr>
            </w:pPr>
          </w:p>
        </w:tc>
        <w:tc>
          <w:tcPr>
            <w:tcW w:w="120" w:type="dxa"/>
            <w:vAlign w:val="bottom"/>
            <w:tcBorders>
              <w:top w:val="single" w:sz="8" w:color="EEEEEE"/>
            </w:tcBorders>
            <w:shd w:val="clear" w:color="auto" w:fill="EEEEEE"/>
          </w:tcPr>
          <w:p>
            <w:pPr>
              <w:spacing w:after="0"/>
              <w:rPr>
                <w:sz w:val="3"/>
                <w:szCs w:val="3"/>
                <w:color w:val="auto"/>
              </w:rPr>
            </w:pPr>
          </w:p>
        </w:tc>
        <w:tc>
          <w:tcPr>
            <w:tcW w:w="240" w:type="dxa"/>
            <w:vAlign w:val="bottom"/>
            <w:tcBorders>
              <w:top w:val="single" w:sz="8" w:color="EEEEEE"/>
            </w:tcBorders>
            <w:shd w:val="clear" w:color="auto" w:fill="EEEEEE"/>
          </w:tcPr>
          <w:p>
            <w:pPr>
              <w:spacing w:after="0"/>
              <w:rPr>
                <w:sz w:val="3"/>
                <w:szCs w:val="3"/>
                <w:color w:val="auto"/>
              </w:rPr>
            </w:pPr>
          </w:p>
        </w:tc>
        <w:tc>
          <w:tcPr>
            <w:tcW w:w="20" w:type="dxa"/>
            <w:vAlign w:val="bottom"/>
            <w:tcBorders>
              <w:top w:val="single" w:sz="8" w:color="EEEEEE"/>
            </w:tcBorders>
            <w:shd w:val="clear" w:color="auto" w:fill="EEEEEE"/>
          </w:tcPr>
          <w:p>
            <w:pPr>
              <w:spacing w:after="0"/>
              <w:rPr>
                <w:sz w:val="3"/>
                <w:szCs w:val="3"/>
                <w:color w:val="auto"/>
              </w:rPr>
            </w:pPr>
          </w:p>
        </w:tc>
        <w:tc>
          <w:tcPr>
            <w:tcW w:w="1020" w:type="dxa"/>
            <w:vAlign w:val="bottom"/>
            <w:tcBorders>
              <w:top w:val="single" w:sz="8" w:color="EEEEEE"/>
            </w:tcBorders>
            <w:shd w:val="clear" w:color="auto" w:fill="EEEEEE"/>
          </w:tcPr>
          <w:p>
            <w:pPr>
              <w:spacing w:after="0"/>
              <w:rPr>
                <w:sz w:val="3"/>
                <w:szCs w:val="3"/>
                <w:color w:val="auto"/>
              </w:rPr>
            </w:pPr>
          </w:p>
        </w:tc>
        <w:tc>
          <w:tcPr>
            <w:tcW w:w="340" w:type="dxa"/>
            <w:vAlign w:val="bottom"/>
            <w:tcBorders>
              <w:top w:val="single" w:sz="8" w:color="EEEEEE"/>
            </w:tcBorders>
            <w:shd w:val="clear" w:color="auto" w:fill="EEEEEE"/>
          </w:tcPr>
          <w:p>
            <w:pPr>
              <w:spacing w:after="0"/>
              <w:rPr>
                <w:sz w:val="3"/>
                <w:szCs w:val="3"/>
                <w:color w:val="auto"/>
              </w:rPr>
            </w:pPr>
          </w:p>
        </w:tc>
        <w:tc>
          <w:tcPr>
            <w:tcW w:w="2880" w:type="dxa"/>
            <w:vAlign w:val="bottom"/>
            <w:tcBorders>
              <w:top w:val="single" w:sz="8" w:color="EEEEEE"/>
            </w:tcBorders>
            <w:shd w:val="clear" w:color="auto" w:fill="EEEEEE"/>
          </w:tcPr>
          <w:p>
            <w:pPr>
              <w:spacing w:after="0"/>
              <w:rPr>
                <w:sz w:val="3"/>
                <w:szCs w:val="3"/>
                <w:color w:val="auto"/>
              </w:rPr>
            </w:pPr>
          </w:p>
        </w:tc>
        <w:tc>
          <w:tcPr>
            <w:tcW w:w="306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0000EE"/>
            </w:tcBorders>
            <w:shd w:val="clear" w:color="auto" w:fill="EEEEEE"/>
          </w:tcPr>
          <w:p>
            <w:pPr>
              <w:spacing w:after="0"/>
              <w:rPr>
                <w:sz w:val="3"/>
                <w:szCs w:val="3"/>
                <w:color w:val="auto"/>
              </w:rPr>
            </w:pPr>
          </w:p>
        </w:tc>
        <w:tc>
          <w:tcPr>
            <w:tcW w:w="80" w:type="dxa"/>
            <w:vAlign w:val="bottom"/>
            <w:tcBorders>
              <w:top w:val="single" w:sz="8" w:color="0000EE"/>
            </w:tcBorders>
            <w:shd w:val="clear" w:color="auto" w:fill="EEEEEE"/>
          </w:tcPr>
          <w:p>
            <w:pPr>
              <w:spacing w:after="0"/>
              <w:rPr>
                <w:sz w:val="3"/>
                <w:szCs w:val="3"/>
                <w:color w:val="auto"/>
              </w:rPr>
            </w:pPr>
          </w:p>
        </w:tc>
        <w:tc>
          <w:tcPr>
            <w:tcW w:w="20" w:type="dxa"/>
            <w:vAlign w:val="bottom"/>
          </w:tcPr>
          <w:p>
            <w:pPr>
              <w:spacing w:after="0"/>
              <w:rPr>
                <w:sz w:val="3"/>
                <w:szCs w:val="3"/>
                <w:color w:val="auto"/>
              </w:rPr>
            </w:pPr>
          </w:p>
        </w:tc>
      </w:tr>
      <w:tr>
        <w:trPr>
          <w:trHeight w:val="177"/>
        </w:trPr>
        <w:tc>
          <w:tcPr>
            <w:tcW w:w="2180" w:type="dxa"/>
            <w:vAlign w:val="bottom"/>
            <w:gridSpan w:val="10"/>
          </w:tcPr>
          <w:p>
            <w:pPr>
              <w:spacing w:after="0" w:line="178" w:lineRule="exact"/>
              <w:rPr>
                <w:sz w:val="20"/>
                <w:szCs w:val="20"/>
                <w:color w:val="auto"/>
              </w:rPr>
            </w:pPr>
            <w:r>
              <w:rPr>
                <w:rFonts w:ascii="Times New Roman" w:cs="Times New Roman" w:eastAsia="Times New Roman" w:hAnsi="Times New Roman"/>
                <w:sz w:val="16"/>
                <w:szCs w:val="16"/>
                <w:color w:val="0000EE"/>
              </w:rPr>
              <w:t>DIVIDEND POLICY</w:t>
            </w:r>
          </w:p>
        </w:tc>
        <w:tc>
          <w:tcPr>
            <w:tcW w:w="5860" w:type="dxa"/>
            <w:vAlign w:val="bottom"/>
            <w:gridSpan w:val="10"/>
          </w:tcPr>
          <w:p>
            <w:pPr>
              <w:spacing w:after="0"/>
              <w:rPr>
                <w:sz w:val="15"/>
                <w:szCs w:val="15"/>
                <w:color w:val="auto"/>
              </w:rPr>
            </w:pPr>
          </w:p>
        </w:tc>
        <w:tc>
          <w:tcPr>
            <w:tcW w:w="322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6"/>
                <w:szCs w:val="16"/>
                <w:color w:val="0000EE"/>
              </w:rPr>
              <w:t>27</w:t>
            </w:r>
          </w:p>
        </w:tc>
        <w:tc>
          <w:tcPr>
            <w:tcW w:w="20" w:type="dxa"/>
            <w:vAlign w:val="bottom"/>
          </w:tcPr>
          <w:p>
            <w:pPr>
              <w:spacing w:after="0"/>
              <w:rPr>
                <w:sz w:val="15"/>
                <w:szCs w:val="15"/>
                <w:color w:val="auto"/>
              </w:rPr>
            </w:pPr>
          </w:p>
        </w:tc>
      </w:tr>
      <w:tr>
        <w:trPr>
          <w:trHeight w:val="39"/>
        </w:trPr>
        <w:tc>
          <w:tcPr>
            <w:tcW w:w="108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77"/>
        </w:trPr>
        <w:tc>
          <w:tcPr>
            <w:tcW w:w="8040" w:type="dxa"/>
            <w:vAlign w:val="bottom"/>
            <w:gridSpan w:val="20"/>
            <w:shd w:val="clear" w:color="auto" w:fill="EEEEEE"/>
          </w:tcPr>
          <w:p>
            <w:pPr>
              <w:spacing w:after="0" w:line="178" w:lineRule="exact"/>
              <w:rPr>
                <w:sz w:val="20"/>
                <w:szCs w:val="20"/>
                <w:color w:val="auto"/>
              </w:rPr>
            </w:pPr>
            <w:r>
              <w:rPr>
                <w:rFonts w:ascii="Times New Roman" w:cs="Times New Roman" w:eastAsia="Times New Roman" w:hAnsi="Times New Roman"/>
                <w:sz w:val="16"/>
                <w:szCs w:val="16"/>
                <w:color w:val="0000EE"/>
              </w:rPr>
              <w:t>DESCRIPTION OF SECURITIES BEING DISTRIBUTED</w:t>
            </w:r>
          </w:p>
        </w:tc>
        <w:tc>
          <w:tcPr>
            <w:tcW w:w="3220" w:type="dxa"/>
            <w:vAlign w:val="bottom"/>
            <w:gridSpan w:val="3"/>
            <w:shd w:val="clear" w:color="auto" w:fill="EEEEEE"/>
          </w:tcPr>
          <w:p>
            <w:pPr>
              <w:jc w:val="right"/>
              <w:spacing w:after="0" w:line="178" w:lineRule="exact"/>
              <w:rPr>
                <w:sz w:val="20"/>
                <w:szCs w:val="20"/>
                <w:color w:val="auto"/>
              </w:rPr>
            </w:pPr>
            <w:r>
              <w:rPr>
                <w:rFonts w:ascii="Times New Roman" w:cs="Times New Roman" w:eastAsia="Times New Roman" w:hAnsi="Times New Roman"/>
                <w:sz w:val="16"/>
                <w:szCs w:val="16"/>
                <w:color w:val="0000EE"/>
              </w:rPr>
              <w:t>27</w:t>
            </w:r>
          </w:p>
        </w:tc>
        <w:tc>
          <w:tcPr>
            <w:tcW w:w="20" w:type="dxa"/>
            <w:vAlign w:val="bottom"/>
          </w:tcPr>
          <w:p>
            <w:pPr>
              <w:spacing w:after="0"/>
              <w:rPr>
                <w:sz w:val="15"/>
                <w:szCs w:val="15"/>
                <w:color w:val="auto"/>
              </w:rPr>
            </w:pPr>
          </w:p>
        </w:tc>
      </w:tr>
      <w:tr>
        <w:trPr>
          <w:trHeight w:val="39"/>
        </w:trPr>
        <w:tc>
          <w:tcPr>
            <w:tcW w:w="1080" w:type="dxa"/>
            <w:vAlign w:val="bottom"/>
            <w:tcBorders>
              <w:top w:val="single" w:sz="8" w:color="0000EE"/>
            </w:tcBorders>
            <w:shd w:val="clear" w:color="auto" w:fill="EEEEEE"/>
          </w:tcPr>
          <w:p>
            <w:pPr>
              <w:spacing w:after="0"/>
              <w:rPr>
                <w:sz w:val="3"/>
                <w:szCs w:val="3"/>
                <w:color w:val="auto"/>
              </w:rPr>
            </w:pPr>
          </w:p>
        </w:tc>
        <w:tc>
          <w:tcPr>
            <w:tcW w:w="180" w:type="dxa"/>
            <w:vAlign w:val="bottom"/>
            <w:tcBorders>
              <w:top w:val="single" w:sz="8" w:color="0000EE"/>
            </w:tcBorders>
            <w:shd w:val="clear" w:color="auto" w:fill="EEEEEE"/>
          </w:tcPr>
          <w:p>
            <w:pPr>
              <w:spacing w:after="0"/>
              <w:rPr>
                <w:sz w:val="3"/>
                <w:szCs w:val="3"/>
                <w:color w:val="auto"/>
              </w:rPr>
            </w:pPr>
          </w:p>
        </w:tc>
        <w:tc>
          <w:tcPr>
            <w:tcW w:w="120" w:type="dxa"/>
            <w:vAlign w:val="bottom"/>
            <w:tcBorders>
              <w:top w:val="single" w:sz="8" w:color="0000EE"/>
            </w:tcBorders>
            <w:shd w:val="clear" w:color="auto" w:fill="EEEEEE"/>
          </w:tcPr>
          <w:p>
            <w:pPr>
              <w:spacing w:after="0"/>
              <w:rPr>
                <w:sz w:val="3"/>
                <w:szCs w:val="3"/>
                <w:color w:val="auto"/>
              </w:rPr>
            </w:pPr>
          </w:p>
        </w:tc>
        <w:tc>
          <w:tcPr>
            <w:tcW w:w="6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300" w:type="dxa"/>
            <w:vAlign w:val="bottom"/>
            <w:tcBorders>
              <w:top w:val="single" w:sz="8" w:color="0000EE"/>
            </w:tcBorders>
            <w:shd w:val="clear" w:color="auto" w:fill="EEEEEE"/>
          </w:tcPr>
          <w:p>
            <w:pPr>
              <w:spacing w:after="0"/>
              <w:rPr>
                <w:sz w:val="3"/>
                <w:szCs w:val="3"/>
                <w:color w:val="auto"/>
              </w:rPr>
            </w:pPr>
          </w:p>
        </w:tc>
        <w:tc>
          <w:tcPr>
            <w:tcW w:w="60" w:type="dxa"/>
            <w:vAlign w:val="bottom"/>
            <w:tcBorders>
              <w:top w:val="single" w:sz="8" w:color="0000EE"/>
            </w:tcBorders>
            <w:shd w:val="clear" w:color="auto" w:fill="EEEEEE"/>
          </w:tcPr>
          <w:p>
            <w:pPr>
              <w:spacing w:after="0"/>
              <w:rPr>
                <w:sz w:val="3"/>
                <w:szCs w:val="3"/>
                <w:color w:val="auto"/>
              </w:rPr>
            </w:pPr>
          </w:p>
        </w:tc>
        <w:tc>
          <w:tcPr>
            <w:tcW w:w="20" w:type="dxa"/>
            <w:vAlign w:val="bottom"/>
            <w:tcBorders>
              <w:top w:val="single" w:sz="8" w:color="0000EE"/>
            </w:tcBorders>
            <w:shd w:val="clear" w:color="auto" w:fill="EEEEEE"/>
          </w:tcPr>
          <w:p>
            <w:pPr>
              <w:spacing w:after="0"/>
              <w:rPr>
                <w:sz w:val="3"/>
                <w:szCs w:val="3"/>
                <w:color w:val="auto"/>
              </w:rPr>
            </w:pPr>
          </w:p>
        </w:tc>
        <w:tc>
          <w:tcPr>
            <w:tcW w:w="40" w:type="dxa"/>
            <w:vAlign w:val="bottom"/>
            <w:tcBorders>
              <w:top w:val="single" w:sz="8" w:color="0000EE"/>
            </w:tcBorders>
            <w:shd w:val="clear" w:color="auto" w:fill="EEEEEE"/>
          </w:tcPr>
          <w:p>
            <w:pPr>
              <w:spacing w:after="0"/>
              <w:rPr>
                <w:sz w:val="3"/>
                <w:szCs w:val="3"/>
                <w:color w:val="auto"/>
              </w:rPr>
            </w:pPr>
          </w:p>
        </w:tc>
        <w:tc>
          <w:tcPr>
            <w:tcW w:w="280" w:type="dxa"/>
            <w:vAlign w:val="bottom"/>
            <w:tcBorders>
              <w:top w:val="single" w:sz="8" w:color="0000EE"/>
            </w:tcBorders>
            <w:shd w:val="clear" w:color="auto" w:fill="EEEEEE"/>
          </w:tcPr>
          <w:p>
            <w:pPr>
              <w:spacing w:after="0"/>
              <w:rPr>
                <w:sz w:val="3"/>
                <w:szCs w:val="3"/>
                <w:color w:val="auto"/>
              </w:rPr>
            </w:pPr>
          </w:p>
        </w:tc>
        <w:tc>
          <w:tcPr>
            <w:tcW w:w="140" w:type="dxa"/>
            <w:vAlign w:val="bottom"/>
            <w:tcBorders>
              <w:top w:val="single" w:sz="8" w:color="0000EE"/>
            </w:tcBorders>
            <w:shd w:val="clear" w:color="auto" w:fill="EEEEEE"/>
          </w:tcPr>
          <w:p>
            <w:pPr>
              <w:spacing w:after="0"/>
              <w:rPr>
                <w:sz w:val="3"/>
                <w:szCs w:val="3"/>
                <w:color w:val="auto"/>
              </w:rPr>
            </w:pPr>
          </w:p>
        </w:tc>
        <w:tc>
          <w:tcPr>
            <w:tcW w:w="180" w:type="dxa"/>
            <w:vAlign w:val="bottom"/>
            <w:tcBorders>
              <w:top w:val="single" w:sz="8" w:color="0000EE"/>
            </w:tcBorders>
            <w:shd w:val="clear" w:color="auto" w:fill="EEEEEE"/>
          </w:tcPr>
          <w:p>
            <w:pPr>
              <w:spacing w:after="0"/>
              <w:rPr>
                <w:sz w:val="3"/>
                <w:szCs w:val="3"/>
                <w:color w:val="auto"/>
              </w:rPr>
            </w:pPr>
          </w:p>
        </w:tc>
        <w:tc>
          <w:tcPr>
            <w:tcW w:w="240" w:type="dxa"/>
            <w:vAlign w:val="bottom"/>
            <w:tcBorders>
              <w:top w:val="single" w:sz="8" w:color="0000EE"/>
            </w:tcBorders>
            <w:shd w:val="clear" w:color="auto" w:fill="EEEEEE"/>
          </w:tcPr>
          <w:p>
            <w:pPr>
              <w:spacing w:after="0"/>
              <w:rPr>
                <w:sz w:val="3"/>
                <w:szCs w:val="3"/>
                <w:color w:val="auto"/>
              </w:rPr>
            </w:pPr>
          </w:p>
        </w:tc>
        <w:tc>
          <w:tcPr>
            <w:tcW w:w="680" w:type="dxa"/>
            <w:vAlign w:val="bottom"/>
            <w:tcBorders>
              <w:top w:val="single" w:sz="8" w:color="0000EE"/>
            </w:tcBorders>
            <w:shd w:val="clear" w:color="auto" w:fill="EEEEEE"/>
          </w:tcPr>
          <w:p>
            <w:pPr>
              <w:spacing w:after="0"/>
              <w:rPr>
                <w:sz w:val="3"/>
                <w:szCs w:val="3"/>
                <w:color w:val="auto"/>
              </w:rPr>
            </w:pPr>
          </w:p>
        </w:tc>
        <w:tc>
          <w:tcPr>
            <w:tcW w:w="120" w:type="dxa"/>
            <w:vAlign w:val="bottom"/>
            <w:tcBorders>
              <w:top w:val="single" w:sz="8" w:color="0000EE"/>
            </w:tcBorders>
            <w:shd w:val="clear" w:color="auto" w:fill="EEEEEE"/>
          </w:tcPr>
          <w:p>
            <w:pPr>
              <w:spacing w:after="0"/>
              <w:rPr>
                <w:sz w:val="3"/>
                <w:szCs w:val="3"/>
                <w:color w:val="auto"/>
              </w:rPr>
            </w:pPr>
          </w:p>
        </w:tc>
        <w:tc>
          <w:tcPr>
            <w:tcW w:w="240" w:type="dxa"/>
            <w:vAlign w:val="bottom"/>
            <w:tcBorders>
              <w:top w:val="single" w:sz="8" w:color="0000EE"/>
            </w:tcBorders>
            <w:shd w:val="clear" w:color="auto" w:fill="EEEEEE"/>
          </w:tcPr>
          <w:p>
            <w:pPr>
              <w:spacing w:after="0"/>
              <w:rPr>
                <w:sz w:val="3"/>
                <w:szCs w:val="3"/>
                <w:color w:val="auto"/>
              </w:rPr>
            </w:pPr>
          </w:p>
        </w:tc>
        <w:tc>
          <w:tcPr>
            <w:tcW w:w="20" w:type="dxa"/>
            <w:vAlign w:val="bottom"/>
            <w:tcBorders>
              <w:top w:val="single" w:sz="8" w:color="EEEEEE"/>
            </w:tcBorders>
            <w:shd w:val="clear" w:color="auto" w:fill="EEEEEE"/>
          </w:tcPr>
          <w:p>
            <w:pPr>
              <w:spacing w:after="0"/>
              <w:rPr>
                <w:sz w:val="3"/>
                <w:szCs w:val="3"/>
                <w:color w:val="auto"/>
              </w:rPr>
            </w:pPr>
          </w:p>
        </w:tc>
        <w:tc>
          <w:tcPr>
            <w:tcW w:w="1020" w:type="dxa"/>
            <w:vAlign w:val="bottom"/>
            <w:tcBorders>
              <w:top w:val="single" w:sz="8" w:color="EEEEEE"/>
            </w:tcBorders>
            <w:shd w:val="clear" w:color="auto" w:fill="EEEEEE"/>
          </w:tcPr>
          <w:p>
            <w:pPr>
              <w:spacing w:after="0"/>
              <w:rPr>
                <w:sz w:val="3"/>
                <w:szCs w:val="3"/>
                <w:color w:val="auto"/>
              </w:rPr>
            </w:pPr>
          </w:p>
        </w:tc>
        <w:tc>
          <w:tcPr>
            <w:tcW w:w="340" w:type="dxa"/>
            <w:vAlign w:val="bottom"/>
            <w:tcBorders>
              <w:top w:val="single" w:sz="8" w:color="EEEEEE"/>
            </w:tcBorders>
            <w:shd w:val="clear" w:color="auto" w:fill="EEEEEE"/>
          </w:tcPr>
          <w:p>
            <w:pPr>
              <w:spacing w:after="0"/>
              <w:rPr>
                <w:sz w:val="3"/>
                <w:szCs w:val="3"/>
                <w:color w:val="auto"/>
              </w:rPr>
            </w:pPr>
          </w:p>
        </w:tc>
        <w:tc>
          <w:tcPr>
            <w:tcW w:w="2880" w:type="dxa"/>
            <w:vAlign w:val="bottom"/>
            <w:tcBorders>
              <w:top w:val="single" w:sz="8" w:color="EEEEEE"/>
            </w:tcBorders>
            <w:shd w:val="clear" w:color="auto" w:fill="EEEEEE"/>
          </w:tcPr>
          <w:p>
            <w:pPr>
              <w:spacing w:after="0"/>
              <w:rPr>
                <w:sz w:val="3"/>
                <w:szCs w:val="3"/>
                <w:color w:val="auto"/>
              </w:rPr>
            </w:pPr>
          </w:p>
        </w:tc>
        <w:tc>
          <w:tcPr>
            <w:tcW w:w="306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0000EE"/>
            </w:tcBorders>
            <w:shd w:val="clear" w:color="auto" w:fill="EEEEEE"/>
          </w:tcPr>
          <w:p>
            <w:pPr>
              <w:spacing w:after="0"/>
              <w:rPr>
                <w:sz w:val="3"/>
                <w:szCs w:val="3"/>
                <w:color w:val="auto"/>
              </w:rPr>
            </w:pPr>
          </w:p>
        </w:tc>
        <w:tc>
          <w:tcPr>
            <w:tcW w:w="80" w:type="dxa"/>
            <w:vAlign w:val="bottom"/>
            <w:tcBorders>
              <w:top w:val="single" w:sz="8" w:color="0000EE"/>
            </w:tcBorders>
            <w:shd w:val="clear" w:color="auto" w:fill="EEEEEE"/>
          </w:tcPr>
          <w:p>
            <w:pPr>
              <w:spacing w:after="0"/>
              <w:rPr>
                <w:sz w:val="3"/>
                <w:szCs w:val="3"/>
                <w:color w:val="auto"/>
              </w:rPr>
            </w:pPr>
          </w:p>
        </w:tc>
        <w:tc>
          <w:tcPr>
            <w:tcW w:w="20" w:type="dxa"/>
            <w:vAlign w:val="bottom"/>
          </w:tcPr>
          <w:p>
            <w:pPr>
              <w:spacing w:after="0"/>
              <w:rPr>
                <w:sz w:val="3"/>
                <w:szCs w:val="3"/>
                <w:color w:val="auto"/>
              </w:rPr>
            </w:pPr>
          </w:p>
        </w:tc>
      </w:tr>
      <w:tr>
        <w:trPr>
          <w:trHeight w:val="177"/>
        </w:trPr>
        <w:tc>
          <w:tcPr>
            <w:tcW w:w="3780" w:type="dxa"/>
            <w:vAlign w:val="bottom"/>
            <w:gridSpan w:val="16"/>
          </w:tcPr>
          <w:p>
            <w:pPr>
              <w:spacing w:after="0" w:line="178" w:lineRule="exact"/>
              <w:rPr>
                <w:sz w:val="20"/>
                <w:szCs w:val="20"/>
                <w:color w:val="auto"/>
              </w:rPr>
            </w:pPr>
            <w:r>
              <w:rPr>
                <w:rFonts w:ascii="Times New Roman" w:cs="Times New Roman" w:eastAsia="Times New Roman" w:hAnsi="Times New Roman"/>
                <w:sz w:val="16"/>
                <w:szCs w:val="16"/>
                <w:color w:val="0000EE"/>
              </w:rPr>
              <w:t>PLAN OF DISTRIBUTION</w:t>
            </w:r>
          </w:p>
        </w:tc>
        <w:tc>
          <w:tcPr>
            <w:tcW w:w="4260" w:type="dxa"/>
            <w:vAlign w:val="bottom"/>
            <w:gridSpan w:val="4"/>
          </w:tcPr>
          <w:p>
            <w:pPr>
              <w:spacing w:after="0"/>
              <w:rPr>
                <w:sz w:val="15"/>
                <w:szCs w:val="15"/>
                <w:color w:val="auto"/>
              </w:rPr>
            </w:pPr>
          </w:p>
        </w:tc>
        <w:tc>
          <w:tcPr>
            <w:tcW w:w="322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6"/>
                <w:szCs w:val="16"/>
                <w:color w:val="0000EE"/>
              </w:rPr>
              <w:t>31</w:t>
            </w:r>
          </w:p>
        </w:tc>
        <w:tc>
          <w:tcPr>
            <w:tcW w:w="20" w:type="dxa"/>
            <w:vAlign w:val="bottom"/>
          </w:tcPr>
          <w:p>
            <w:pPr>
              <w:spacing w:after="0"/>
              <w:rPr>
                <w:sz w:val="15"/>
                <w:szCs w:val="15"/>
                <w:color w:val="auto"/>
              </w:rPr>
            </w:pPr>
          </w:p>
        </w:tc>
      </w:tr>
      <w:tr>
        <w:trPr>
          <w:trHeight w:val="39"/>
        </w:trPr>
        <w:tc>
          <w:tcPr>
            <w:tcW w:w="108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77"/>
        </w:trPr>
        <w:tc>
          <w:tcPr>
            <w:tcW w:w="8040" w:type="dxa"/>
            <w:vAlign w:val="bottom"/>
            <w:gridSpan w:val="20"/>
            <w:shd w:val="clear" w:color="auto" w:fill="EEEEEE"/>
          </w:tcPr>
          <w:p>
            <w:pPr>
              <w:spacing w:after="0" w:line="178" w:lineRule="exact"/>
              <w:rPr>
                <w:sz w:val="20"/>
                <w:szCs w:val="20"/>
                <w:color w:val="auto"/>
              </w:rPr>
            </w:pPr>
            <w:r>
              <w:rPr>
                <w:rFonts w:ascii="Times New Roman" w:cs="Times New Roman" w:eastAsia="Times New Roman" w:hAnsi="Times New Roman"/>
                <w:sz w:val="16"/>
                <w:szCs w:val="16"/>
                <w:color w:val="0000EE"/>
              </w:rPr>
              <w:t>RISK FACTORS</w:t>
            </w:r>
          </w:p>
        </w:tc>
        <w:tc>
          <w:tcPr>
            <w:tcW w:w="3220" w:type="dxa"/>
            <w:vAlign w:val="bottom"/>
            <w:gridSpan w:val="3"/>
            <w:shd w:val="clear" w:color="auto" w:fill="EEEEEE"/>
          </w:tcPr>
          <w:p>
            <w:pPr>
              <w:jc w:val="right"/>
              <w:spacing w:after="0" w:line="178" w:lineRule="exact"/>
              <w:rPr>
                <w:sz w:val="20"/>
                <w:szCs w:val="20"/>
                <w:color w:val="auto"/>
              </w:rPr>
            </w:pPr>
            <w:r>
              <w:rPr>
                <w:rFonts w:ascii="Times New Roman" w:cs="Times New Roman" w:eastAsia="Times New Roman" w:hAnsi="Times New Roman"/>
                <w:sz w:val="16"/>
                <w:szCs w:val="16"/>
                <w:color w:val="0000EE"/>
              </w:rPr>
              <w:t>32</w:t>
            </w:r>
          </w:p>
        </w:tc>
        <w:tc>
          <w:tcPr>
            <w:tcW w:w="20" w:type="dxa"/>
            <w:vAlign w:val="bottom"/>
          </w:tcPr>
          <w:p>
            <w:pPr>
              <w:spacing w:after="0"/>
              <w:rPr>
                <w:sz w:val="15"/>
                <w:szCs w:val="15"/>
                <w:color w:val="auto"/>
              </w:rPr>
            </w:pPr>
          </w:p>
        </w:tc>
      </w:tr>
      <w:tr>
        <w:trPr>
          <w:trHeight w:val="39"/>
        </w:trPr>
        <w:tc>
          <w:tcPr>
            <w:tcW w:w="1080" w:type="dxa"/>
            <w:vAlign w:val="bottom"/>
            <w:tcBorders>
              <w:top w:val="single" w:sz="8" w:color="0000EE"/>
            </w:tcBorders>
            <w:shd w:val="clear" w:color="auto" w:fill="EEEEEE"/>
          </w:tcPr>
          <w:p>
            <w:pPr>
              <w:spacing w:after="0"/>
              <w:rPr>
                <w:sz w:val="3"/>
                <w:szCs w:val="3"/>
                <w:color w:val="auto"/>
              </w:rPr>
            </w:pPr>
          </w:p>
        </w:tc>
        <w:tc>
          <w:tcPr>
            <w:tcW w:w="180" w:type="dxa"/>
            <w:vAlign w:val="bottom"/>
            <w:tcBorders>
              <w:top w:val="single" w:sz="8" w:color="EEEEEE"/>
            </w:tcBorders>
            <w:shd w:val="clear" w:color="auto" w:fill="EEEEEE"/>
          </w:tcPr>
          <w:p>
            <w:pPr>
              <w:spacing w:after="0"/>
              <w:rPr>
                <w:sz w:val="3"/>
                <w:szCs w:val="3"/>
                <w:color w:val="auto"/>
              </w:rPr>
            </w:pPr>
          </w:p>
        </w:tc>
        <w:tc>
          <w:tcPr>
            <w:tcW w:w="120" w:type="dxa"/>
            <w:vAlign w:val="bottom"/>
            <w:tcBorders>
              <w:top w:val="single" w:sz="8" w:color="EEEEEE"/>
            </w:tcBorders>
            <w:shd w:val="clear" w:color="auto" w:fill="EEEEEE"/>
          </w:tcPr>
          <w:p>
            <w:pPr>
              <w:spacing w:after="0"/>
              <w:rPr>
                <w:sz w:val="3"/>
                <w:szCs w:val="3"/>
                <w:color w:val="auto"/>
              </w:rPr>
            </w:pPr>
          </w:p>
        </w:tc>
        <w:tc>
          <w:tcPr>
            <w:tcW w:w="60" w:type="dxa"/>
            <w:vAlign w:val="bottom"/>
            <w:tcBorders>
              <w:top w:val="single" w:sz="8" w:color="EEEEEE"/>
            </w:tcBorders>
            <w:shd w:val="clear" w:color="auto" w:fill="EEEEEE"/>
          </w:tcPr>
          <w:p>
            <w:pPr>
              <w:spacing w:after="0"/>
              <w:rPr>
                <w:sz w:val="3"/>
                <w:szCs w:val="3"/>
                <w:color w:val="auto"/>
              </w:rPr>
            </w:pPr>
          </w:p>
        </w:tc>
        <w:tc>
          <w:tcPr>
            <w:tcW w:w="40" w:type="dxa"/>
            <w:vAlign w:val="bottom"/>
            <w:tcBorders>
              <w:top w:val="single" w:sz="8" w:color="EEEEEE"/>
            </w:tcBorders>
            <w:shd w:val="clear" w:color="auto" w:fill="EEEEEE"/>
          </w:tcPr>
          <w:p>
            <w:pPr>
              <w:spacing w:after="0"/>
              <w:rPr>
                <w:sz w:val="3"/>
                <w:szCs w:val="3"/>
                <w:color w:val="auto"/>
              </w:rPr>
            </w:pPr>
          </w:p>
        </w:tc>
        <w:tc>
          <w:tcPr>
            <w:tcW w:w="300" w:type="dxa"/>
            <w:vAlign w:val="bottom"/>
            <w:tcBorders>
              <w:top w:val="single" w:sz="8" w:color="EEEEEE"/>
            </w:tcBorders>
            <w:shd w:val="clear" w:color="auto" w:fill="EEEEEE"/>
          </w:tcPr>
          <w:p>
            <w:pPr>
              <w:spacing w:after="0"/>
              <w:rPr>
                <w:sz w:val="3"/>
                <w:szCs w:val="3"/>
                <w:color w:val="auto"/>
              </w:rPr>
            </w:pPr>
          </w:p>
        </w:tc>
        <w:tc>
          <w:tcPr>
            <w:tcW w:w="60" w:type="dxa"/>
            <w:vAlign w:val="bottom"/>
            <w:tcBorders>
              <w:top w:val="single" w:sz="8" w:color="EEEEEE"/>
            </w:tcBorders>
            <w:shd w:val="clear" w:color="auto" w:fill="EEEEEE"/>
          </w:tcPr>
          <w:p>
            <w:pPr>
              <w:spacing w:after="0"/>
              <w:rPr>
                <w:sz w:val="3"/>
                <w:szCs w:val="3"/>
                <w:color w:val="auto"/>
              </w:rPr>
            </w:pPr>
          </w:p>
        </w:tc>
        <w:tc>
          <w:tcPr>
            <w:tcW w:w="20" w:type="dxa"/>
            <w:vAlign w:val="bottom"/>
            <w:tcBorders>
              <w:top w:val="single" w:sz="8" w:color="EEEEEE"/>
            </w:tcBorders>
            <w:shd w:val="clear" w:color="auto" w:fill="EEEEEE"/>
          </w:tcPr>
          <w:p>
            <w:pPr>
              <w:spacing w:after="0"/>
              <w:rPr>
                <w:sz w:val="3"/>
                <w:szCs w:val="3"/>
                <w:color w:val="auto"/>
              </w:rPr>
            </w:pPr>
          </w:p>
        </w:tc>
        <w:tc>
          <w:tcPr>
            <w:tcW w:w="40" w:type="dxa"/>
            <w:vAlign w:val="bottom"/>
            <w:tcBorders>
              <w:top w:val="single" w:sz="8" w:color="EEEEEE"/>
            </w:tcBorders>
            <w:shd w:val="clear" w:color="auto" w:fill="EEEEEE"/>
          </w:tcPr>
          <w:p>
            <w:pPr>
              <w:spacing w:after="0"/>
              <w:rPr>
                <w:sz w:val="3"/>
                <w:szCs w:val="3"/>
                <w:color w:val="auto"/>
              </w:rPr>
            </w:pPr>
          </w:p>
        </w:tc>
        <w:tc>
          <w:tcPr>
            <w:tcW w:w="280" w:type="dxa"/>
            <w:vAlign w:val="bottom"/>
            <w:tcBorders>
              <w:top w:val="single" w:sz="8" w:color="EEEEEE"/>
            </w:tcBorders>
            <w:shd w:val="clear" w:color="auto" w:fill="EEEEEE"/>
          </w:tcPr>
          <w:p>
            <w:pPr>
              <w:spacing w:after="0"/>
              <w:rPr>
                <w:sz w:val="3"/>
                <w:szCs w:val="3"/>
                <w:color w:val="auto"/>
              </w:rPr>
            </w:pPr>
          </w:p>
        </w:tc>
        <w:tc>
          <w:tcPr>
            <w:tcW w:w="140" w:type="dxa"/>
            <w:vAlign w:val="bottom"/>
            <w:tcBorders>
              <w:top w:val="single" w:sz="8" w:color="EEEEEE"/>
            </w:tcBorders>
            <w:shd w:val="clear" w:color="auto" w:fill="EEEEEE"/>
          </w:tcPr>
          <w:p>
            <w:pPr>
              <w:spacing w:after="0"/>
              <w:rPr>
                <w:sz w:val="3"/>
                <w:szCs w:val="3"/>
                <w:color w:val="auto"/>
              </w:rPr>
            </w:pPr>
          </w:p>
        </w:tc>
        <w:tc>
          <w:tcPr>
            <w:tcW w:w="180" w:type="dxa"/>
            <w:vAlign w:val="bottom"/>
            <w:tcBorders>
              <w:top w:val="single" w:sz="8" w:color="EEEEEE"/>
            </w:tcBorders>
            <w:shd w:val="clear" w:color="auto" w:fill="EEEEEE"/>
          </w:tcPr>
          <w:p>
            <w:pPr>
              <w:spacing w:after="0"/>
              <w:rPr>
                <w:sz w:val="3"/>
                <w:szCs w:val="3"/>
                <w:color w:val="auto"/>
              </w:rPr>
            </w:pPr>
          </w:p>
        </w:tc>
        <w:tc>
          <w:tcPr>
            <w:tcW w:w="240" w:type="dxa"/>
            <w:vAlign w:val="bottom"/>
            <w:tcBorders>
              <w:top w:val="single" w:sz="8" w:color="EEEEEE"/>
            </w:tcBorders>
            <w:shd w:val="clear" w:color="auto" w:fill="EEEEEE"/>
          </w:tcPr>
          <w:p>
            <w:pPr>
              <w:spacing w:after="0"/>
              <w:rPr>
                <w:sz w:val="3"/>
                <w:szCs w:val="3"/>
                <w:color w:val="auto"/>
              </w:rPr>
            </w:pPr>
          </w:p>
        </w:tc>
        <w:tc>
          <w:tcPr>
            <w:tcW w:w="680" w:type="dxa"/>
            <w:vAlign w:val="bottom"/>
            <w:tcBorders>
              <w:top w:val="single" w:sz="8" w:color="EEEEEE"/>
            </w:tcBorders>
            <w:shd w:val="clear" w:color="auto" w:fill="EEEEEE"/>
          </w:tcPr>
          <w:p>
            <w:pPr>
              <w:spacing w:after="0"/>
              <w:rPr>
                <w:sz w:val="3"/>
                <w:szCs w:val="3"/>
                <w:color w:val="auto"/>
              </w:rPr>
            </w:pPr>
          </w:p>
        </w:tc>
        <w:tc>
          <w:tcPr>
            <w:tcW w:w="120" w:type="dxa"/>
            <w:vAlign w:val="bottom"/>
            <w:tcBorders>
              <w:top w:val="single" w:sz="8" w:color="EEEEEE"/>
            </w:tcBorders>
            <w:shd w:val="clear" w:color="auto" w:fill="EEEEEE"/>
          </w:tcPr>
          <w:p>
            <w:pPr>
              <w:spacing w:after="0"/>
              <w:rPr>
                <w:sz w:val="3"/>
                <w:szCs w:val="3"/>
                <w:color w:val="auto"/>
              </w:rPr>
            </w:pPr>
          </w:p>
        </w:tc>
        <w:tc>
          <w:tcPr>
            <w:tcW w:w="240" w:type="dxa"/>
            <w:vAlign w:val="bottom"/>
            <w:tcBorders>
              <w:top w:val="single" w:sz="8" w:color="EEEEEE"/>
            </w:tcBorders>
            <w:shd w:val="clear" w:color="auto" w:fill="EEEEEE"/>
          </w:tcPr>
          <w:p>
            <w:pPr>
              <w:spacing w:after="0"/>
              <w:rPr>
                <w:sz w:val="3"/>
                <w:szCs w:val="3"/>
                <w:color w:val="auto"/>
              </w:rPr>
            </w:pPr>
          </w:p>
        </w:tc>
        <w:tc>
          <w:tcPr>
            <w:tcW w:w="20" w:type="dxa"/>
            <w:vAlign w:val="bottom"/>
            <w:tcBorders>
              <w:top w:val="single" w:sz="8" w:color="EEEEEE"/>
            </w:tcBorders>
            <w:shd w:val="clear" w:color="auto" w:fill="EEEEEE"/>
          </w:tcPr>
          <w:p>
            <w:pPr>
              <w:spacing w:after="0"/>
              <w:rPr>
                <w:sz w:val="3"/>
                <w:szCs w:val="3"/>
                <w:color w:val="auto"/>
              </w:rPr>
            </w:pPr>
          </w:p>
        </w:tc>
        <w:tc>
          <w:tcPr>
            <w:tcW w:w="1020" w:type="dxa"/>
            <w:vAlign w:val="bottom"/>
            <w:tcBorders>
              <w:top w:val="single" w:sz="8" w:color="EEEEEE"/>
            </w:tcBorders>
            <w:shd w:val="clear" w:color="auto" w:fill="EEEEEE"/>
          </w:tcPr>
          <w:p>
            <w:pPr>
              <w:spacing w:after="0"/>
              <w:rPr>
                <w:sz w:val="3"/>
                <w:szCs w:val="3"/>
                <w:color w:val="auto"/>
              </w:rPr>
            </w:pPr>
          </w:p>
        </w:tc>
        <w:tc>
          <w:tcPr>
            <w:tcW w:w="340" w:type="dxa"/>
            <w:vAlign w:val="bottom"/>
            <w:tcBorders>
              <w:top w:val="single" w:sz="8" w:color="EEEEEE"/>
            </w:tcBorders>
            <w:shd w:val="clear" w:color="auto" w:fill="EEEEEE"/>
          </w:tcPr>
          <w:p>
            <w:pPr>
              <w:spacing w:after="0"/>
              <w:rPr>
                <w:sz w:val="3"/>
                <w:szCs w:val="3"/>
                <w:color w:val="auto"/>
              </w:rPr>
            </w:pPr>
          </w:p>
        </w:tc>
        <w:tc>
          <w:tcPr>
            <w:tcW w:w="2880" w:type="dxa"/>
            <w:vAlign w:val="bottom"/>
            <w:tcBorders>
              <w:top w:val="single" w:sz="8" w:color="EEEEEE"/>
            </w:tcBorders>
            <w:shd w:val="clear" w:color="auto" w:fill="EEEEEE"/>
          </w:tcPr>
          <w:p>
            <w:pPr>
              <w:spacing w:after="0"/>
              <w:rPr>
                <w:sz w:val="3"/>
                <w:szCs w:val="3"/>
                <w:color w:val="auto"/>
              </w:rPr>
            </w:pPr>
          </w:p>
        </w:tc>
        <w:tc>
          <w:tcPr>
            <w:tcW w:w="306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0000EE"/>
            </w:tcBorders>
            <w:shd w:val="clear" w:color="auto" w:fill="EEEEEE"/>
          </w:tcPr>
          <w:p>
            <w:pPr>
              <w:spacing w:after="0"/>
              <w:rPr>
                <w:sz w:val="3"/>
                <w:szCs w:val="3"/>
                <w:color w:val="auto"/>
              </w:rPr>
            </w:pPr>
          </w:p>
        </w:tc>
        <w:tc>
          <w:tcPr>
            <w:tcW w:w="80" w:type="dxa"/>
            <w:vAlign w:val="bottom"/>
            <w:tcBorders>
              <w:top w:val="single" w:sz="8" w:color="0000EE"/>
            </w:tcBorders>
            <w:shd w:val="clear" w:color="auto" w:fill="EEEEEE"/>
          </w:tcPr>
          <w:p>
            <w:pPr>
              <w:spacing w:after="0"/>
              <w:rPr>
                <w:sz w:val="3"/>
                <w:szCs w:val="3"/>
                <w:color w:val="auto"/>
              </w:rPr>
            </w:pPr>
          </w:p>
        </w:tc>
        <w:tc>
          <w:tcPr>
            <w:tcW w:w="20" w:type="dxa"/>
            <w:vAlign w:val="bottom"/>
          </w:tcPr>
          <w:p>
            <w:pPr>
              <w:spacing w:after="0"/>
              <w:rPr>
                <w:sz w:val="3"/>
                <w:szCs w:val="3"/>
                <w:color w:val="auto"/>
              </w:rPr>
            </w:pPr>
          </w:p>
        </w:tc>
      </w:tr>
      <w:tr>
        <w:trPr>
          <w:trHeight w:val="177"/>
        </w:trPr>
        <w:tc>
          <w:tcPr>
            <w:tcW w:w="8040" w:type="dxa"/>
            <w:vAlign w:val="bottom"/>
            <w:gridSpan w:val="20"/>
          </w:tcPr>
          <w:p>
            <w:pPr>
              <w:spacing w:after="0" w:line="178" w:lineRule="exact"/>
              <w:rPr>
                <w:sz w:val="20"/>
                <w:szCs w:val="20"/>
                <w:color w:val="auto"/>
              </w:rPr>
            </w:pPr>
            <w:r>
              <w:rPr>
                <w:rFonts w:ascii="Times New Roman" w:cs="Times New Roman" w:eastAsia="Times New Roman" w:hAnsi="Times New Roman"/>
                <w:sz w:val="16"/>
                <w:szCs w:val="16"/>
                <w:color w:val="0000EE"/>
              </w:rPr>
              <w:t>CERTAIN FEDERAL INCOME TAX CONSIDERATIONS</w:t>
            </w:r>
          </w:p>
        </w:tc>
        <w:tc>
          <w:tcPr>
            <w:tcW w:w="322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6"/>
                <w:szCs w:val="16"/>
                <w:color w:val="0000EE"/>
              </w:rPr>
              <w:t>37</w:t>
            </w:r>
          </w:p>
        </w:tc>
        <w:tc>
          <w:tcPr>
            <w:tcW w:w="20" w:type="dxa"/>
            <w:vAlign w:val="bottom"/>
          </w:tcPr>
          <w:p>
            <w:pPr>
              <w:spacing w:after="0"/>
              <w:rPr>
                <w:sz w:val="15"/>
                <w:szCs w:val="15"/>
                <w:color w:val="auto"/>
              </w:rPr>
            </w:pPr>
          </w:p>
        </w:tc>
      </w:tr>
      <w:tr>
        <w:trPr>
          <w:trHeight w:val="39"/>
        </w:trPr>
        <w:tc>
          <w:tcPr>
            <w:tcW w:w="108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30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r>
      <w:tr>
        <w:trPr>
          <w:trHeight w:val="177"/>
        </w:trPr>
        <w:tc>
          <w:tcPr>
            <w:tcW w:w="8040" w:type="dxa"/>
            <w:vAlign w:val="bottom"/>
            <w:gridSpan w:val="20"/>
            <w:shd w:val="clear" w:color="auto" w:fill="EEEEEE"/>
          </w:tcPr>
          <w:p>
            <w:pPr>
              <w:spacing w:after="0" w:line="178" w:lineRule="exact"/>
              <w:rPr>
                <w:sz w:val="20"/>
                <w:szCs w:val="20"/>
                <w:color w:val="auto"/>
              </w:rPr>
            </w:pPr>
            <w:r>
              <w:rPr>
                <w:rFonts w:ascii="Times New Roman" w:cs="Times New Roman" w:eastAsia="Times New Roman" w:hAnsi="Times New Roman"/>
                <w:sz w:val="16"/>
                <w:szCs w:val="16"/>
                <w:color w:val="0000EE"/>
              </w:rPr>
              <w:t>LEGAL MATTERS</w:t>
            </w:r>
          </w:p>
        </w:tc>
        <w:tc>
          <w:tcPr>
            <w:tcW w:w="3220" w:type="dxa"/>
            <w:vAlign w:val="bottom"/>
            <w:gridSpan w:val="3"/>
            <w:shd w:val="clear" w:color="auto" w:fill="EEEEEE"/>
          </w:tcPr>
          <w:p>
            <w:pPr>
              <w:jc w:val="right"/>
              <w:spacing w:after="0" w:line="178" w:lineRule="exact"/>
              <w:rPr>
                <w:sz w:val="20"/>
                <w:szCs w:val="20"/>
                <w:color w:val="auto"/>
              </w:rPr>
            </w:pPr>
            <w:r>
              <w:rPr>
                <w:rFonts w:ascii="Times New Roman" w:cs="Times New Roman" w:eastAsia="Times New Roman" w:hAnsi="Times New Roman"/>
                <w:sz w:val="16"/>
                <w:szCs w:val="16"/>
                <w:color w:val="0000EE"/>
              </w:rPr>
              <w:t>37</w:t>
            </w:r>
          </w:p>
        </w:tc>
        <w:tc>
          <w:tcPr>
            <w:tcW w:w="20" w:type="dxa"/>
            <w:vAlign w:val="bottom"/>
          </w:tcPr>
          <w:p>
            <w:pPr>
              <w:spacing w:after="0"/>
              <w:rPr>
                <w:sz w:val="15"/>
                <w:szCs w:val="15"/>
                <w:color w:val="auto"/>
              </w:rPr>
            </w:pPr>
          </w:p>
        </w:tc>
      </w:tr>
      <w:tr>
        <w:trPr>
          <w:trHeight w:val="39"/>
        </w:trPr>
        <w:tc>
          <w:tcPr>
            <w:tcW w:w="1080" w:type="dxa"/>
            <w:vAlign w:val="bottom"/>
            <w:tcBorders>
              <w:top w:val="single" w:sz="8" w:color="0000EE"/>
            </w:tcBorders>
            <w:shd w:val="clear" w:color="auto" w:fill="EEEEEE"/>
          </w:tcPr>
          <w:p>
            <w:pPr>
              <w:spacing w:after="0"/>
              <w:rPr>
                <w:sz w:val="3"/>
                <w:szCs w:val="3"/>
                <w:color w:val="auto"/>
              </w:rPr>
            </w:pPr>
          </w:p>
        </w:tc>
        <w:tc>
          <w:tcPr>
            <w:tcW w:w="180" w:type="dxa"/>
            <w:vAlign w:val="bottom"/>
            <w:tcBorders>
              <w:top w:val="single" w:sz="8" w:color="0000EE"/>
            </w:tcBorders>
            <w:shd w:val="clear" w:color="auto" w:fill="EEEEEE"/>
          </w:tcPr>
          <w:p>
            <w:pPr>
              <w:spacing w:after="0"/>
              <w:rPr>
                <w:sz w:val="3"/>
                <w:szCs w:val="3"/>
                <w:color w:val="auto"/>
              </w:rPr>
            </w:pPr>
          </w:p>
        </w:tc>
        <w:tc>
          <w:tcPr>
            <w:tcW w:w="120" w:type="dxa"/>
            <w:vAlign w:val="bottom"/>
            <w:tcBorders>
              <w:top w:val="single" w:sz="8" w:color="EEEEEE"/>
            </w:tcBorders>
            <w:shd w:val="clear" w:color="auto" w:fill="EEEEEE"/>
          </w:tcPr>
          <w:p>
            <w:pPr>
              <w:spacing w:after="0"/>
              <w:rPr>
                <w:sz w:val="3"/>
                <w:szCs w:val="3"/>
                <w:color w:val="auto"/>
              </w:rPr>
            </w:pPr>
          </w:p>
        </w:tc>
        <w:tc>
          <w:tcPr>
            <w:tcW w:w="60" w:type="dxa"/>
            <w:vAlign w:val="bottom"/>
            <w:tcBorders>
              <w:top w:val="single" w:sz="8" w:color="EEEEEE"/>
            </w:tcBorders>
            <w:shd w:val="clear" w:color="auto" w:fill="EEEEEE"/>
          </w:tcPr>
          <w:p>
            <w:pPr>
              <w:spacing w:after="0"/>
              <w:rPr>
                <w:sz w:val="3"/>
                <w:szCs w:val="3"/>
                <w:color w:val="auto"/>
              </w:rPr>
            </w:pPr>
          </w:p>
        </w:tc>
        <w:tc>
          <w:tcPr>
            <w:tcW w:w="40" w:type="dxa"/>
            <w:vAlign w:val="bottom"/>
            <w:tcBorders>
              <w:top w:val="single" w:sz="8" w:color="EEEEEE"/>
            </w:tcBorders>
            <w:shd w:val="clear" w:color="auto" w:fill="EEEEEE"/>
          </w:tcPr>
          <w:p>
            <w:pPr>
              <w:spacing w:after="0"/>
              <w:rPr>
                <w:sz w:val="3"/>
                <w:szCs w:val="3"/>
                <w:color w:val="auto"/>
              </w:rPr>
            </w:pPr>
          </w:p>
        </w:tc>
        <w:tc>
          <w:tcPr>
            <w:tcW w:w="300" w:type="dxa"/>
            <w:vAlign w:val="bottom"/>
            <w:tcBorders>
              <w:top w:val="single" w:sz="8" w:color="EEEEEE"/>
            </w:tcBorders>
            <w:shd w:val="clear" w:color="auto" w:fill="EEEEEE"/>
          </w:tcPr>
          <w:p>
            <w:pPr>
              <w:spacing w:after="0"/>
              <w:rPr>
                <w:sz w:val="3"/>
                <w:szCs w:val="3"/>
                <w:color w:val="auto"/>
              </w:rPr>
            </w:pPr>
          </w:p>
        </w:tc>
        <w:tc>
          <w:tcPr>
            <w:tcW w:w="60" w:type="dxa"/>
            <w:vAlign w:val="bottom"/>
            <w:tcBorders>
              <w:top w:val="single" w:sz="8" w:color="EEEEEE"/>
            </w:tcBorders>
            <w:shd w:val="clear" w:color="auto" w:fill="EEEEEE"/>
          </w:tcPr>
          <w:p>
            <w:pPr>
              <w:spacing w:after="0"/>
              <w:rPr>
                <w:sz w:val="3"/>
                <w:szCs w:val="3"/>
                <w:color w:val="auto"/>
              </w:rPr>
            </w:pPr>
          </w:p>
        </w:tc>
        <w:tc>
          <w:tcPr>
            <w:tcW w:w="20" w:type="dxa"/>
            <w:vAlign w:val="bottom"/>
            <w:tcBorders>
              <w:top w:val="single" w:sz="8" w:color="EEEEEE"/>
            </w:tcBorders>
            <w:shd w:val="clear" w:color="auto" w:fill="EEEEEE"/>
          </w:tcPr>
          <w:p>
            <w:pPr>
              <w:spacing w:after="0"/>
              <w:rPr>
                <w:sz w:val="3"/>
                <w:szCs w:val="3"/>
                <w:color w:val="auto"/>
              </w:rPr>
            </w:pPr>
          </w:p>
        </w:tc>
        <w:tc>
          <w:tcPr>
            <w:tcW w:w="40" w:type="dxa"/>
            <w:vAlign w:val="bottom"/>
            <w:tcBorders>
              <w:top w:val="single" w:sz="8" w:color="EEEEEE"/>
            </w:tcBorders>
            <w:shd w:val="clear" w:color="auto" w:fill="EEEEEE"/>
          </w:tcPr>
          <w:p>
            <w:pPr>
              <w:spacing w:after="0"/>
              <w:rPr>
                <w:sz w:val="3"/>
                <w:szCs w:val="3"/>
                <w:color w:val="auto"/>
              </w:rPr>
            </w:pPr>
          </w:p>
        </w:tc>
        <w:tc>
          <w:tcPr>
            <w:tcW w:w="280" w:type="dxa"/>
            <w:vAlign w:val="bottom"/>
            <w:tcBorders>
              <w:top w:val="single" w:sz="8" w:color="EEEEEE"/>
            </w:tcBorders>
            <w:shd w:val="clear" w:color="auto" w:fill="EEEEEE"/>
          </w:tcPr>
          <w:p>
            <w:pPr>
              <w:spacing w:after="0"/>
              <w:rPr>
                <w:sz w:val="3"/>
                <w:szCs w:val="3"/>
                <w:color w:val="auto"/>
              </w:rPr>
            </w:pPr>
          </w:p>
        </w:tc>
        <w:tc>
          <w:tcPr>
            <w:tcW w:w="140" w:type="dxa"/>
            <w:vAlign w:val="bottom"/>
            <w:tcBorders>
              <w:top w:val="single" w:sz="8" w:color="EEEEEE"/>
            </w:tcBorders>
            <w:shd w:val="clear" w:color="auto" w:fill="EEEEEE"/>
          </w:tcPr>
          <w:p>
            <w:pPr>
              <w:spacing w:after="0"/>
              <w:rPr>
                <w:sz w:val="3"/>
                <w:szCs w:val="3"/>
                <w:color w:val="auto"/>
              </w:rPr>
            </w:pPr>
          </w:p>
        </w:tc>
        <w:tc>
          <w:tcPr>
            <w:tcW w:w="180" w:type="dxa"/>
            <w:vAlign w:val="bottom"/>
            <w:tcBorders>
              <w:top w:val="single" w:sz="8" w:color="EEEEEE"/>
            </w:tcBorders>
            <w:shd w:val="clear" w:color="auto" w:fill="EEEEEE"/>
          </w:tcPr>
          <w:p>
            <w:pPr>
              <w:spacing w:after="0"/>
              <w:rPr>
                <w:sz w:val="3"/>
                <w:szCs w:val="3"/>
                <w:color w:val="auto"/>
              </w:rPr>
            </w:pPr>
          </w:p>
        </w:tc>
        <w:tc>
          <w:tcPr>
            <w:tcW w:w="240" w:type="dxa"/>
            <w:vAlign w:val="bottom"/>
            <w:tcBorders>
              <w:top w:val="single" w:sz="8" w:color="EEEEEE"/>
            </w:tcBorders>
            <w:shd w:val="clear" w:color="auto" w:fill="EEEEEE"/>
          </w:tcPr>
          <w:p>
            <w:pPr>
              <w:spacing w:after="0"/>
              <w:rPr>
                <w:sz w:val="3"/>
                <w:szCs w:val="3"/>
                <w:color w:val="auto"/>
              </w:rPr>
            </w:pPr>
          </w:p>
        </w:tc>
        <w:tc>
          <w:tcPr>
            <w:tcW w:w="680" w:type="dxa"/>
            <w:vAlign w:val="bottom"/>
            <w:tcBorders>
              <w:top w:val="single" w:sz="8" w:color="EEEEEE"/>
            </w:tcBorders>
            <w:shd w:val="clear" w:color="auto" w:fill="EEEEEE"/>
          </w:tcPr>
          <w:p>
            <w:pPr>
              <w:spacing w:after="0"/>
              <w:rPr>
                <w:sz w:val="3"/>
                <w:szCs w:val="3"/>
                <w:color w:val="auto"/>
              </w:rPr>
            </w:pPr>
          </w:p>
        </w:tc>
        <w:tc>
          <w:tcPr>
            <w:tcW w:w="120" w:type="dxa"/>
            <w:vAlign w:val="bottom"/>
            <w:tcBorders>
              <w:top w:val="single" w:sz="8" w:color="EEEEEE"/>
            </w:tcBorders>
            <w:shd w:val="clear" w:color="auto" w:fill="EEEEEE"/>
          </w:tcPr>
          <w:p>
            <w:pPr>
              <w:spacing w:after="0"/>
              <w:rPr>
                <w:sz w:val="3"/>
                <w:szCs w:val="3"/>
                <w:color w:val="auto"/>
              </w:rPr>
            </w:pPr>
          </w:p>
        </w:tc>
        <w:tc>
          <w:tcPr>
            <w:tcW w:w="240" w:type="dxa"/>
            <w:vAlign w:val="bottom"/>
            <w:tcBorders>
              <w:top w:val="single" w:sz="8" w:color="EEEEEE"/>
            </w:tcBorders>
            <w:shd w:val="clear" w:color="auto" w:fill="EEEEEE"/>
          </w:tcPr>
          <w:p>
            <w:pPr>
              <w:spacing w:after="0"/>
              <w:rPr>
                <w:sz w:val="3"/>
                <w:szCs w:val="3"/>
                <w:color w:val="auto"/>
              </w:rPr>
            </w:pPr>
          </w:p>
        </w:tc>
        <w:tc>
          <w:tcPr>
            <w:tcW w:w="20" w:type="dxa"/>
            <w:vAlign w:val="bottom"/>
            <w:tcBorders>
              <w:top w:val="single" w:sz="8" w:color="EEEEEE"/>
            </w:tcBorders>
            <w:shd w:val="clear" w:color="auto" w:fill="EEEEEE"/>
          </w:tcPr>
          <w:p>
            <w:pPr>
              <w:spacing w:after="0"/>
              <w:rPr>
                <w:sz w:val="3"/>
                <w:szCs w:val="3"/>
                <w:color w:val="auto"/>
              </w:rPr>
            </w:pPr>
          </w:p>
        </w:tc>
        <w:tc>
          <w:tcPr>
            <w:tcW w:w="1020" w:type="dxa"/>
            <w:vAlign w:val="bottom"/>
            <w:tcBorders>
              <w:top w:val="single" w:sz="8" w:color="EEEEEE"/>
            </w:tcBorders>
            <w:shd w:val="clear" w:color="auto" w:fill="EEEEEE"/>
          </w:tcPr>
          <w:p>
            <w:pPr>
              <w:spacing w:after="0"/>
              <w:rPr>
                <w:sz w:val="3"/>
                <w:szCs w:val="3"/>
                <w:color w:val="auto"/>
              </w:rPr>
            </w:pPr>
          </w:p>
        </w:tc>
        <w:tc>
          <w:tcPr>
            <w:tcW w:w="340" w:type="dxa"/>
            <w:vAlign w:val="bottom"/>
            <w:tcBorders>
              <w:top w:val="single" w:sz="8" w:color="EEEEEE"/>
            </w:tcBorders>
            <w:shd w:val="clear" w:color="auto" w:fill="EEEEEE"/>
          </w:tcPr>
          <w:p>
            <w:pPr>
              <w:spacing w:after="0"/>
              <w:rPr>
                <w:sz w:val="3"/>
                <w:szCs w:val="3"/>
                <w:color w:val="auto"/>
              </w:rPr>
            </w:pPr>
          </w:p>
        </w:tc>
        <w:tc>
          <w:tcPr>
            <w:tcW w:w="2880" w:type="dxa"/>
            <w:vAlign w:val="bottom"/>
            <w:tcBorders>
              <w:top w:val="single" w:sz="8" w:color="EEEEEE"/>
            </w:tcBorders>
            <w:shd w:val="clear" w:color="auto" w:fill="EEEEEE"/>
          </w:tcPr>
          <w:p>
            <w:pPr>
              <w:spacing w:after="0"/>
              <w:rPr>
                <w:sz w:val="3"/>
                <w:szCs w:val="3"/>
                <w:color w:val="auto"/>
              </w:rPr>
            </w:pPr>
          </w:p>
        </w:tc>
        <w:tc>
          <w:tcPr>
            <w:tcW w:w="3060" w:type="dxa"/>
            <w:vAlign w:val="bottom"/>
            <w:tcBorders>
              <w:top w:val="single" w:sz="8" w:color="EEEEEE"/>
            </w:tcBorders>
            <w:shd w:val="clear" w:color="auto" w:fill="EEEEEE"/>
          </w:tcPr>
          <w:p>
            <w:pPr>
              <w:spacing w:after="0"/>
              <w:rPr>
                <w:sz w:val="3"/>
                <w:szCs w:val="3"/>
                <w:color w:val="auto"/>
              </w:rPr>
            </w:pPr>
          </w:p>
        </w:tc>
        <w:tc>
          <w:tcPr>
            <w:tcW w:w="80" w:type="dxa"/>
            <w:vAlign w:val="bottom"/>
            <w:tcBorders>
              <w:top w:val="single" w:sz="8" w:color="0000EE"/>
            </w:tcBorders>
            <w:shd w:val="clear" w:color="auto" w:fill="EEEEEE"/>
          </w:tcPr>
          <w:p>
            <w:pPr>
              <w:spacing w:after="0"/>
              <w:rPr>
                <w:sz w:val="3"/>
                <w:szCs w:val="3"/>
                <w:color w:val="auto"/>
              </w:rPr>
            </w:pPr>
          </w:p>
        </w:tc>
        <w:tc>
          <w:tcPr>
            <w:tcW w:w="80" w:type="dxa"/>
            <w:vAlign w:val="bottom"/>
            <w:tcBorders>
              <w:top w:val="single" w:sz="8" w:color="0000EE"/>
            </w:tcBorders>
            <w:shd w:val="clear" w:color="auto" w:fill="EEEEEE"/>
          </w:tcPr>
          <w:p>
            <w:pPr>
              <w:spacing w:after="0"/>
              <w:rPr>
                <w:sz w:val="3"/>
                <w:szCs w:val="3"/>
                <w:color w:val="auto"/>
              </w:rPr>
            </w:pPr>
          </w:p>
        </w:tc>
        <w:tc>
          <w:tcPr>
            <w:tcW w:w="20" w:type="dxa"/>
            <w:vAlign w:val="bottom"/>
          </w:tcPr>
          <w:p>
            <w:pPr>
              <w:spacing w:after="0"/>
              <w:rPr>
                <w:sz w:val="3"/>
                <w:szCs w:val="3"/>
                <w:color w:val="auto"/>
              </w:rPr>
            </w:pPr>
          </w:p>
        </w:tc>
      </w:tr>
      <w:tr>
        <w:trPr>
          <w:trHeight w:val="177"/>
        </w:trPr>
        <w:tc>
          <w:tcPr>
            <w:tcW w:w="8040" w:type="dxa"/>
            <w:vAlign w:val="bottom"/>
            <w:gridSpan w:val="20"/>
          </w:tcPr>
          <w:p>
            <w:pPr>
              <w:spacing w:after="0" w:line="178" w:lineRule="exact"/>
              <w:rPr>
                <w:sz w:val="20"/>
                <w:szCs w:val="20"/>
                <w:color w:val="auto"/>
              </w:rPr>
            </w:pPr>
            <w:r>
              <w:rPr>
                <w:rFonts w:ascii="Times New Roman" w:cs="Times New Roman" w:eastAsia="Times New Roman" w:hAnsi="Times New Roman"/>
                <w:sz w:val="16"/>
                <w:szCs w:val="16"/>
                <w:color w:val="0000EE"/>
              </w:rPr>
              <w:t>AUDITORS, TRANSFER AGENT AND REGISTRAR</w:t>
            </w:r>
          </w:p>
        </w:tc>
        <w:tc>
          <w:tcPr>
            <w:tcW w:w="3220" w:type="dxa"/>
            <w:vAlign w:val="bottom"/>
            <w:gridSpan w:val="3"/>
          </w:tcPr>
          <w:p>
            <w:pPr>
              <w:jc w:val="right"/>
              <w:spacing w:after="0" w:line="178" w:lineRule="exact"/>
              <w:rPr>
                <w:sz w:val="20"/>
                <w:szCs w:val="20"/>
                <w:color w:val="auto"/>
              </w:rPr>
            </w:pPr>
            <w:r>
              <w:rPr>
                <w:rFonts w:ascii="Times New Roman" w:cs="Times New Roman" w:eastAsia="Times New Roman" w:hAnsi="Times New Roman"/>
                <w:sz w:val="16"/>
                <w:szCs w:val="16"/>
                <w:color w:val="0000EE"/>
              </w:rPr>
              <w:t>37</w:t>
            </w:r>
          </w:p>
        </w:tc>
        <w:tc>
          <w:tcPr>
            <w:tcW w:w="20" w:type="dxa"/>
            <w:vAlign w:val="bottom"/>
          </w:tcPr>
          <w:p>
            <w:pPr>
              <w:spacing w:after="0"/>
              <w:rPr>
                <w:sz w:val="15"/>
                <w:szCs w:val="15"/>
                <w:color w:val="auto"/>
              </w:rPr>
            </w:pPr>
          </w:p>
        </w:tc>
      </w:tr>
      <w:tr>
        <w:trPr>
          <w:trHeight w:val="343"/>
        </w:trPr>
        <w:tc>
          <w:tcPr>
            <w:tcW w:w="10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67"/>
        </w:trPr>
        <w:tc>
          <w:tcPr>
            <w:tcW w:w="10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2880" w:type="dxa"/>
            <w:vAlign w:val="bottom"/>
            <w:shd w:val="clear" w:color="auto" w:fill="000000"/>
          </w:tcPr>
          <w:p>
            <w:pPr>
              <w:spacing w:after="0"/>
              <w:rPr>
                <w:sz w:val="5"/>
                <w:szCs w:val="5"/>
                <w:color w:val="auto"/>
              </w:rPr>
            </w:pPr>
          </w:p>
        </w:tc>
        <w:tc>
          <w:tcPr>
            <w:tcW w:w="30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280"/>
          </w:cols>
          <w:pgMar w:left="320" w:top="112" w:right="2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9"/>
          <w:szCs w:val="19"/>
          <w:b w:val="1"/>
          <w:bCs w:val="1"/>
          <w:color w:val="auto"/>
        </w:rPr>
        <w:t>GENERAL MATTERS</w:t>
      </w:r>
    </w:p>
    <w:p>
      <w:pPr>
        <w:spacing w:after="0" w:line="15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Times New Roman" w:cs="Times New Roman" w:eastAsia="Times New Roman" w:hAnsi="Times New Roman"/>
          <w:sz w:val="19"/>
          <w:szCs w:val="19"/>
          <w:b w:val="1"/>
          <w:bCs w:val="1"/>
          <w:color w:val="auto"/>
        </w:rPr>
        <w:t>Information contained on the</w:t>
      </w:r>
    </w:p>
    <w:p>
      <w:pPr>
        <w:spacing w:after="0" w:line="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b w:val="1"/>
          <w:bCs w:val="1"/>
          <w:color w:val="auto"/>
        </w:rPr>
        <w:t xml:space="preserve">Corporation's website shall 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 </w:t>
      </w:r>
      <w:r>
        <w:rPr>
          <w:rFonts w:ascii="Times New Roman" w:cs="Times New Roman" w:eastAsia="Times New Roman" w:hAnsi="Times New Roman"/>
          <w:sz w:val="19"/>
          <w:szCs w:val="19"/>
          <w:color w:val="auto"/>
        </w:rPr>
        <w:t>The Corporation is not making an offer of these Securities in any jurisdiction where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offer is not permitted. Investors should not assume 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spacing w:after="0" w:line="13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 xml:space="preserve">The information contained on </w:t>
      </w:r>
      <w:r>
        <w:rPr>
          <w:rFonts w:ascii="Times New Roman" w:cs="Times New Roman" w:eastAsia="Times New Roman" w:hAnsi="Times New Roman"/>
          <w:sz w:val="19"/>
          <w:szCs w:val="19"/>
          <w:u w:val="single" w:color="auto"/>
          <w:color w:val="auto"/>
        </w:rPr>
        <w:t>www.cybin.com</w:t>
      </w:r>
      <w:r>
        <w:rPr>
          <w:rFonts w:ascii="Times New Roman" w:cs="Times New Roman" w:eastAsia="Times New Roman" w:hAnsi="Times New Roman"/>
          <w:sz w:val="19"/>
          <w:szCs w:val="19"/>
          <w:color w:val="auto"/>
        </w:rPr>
        <w:t xml:space="preserve"> is not intended to be included in or incorporated by reference herein, and prospective purchasers should not rely on such information when deciding whether or not to invest in any Securities.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this Prospectus, unless stated otherwise or the context requires otherwise, all dollar amounts are expressed in Canadian dollars.</w:t>
      </w:r>
    </w:p>
    <w:p>
      <w:pPr>
        <w:spacing w:after="0" w:line="1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The Corporation currently has an effective base shelf prospectus dated August 17, 2023, as amended on December 22, 2023, April 8, 2024 and January 6, 2025 (the “</w:t>
      </w:r>
      <w:r>
        <w:rPr>
          <w:rFonts w:ascii="Times New Roman" w:cs="Times New Roman" w:eastAsia="Times New Roman" w:hAnsi="Times New Roman"/>
          <w:sz w:val="19"/>
          <w:szCs w:val="19"/>
          <w:b w:val="1"/>
          <w:bCs w:val="1"/>
          <w:color w:val="auto"/>
        </w:rPr>
        <w:t>Original Base Prospectus</w:t>
      </w:r>
      <w:r>
        <w:rPr>
          <w:rFonts w:ascii="Times New Roman" w:cs="Times New Roman" w:eastAsia="Times New Roman" w:hAnsi="Times New Roman"/>
          <w:sz w:val="19"/>
          <w:szCs w:val="19"/>
          <w:color w:val="auto"/>
        </w:rPr>
        <w:t>”). The Corporation does not currently have any plans to initiate additional drawdowns under the Original Base Prospectus and intends to withdraw the Original Base Prospectus when this Prospectus becomes effective.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CAUTIONARY NOTE REGARDING FORWARD-LOOKING INFORMATION</w:t>
      </w:r>
    </w:p>
    <w:p>
      <w:pPr>
        <w:spacing w:after="0" w:line="15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Certain statements contained in this Prospectus, and in certain documents incorporated by reference herein and therein, constitute "forward-looking information" and "forward-looking statements," within the meaning of applicable securities laws (collectively, "forward-looking statements").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2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spacing w:after="0" w:line="142"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7" w:name="page18"/>
    <w:bookmarkEnd w:id="17"/>
    <w:p>
      <w:pPr>
        <w:jc w:val="both"/>
        <w:spacing w:after="0" w:line="235" w:lineRule="auto"/>
        <w:rPr>
          <w:sz w:val="20"/>
          <w:szCs w:val="20"/>
          <w:color w:val="auto"/>
        </w:rPr>
      </w:pPr>
      <w:r>
        <w:rPr>
          <w:rFonts w:ascii="Times New Roman" w:cs="Times New Roman" w:eastAsia="Times New Roman" w:hAnsi="Times New Roman"/>
          <w:sz w:val="19"/>
          <w:szCs w:val="19"/>
          <w:color w:val="auto"/>
        </w:rPr>
        <w:t>Some of the risks which could affect future results and could cause results to differ materially from those expressed in the forward-looking statements contained herein and therein include: limited operating history; achieving publicly announced milestones; speculative nature of investment risk; early stage of the industry and product development; regulatory risks and uncertainties; risks of operating in European countries;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market access and acceptance;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and material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exchange rate fluctuations;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pandemics;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an Offering: an investment in the Securities is highly speculative; completion of an Offering; receipt of all regulatory and stock exchange approvals in respect of an Offering; forward-looking statements may prove to be inaccurate; potential need for additional financing; negative operating cash flow; discretion over the use of proceeds; potential dilution; trading market; significant sales of Common Shares; positive return not guaranteed; management of growth; the Common Shares are subject to market price volatility; no history of payment of cash dividends; limited operating history as a public company; risks relating to research and development objectives and milestones; and the Corporation's expectation that it will be a "passive foreign investment company".</w:t>
      </w:r>
    </w:p>
    <w:p>
      <w:pPr>
        <w:spacing w:after="0" w:line="130"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27" w:lineRule="exact"/>
        <w:rPr>
          <w:sz w:val="20"/>
          <w:szCs w:val="20"/>
          <w:color w:val="auto"/>
        </w:rPr>
      </w:pPr>
    </w:p>
    <w:p>
      <w:pPr>
        <w:ind w:left="560" w:right="20" w:hanging="282"/>
        <w:spacing w:after="0" w:line="244" w:lineRule="auto"/>
        <w:tabs>
          <w:tab w:leader="none" w:pos="579"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substantial fluctuation of losses from quarter to quarter and year to year due to numerous external risk factors, and anticipation that the Corporation will continue to incur significant losses in the future;</w:t>
      </w:r>
    </w:p>
    <w:p>
      <w:pPr>
        <w:spacing w:after="0" w:line="1" w:lineRule="exact"/>
        <w:rPr>
          <w:rFonts w:ascii="Times New Roman" w:cs="Times New Roman" w:eastAsia="Times New Roman" w:hAnsi="Times New Roman"/>
          <w:sz w:val="19"/>
          <w:szCs w:val="19"/>
          <w:color w:val="auto"/>
        </w:rPr>
      </w:pPr>
    </w:p>
    <w:p>
      <w:pPr>
        <w:ind w:left="580" w:hanging="302"/>
        <w:spacing w:after="0" w:line="233" w:lineRule="auto"/>
        <w:tabs>
          <w:tab w:leader="none" w:pos="5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uncertainty as to the Corporation's ability to raise additional funding to support operations;</w:t>
      </w:r>
    </w:p>
    <w:p>
      <w:pPr>
        <w:ind w:left="580" w:hanging="302"/>
        <w:spacing w:after="0" w:line="233" w:lineRule="auto"/>
        <w:tabs>
          <w:tab w:leader="none" w:pos="5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Corporation's ability to access additional funding;</w:t>
      </w:r>
    </w:p>
    <w:p>
      <w:pPr>
        <w:ind w:left="580" w:hanging="302"/>
        <w:spacing w:after="0" w:line="233" w:lineRule="auto"/>
        <w:tabs>
          <w:tab w:leader="none" w:pos="5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fluctuation of foreign exchange rates;</w:t>
      </w:r>
    </w:p>
    <w:p>
      <w:pPr>
        <w:ind w:left="580" w:hanging="302"/>
        <w:spacing w:after="0" w:line="233" w:lineRule="auto"/>
        <w:tabs>
          <w:tab w:leader="none" w:pos="5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risks associated with pandemics;</w:t>
      </w:r>
    </w:p>
    <w:p>
      <w:pPr>
        <w:ind w:left="580" w:hanging="302"/>
        <w:spacing w:after="0" w:line="233" w:lineRule="auto"/>
        <w:tabs>
          <w:tab w:leader="none" w:pos="5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risks associated with the development of the Corporation's product candidates which are at early stages of development;</w:t>
      </w:r>
    </w:p>
    <w:p>
      <w:pPr>
        <w:ind w:left="580" w:hanging="302"/>
        <w:spacing w:after="0" w:line="233" w:lineRule="auto"/>
        <w:tabs>
          <w:tab w:leader="none" w:pos="5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reliance upon industry publications as the Corporation's primary sources for third-party industry data and forecasts;</w:t>
      </w:r>
    </w:p>
    <w:p>
      <w:pPr>
        <w:ind w:left="580" w:hanging="302"/>
        <w:spacing w:after="0" w:line="233" w:lineRule="auto"/>
        <w:tabs>
          <w:tab w:leader="none" w:pos="5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reliance on third parties to plan, conduct and monitor the Corporation's preclinical studies and clinical trials;</w:t>
      </w:r>
    </w:p>
    <w:p>
      <w:pPr>
        <w:ind w:left="580" w:hanging="302"/>
        <w:spacing w:after="0" w:line="233" w:lineRule="auto"/>
        <w:tabs>
          <w:tab w:leader="none" w:pos="5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reliance on third party contract manufacturers to deliver quality clinical and preclinical materials;</w:t>
      </w:r>
    </w:p>
    <w:p>
      <w:pPr>
        <w:ind w:left="560" w:hanging="282"/>
        <w:spacing w:after="0" w:line="233" w:lineRule="auto"/>
        <w:tabs>
          <w:tab w:leader="none" w:pos="579"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Corporation's product candidates may fail to demonstrate safety and efficacy to the satisfaction of regulatory authorities or may not otherwise produce positive results;</w:t>
      </w:r>
    </w:p>
    <w:p>
      <w:pPr>
        <w:spacing w:after="0" w:line="1" w:lineRule="exact"/>
        <w:rPr>
          <w:rFonts w:ascii="Times New Roman" w:cs="Times New Roman" w:eastAsia="Times New Roman" w:hAnsi="Times New Roman"/>
          <w:sz w:val="19"/>
          <w:szCs w:val="19"/>
          <w:color w:val="auto"/>
        </w:rPr>
      </w:pPr>
    </w:p>
    <w:p>
      <w:pPr>
        <w:ind w:left="580" w:hanging="302"/>
        <w:spacing w:after="0" w:line="233" w:lineRule="auto"/>
        <w:tabs>
          <w:tab w:leader="none" w:pos="5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risks related to filing investigational new drug applications to commence clinical trials and to continue clinical trials if approved;</w:t>
      </w:r>
    </w:p>
    <w:p>
      <w:pPr>
        <w:ind w:left="580" w:hanging="302"/>
        <w:spacing w:after="0"/>
        <w:tabs>
          <w:tab w:leader="none" w:pos="5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risks of delays and inability to complete clinical trials due to difficulties enrolling patients;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8" w:name="page19"/>
    <w:bookmarkEnd w:id="18"/>
    <w:p>
      <w:pPr>
        <w:ind w:left="580" w:hanging="302"/>
        <w:spacing w:after="0"/>
        <w:tabs>
          <w:tab w:leader="none" w:pos="58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competition from other biotechnology and pharmaceutical companies;</w:t>
      </w:r>
    </w:p>
    <w:p>
      <w:pPr>
        <w:spacing w:after="0" w:line="15" w:lineRule="exact"/>
        <w:rPr>
          <w:rFonts w:ascii="Times New Roman" w:cs="Times New Roman" w:eastAsia="Times New Roman" w:hAnsi="Times New Roman"/>
          <w:sz w:val="19"/>
          <w:szCs w:val="19"/>
          <w:color w:val="auto"/>
        </w:rPr>
      </w:pPr>
    </w:p>
    <w:p>
      <w:pPr>
        <w:ind w:left="560" w:right="20" w:hanging="282"/>
        <w:spacing w:after="0" w:line="233" w:lineRule="auto"/>
        <w:tabs>
          <w:tab w:leader="none" w:pos="579"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Corporation's reliance on the capabilities and experience of the Corporation's key executives and scientists and the resulting loss of any of these individuals;</w:t>
      </w:r>
    </w:p>
    <w:p>
      <w:pPr>
        <w:spacing w:after="0" w:line="1" w:lineRule="exact"/>
        <w:rPr>
          <w:rFonts w:ascii="Times New Roman" w:cs="Times New Roman" w:eastAsia="Times New Roman" w:hAnsi="Times New Roman"/>
          <w:sz w:val="19"/>
          <w:szCs w:val="19"/>
          <w:color w:val="auto"/>
        </w:rPr>
      </w:pPr>
    </w:p>
    <w:p>
      <w:pPr>
        <w:ind w:left="580" w:hanging="302"/>
        <w:spacing w:after="0" w:line="233" w:lineRule="auto"/>
        <w:tabs>
          <w:tab w:leader="none" w:pos="58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Corporation's ability to fully realize the benefits of acquisitions;</w:t>
      </w:r>
    </w:p>
    <w:p>
      <w:pPr>
        <w:ind w:left="580" w:hanging="302"/>
        <w:spacing w:after="0" w:line="233" w:lineRule="auto"/>
        <w:tabs>
          <w:tab w:leader="none" w:pos="58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Corporation's ability to adequately protect the Corporation's intellectual property and trade secrets;</w:t>
      </w:r>
    </w:p>
    <w:p>
      <w:pPr>
        <w:ind w:left="580" w:hanging="302"/>
        <w:spacing w:after="0" w:line="233" w:lineRule="auto"/>
        <w:tabs>
          <w:tab w:leader="none" w:pos="58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risk of patent-related or other litigation; and</w:t>
      </w:r>
    </w:p>
    <w:p>
      <w:pPr>
        <w:ind w:left="560" w:right="20" w:hanging="282"/>
        <w:spacing w:after="0"/>
        <w:tabs>
          <w:tab w:leader="none" w:pos="579"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risk of unforeseen changes to the laws or regulations in the United States, Canada, the United Kingdom, the Netherlands, Ireland and other jurisdictions in which the Corporation operates.</w:t>
      </w:r>
    </w:p>
    <w:p>
      <w:pPr>
        <w:spacing w:after="0" w:line="12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3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 xml:space="preserve">In addition to the factors set out above and those identified under the heading </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1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b w:val="1"/>
          <w:bCs w:val="1"/>
          <w:color w:val="auto"/>
        </w:rPr>
        <w:t>Many of these factors are beyond the Corporation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 behalf, are expressly qualified in their entirety by the cautionary statements. Except as required by law, the Corporation undertakes no obligation to update any forward-looking statement</w:t>
      </w:r>
      <w:r>
        <w:rPr>
          <w:rFonts w:ascii="Times New Roman" w:cs="Times New Roman" w:eastAsia="Times New Roman" w:hAnsi="Times New Roman"/>
          <w:sz w:val="19"/>
          <w:szCs w:val="19"/>
          <w:color w:val="auto"/>
        </w:rPr>
        <w:t>.</w:t>
      </w:r>
    </w:p>
    <w:p>
      <w:pPr>
        <w:spacing w:after="0" w:line="12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The forward-looking statements contained in this Prospectus and the documents incorporated by reference herein are expressly qualified in their entirety by the foregoing cautionary statement. </w:t>
      </w:r>
      <w:r>
        <w:rPr>
          <w:rFonts w:ascii="Times New Roman" w:cs="Times New Roman" w:eastAsia="Times New Roman" w:hAnsi="Times New Roman"/>
          <w:sz w:val="19"/>
          <w:szCs w:val="19"/>
          <w:color w:val="auto"/>
        </w:rPr>
        <w:t>Investors should read this entire Prospectus, including the Annual Information Form,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documents incorporated by reference herein, and each applicable Prospectus Supplement, and consult their own professional advisers to ascertain and assess the income tax and legal risks and other aspects associated with holding Securities.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TRADEMARKS AND SERVICE MARKS</w:t>
      </w:r>
    </w:p>
    <w:p>
      <w:pPr>
        <w:spacing w:after="0" w:line="15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This Prospectus includes trademarks, trade names and service marks which are protected under applicable intellectual property laws for use in connection with the operation of the Corporation’s business, and which are the property of the Corporation. All other trade names, trademarks or service marks appearing in this Prospectus that are not identified as marks owned by the Corporation are the property of their respective owners. Solely for convenience, trademarks, service marks and trade names referred to in this Prospectus may be listed without the ®, (TM) and (sm) symbols, however, we will assert, to the fullest extent under applicable law, the Corporation’s applicable rights in these trademarks, service marks and trade names.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9"/>
          <w:szCs w:val="19"/>
          <w:b w:val="1"/>
          <w:bCs w:val="1"/>
          <w:color w:val="auto"/>
        </w:rPr>
        <w:t>MARKETING MATERIALS</w:t>
      </w:r>
    </w:p>
    <w:p>
      <w:pPr>
        <w:spacing w:after="0" w:line="1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 xml:space="preserve">Any template version of marketing materials (as such terms are defined in National Instrument 41-101 – </w:t>
      </w:r>
      <w:r>
        <w:rPr>
          <w:rFonts w:ascii="Times New Roman" w:cs="Times New Roman" w:eastAsia="Times New Roman" w:hAnsi="Times New Roman"/>
          <w:sz w:val="19"/>
          <w:szCs w:val="19"/>
          <w:i w:val="1"/>
          <w:iCs w:val="1"/>
          <w:color w:val="auto"/>
        </w:rPr>
        <w:t>General Prospectus Requirements</w:t>
      </w:r>
      <w:r>
        <w:rPr>
          <w:rFonts w:ascii="Times New Roman" w:cs="Times New Roman" w:eastAsia="Times New Roman" w:hAnsi="Times New Roman"/>
          <w:sz w:val="19"/>
          <w:szCs w:val="19"/>
          <w:color w:val="auto"/>
        </w:rPr>
        <w:t xml:space="preserve">) that are utilized in connection with the distribution of Securities will be filed under the Corporation’s profile on </w:t>
      </w:r>
      <w:r>
        <w:rPr>
          <w:rFonts w:ascii="Times New Roman" w:cs="Times New Roman" w:eastAsia="Times New Roman" w:hAnsi="Times New Roman"/>
          <w:sz w:val="19"/>
          <w:szCs w:val="19"/>
          <w:u w:val="single" w:color="auto"/>
          <w:color w:val="auto"/>
        </w:rPr>
        <w:t>www.sedarplus.ca</w:t>
      </w:r>
      <w:r>
        <w:rPr>
          <w:rFonts w:ascii="Times New Roman" w:cs="Times New Roman" w:eastAsia="Times New Roman" w:hAnsi="Times New Roman"/>
          <w:sz w:val="19"/>
          <w:szCs w:val="19"/>
          <w:color w:val="auto"/>
        </w:rPr>
        <w:t xml:space="preserve">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MARKET AND INDUSTRY DATA</w:t>
      </w:r>
    </w:p>
    <w:p>
      <w:pPr>
        <w:spacing w:after="0" w:line="15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Market and industry data contained and incorporated by reference in this Prospectus or any applicable Prospectus Supplement concerning economic and industry trends is based upon good faith estimates of the Corporation's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Times New Roman" w:cs="Times New Roman" w:eastAsia="Times New Roman" w:hAnsi="Times New Roman"/>
          <w:sz w:val="19"/>
          <w:szCs w:val="19"/>
          <w:i w:val="1"/>
          <w:iCs w:val="1"/>
          <w:color w:val="auto"/>
        </w:rPr>
        <w:t>Cautionary Note Regarding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Forward-Looking Information"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"Risk Factors" </w:t>
      </w:r>
      <w:r>
        <w:rPr>
          <w:rFonts w:ascii="Times New Roman" w:cs="Times New Roman" w:eastAsia="Times New Roman" w:hAnsi="Times New Roman"/>
          <w:sz w:val="19"/>
          <w:szCs w:val="19"/>
          <w:color w:val="auto"/>
        </w:rPr>
        <w:t>in this Prospectus.</w:t>
      </w:r>
    </w:p>
    <w:p>
      <w:pPr>
        <w:spacing w:after="0" w:line="1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For the avoidance of doubt, nothing stated in this paragraph operates to relieve the Corporation or the underwriters/agents from liability for any misrepresentation in this Prospectus or under applicable Canadian securities laws.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DOCUMENTS INCORPORATED BY REFERENCE</w:t>
      </w:r>
    </w:p>
    <w:p>
      <w:pPr>
        <w:spacing w:after="0" w:line="1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Information has been incorporated by reference in this Prospectus from documents filed with securities commissions or similar authorities in Canada. </w:t>
      </w:r>
      <w:r>
        <w:rPr>
          <w:rFonts w:ascii="Times New Roman" w:cs="Times New Roman" w:eastAsia="Times New Roman" w:hAnsi="Times New Roman"/>
          <w:sz w:val="19"/>
          <w:szCs w:val="19"/>
          <w:color w:val="auto"/>
        </w:rPr>
        <w:t>Copies of the documents incorporated herein by reference may be obtained on request without charge from the Secretary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Corporation at 100 King Street West, Suite 5600, Toronto, Ontario M5X 1C9, telephone (908) 764-8385, and are also available electronically on SEDAR+.</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following documents of the Corporation filed with the securities commissions or similar authorities in Canada are incorporated by reference in this Prospectus:</w:t>
      </w:r>
    </w:p>
    <w:p>
      <w:pPr>
        <w:spacing w:after="0" w:line="110" w:lineRule="exact"/>
        <w:rPr>
          <w:sz w:val="20"/>
          <w:szCs w:val="20"/>
          <w:color w:val="auto"/>
        </w:rPr>
      </w:pPr>
    </w:p>
    <w:p>
      <w:pPr>
        <w:ind w:left="460" w:hanging="241"/>
        <w:spacing w:after="0"/>
        <w:tabs>
          <w:tab w:leader="none" w:pos="46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annual information form of the Corporation dated June 30, 2025, for the year ended March 31, 2025 (the "</w:t>
      </w:r>
      <w:r>
        <w:rPr>
          <w:rFonts w:ascii="Times New Roman" w:cs="Times New Roman" w:eastAsia="Times New Roman" w:hAnsi="Times New Roman"/>
          <w:sz w:val="19"/>
          <w:szCs w:val="19"/>
          <w:b w:val="1"/>
          <w:bCs w:val="1"/>
          <w:color w:val="auto"/>
        </w:rPr>
        <w:t>Annual Information Form</w:t>
      </w:r>
      <w:r>
        <w:rPr>
          <w:rFonts w:ascii="Times New Roman" w:cs="Times New Roman" w:eastAsia="Times New Roman" w:hAnsi="Times New Roman"/>
          <w:sz w:val="19"/>
          <w:szCs w:val="19"/>
          <w:color w:val="auto"/>
        </w:rPr>
        <w:t>");</w:t>
      </w:r>
    </w:p>
    <w:p>
      <w:pPr>
        <w:spacing w:after="0" w:line="152" w:lineRule="exact"/>
        <w:rPr>
          <w:rFonts w:ascii="Times New Roman" w:cs="Times New Roman" w:eastAsia="Times New Roman" w:hAnsi="Times New Roman"/>
          <w:sz w:val="19"/>
          <w:szCs w:val="19"/>
          <w:color w:val="auto"/>
        </w:rPr>
      </w:pPr>
    </w:p>
    <w:p>
      <w:pPr>
        <w:ind w:left="440" w:right="20" w:hanging="221"/>
        <w:spacing w:after="0" w:line="262" w:lineRule="auto"/>
        <w:tabs>
          <w:tab w:leader="none" w:pos="463"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audited consolidated financial statements of the Corporation and the notes thereto as at and for the fiscal years ended March 31, 2025 and 2024, together with the auditor’s report thereon;</w:t>
      </w:r>
    </w:p>
    <w:p>
      <w:pPr>
        <w:spacing w:after="0" w:line="102" w:lineRule="exact"/>
        <w:rPr>
          <w:rFonts w:ascii="Times New Roman" w:cs="Times New Roman" w:eastAsia="Times New Roman" w:hAnsi="Times New Roman"/>
          <w:sz w:val="19"/>
          <w:szCs w:val="19"/>
          <w:color w:val="auto"/>
        </w:rPr>
      </w:pPr>
    </w:p>
    <w:p>
      <w:pPr>
        <w:ind w:left="460" w:hanging="241"/>
        <w:spacing w:after="0"/>
        <w:tabs>
          <w:tab w:leader="none" w:pos="46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management’s discussion and analysis of the Corporation for the year ended March 31, 2025;</w:t>
      </w:r>
    </w:p>
    <w:p>
      <w:pPr>
        <w:spacing w:after="0" w:line="159" w:lineRule="exact"/>
        <w:rPr>
          <w:rFonts w:ascii="Times New Roman" w:cs="Times New Roman" w:eastAsia="Times New Roman" w:hAnsi="Times New Roman"/>
          <w:sz w:val="19"/>
          <w:szCs w:val="19"/>
          <w:color w:val="auto"/>
        </w:rPr>
      </w:pPr>
    </w:p>
    <w:p>
      <w:pPr>
        <w:ind w:left="440" w:right="20" w:hanging="221"/>
        <w:spacing w:after="0" w:line="262" w:lineRule="auto"/>
        <w:tabs>
          <w:tab w:leader="none" w:pos="463"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unaudited interim condensed consolidated financial statements of the Corporation and the notes thereto for the three months ended June 30, 2025 (the “</w:t>
      </w:r>
      <w:r>
        <w:rPr>
          <w:rFonts w:ascii="Times New Roman" w:cs="Times New Roman" w:eastAsia="Times New Roman" w:hAnsi="Times New Roman"/>
          <w:sz w:val="19"/>
          <w:szCs w:val="19"/>
          <w:b w:val="1"/>
          <w:bCs w:val="1"/>
          <w:color w:val="auto"/>
        </w:rPr>
        <w:t>Interim Financial Statements</w:t>
      </w:r>
      <w:r>
        <w:rPr>
          <w:rFonts w:ascii="Times New Roman" w:cs="Times New Roman" w:eastAsia="Times New Roman" w:hAnsi="Times New Roman"/>
          <w:sz w:val="19"/>
          <w:szCs w:val="19"/>
          <w:color w:val="auto"/>
        </w:rPr>
        <w:t>”);</w:t>
      </w:r>
    </w:p>
    <w:p>
      <w:pPr>
        <w:spacing w:after="0" w:line="98" w:lineRule="exact"/>
        <w:rPr>
          <w:rFonts w:ascii="Times New Roman" w:cs="Times New Roman" w:eastAsia="Times New Roman" w:hAnsi="Times New Roman"/>
          <w:sz w:val="19"/>
          <w:szCs w:val="19"/>
          <w:color w:val="auto"/>
        </w:rPr>
      </w:pPr>
    </w:p>
    <w:p>
      <w:pPr>
        <w:ind w:left="460" w:hanging="241"/>
        <w:spacing w:after="0"/>
        <w:tabs>
          <w:tab w:leader="none" w:pos="46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management’s discussion and analysis of the Corporation for the three months ended June 30, 2025 (the “</w:t>
      </w:r>
      <w:r>
        <w:rPr>
          <w:rFonts w:ascii="Times New Roman" w:cs="Times New Roman" w:eastAsia="Times New Roman" w:hAnsi="Times New Roman"/>
          <w:sz w:val="19"/>
          <w:szCs w:val="19"/>
          <w:b w:val="1"/>
          <w:bCs w:val="1"/>
          <w:color w:val="auto"/>
        </w:rPr>
        <w:t>Interim MD&amp;A</w:t>
      </w:r>
      <w:r>
        <w:rPr>
          <w:rFonts w:ascii="Times New Roman" w:cs="Times New Roman" w:eastAsia="Times New Roman" w:hAnsi="Times New Roman"/>
          <w:sz w:val="19"/>
          <w:szCs w:val="19"/>
          <w:color w:val="auto"/>
        </w:rPr>
        <w:t>”);</w:t>
      </w:r>
    </w:p>
    <w:p>
      <w:pPr>
        <w:spacing w:after="0" w:line="152" w:lineRule="exact"/>
        <w:rPr>
          <w:rFonts w:ascii="Times New Roman" w:cs="Times New Roman" w:eastAsia="Times New Roman" w:hAnsi="Times New Roman"/>
          <w:sz w:val="19"/>
          <w:szCs w:val="19"/>
          <w:color w:val="auto"/>
        </w:rPr>
      </w:pPr>
    </w:p>
    <w:p>
      <w:pPr>
        <w:jc w:val="both"/>
        <w:ind w:left="440" w:hanging="221"/>
        <w:spacing w:after="0" w:line="243" w:lineRule="auto"/>
        <w:tabs>
          <w:tab w:leader="none" w:pos="463"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material change report dated July 9, 2025, in connection with a private placement completed by the Corporation on June 30, 2025, of US$50,000,000 aggregate principal amount of unsecured convertible debentures, as amended and restated on August 12, 2025 (the “</w:t>
      </w:r>
      <w:r>
        <w:rPr>
          <w:rFonts w:ascii="Times New Roman" w:cs="Times New Roman" w:eastAsia="Times New Roman" w:hAnsi="Times New Roman"/>
          <w:sz w:val="19"/>
          <w:szCs w:val="19"/>
          <w:b w:val="1"/>
          <w:bCs w:val="1"/>
          <w:color w:val="auto"/>
        </w:rPr>
        <w:t>Convertible Debentures</w:t>
      </w:r>
      <w:r>
        <w:rPr>
          <w:rFonts w:ascii="Times New Roman" w:cs="Times New Roman" w:eastAsia="Times New Roman" w:hAnsi="Times New Roman"/>
          <w:sz w:val="19"/>
          <w:szCs w:val="19"/>
          <w:color w:val="auto"/>
        </w:rPr>
        <w:t>”) issued to a single investor (“</w:t>
      </w:r>
      <w:r>
        <w:rPr>
          <w:rFonts w:ascii="Times New Roman" w:cs="Times New Roman" w:eastAsia="Times New Roman" w:hAnsi="Times New Roman"/>
          <w:sz w:val="19"/>
          <w:szCs w:val="19"/>
          <w:b w:val="1"/>
          <w:bCs w:val="1"/>
          <w:color w:val="auto"/>
        </w:rPr>
        <w:t>High Trail</w:t>
      </w:r>
      <w:r>
        <w:rPr>
          <w:rFonts w:ascii="Times New Roman" w:cs="Times New Roman" w:eastAsia="Times New Roman" w:hAnsi="Times New Roman"/>
          <w:sz w:val="19"/>
          <w:szCs w:val="19"/>
          <w:color w:val="auto"/>
        </w:rPr>
        <w:t>”) pursuant to a securities purchase agreement, dated June 30, 2025, as amended on August 12, 2025 (the “</w:t>
      </w:r>
      <w:r>
        <w:rPr>
          <w:rFonts w:ascii="Times New Roman" w:cs="Times New Roman" w:eastAsia="Times New Roman" w:hAnsi="Times New Roman"/>
          <w:sz w:val="19"/>
          <w:szCs w:val="19"/>
          <w:b w:val="1"/>
          <w:bCs w:val="1"/>
          <w:color w:val="auto"/>
        </w:rPr>
        <w:t>Securities Purchase Agreement</w:t>
      </w:r>
      <w:r>
        <w:rPr>
          <w:rFonts w:ascii="Times New Roman" w:cs="Times New Roman" w:eastAsia="Times New Roman" w:hAnsi="Times New Roman"/>
          <w:sz w:val="19"/>
          <w:szCs w:val="19"/>
          <w:color w:val="auto"/>
        </w:rPr>
        <w:t>”);</w:t>
      </w:r>
    </w:p>
    <w:p>
      <w:pPr>
        <w:spacing w:after="0" w:line="132" w:lineRule="exact"/>
        <w:rPr>
          <w:rFonts w:ascii="Times New Roman" w:cs="Times New Roman" w:eastAsia="Times New Roman" w:hAnsi="Times New Roman"/>
          <w:sz w:val="19"/>
          <w:szCs w:val="19"/>
          <w:color w:val="auto"/>
        </w:rPr>
      </w:pPr>
    </w:p>
    <w:p>
      <w:pPr>
        <w:ind w:left="460" w:hanging="241"/>
        <w:spacing w:after="0"/>
        <w:tabs>
          <w:tab w:leader="none" w:pos="46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material change report dated September 3, 2025, relating to senior leadership changes; and</w:t>
      </w:r>
    </w:p>
    <w:p>
      <w:pPr>
        <w:spacing w:after="0" w:line="148" w:lineRule="exact"/>
        <w:rPr>
          <w:rFonts w:ascii="Times New Roman" w:cs="Times New Roman" w:eastAsia="Times New Roman" w:hAnsi="Times New Roman"/>
          <w:sz w:val="19"/>
          <w:szCs w:val="19"/>
          <w:color w:val="auto"/>
        </w:rPr>
      </w:pPr>
    </w:p>
    <w:p>
      <w:pPr>
        <w:ind w:left="440" w:right="20" w:hanging="221"/>
        <w:spacing w:after="0" w:line="262" w:lineRule="auto"/>
        <w:tabs>
          <w:tab w:leader="none" w:pos="463"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management information circular of the Corporation dated July 14, 2025 relating to the annual and special meeting of shareholders of the Corporation to be held on August 18, 2025.</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0" w:name="page21"/>
    <w:bookmarkEnd w:id="20"/>
    <w:p>
      <w:pPr>
        <w:jc w:val="both"/>
        <w:ind w:right="20"/>
        <w:spacing w:after="0" w:line="250" w:lineRule="auto"/>
        <w:rPr>
          <w:sz w:val="20"/>
          <w:szCs w:val="20"/>
          <w:color w:val="auto"/>
        </w:rPr>
      </w:pPr>
      <w:r>
        <w:rPr>
          <w:rFonts w:ascii="Times New Roman" w:cs="Times New Roman" w:eastAsia="Times New Roman" w:hAnsi="Times New Roman"/>
          <w:sz w:val="19"/>
          <w:szCs w:val="19"/>
          <w:color w:val="auto"/>
        </w:rPr>
        <w:t xml:space="preserve">Any document of the type referred to in Item 11.1 of Form 44-101F1 - </w:t>
      </w:r>
      <w:r>
        <w:rPr>
          <w:rFonts w:ascii="Times New Roman" w:cs="Times New Roman" w:eastAsia="Times New Roman" w:hAnsi="Times New Roman"/>
          <w:sz w:val="19"/>
          <w:szCs w:val="19"/>
          <w:i w:val="1"/>
          <w:iCs w:val="1"/>
          <w:color w:val="auto"/>
        </w:rPr>
        <w:t>Short Form Prospectus</w:t>
      </w:r>
      <w:r>
        <w:rPr>
          <w:rFonts w:ascii="Times New Roman" w:cs="Times New Roman" w:eastAsia="Times New Roman" w:hAnsi="Times New Roman"/>
          <w:sz w:val="19"/>
          <w:szCs w:val="19"/>
          <w:color w:val="auto"/>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spacing w:after="0" w:line="11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In addition, to the extent any such document is included in any annual report on Form 40-F or 20-F (or any respective successor form) filed with the SEC subsequent to the date of this Prospectus and prior to 25 months from the date hereof, such document shall be deemed to be incorporated by reference as exhibits to the Registration Statement of which this Prospectus forms a part. In addition, any other report on Form 6-K and the exhibits thereto filed or furnished by the Corporation with the SEC, and any other reports filed, under the United States Securities Exchange Act of 1934, as amended (the "</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from the date of this Prospectus and prior to 25 months from the date hereof shall be deemed to be incorporated by reference as exhibits to the Registration Statement of which this Prospectus forms a part, but only if and to the extent expressly so provided in any such report.</w:t>
      </w:r>
    </w:p>
    <w:p>
      <w:pPr>
        <w:spacing w:after="0" w:line="13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 xml:space="preserve">Copies of the documents incorporated by reference herein will be available electronically on the Corporation’s SEDAR+ profile, which can be accessed at </w:t>
      </w:r>
      <w:r>
        <w:rPr>
          <w:rFonts w:ascii="Times New Roman" w:cs="Times New Roman" w:eastAsia="Times New Roman" w:hAnsi="Times New Roman"/>
          <w:sz w:val="19"/>
          <w:szCs w:val="19"/>
          <w:u w:val="single" w:color="auto"/>
          <w:color w:val="auto"/>
        </w:rPr>
        <w:t>www.sedarplus.ca</w:t>
      </w:r>
      <w:r>
        <w:rPr>
          <w:rFonts w:ascii="Times New Roman" w:cs="Times New Roman" w:eastAsia="Times New Roman" w:hAnsi="Times New Roman"/>
          <w:sz w:val="19"/>
          <w:szCs w:val="19"/>
          <w:color w:val="auto"/>
        </w:rPr>
        <w:t xml:space="preserve">, and from the Corporation’s EDGAR profile at </w:t>
      </w:r>
      <w:r>
        <w:rPr>
          <w:rFonts w:ascii="Times New Roman" w:cs="Times New Roman" w:eastAsia="Times New Roman" w:hAnsi="Times New Roman"/>
          <w:sz w:val="19"/>
          <w:szCs w:val="19"/>
          <w:u w:val="single" w:color="auto"/>
          <w:color w:val="auto"/>
        </w:rPr>
        <w:t>www.sec.gov</w:t>
      </w:r>
      <w:r>
        <w:rPr>
          <w:rFonts w:ascii="Times New Roman" w:cs="Times New Roman" w:eastAsia="Times New Roman" w:hAnsi="Times New Roman"/>
          <w:sz w:val="19"/>
          <w:szCs w:val="19"/>
          <w:color w:val="auto"/>
        </w:rPr>
        <w:t>. The Corporation’s filings through SEDAR+ and EDGAR are not incorporated by reference in the Prospectus except as specifically set out herein.</w:t>
      </w:r>
    </w:p>
    <w:p>
      <w:pPr>
        <w:spacing w:after="0" w:line="1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b w:val="1"/>
          <w:bCs w:val="1"/>
          <w:color w:val="auto"/>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DOCUMENTS FILED AS PART OF THE REGISTRATION STATEMENT</w:t>
      </w:r>
    </w:p>
    <w:p>
      <w:pPr>
        <w:spacing w:after="0" w:line="15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The following documents have been, or will be, filed with the SEC as part of the Registration Statement of which this Prospectus forms a part: (i) the documents listed under "Documents Incorporated by Reference"; (ii) powers of attorney from certain of the Corporation's directors and officers (included on the signature page to the Registration Statement); (iii) the consent of Zeifmans LLP; and (iv) the form of indenture for any Debt Securities issued hereunder. A copy of any applicable form of warrant indenture, subscription receipt agreement or statement of eligibility of trustee on Form T-1, as applicable, will be filed by post-effective amendment or by incorporation by reference to documents filed or furnished with the SEC under the Exchange Act.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1" w:name="page22"/>
    <w:bookmarkEnd w:id="21"/>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THE CORPORATION</w:t>
      </w:r>
    </w:p>
    <w:p>
      <w:pPr>
        <w:spacing w:after="0" w:line="149" w:lineRule="exact"/>
        <w:rPr>
          <w:sz w:val="20"/>
          <w:szCs w:val="20"/>
          <w:color w:val="auto"/>
        </w:rPr>
      </w:pPr>
    </w:p>
    <w:p>
      <w:pPr>
        <w:jc w:val="both"/>
        <w:ind w:left="5" w:right="20"/>
        <w:spacing w:after="0" w:line="250" w:lineRule="auto"/>
        <w:rPr>
          <w:sz w:val="20"/>
          <w:szCs w:val="20"/>
          <w:color w:val="auto"/>
        </w:rPr>
      </w:pPr>
      <w:r>
        <w:rPr>
          <w:rFonts w:ascii="Times New Roman" w:cs="Times New Roman" w:eastAsia="Times New Roman" w:hAnsi="Times New Roman"/>
          <w:sz w:val="19"/>
          <w:szCs w:val="19"/>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12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b w:val="1"/>
          <w:bCs w:val="1"/>
          <w:color w:val="auto"/>
        </w:rPr>
        <w:t>Summary of the Business</w:t>
      </w:r>
    </w:p>
    <w:p>
      <w:pPr>
        <w:spacing w:after="0" w:line="152" w:lineRule="exact"/>
        <w:rPr>
          <w:sz w:val="20"/>
          <w:szCs w:val="20"/>
          <w:color w:val="auto"/>
        </w:rPr>
      </w:pPr>
    </w:p>
    <w:p>
      <w:pPr>
        <w:jc w:val="both"/>
        <w:ind w:left="5" w:right="20"/>
        <w:spacing w:after="0" w:line="242" w:lineRule="auto"/>
        <w:rPr>
          <w:sz w:val="20"/>
          <w:szCs w:val="20"/>
          <w:color w:val="auto"/>
        </w:rPr>
      </w:pPr>
      <w:r>
        <w:rPr>
          <w:rFonts w:ascii="Times New Roman" w:cs="Times New Roman" w:eastAsia="Times New Roman" w:hAnsi="Times New Roman"/>
          <w:sz w:val="19"/>
          <w:szCs w:val="19"/>
          <w:color w:val="auto"/>
        </w:rPr>
        <w:t>The Corporation is a clinical-stage breakthrough neuropsychiatry company on a mission to create safe and effective next-generation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w:t>
      </w:r>
    </w:p>
    <w:p>
      <w:pPr>
        <w:spacing w:after="0" w:line="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color w:val="auto"/>
        </w:rPr>
        <w:t>proprietary drug discovery platforms, innovative drug delivery systems, and novel formulation approaches and treatment regimens.</w:t>
      </w:r>
      <w:r>
        <w:rPr>
          <w:rFonts w:ascii="Times New Roman" w:cs="Times New Roman" w:eastAsia="Times New Roman" w:hAnsi="Times New Roman"/>
          <w:sz w:val="31"/>
          <w:szCs w:val="31"/>
          <w:color w:val="auto"/>
          <w:vertAlign w:val="superscript"/>
        </w:rPr>
        <w:t>3</w:t>
      </w:r>
    </w:p>
    <w:p>
      <w:pPr>
        <w:spacing w:after="0" w:line="43" w:lineRule="exact"/>
        <w:rPr>
          <w:sz w:val="20"/>
          <w:szCs w:val="20"/>
          <w:color w:val="auto"/>
        </w:rPr>
      </w:pPr>
    </w:p>
    <w:p>
      <w:pPr>
        <w:jc w:val="both"/>
        <w:ind w:left="5"/>
        <w:spacing w:after="0" w:line="238" w:lineRule="auto"/>
        <w:rPr>
          <w:sz w:val="20"/>
          <w:szCs w:val="20"/>
          <w:color w:val="auto"/>
        </w:rPr>
      </w:pPr>
      <w:r>
        <w:rPr>
          <w:rFonts w:ascii="Times New Roman" w:cs="Times New Roman" w:eastAsia="Times New Roman" w:hAnsi="Times New Roman"/>
          <w:sz w:val="19"/>
          <w:szCs w:val="19"/>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Times New Roman" w:cs="Times New Roman" w:eastAsia="Times New Roman" w:hAnsi="Times New Roman"/>
          <w:sz w:val="19"/>
          <w:szCs w:val="19"/>
          <w:b w:val="1"/>
          <w:bCs w:val="1"/>
          <w:color w:val="auto"/>
        </w:rPr>
        <w:t>IP</w:t>
      </w:r>
      <w:r>
        <w:rPr>
          <w:rFonts w:ascii="Times New Roman" w:cs="Times New Roman" w:eastAsia="Times New Roman" w:hAnsi="Times New Roman"/>
          <w:sz w:val="19"/>
          <w:szCs w:val="19"/>
          <w:color w:val="auto"/>
        </w:rPr>
        <w:t>") focused on developing the Corporation's platform technology, the progression of clinical development programs including CYB003, a deuterated psilocin molecule, CYB004, a deuterated version of DMT, phenethylamine derivatives, CYB005, phenethylamine derivatives, and an expansive list of preclinical molecules to facilitate future drug development opportunities.</w:t>
      </w:r>
    </w:p>
    <w:p>
      <w:pPr>
        <w:spacing w:after="0" w:line="133" w:lineRule="exact"/>
        <w:rPr>
          <w:sz w:val="20"/>
          <w:szCs w:val="20"/>
          <w:color w:val="auto"/>
        </w:rPr>
      </w:pPr>
    </w:p>
    <w:p>
      <w:pPr>
        <w:jc w:val="both"/>
        <w:ind w:left="5"/>
        <w:spacing w:after="0" w:line="238" w:lineRule="auto"/>
        <w:rPr>
          <w:sz w:val="20"/>
          <w:szCs w:val="20"/>
          <w:color w:val="auto"/>
        </w:rPr>
      </w:pPr>
      <w:r>
        <w:rPr>
          <w:rFonts w:ascii="Times New Roman" w:cs="Times New Roman" w:eastAsia="Times New Roman" w:hAnsi="Times New Roman"/>
          <w:sz w:val="19"/>
          <w:szCs w:val="19"/>
          <w:color w:val="auto"/>
        </w:rPr>
        <w:t xml:space="preserve">On October 23, 2023, the Corporation completed a statutory plan of arrangement under the provisions of the </w:t>
      </w:r>
      <w:r>
        <w:rPr>
          <w:rFonts w:ascii="Times New Roman" w:cs="Times New Roman" w:eastAsia="Times New Roman" w:hAnsi="Times New Roman"/>
          <w:sz w:val="19"/>
          <w:szCs w:val="19"/>
          <w:i w:val="1"/>
          <w:iCs w:val="1"/>
          <w:color w:val="auto"/>
        </w:rPr>
        <w:t>Business Corporations Act</w:t>
      </w:r>
      <w:r>
        <w:rPr>
          <w:rFonts w:ascii="Times New Roman" w:cs="Times New Roman" w:eastAsia="Times New Roman" w:hAnsi="Times New Roman"/>
          <w:sz w:val="19"/>
          <w:szCs w:val="19"/>
          <w:color w:val="auto"/>
        </w:rPr>
        <w:t xml:space="preserve"> (British Columbia) (the "</w:t>
      </w:r>
      <w:r>
        <w:rPr>
          <w:rFonts w:ascii="Times New Roman" w:cs="Times New Roman" w:eastAsia="Times New Roman" w:hAnsi="Times New Roman"/>
          <w:sz w:val="19"/>
          <w:szCs w:val="19"/>
          <w:b w:val="1"/>
          <w:bCs w:val="1"/>
          <w:color w:val="auto"/>
        </w:rPr>
        <w:t>Arrangement</w:t>
      </w:r>
      <w:r>
        <w:rPr>
          <w:rFonts w:ascii="Times New Roman" w:cs="Times New Roman" w:eastAsia="Times New Roman" w:hAnsi="Times New Roman"/>
          <w:sz w:val="19"/>
          <w:szCs w:val="19"/>
          <w:color w:val="auto"/>
        </w:rPr>
        <w:t>"), pursuant to which Small Pharma Inc. ("</w:t>
      </w:r>
      <w:r>
        <w:rPr>
          <w:rFonts w:ascii="Times New Roman" w:cs="Times New Roman" w:eastAsia="Times New Roman" w:hAnsi="Times New Roman"/>
          <w:sz w:val="19"/>
          <w:szCs w:val="19"/>
          <w:b w:val="1"/>
          <w:bCs w:val="1"/>
          <w:color w:val="auto"/>
        </w:rPr>
        <w:t>Small Pharma</w:t>
      </w:r>
      <w:r>
        <w:rPr>
          <w:rFonts w:ascii="Times New Roman" w:cs="Times New Roman" w:eastAsia="Times New Roman" w:hAnsi="Times New Roman"/>
          <w:sz w:val="19"/>
          <w:szCs w:val="19"/>
          <w:color w:val="auto"/>
        </w:rPr>
        <w:t xml:space="preserve">") became a wholly-owned subsidiary of the Corporation. Small Pharma was a biotechnology company focused on developing short-duration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Second-generation psychedelics refer to those that have been chemically modified with the aim to optimize their therapeutic benefit. On April 1, 2024, pursuant to the provisions of the </w:t>
      </w:r>
      <w:r>
        <w:rPr>
          <w:rFonts w:ascii="Times New Roman" w:cs="Times New Roman" w:eastAsia="Times New Roman" w:hAnsi="Times New Roman"/>
          <w:sz w:val="19"/>
          <w:szCs w:val="19"/>
          <w:i w:val="1"/>
          <w:iCs w:val="1"/>
          <w:color w:val="auto"/>
        </w:rPr>
        <w:t>Business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Corporations Act </w:t>
      </w:r>
      <w:r>
        <w:rPr>
          <w:rFonts w:ascii="Times New Roman" w:cs="Times New Roman" w:eastAsia="Times New Roman" w:hAnsi="Times New Roman"/>
          <w:sz w:val="19"/>
          <w:szCs w:val="19"/>
          <w:color w:val="auto"/>
        </w:rPr>
        <w:t>(Ontario), Small Pharma completed a horizontal amalgamation with Cybin Corp., with Cybin Corp. being the resulting entity.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 result of this amalgamation, Cybin UK Ltd is now a wholly-owned subsidiary of Cybin Corp.</w:t>
      </w:r>
    </w:p>
    <w:p>
      <w:pPr>
        <w:spacing w:after="0" w:line="128" w:lineRule="exact"/>
        <w:rPr>
          <w:sz w:val="20"/>
          <w:szCs w:val="20"/>
          <w:color w:val="auto"/>
        </w:rPr>
      </w:pPr>
    </w:p>
    <w:p>
      <w:pPr>
        <w:jc w:val="both"/>
        <w:ind w:left="5" w:right="20"/>
        <w:spacing w:after="0" w:line="248" w:lineRule="auto"/>
        <w:rPr>
          <w:sz w:val="20"/>
          <w:szCs w:val="20"/>
          <w:color w:val="auto"/>
        </w:rPr>
      </w:pPr>
      <w:r>
        <w:rPr>
          <w:rFonts w:ascii="Times New Roman" w:cs="Times New Roman" w:eastAsia="Times New Roman" w:hAnsi="Times New Roman"/>
          <w:sz w:val="19"/>
          <w:szCs w:val="19"/>
          <w:color w:val="auto"/>
        </w:rPr>
        <w:t>With a common goal to create novel, optimized psychedelic-based therapeutics, the combination of the Corporation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115"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9"/>
          <w:szCs w:val="19"/>
          <w:color w:val="auto"/>
        </w:rPr>
        <w:t>As a result of the acquisition of Small Pharma by way of the Arrangement, Cybin currently has over 90 granted patents and over 230 pending applications.</w:t>
      </w:r>
    </w:p>
    <w:p>
      <w:pPr>
        <w:spacing w:after="0" w:line="10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b w:val="1"/>
          <w:bCs w:val="1"/>
          <w:i w:val="1"/>
          <w:iCs w:val="1"/>
          <w:color w:val="auto"/>
        </w:rPr>
        <w:t>Advancement of Mental Healthcare</w:t>
      </w:r>
    </w:p>
    <w:p>
      <w:pPr>
        <w:spacing w:after="0" w:line="154" w:lineRule="exact"/>
        <w:rPr>
          <w:sz w:val="20"/>
          <w:szCs w:val="20"/>
          <w:color w:val="auto"/>
        </w:rPr>
      </w:pPr>
    </w:p>
    <w:p>
      <w:pPr>
        <w:jc w:val="both"/>
        <w:ind w:left="5"/>
        <w:spacing w:after="0" w:line="239" w:lineRule="auto"/>
        <w:rPr>
          <w:sz w:val="20"/>
          <w:szCs w:val="20"/>
          <w:color w:val="auto"/>
        </w:rPr>
      </w:pPr>
      <w:r>
        <w:rPr>
          <w:rFonts w:ascii="Times New Roman" w:cs="Times New Roman" w:eastAsia="Times New Roman" w:hAnsi="Times New Roman"/>
          <w:sz w:val="19"/>
          <w:szCs w:val="19"/>
          <w:color w:val="auto"/>
        </w:rPr>
        <w:t>The Corporation is conducting research and development of next-generation neuropsychiatry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Across its extensive research and development programs, the Corporation is evaluating a wide array of novel, synthetic psychedelic active pharmaceutical ingredients intended to be delivered through innovative drug delivery systems including via inhalation, via intravenous ("</w:t>
      </w:r>
      <w:r>
        <w:rPr>
          <w:rFonts w:ascii="Times New Roman" w:cs="Times New Roman" w:eastAsia="Times New Roman" w:hAnsi="Times New Roman"/>
          <w:sz w:val="19"/>
          <w:szCs w:val="19"/>
          <w:b w:val="1"/>
          <w:bCs w:val="1"/>
          <w:color w:val="auto"/>
        </w:rPr>
        <w:t>IV</w:t>
      </w:r>
      <w:r>
        <w:rPr>
          <w:rFonts w:ascii="Times New Roman" w:cs="Times New Roman" w:eastAsia="Times New Roman" w:hAnsi="Times New Roman"/>
          <w:sz w:val="19"/>
          <w:szCs w:val="19"/>
          <w:color w:val="auto"/>
        </w:rPr>
        <w:t>"), and intramuscular, or</w:t>
      </w:r>
    </w:p>
    <w:p>
      <w:pPr>
        <w:spacing w:after="0" w:line="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color w:val="auto"/>
        </w:rPr>
        <w:t>subcutaneous administration.</w:t>
      </w:r>
      <w:r>
        <w:rPr>
          <w:rFonts w:ascii="Times New Roman" w:cs="Times New Roman" w:eastAsia="Times New Roman" w:hAnsi="Times New Roman"/>
          <w:sz w:val="31"/>
          <w:szCs w:val="3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235839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58390" cy="7620"/>
                    </a:xfrm>
                    <a:prstGeom prst="rect">
                      <a:avLst/>
                    </a:prstGeom>
                    <a:noFill/>
                  </pic:spPr>
                </pic:pic>
              </a:graphicData>
            </a:graphic>
          </wp:anchor>
        </w:drawing>
      </w:r>
    </w:p>
    <w:p>
      <w:pPr>
        <w:spacing w:after="0" w:line="167" w:lineRule="exact"/>
        <w:rPr>
          <w:sz w:val="20"/>
          <w:szCs w:val="20"/>
          <w:color w:val="auto"/>
        </w:rPr>
      </w:pPr>
    </w:p>
    <w:p>
      <w:pPr>
        <w:jc w:val="both"/>
        <w:ind w:left="5" w:hanging="5"/>
        <w:spacing w:after="0" w:line="220" w:lineRule="auto"/>
        <w:tabs>
          <w:tab w:leader="none" w:pos="145" w:val="left"/>
        </w:tabs>
        <w:numPr>
          <w:ilvl w:val="0"/>
          <w:numId w:val="16"/>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9"/>
          <w:szCs w:val="19"/>
          <w:color w:val="auto"/>
        </w:rPr>
        <w:t>This is a forward-looking statement that involves material assumptions by the Corporation.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8" w:lineRule="exact"/>
        <w:rPr>
          <w:rFonts w:ascii="Times New Roman" w:cs="Times New Roman" w:eastAsia="Times New Roman" w:hAnsi="Times New Roman"/>
          <w:sz w:val="32"/>
          <w:szCs w:val="32"/>
          <w:color w:val="auto"/>
          <w:vertAlign w:val="superscript"/>
        </w:rPr>
      </w:pPr>
    </w:p>
    <w:p>
      <w:pPr>
        <w:ind w:left="5"/>
        <w:spacing w:after="0"/>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31"/>
          <w:szCs w:val="31"/>
          <w:color w:val="auto"/>
          <w:vertAlign w:val="superscript"/>
        </w:rPr>
        <w:t>4</w:t>
      </w:r>
      <w:r>
        <w:rPr>
          <w:rFonts w:ascii="Times New Roman" w:cs="Times New Roman" w:eastAsia="Times New Roman" w:hAnsi="Times New Roman"/>
          <w:sz w:val="19"/>
          <w:szCs w:val="19"/>
          <w:color w:val="auto"/>
        </w:rPr>
        <w:t xml:space="preserve"> See footnote 1.</w:t>
      </w:r>
    </w:p>
    <w:p>
      <w:pPr>
        <w:spacing w:after="0" w:line="3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106045</wp:posOffset>
            </wp:positionV>
            <wp:extent cx="716978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5"/>
          </w:cols>
          <w:pgMar w:left="315" w:top="111" w:right="319" w:bottom="1440" w:gutter="0" w:footer="0" w:header="0"/>
        </w:sectPr>
      </w:pPr>
    </w:p>
    <w:bookmarkStart w:id="22" w:name="page23"/>
    <w:bookmarkEnd w:id="22"/>
    <w:p>
      <w:pPr>
        <w:ind w:left="5"/>
        <w:spacing w:after="0"/>
        <w:rPr>
          <w:sz w:val="20"/>
          <w:szCs w:val="20"/>
          <w:color w:val="auto"/>
        </w:rPr>
      </w:pPr>
      <w:r>
        <w:rPr>
          <w:rFonts w:ascii="Times New Roman" w:cs="Times New Roman" w:eastAsia="Times New Roman" w:hAnsi="Times New Roman"/>
          <w:sz w:val="19"/>
          <w:szCs w:val="19"/>
          <w:color w:val="auto"/>
        </w:rPr>
        <w:t>The Corporation intends to apply for regulatory approval for therapies targeting indications such as major depressive disorder, alcohol use disorder,</w:t>
      </w:r>
    </w:p>
    <w:p>
      <w:pPr>
        <w:spacing w:after="0" w:line="20" w:lineRule="exact"/>
        <w:rPr>
          <w:sz w:val="20"/>
          <w:szCs w:val="20"/>
          <w:color w:val="auto"/>
        </w:rPr>
      </w:pPr>
    </w:p>
    <w:p>
      <w:pPr>
        <w:jc w:val="both"/>
        <w:ind w:left="5"/>
        <w:spacing w:after="0" w:line="221" w:lineRule="auto"/>
        <w:rPr>
          <w:sz w:val="20"/>
          <w:szCs w:val="20"/>
          <w:color w:val="auto"/>
        </w:rPr>
      </w:pPr>
      <w:r>
        <w:rPr>
          <w:rFonts w:ascii="Times New Roman" w:cs="Times New Roman" w:eastAsia="Times New Roman" w:hAnsi="Times New Roman"/>
          <w:sz w:val="19"/>
          <w:szCs w:val="19"/>
          <w:color w:val="auto"/>
        </w:rPr>
        <w:t>generalized anxiety disorder and potentially other various mental health conditions.</w:t>
      </w:r>
      <w:r>
        <w:rPr>
          <w:rFonts w:ascii="Times New Roman" w:cs="Times New Roman" w:eastAsia="Times New Roman" w:hAnsi="Times New Roman"/>
          <w:sz w:val="31"/>
          <w:szCs w:val="31"/>
          <w:color w:val="auto"/>
          <w:vertAlign w:val="superscript"/>
        </w:rPr>
        <w:t>5</w:t>
      </w:r>
      <w:r>
        <w:rPr>
          <w:rFonts w:ascii="Times New Roman" w:cs="Times New Roman" w:eastAsia="Times New Roman" w:hAnsi="Times New Roman"/>
          <w:sz w:val="19"/>
          <w:szCs w:val="19"/>
          <w:color w:val="auto"/>
        </w:rPr>
        <w:t xml:space="preserve"> The Corporation is also developing compounds that may have the potential to address neuroinflammation, central nervous system disorders, and psychiatric disorders.</w:t>
      </w:r>
      <w:r>
        <w:rPr>
          <w:rFonts w:ascii="Times New Roman" w:cs="Times New Roman" w:eastAsia="Times New Roman" w:hAnsi="Times New Roman"/>
          <w:sz w:val="31"/>
          <w:szCs w:val="31"/>
          <w:color w:val="auto"/>
          <w:vertAlign w:val="superscript"/>
        </w:rPr>
        <w:t>6</w:t>
      </w:r>
    </w:p>
    <w:p>
      <w:pPr>
        <w:spacing w:after="0" w:line="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color w:val="auto"/>
        </w:rPr>
        <w:t>Further, over the next 12-month period, the Corporation will continue to seek to establish strategic partnerships that advance the Corporation's</w:t>
      </w:r>
    </w:p>
    <w:p>
      <w:pPr>
        <w:spacing w:after="0" w:line="9" w:lineRule="exact"/>
        <w:rPr>
          <w:sz w:val="20"/>
          <w:szCs w:val="20"/>
          <w:color w:val="auto"/>
        </w:rPr>
      </w:pPr>
    </w:p>
    <w:p>
      <w:pPr>
        <w:jc w:val="both"/>
        <w:ind w:left="5" w:right="20"/>
        <w:spacing w:after="0" w:line="197" w:lineRule="auto"/>
        <w:rPr>
          <w:sz w:val="20"/>
          <w:szCs w:val="20"/>
          <w:color w:val="auto"/>
        </w:rPr>
      </w:pPr>
      <w:r>
        <w:rPr>
          <w:rFonts w:ascii="Times New Roman" w:cs="Times New Roman" w:eastAsia="Times New Roman" w:hAnsi="Times New Roman"/>
          <w:sz w:val="19"/>
          <w:szCs w:val="19"/>
          <w:color w:val="auto"/>
        </w:rPr>
        <w:t>scientific research and IP for new psychedelic-based compounds and novel delivery mechanisms.</w:t>
      </w:r>
      <w:r>
        <w:rPr>
          <w:rFonts w:ascii="Times New Roman" w:cs="Times New Roman" w:eastAsia="Times New Roman" w:hAnsi="Times New Roman"/>
          <w:sz w:val="31"/>
          <w:szCs w:val="31"/>
          <w:color w:val="auto"/>
          <w:vertAlign w:val="superscript"/>
        </w:rPr>
        <w:t>7</w:t>
      </w:r>
      <w:r>
        <w:rPr>
          <w:rFonts w:ascii="Times New Roman" w:cs="Times New Roman" w:eastAsia="Times New Roman" w:hAnsi="Times New Roman"/>
          <w:sz w:val="19"/>
          <w:szCs w:val="19"/>
          <w:color w:val="auto"/>
        </w:rPr>
        <w:t xml:space="preserve"> The Corporation will also continue to sponsor select internal and partner-related clinical trials that advance the understanding of safety and efficacy for various psychedelic agents that target</w:t>
      </w:r>
    </w:p>
    <w:p>
      <w:pPr>
        <w:spacing w:after="0" w:line="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color w:val="auto"/>
        </w:rPr>
        <w:t>mental health conditions.</w:t>
      </w:r>
      <w:r>
        <w:rPr>
          <w:rFonts w:ascii="Times New Roman" w:cs="Times New Roman" w:eastAsia="Times New Roman" w:hAnsi="Times New Roman"/>
          <w:sz w:val="31"/>
          <w:szCs w:val="31"/>
          <w:color w:val="auto"/>
          <w:vertAlign w:val="superscript"/>
        </w:rPr>
        <w:t>8</w:t>
      </w:r>
    </w:p>
    <w:p>
      <w:pPr>
        <w:spacing w:after="0" w:line="45" w:lineRule="exact"/>
        <w:rPr>
          <w:sz w:val="20"/>
          <w:szCs w:val="20"/>
          <w:color w:val="auto"/>
        </w:rPr>
      </w:pPr>
    </w:p>
    <w:p>
      <w:pPr>
        <w:jc w:val="both"/>
        <w:ind w:left="5"/>
        <w:spacing w:after="0" w:line="237" w:lineRule="auto"/>
        <w:rPr>
          <w:sz w:val="20"/>
          <w:szCs w:val="20"/>
          <w:color w:val="auto"/>
        </w:rPr>
      </w:pPr>
      <w:r>
        <w:rPr>
          <w:rFonts w:ascii="Times New Roman" w:cs="Times New Roman" w:eastAsia="Times New Roman" w:hAnsi="Times New Roman"/>
          <w:sz w:val="19"/>
          <w:szCs w:val="19"/>
          <w:color w:val="auto"/>
        </w:rPr>
        <w:t>The Corporation has determined that its business and the advancement of its research and development activities, including clinical development programs, are not substantially dependent on any single agreement that has not otherwise been disclosed as a material contract. This assessment reflects the Corporation’s current stage of development, operational structure, and the status of its clinical trials. In the event that the Corporation’s relationship with a third-party strategic partner is terminated, the Corporation would seek to engage a new partner to continue advancing its clinical development programs. The Corporation currently has over 20 clinical sites supporting its CYB003 program and is aware of other strategic partners capable of providing similar support. While the replacement of a strategic partner may affect projected timelines and costs, the Corporation does not consider this a material risk to the progression of its clinical development programs. Accordingly, the Corporation does not consider all its third-party strategic partner agreements to be currently material. The Corporation will continue to assess the materiality of these agreements on an ongoing basis as circumstances warrant.</w:t>
      </w:r>
    </w:p>
    <w:p>
      <w:pPr>
        <w:spacing w:after="0" w:line="128"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9"/>
          <w:szCs w:val="19"/>
          <w:color w:val="auto"/>
        </w:rPr>
        <w:t>For additional information in respect of the Corporation and its operations, please see the Annual Information Form and the Interim MD&amp;A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235839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58390" cy="7620"/>
                    </a:xfrm>
                    <a:prstGeom prst="rect">
                      <a:avLst/>
                    </a:prstGeom>
                    <a:noFill/>
                  </pic:spPr>
                </pic:pic>
              </a:graphicData>
            </a:graphic>
          </wp:anchor>
        </w:drawing>
      </w:r>
    </w:p>
    <w:p>
      <w:pPr>
        <w:spacing w:after="0" w:line="113" w:lineRule="exact"/>
        <w:rPr>
          <w:sz w:val="20"/>
          <w:szCs w:val="20"/>
          <w:color w:val="auto"/>
        </w:rPr>
      </w:pPr>
    </w:p>
    <w:p>
      <w:pPr>
        <w:ind w:left="125" w:hanging="125"/>
        <w:spacing w:after="0"/>
        <w:tabs>
          <w:tab w:leader="none" w:pos="125" w:val="left"/>
        </w:tabs>
        <w:numPr>
          <w:ilvl w:val="0"/>
          <w:numId w:val="17"/>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9"/>
          <w:szCs w:val="19"/>
          <w:color w:val="auto"/>
        </w:rPr>
        <w:t>See footnote 3.</w:t>
      </w:r>
    </w:p>
    <w:p>
      <w:pPr>
        <w:spacing w:after="0" w:line="35" w:lineRule="exact"/>
        <w:rPr>
          <w:rFonts w:ascii="Times New Roman" w:cs="Times New Roman" w:eastAsia="Times New Roman" w:hAnsi="Times New Roman"/>
          <w:sz w:val="32"/>
          <w:szCs w:val="32"/>
          <w:color w:val="auto"/>
          <w:vertAlign w:val="superscript"/>
        </w:rPr>
      </w:pPr>
    </w:p>
    <w:p>
      <w:pPr>
        <w:ind w:left="5"/>
        <w:spacing w:after="0" w:line="181" w:lineRule="auto"/>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30"/>
          <w:szCs w:val="30"/>
          <w:color w:val="auto"/>
          <w:vertAlign w:val="superscript"/>
        </w:rPr>
        <w:t>6</w:t>
      </w:r>
      <w:r>
        <w:rPr>
          <w:rFonts w:ascii="Times New Roman" w:cs="Times New Roman" w:eastAsia="Times New Roman" w:hAnsi="Times New Roman"/>
          <w:sz w:val="18"/>
          <w:szCs w:val="18"/>
          <w:color w:val="auto"/>
        </w:rPr>
        <w:t xml:space="preserve"> See footnote 3.</w:t>
      </w:r>
    </w:p>
    <w:p>
      <w:pPr>
        <w:ind w:left="5"/>
        <w:spacing w:after="0" w:line="181" w:lineRule="auto"/>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30"/>
          <w:szCs w:val="30"/>
          <w:color w:val="auto"/>
          <w:vertAlign w:val="superscript"/>
        </w:rPr>
        <w:t>7</w:t>
      </w:r>
      <w:r>
        <w:rPr>
          <w:rFonts w:ascii="Times New Roman" w:cs="Times New Roman" w:eastAsia="Times New Roman" w:hAnsi="Times New Roman"/>
          <w:sz w:val="18"/>
          <w:szCs w:val="18"/>
          <w:color w:val="auto"/>
        </w:rPr>
        <w:t xml:space="preserve"> See footnote 3.</w:t>
      </w:r>
    </w:p>
    <w:p>
      <w:pPr>
        <w:ind w:left="5"/>
        <w:spacing w:after="0"/>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31"/>
          <w:szCs w:val="31"/>
          <w:color w:val="auto"/>
          <w:vertAlign w:val="superscript"/>
        </w:rPr>
        <w:t>8</w:t>
      </w:r>
      <w:r>
        <w:rPr>
          <w:rFonts w:ascii="Times New Roman" w:cs="Times New Roman" w:eastAsia="Times New Roman" w:hAnsi="Times New Roman"/>
          <w:sz w:val="19"/>
          <w:szCs w:val="19"/>
          <w:color w:val="auto"/>
        </w:rPr>
        <w:t xml:space="preserve"> See footnote 3.</w:t>
      </w:r>
    </w:p>
    <w:p>
      <w:pPr>
        <w:spacing w:after="0" w:line="2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106045</wp:posOffset>
            </wp:positionV>
            <wp:extent cx="716978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5"/>
          </w:cols>
          <w:pgMar w:left="315" w:top="115" w:right="319" w:bottom="1440" w:gutter="0" w:footer="0" w:header="0"/>
        </w:sectPr>
      </w:pPr>
    </w:p>
    <w:bookmarkStart w:id="23" w:name="page24"/>
    <w:bookmarkEnd w:id="23"/>
    <w:p>
      <w:pPr>
        <w:ind w:left="5"/>
        <w:spacing w:after="0"/>
        <w:rPr>
          <w:sz w:val="20"/>
          <w:szCs w:val="20"/>
          <w:color w:val="auto"/>
        </w:rPr>
      </w:pPr>
      <w:r>
        <w:rPr>
          <w:rFonts w:ascii="Times New Roman" w:cs="Times New Roman" w:eastAsia="Times New Roman" w:hAnsi="Times New Roman"/>
          <w:sz w:val="19"/>
          <w:szCs w:val="19"/>
          <w:b w:val="1"/>
          <w:bCs w:val="1"/>
          <w:color w:val="auto"/>
        </w:rPr>
        <w:t>Inter-Corporate Relationships</w:t>
      </w:r>
    </w:p>
    <w:p>
      <w:pPr>
        <w:spacing w:after="0" w:line="15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color w:val="auto"/>
        </w:rPr>
        <w:t>As at the date of this Prospectus,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116205</wp:posOffset>
            </wp:positionV>
            <wp:extent cx="3724910" cy="24707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24910" cy="2470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b w:val="1"/>
          <w:bCs w:val="1"/>
          <w:color w:val="auto"/>
        </w:rPr>
        <w:t>Select Recent Developments</w:t>
      </w:r>
    </w:p>
    <w:p>
      <w:pPr>
        <w:spacing w:after="0" w:line="152"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9"/>
          <w:szCs w:val="19"/>
          <w:color w:val="auto"/>
        </w:rPr>
        <w:t>Other than as set forth below and generally in this Prospectus or the documents incorporated by reference herein, there have been no material developments in the business of the Corporation since August 13, 2025, the date of the Interim Financial Statements and Interim MD&amp;A.</w:t>
      </w:r>
    </w:p>
    <w:p>
      <w:pPr>
        <w:spacing w:after="0" w:line="114" w:lineRule="exact"/>
        <w:rPr>
          <w:sz w:val="20"/>
          <w:szCs w:val="20"/>
          <w:color w:val="auto"/>
        </w:rPr>
      </w:pPr>
    </w:p>
    <w:p>
      <w:pPr>
        <w:jc w:val="both"/>
        <w:ind w:left="5" w:right="20"/>
        <w:spacing w:after="0" w:line="241" w:lineRule="auto"/>
        <w:rPr>
          <w:sz w:val="20"/>
          <w:szCs w:val="20"/>
          <w:color w:val="auto"/>
        </w:rPr>
      </w:pPr>
      <w:r>
        <w:rPr>
          <w:rFonts w:ascii="Times New Roman" w:cs="Times New Roman" w:eastAsia="Times New Roman" w:hAnsi="Times New Roman"/>
          <w:sz w:val="19"/>
          <w:szCs w:val="19"/>
          <w:color w:val="auto"/>
        </w:rPr>
        <w:t>On August 26, 2025, the Corporation announced that it has received approval in Australia to conduct the EMBRACE study. EMBRACE is the second pivotal study in PARADIGM, the Corporation’s Phase 3 multinational program evaluating CYB003, its proprietary deuterated psilocin analog. The Corporation has received approval through the Clinical Trial Notification scheme, obtained clearance form multiple Ethics Committees of the Australian Therapeutics Goods Administration, and the study site Research Governance Offices, thus allowing the commencements of the EMBRACE study.</w:t>
      </w:r>
    </w:p>
    <w:p>
      <w:pPr>
        <w:spacing w:after="0" w:line="121" w:lineRule="exact"/>
        <w:rPr>
          <w:sz w:val="20"/>
          <w:szCs w:val="20"/>
          <w:color w:val="auto"/>
        </w:rPr>
      </w:pPr>
    </w:p>
    <w:p>
      <w:pPr>
        <w:jc w:val="both"/>
        <w:ind w:left="5"/>
        <w:spacing w:after="0" w:line="248" w:lineRule="auto"/>
        <w:rPr>
          <w:sz w:val="20"/>
          <w:szCs w:val="20"/>
          <w:color w:val="auto"/>
        </w:rPr>
      </w:pPr>
      <w:r>
        <w:rPr>
          <w:rFonts w:ascii="Times New Roman" w:cs="Times New Roman" w:eastAsia="Times New Roman" w:hAnsi="Times New Roman"/>
          <w:sz w:val="19"/>
          <w:szCs w:val="19"/>
          <w:color w:val="auto"/>
        </w:rPr>
        <w:t>On September 2, 2025, the Corporation announced that, effective September 2, 2025, Douglas Drysdale has stepped down as the Corporation’s Chief Executive Officer. The Corporation’s co-founder and President, Eric So, has been appointed as Interim Chief Executive Officer by the Board of Directors.</w:t>
      </w:r>
    </w:p>
    <w:p>
      <w:pPr>
        <w:spacing w:after="0" w:line="115" w:lineRule="exact"/>
        <w:rPr>
          <w:sz w:val="20"/>
          <w:szCs w:val="20"/>
          <w:color w:val="auto"/>
        </w:rPr>
      </w:pPr>
    </w:p>
    <w:p>
      <w:pPr>
        <w:jc w:val="both"/>
        <w:ind w:left="5"/>
        <w:spacing w:after="0" w:line="298" w:lineRule="auto"/>
        <w:rPr>
          <w:sz w:val="20"/>
          <w:szCs w:val="20"/>
          <w:color w:val="auto"/>
        </w:rPr>
      </w:pPr>
      <w:r>
        <w:rPr>
          <w:rFonts w:ascii="Times New Roman" w:cs="Times New Roman" w:eastAsia="Times New Roman" w:hAnsi="Times New Roman"/>
          <w:sz w:val="18"/>
          <w:szCs w:val="18"/>
          <w:color w:val="auto"/>
        </w:rPr>
        <w:t>On September 8, 2025, the Corporation announced completion of enrollment in its Phase 2 study evaluating CYB004, a proprietary DMT program, for the treatment of Generalized Anxiety Disorder and reaffirms top line data guidance expected in the first quarter of 2026.</w:t>
      </w:r>
      <w:r>
        <w:rPr>
          <w:rFonts w:ascii="Times New Roman" w:cs="Times New Roman" w:eastAsia="Times New Roman" w:hAnsi="Times New Roman"/>
          <w:sz w:val="30"/>
          <w:szCs w:val="30"/>
          <w:color w:val="auto"/>
          <w:vertAlign w:val="superscript"/>
        </w:rPr>
        <w:t>9</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5839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58390" cy="7620"/>
                    </a:xfrm>
                    <a:prstGeom prst="rect">
                      <a:avLst/>
                    </a:prstGeom>
                    <a:noFill/>
                  </pic:spPr>
                </pic:pic>
              </a:graphicData>
            </a:graphic>
          </wp:anchor>
        </w:drawing>
      </w:r>
    </w:p>
    <w:p>
      <w:pPr>
        <w:ind w:left="125" w:hanging="125"/>
        <w:spacing w:after="0" w:line="229" w:lineRule="auto"/>
        <w:tabs>
          <w:tab w:leader="none" w:pos="125" w:val="left"/>
        </w:tabs>
        <w:numPr>
          <w:ilvl w:val="0"/>
          <w:numId w:val="18"/>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9"/>
          <w:szCs w:val="19"/>
          <w:color w:val="auto"/>
        </w:rPr>
        <w:t>There is no assurance that this timeline will be met. See footnote 3.</w:t>
      </w:r>
    </w:p>
    <w:p>
      <w:pPr>
        <w:spacing w:after="0" w:line="33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106045</wp:posOffset>
            </wp:positionV>
            <wp:extent cx="716978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5"/>
          </w:cols>
          <w:pgMar w:left="315" w:top="111"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9"/>
          <w:szCs w:val="19"/>
          <w:b w:val="1"/>
          <w:bCs w:val="1"/>
          <w:color w:val="auto"/>
        </w:rPr>
        <w:t>REGULATORY OVERVIEW</w:t>
      </w:r>
    </w:p>
    <w:p>
      <w:pPr>
        <w:spacing w:after="0" w:line="15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A summary of the applicable regulatory framework for the Corporation's various business segments and proposed business activity are set forth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Canada</w:t>
      </w:r>
    </w:p>
    <w:p>
      <w:pPr>
        <w:spacing w:after="0" w:line="15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Certain psychoactive compounds, such as psilocin, are considered controlled substances under Schedule III of the CDSA. In order to conduct any scientific research, including preclinical and clinical trials, using psychoactive compounds listed as controlled substances under the CDSA, an exemption under Section 56 of the CDSA (a "</w:t>
      </w:r>
      <w:r>
        <w:rPr>
          <w:rFonts w:ascii="Times New Roman" w:cs="Times New Roman" w:eastAsia="Times New Roman" w:hAnsi="Times New Roman"/>
          <w:sz w:val="19"/>
          <w:szCs w:val="19"/>
          <w:b w:val="1"/>
          <w:bCs w:val="1"/>
          <w:color w:val="auto"/>
        </w:rPr>
        <w:t>Section 56 Exemption</w:t>
      </w:r>
      <w:r>
        <w:rPr>
          <w:rFonts w:ascii="Times New Roman" w:cs="Times New Roman" w:eastAsia="Times New Roman" w:hAnsi="Times New Roman"/>
          <w:sz w:val="19"/>
          <w:szCs w:val="19"/>
          <w:color w:val="auto"/>
        </w:rPr>
        <w:t>") is required.</w:t>
      </w:r>
    </w:p>
    <w:p>
      <w:pPr>
        <w:spacing w:after="0" w:line="127"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Health Canada has not approved psilocin as a drug for any indication. However, there are legal routes through which psilocin may be accessed for medical or scientific purposes. The Canadian Minister of Health can grant Section 56 Exemptions if it is deemed to be necessary for a medical or scientific purpose or is otherwise in the public interest. The Corporation has not applied for a Section 56 Exemption from Health Canada.</w:t>
      </w:r>
    </w:p>
    <w:p>
      <w:pPr>
        <w:spacing w:after="0" w:line="1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Health Canada's Special Access Program ("</w:t>
      </w:r>
      <w:r>
        <w:rPr>
          <w:rFonts w:ascii="Times New Roman" w:cs="Times New Roman" w:eastAsia="Times New Roman" w:hAnsi="Times New Roman"/>
          <w:sz w:val="19"/>
          <w:szCs w:val="19"/>
          <w:b w:val="1"/>
          <w:bCs w:val="1"/>
          <w:color w:val="auto"/>
        </w:rPr>
        <w:t>SAP</w:t>
      </w:r>
      <w:r>
        <w:rPr>
          <w:rFonts w:ascii="Times New Roman" w:cs="Times New Roman" w:eastAsia="Times New Roman" w:hAnsi="Times New Roman"/>
          <w:sz w:val="19"/>
          <w:szCs w:val="19"/>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psilocin through the SAP. The Corporation has not applied for access under the SAP.</w:t>
      </w:r>
    </w:p>
    <w:p>
      <w:pPr>
        <w:spacing w:after="0" w:line="12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(CDSA,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spacing w:after="0" w:line="140"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licenses and approvals described above.</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Please see "</w:t>
      </w:r>
      <w:r>
        <w:rPr>
          <w:rFonts w:ascii="Times New Roman" w:cs="Times New Roman" w:eastAsia="Times New Roman" w:hAnsi="Times New Roman"/>
          <w:sz w:val="19"/>
          <w:szCs w:val="19"/>
          <w:i w:val="1"/>
          <w:iCs w:val="1"/>
          <w:color w:val="auto"/>
        </w:rPr>
        <w:t>Description of the Business - Research and Development"</w:t>
      </w:r>
      <w:r>
        <w:rPr>
          <w:rFonts w:ascii="Times New Roman" w:cs="Times New Roman" w:eastAsia="Times New Roman" w:hAnsi="Times New Roman"/>
          <w:sz w:val="19"/>
          <w:szCs w:val="19"/>
          <w:color w:val="auto"/>
        </w:rPr>
        <w:t xml:space="preserve"> in the Annual Information Form for additional information concerning the regulation applicable to the process required before prescription drug product candidates may be marketed in Canada.</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25" w:name="page26"/>
    <w:bookmarkEnd w:id="25"/>
    <w:p>
      <w:pPr>
        <w:ind w:left="5"/>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153" w:lineRule="exact"/>
        <w:rPr>
          <w:sz w:val="20"/>
          <w:szCs w:val="20"/>
          <w:color w:val="auto"/>
        </w:rPr>
      </w:pPr>
    </w:p>
    <w:p>
      <w:pPr>
        <w:jc w:val="both"/>
        <w:ind w:left="5" w:right="20"/>
        <w:spacing w:after="0" w:line="238" w:lineRule="auto"/>
        <w:rPr>
          <w:sz w:val="20"/>
          <w:szCs w:val="20"/>
          <w:color w:val="auto"/>
        </w:rPr>
      </w:pPr>
      <w:r>
        <w:rPr>
          <w:rFonts w:ascii="Times New Roman" w:cs="Times New Roman" w:eastAsia="Times New Roman" w:hAnsi="Times New Roman"/>
          <w:sz w:val="19"/>
          <w:szCs w:val="19"/>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Anticipated timelines related to regulatory filings are based on reasonable assumptions informed by current knowledge and information available to the Corporation.</w:t>
      </w:r>
    </w:p>
    <w:p>
      <w:pPr>
        <w:spacing w:after="0" w:line="135" w:lineRule="exact"/>
        <w:rPr>
          <w:sz w:val="20"/>
          <w:szCs w:val="20"/>
          <w:color w:val="auto"/>
        </w:rPr>
      </w:pPr>
    </w:p>
    <w:p>
      <w:pPr>
        <w:jc w:val="both"/>
        <w:ind w:left="5"/>
        <w:spacing w:after="0" w:line="237" w:lineRule="auto"/>
        <w:rPr>
          <w:sz w:val="20"/>
          <w:szCs w:val="20"/>
          <w:color w:val="auto"/>
        </w:rPr>
      </w:pPr>
      <w:r>
        <w:rPr>
          <w:rFonts w:ascii="Times New Roman" w:cs="Times New Roman" w:eastAsia="Times New Roman" w:hAnsi="Times New Roman"/>
          <w:sz w:val="19"/>
          <w:szCs w:val="19"/>
          <w:color w:val="auto"/>
        </w:rPr>
        <w:t>Psilocybin, psilocin, DMT, and 5-Methoxy-DMT are strictly controlled under the federal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United States Drug Enforcement Administration ("</w:t>
      </w:r>
      <w:r>
        <w:rPr>
          <w:rFonts w:ascii="Times New Roman" w:cs="Times New Roman" w:eastAsia="Times New Roman" w:hAnsi="Times New Roman"/>
          <w:sz w:val="19"/>
          <w:szCs w:val="19"/>
          <w:b w:val="1"/>
          <w:bCs w:val="1"/>
          <w:color w:val="auto"/>
        </w:rPr>
        <w:t>DEA</w:t>
      </w:r>
      <w:r>
        <w:rPr>
          <w:rFonts w:ascii="Times New Roman" w:cs="Times New Roman" w:eastAsia="Times New Roman" w:hAnsi="Times New Roman"/>
          <w:sz w:val="19"/>
          <w:szCs w:val="19"/>
          <w:color w:val="auto"/>
        </w:rPr>
        <w:t>") and obtain DEA approval of the research proposal. A majority of state laws in the United States also classify psilocybin and psilocin as Schedule I controlled substances. For any product containing psilocin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24" w:lineRule="exact"/>
        <w:rPr>
          <w:sz w:val="20"/>
          <w:szCs w:val="20"/>
          <w:color w:val="auto"/>
        </w:rPr>
      </w:pPr>
    </w:p>
    <w:p>
      <w:pPr>
        <w:jc w:val="both"/>
        <w:ind w:left="5"/>
        <w:spacing w:after="0" w:line="266" w:lineRule="auto"/>
        <w:rPr>
          <w:sz w:val="20"/>
          <w:szCs w:val="20"/>
          <w:color w:val="auto"/>
        </w:rPr>
      </w:pPr>
      <w:r>
        <w:rPr>
          <w:rFonts w:ascii="Times New Roman" w:cs="Times New Roman" w:eastAsia="Times New Roman" w:hAnsi="Times New Roman"/>
          <w:sz w:val="19"/>
          <w:szCs w:val="19"/>
          <w:color w:val="auto"/>
        </w:rPr>
        <w:t xml:space="preserve">See </w:t>
      </w:r>
      <w:r>
        <w:rPr>
          <w:rFonts w:ascii="Times New Roman" w:cs="Times New Roman" w:eastAsia="Times New Roman" w:hAnsi="Times New Roman"/>
          <w:sz w:val="19"/>
          <w:szCs w:val="19"/>
          <w:i w:val="1"/>
          <w:iCs w:val="1"/>
          <w:color w:val="auto"/>
        </w:rPr>
        <w:t>"Description of the Business - Research and Development"</w:t>
      </w:r>
      <w:r>
        <w:rPr>
          <w:rFonts w:ascii="Times New Roman" w:cs="Times New Roman" w:eastAsia="Times New Roman" w:hAnsi="Times New Roman"/>
          <w:sz w:val="19"/>
          <w:szCs w:val="19"/>
          <w:color w:val="auto"/>
        </w:rPr>
        <w:t xml:space="preserve"> in the Annual Information Form for additional information concerning the regulation applicable to the process required before prescription drug product candidates may be marketed in the United States.</w:t>
      </w:r>
    </w:p>
    <w:p>
      <w:pPr>
        <w:spacing w:after="0" w:line="9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b w:val="1"/>
          <w:bCs w:val="1"/>
          <w:color w:val="auto"/>
        </w:rPr>
        <w:t>Europe (Netherlands)</w:t>
      </w:r>
    </w:p>
    <w:p>
      <w:pPr>
        <w:spacing w:after="0" w:line="160" w:lineRule="exact"/>
        <w:rPr>
          <w:sz w:val="20"/>
          <w:szCs w:val="20"/>
          <w:color w:val="auto"/>
        </w:rPr>
      </w:pPr>
    </w:p>
    <w:p>
      <w:pPr>
        <w:jc w:val="both"/>
        <w:ind w:left="5"/>
        <w:spacing w:after="0"/>
        <w:rPr>
          <w:sz w:val="20"/>
          <w:szCs w:val="20"/>
          <w:color w:val="auto"/>
        </w:rPr>
      </w:pPr>
      <w:r>
        <w:rPr>
          <w:rFonts w:ascii="Times New Roman" w:cs="Times New Roman" w:eastAsia="Times New Roman" w:hAnsi="Times New Roman"/>
          <w:sz w:val="19"/>
          <w:szCs w:val="19"/>
          <w:color w:val="auto"/>
        </w:rPr>
        <w:t>The International Narcotics Control Board ("</w:t>
      </w:r>
      <w:r>
        <w:rPr>
          <w:rFonts w:ascii="Times New Roman" w:cs="Times New Roman" w:eastAsia="Times New Roman" w:hAnsi="Times New Roman"/>
          <w:sz w:val="19"/>
          <w:szCs w:val="19"/>
          <w:b w:val="1"/>
          <w:bCs w:val="1"/>
          <w:color w:val="auto"/>
        </w:rPr>
        <w:t>INCB</w:t>
      </w:r>
      <w:r>
        <w:rPr>
          <w:rFonts w:ascii="Times New Roman" w:cs="Times New Roman" w:eastAsia="Times New Roman" w:hAnsi="Times New Roman"/>
          <w:sz w:val="19"/>
          <w:szCs w:val="19"/>
          <w:color w:val="auto"/>
        </w:rPr>
        <w:t>"), a United Nations ("</w:t>
      </w:r>
      <w:r>
        <w:rPr>
          <w:rFonts w:ascii="Times New Roman" w:cs="Times New Roman" w:eastAsia="Times New Roman" w:hAnsi="Times New Roman"/>
          <w:sz w:val="19"/>
          <w:szCs w:val="19"/>
          <w:b w:val="1"/>
          <w:bCs w:val="1"/>
          <w:color w:val="auto"/>
        </w:rPr>
        <w:t>UN</w:t>
      </w:r>
      <w:r>
        <w:rPr>
          <w:rFonts w:ascii="Times New Roman" w:cs="Times New Roman" w:eastAsia="Times New Roman" w:hAnsi="Times New Roman"/>
          <w:sz w:val="19"/>
          <w:szCs w:val="19"/>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24" w:lineRule="exact"/>
        <w:rPr>
          <w:sz w:val="20"/>
          <w:szCs w:val="20"/>
          <w:color w:val="auto"/>
        </w:rPr>
      </w:pPr>
    </w:p>
    <w:p>
      <w:pPr>
        <w:jc w:val="both"/>
        <w:ind w:left="5"/>
        <w:spacing w:after="0"/>
        <w:rPr>
          <w:sz w:val="20"/>
          <w:szCs w:val="20"/>
          <w:color w:val="auto"/>
        </w:rPr>
      </w:pPr>
      <w:r>
        <w:rPr>
          <w:rFonts w:ascii="Times New Roman" w:cs="Times New Roman" w:eastAsia="Times New Roman" w:hAnsi="Times New Roman"/>
          <w:sz w:val="19"/>
          <w:szCs w:val="19"/>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(which applies only in certain</w:t>
      </w:r>
    </w:p>
    <w:p>
      <w:pPr>
        <w:spacing w:after="0" w:line="2" w:lineRule="exact"/>
        <w:rPr>
          <w:sz w:val="20"/>
          <w:szCs w:val="20"/>
          <w:color w:val="auto"/>
        </w:rPr>
      </w:pPr>
    </w:p>
    <w:p>
      <w:pPr>
        <w:jc w:val="both"/>
        <w:ind w:left="5" w:right="20"/>
        <w:spacing w:after="0" w:line="209" w:lineRule="auto"/>
        <w:rPr>
          <w:sz w:val="20"/>
          <w:szCs w:val="20"/>
          <w:color w:val="auto"/>
        </w:rPr>
      </w:pPr>
      <w:r>
        <w:rPr>
          <w:rFonts w:ascii="Times New Roman" w:cs="Times New Roman" w:eastAsia="Times New Roman" w:hAnsi="Times New Roman"/>
          <w:sz w:val="19"/>
          <w:szCs w:val="19"/>
          <w:color w:val="auto"/>
        </w:rPr>
        <w:t>limited situations)</w:t>
      </w:r>
      <w:r>
        <w:rPr>
          <w:rFonts w:ascii="Times New Roman" w:cs="Times New Roman" w:eastAsia="Times New Roman" w:hAnsi="Times New Roman"/>
          <w:sz w:val="31"/>
          <w:szCs w:val="31"/>
          <w:color w:val="auto"/>
          <w:vertAlign w:val="superscript"/>
        </w:rPr>
        <w:t>10</w:t>
      </w:r>
      <w:r>
        <w:rPr>
          <w:rFonts w:ascii="Times New Roman" w:cs="Times New Roman" w:eastAsia="Times New Roman" w:hAnsi="Times New Roman"/>
          <w:sz w:val="19"/>
          <w:szCs w:val="19"/>
          <w:color w:val="auto"/>
        </w:rPr>
        <w:t xml:space="preserve">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334010</wp:posOffset>
            </wp:positionV>
            <wp:extent cx="235839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583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5" w:hanging="5"/>
        <w:spacing w:after="0" w:line="207" w:lineRule="auto"/>
        <w:tabs>
          <w:tab w:leader="none" w:pos="236" w:val="left"/>
        </w:tabs>
        <w:numPr>
          <w:ilvl w:val="0"/>
          <w:numId w:val="19"/>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9"/>
          <w:szCs w:val="19"/>
          <w:color w:val="auto"/>
        </w:rPr>
        <w:t>Decision 2005/387/JHA was repealed (by Directive (EU) 2017/2103 of the European Parliament and of the Council of November 15, 2017 amending Council Framework Decision 2004/757/JHA in order to include new psychoactive substances in the definition of 'drug' and repealing Council Decision 2005/387/JHA), but still continues to apply to new psychoactive substances in respect of which a Joint Report (as referred to in Article 5 of that Decision) has been submitted before November 23, 2018.</w:t>
      </w:r>
    </w:p>
    <w:p>
      <w:pPr>
        <w:spacing w:after="0" w:line="33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106045</wp:posOffset>
            </wp:positionV>
            <wp:extent cx="716978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5"/>
          </w:cols>
          <w:pgMar w:left="315" w:top="111" w:right="319" w:bottom="1440" w:gutter="0" w:footer="0" w:header="0"/>
        </w:sectPr>
      </w:pPr>
    </w:p>
    <w:bookmarkStart w:id="26" w:name="page27"/>
    <w:bookmarkEnd w:id="26"/>
    <w:p>
      <w:pPr>
        <w:jc w:val="both"/>
        <w:ind w:left="560" w:right="20"/>
        <w:spacing w:after="0" w:line="245" w:lineRule="auto"/>
        <w:rPr>
          <w:sz w:val="20"/>
          <w:szCs w:val="20"/>
          <w:color w:val="auto"/>
        </w:rPr>
      </w:pPr>
      <w:r>
        <w:rPr>
          <w:rFonts w:ascii="Times New Roman" w:cs="Times New Roman" w:eastAsia="Times New Roman" w:hAnsi="Times New Roman"/>
          <w:sz w:val="19"/>
          <w:szCs w:val="19"/>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-227330</wp:posOffset>
            </wp:positionV>
            <wp:extent cx="62865" cy="62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ind w:left="560" w:right="2520"/>
        <w:spacing w:after="0" w:line="233" w:lineRule="auto"/>
        <w:rPr>
          <w:sz w:val="20"/>
          <w:szCs w:val="20"/>
          <w:color w:val="auto"/>
        </w:rPr>
      </w:pPr>
      <w:r>
        <w:rPr>
          <w:rFonts w:ascii="Times New Roman" w:cs="Times New Roman" w:eastAsia="Times New Roman" w:hAnsi="Times New Roman"/>
          <w:sz w:val="19"/>
          <w:szCs w:val="19"/>
          <w:color w:val="auto"/>
        </w:rPr>
        <w:t>require that manufacture, trade, distribution and possession be under a special licence or prior authorization; provide for close supervision of the activities and acts mentioned in paragraphs (a)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-226695</wp:posOffset>
            </wp:positionV>
            <wp:extent cx="62865" cy="62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865" cy="6286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-92075</wp:posOffset>
            </wp:positionV>
            <wp:extent cx="62865" cy="62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ind w:left="560"/>
        <w:spacing w:after="0" w:line="235" w:lineRule="auto"/>
        <w:rPr>
          <w:sz w:val="20"/>
          <w:szCs w:val="20"/>
          <w:color w:val="auto"/>
        </w:rPr>
      </w:pPr>
      <w:r>
        <w:rPr>
          <w:rFonts w:ascii="Times New Roman" w:cs="Times New Roman" w:eastAsia="Times New Roman" w:hAnsi="Times New Roman"/>
          <w:sz w:val="19"/>
          <w:szCs w:val="19"/>
          <w:color w:val="auto"/>
        </w:rPr>
        <w:t>restrict the amount supplied to a duly authorized person to the quantity required for his authorized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-92710</wp:posOffset>
            </wp:positionV>
            <wp:extent cx="62865" cy="62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jc w:val="both"/>
        <w:ind w:left="560" w:right="20"/>
        <w:spacing w:after="0" w:line="233" w:lineRule="auto"/>
        <w:rPr>
          <w:sz w:val="20"/>
          <w:szCs w:val="20"/>
          <w:color w:val="auto"/>
        </w:rPr>
      </w:pPr>
      <w:r>
        <w:rPr>
          <w:rFonts w:ascii="Times New Roman" w:cs="Times New Roman" w:eastAsia="Times New Roman" w:hAnsi="Times New Roman"/>
          <w:sz w:val="19"/>
          <w:szCs w:val="19"/>
          <w:color w:val="auto"/>
        </w:rPr>
        <w:t>require that persons performing medical or scientific functions keep records concerning the acquisition of the substances and the details of their use, such records to be preserved for at least two years after the last use recorded therein;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-226695</wp:posOffset>
            </wp:positionV>
            <wp:extent cx="62865" cy="62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jc w:val="both"/>
        <w:ind w:left="560" w:right="20"/>
        <w:spacing w:after="0" w:line="238" w:lineRule="auto"/>
        <w:rPr>
          <w:sz w:val="20"/>
          <w:szCs w:val="20"/>
          <w:color w:val="auto"/>
        </w:rPr>
      </w:pPr>
      <w:r>
        <w:rPr>
          <w:rFonts w:ascii="Times New Roman" w:cs="Times New Roman" w:eastAsia="Times New Roman" w:hAnsi="Times New Roman"/>
          <w:sz w:val="19"/>
          <w:szCs w:val="19"/>
          <w:color w:val="auto"/>
        </w:rPr>
        <w:t>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-370205</wp:posOffset>
            </wp:positionV>
            <wp:extent cx="62865" cy="62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3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19"/>
          <w:szCs w:val="19"/>
          <w:b w:val="1"/>
          <w:bCs w:val="1"/>
          <w:color w:val="auto"/>
        </w:rPr>
        <w:t>Dutch Opium Act</w:t>
      </w:r>
      <w:r>
        <w:rPr>
          <w:rFonts w:ascii="Times New Roman" w:cs="Times New Roman" w:eastAsia="Times New Roman" w:hAnsi="Times New Roman"/>
          <w:sz w:val="19"/>
          <w:szCs w:val="19"/>
          <w:color w:val="auto"/>
        </w:rPr>
        <w:t>") and as such, subject to express authorization being obtained, the production, trade and possession of DMT are prohibited.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addition to the Dutch Opium Act, two other Dutch Acts may be relevant when it comes to drugs: the Medicines Act and the Commodities Act.</w:t>
      </w:r>
    </w:p>
    <w:p>
      <w:pPr>
        <w:spacing w:after="0" w:line="1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19"/>
          <w:szCs w:val="19"/>
          <w:b w:val="1"/>
          <w:bCs w:val="1"/>
          <w:color w:val="auto"/>
        </w:rPr>
        <w:t>CCMO</w:t>
      </w:r>
      <w:r>
        <w:rPr>
          <w:rFonts w:ascii="Times New Roman" w:cs="Times New Roman" w:eastAsia="Times New Roman" w:hAnsi="Times New Roman"/>
          <w:sz w:val="19"/>
          <w:szCs w:val="19"/>
          <w:color w:val="auto"/>
        </w:rPr>
        <w:t>"),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w:t>
      </w:r>
    </w:p>
    <w:p>
      <w:pPr>
        <w:spacing w:after="0" w:line="1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1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On April 26, 2023, the European Commission introduced a comprehensive "pharmaceutical package" aimed at revising the EU's pharmaceutical legislation. This package includes proposals for a new directive and regulation designed to enhance the availability, accessibility, and affordability of medicines. Additionally, it seeks to boost the competitiveness and attractiveness of the EU pharmaceutical industry while imposing higher environmental standards. The European Parliament has recently looked at these proposals to renovate the EU pharmaceutical legislation, and a newly elected Parliament will take up the proposal following the European elections of June 6-9,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Ireland</w:t>
      </w:r>
    </w:p>
    <w:p>
      <w:pPr>
        <w:spacing w:after="0" w:line="1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In Ireland, psilocin is a controlled substance under the Misuse of Drugs Act, 1977, 1984 and 2015 (the "</w:t>
      </w:r>
      <w:r>
        <w:rPr>
          <w:rFonts w:ascii="Times New Roman" w:cs="Times New Roman" w:eastAsia="Times New Roman" w:hAnsi="Times New Roman"/>
          <w:sz w:val="19"/>
          <w:szCs w:val="19"/>
          <w:b w:val="1"/>
          <w:bCs w:val="1"/>
          <w:color w:val="auto"/>
        </w:rPr>
        <w:t>Ireland MDA</w:t>
      </w:r>
      <w:r>
        <w:rPr>
          <w:rFonts w:ascii="Times New Roman" w:cs="Times New Roman" w:eastAsia="Times New Roman" w:hAnsi="Times New Roman"/>
          <w:sz w:val="19"/>
          <w:szCs w:val="19"/>
          <w:color w:val="auto"/>
        </w:rPr>
        <w:t>"), the Misuse of Drugs Regulations 2017 (the "</w:t>
      </w:r>
      <w:r>
        <w:rPr>
          <w:rFonts w:ascii="Times New Roman" w:cs="Times New Roman" w:eastAsia="Times New Roman" w:hAnsi="Times New Roman"/>
          <w:sz w:val="19"/>
          <w:szCs w:val="19"/>
          <w:b w:val="1"/>
          <w:bCs w:val="1"/>
          <w:color w:val="auto"/>
        </w:rPr>
        <w:t>Ireland MDR</w:t>
      </w:r>
      <w:r>
        <w:rPr>
          <w:rFonts w:ascii="Times New Roman" w:cs="Times New Roman" w:eastAsia="Times New Roman" w:hAnsi="Times New Roman"/>
          <w:sz w:val="19"/>
          <w:szCs w:val="19"/>
          <w:color w:val="auto"/>
        </w:rPr>
        <w:t>") and the Criminal Justice (Psychoactive Substances) Act 2010 (the "</w:t>
      </w:r>
      <w:r>
        <w:rPr>
          <w:rFonts w:ascii="Times New Roman" w:cs="Times New Roman" w:eastAsia="Times New Roman" w:hAnsi="Times New Roman"/>
          <w:sz w:val="19"/>
          <w:szCs w:val="19"/>
          <w:b w:val="1"/>
          <w:bCs w:val="1"/>
          <w:color w:val="auto"/>
        </w:rPr>
        <w:t>2010 Act</w:t>
      </w:r>
      <w:r>
        <w:rPr>
          <w:rFonts w:ascii="Times New Roman" w:cs="Times New Roman" w:eastAsia="Times New Roman" w:hAnsi="Times New Roman"/>
          <w:sz w:val="19"/>
          <w:szCs w:val="19"/>
          <w:color w:val="auto"/>
        </w:rPr>
        <w:t>"). These are the primary legislative instruments which govern controlled substances in Ireland. This legislation regulates the use, possession, supply, licensing, and administration of listed scheduled substances and establishes the offences and penalties for infringement of the legislation.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7" w:name="page28"/>
    <w:bookmarkEnd w:id="27"/>
    <w:p>
      <w:pPr>
        <w:jc w:val="both"/>
        <w:spacing w:after="0" w:line="248" w:lineRule="auto"/>
        <w:rPr>
          <w:sz w:val="20"/>
          <w:szCs w:val="20"/>
          <w:color w:val="auto"/>
        </w:rPr>
      </w:pPr>
      <w:r>
        <w:rPr>
          <w:rFonts w:ascii="Times New Roman" w:cs="Times New Roman" w:eastAsia="Times New Roman" w:hAnsi="Times New Roman"/>
          <w:sz w:val="19"/>
          <w:szCs w:val="19"/>
          <w:color w:val="auto"/>
        </w:rPr>
        <w:t>Any substance, product or preparation (whether natural or otherwise) including a fungus of any kind or description, which contains psilocin, or an ester of psilocin, is classed as a Schedule 1 controlled substance under the Ireland MDA and the Ireland MDR. Accordingly, psilocin is subject to the strict regime of control that applies.</w:t>
      </w:r>
    </w:p>
    <w:p>
      <w:pPr>
        <w:spacing w:after="0" w:line="1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As a Schedule 1 controlled substance under the Ireland MDA, unlawful manufacturing, production, preparation, importation, exportation, supply, or distribution of psilocin carries onerous obligations and harsh punishments for contravention; this includes prohibition orders, closure orders, fines and/or terms of imprisonment of up to 14 years. The Gardaí and Customs officials are granted powers to search persons, vehicles, premises and postal packages suspected of possessing/containing a Schedule 1 controlled substance and/or a psychoactive substance for human consumption.</w:t>
      </w:r>
    </w:p>
    <w:p>
      <w:pPr>
        <w:spacing w:after="0" w:line="13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 Further, the 2010 Act permits the Minister to make an order declaring that the Act shall not apply in relation to any "</w:t>
      </w:r>
      <w:r>
        <w:rPr>
          <w:rFonts w:ascii="Times New Roman" w:cs="Times New Roman" w:eastAsia="Times New Roman" w:hAnsi="Times New Roman"/>
          <w:sz w:val="19"/>
          <w:szCs w:val="19"/>
          <w:i w:val="1"/>
          <w:iCs w:val="1"/>
          <w:color w:val="auto"/>
        </w:rPr>
        <w:t>substance, product, preparation, plant, fungus or natural organism</w:t>
      </w:r>
      <w:r>
        <w:rPr>
          <w:rFonts w:ascii="Times New Roman" w:cs="Times New Roman" w:eastAsia="Times New Roman" w:hAnsi="Times New Roman"/>
          <w:sz w:val="19"/>
          <w:szCs w:val="19"/>
          <w:color w:val="auto"/>
        </w:rPr>
        <w:t>" as specified in the order.</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The Corporation does not currently engage in any activities in Ireland that are regulated by such laws. If the Corporation were to engage in such activities, it would need to obtain the appropriate licences and authorization to do so. The Corporation intends to constantly review its Irish operations to ensure compliance with all applicable laws as the operations evolve.</w:t>
      </w:r>
    </w:p>
    <w:p>
      <w:pPr>
        <w:spacing w:after="0" w:line="11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The Irish Government's Legislative Programme for Summer 2025 does not contain any proposed amendments to the above-mentioned legislation which currently govern controlled substances.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United Kingdom</w:t>
      </w:r>
    </w:p>
    <w:p>
      <w:pPr>
        <w:spacing w:after="0" w:line="1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The main UK controlled drugs legislation is the Misuse of Drugs Act 1971 (the "</w:t>
      </w:r>
      <w:r>
        <w:rPr>
          <w:rFonts w:ascii="Times New Roman" w:cs="Times New Roman" w:eastAsia="Times New Roman" w:hAnsi="Times New Roman"/>
          <w:sz w:val="19"/>
          <w:szCs w:val="19"/>
          <w:b w:val="1"/>
          <w:bCs w:val="1"/>
          <w:color w:val="auto"/>
        </w:rPr>
        <w:t>MDA</w:t>
      </w:r>
      <w:r>
        <w:rPr>
          <w:rFonts w:ascii="Times New Roman" w:cs="Times New Roman" w:eastAsia="Times New Roman" w:hAnsi="Times New Roman"/>
          <w:sz w:val="19"/>
          <w:szCs w:val="19"/>
          <w:color w:val="auto"/>
        </w:rPr>
        <w:t>") and the Misuse of Drugs Regulations 2001 (the "</w:t>
      </w:r>
      <w:r>
        <w:rPr>
          <w:rFonts w:ascii="Times New Roman" w:cs="Times New Roman" w:eastAsia="Times New Roman" w:hAnsi="Times New Roman"/>
          <w:sz w:val="19"/>
          <w:szCs w:val="19"/>
          <w:b w:val="1"/>
          <w:bCs w:val="1"/>
          <w:color w:val="auto"/>
        </w:rPr>
        <w:t>MDR</w:t>
      </w:r>
      <w:r>
        <w:rPr>
          <w:rFonts w:ascii="Times New Roman" w:cs="Times New Roman" w:eastAsia="Times New Roman" w:hAnsi="Times New Roman"/>
          <w:sz w:val="19"/>
          <w:szCs w:val="19"/>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2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In the United Kingdom, "Fungus (of any kind) which contains psilocin or an ester of psilocin" is controlled as a Class A drug under the MDA and Schedule 1 drug under the MDR.</w:t>
      </w:r>
    </w:p>
    <w:p>
      <w:pPr>
        <w:spacing w:after="0" w:line="1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which specifies the specific activities to which it relates together with any applicable conditions, issued by the UK Home Office. While exemptions do exist, none are applicable to the API. DMT is also considered a Class A drug under the MDA and as a Schedule I drug under the MDR.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28" w:name="page29"/>
    <w:bookmarkEnd w:id="28"/>
    <w:p>
      <w:pPr>
        <w:jc w:val="both"/>
        <w:ind w:left="5"/>
        <w:spacing w:after="0" w:line="238" w:lineRule="auto"/>
        <w:rPr>
          <w:sz w:val="20"/>
          <w:szCs w:val="20"/>
          <w:color w:val="auto"/>
        </w:rPr>
      </w:pPr>
      <w:r>
        <w:rPr>
          <w:rFonts w:ascii="Times New Roman" w:cs="Times New Roman" w:eastAsia="Times New Roman" w:hAnsi="Times New Roman"/>
          <w:sz w:val="19"/>
          <w:szCs w:val="19"/>
          <w:color w:val="auto"/>
        </w:rPr>
        <w:t>The Corporation previously mentioned that it intended to file a clinical trial application with the U.K. Medical and Healthcare Products Regulatory Agency ("MHRA") related to the Deuterated Psilocybin Analog Program upon completion of its pre-clinical studies and CMC development. The Corporation has since decided that it will first proceed in the U.S. and will reevaluate other applications at a later date. Anticipated timelines related to regulatory filings are based on reasonable assumptions informed by current knowledge and information available to the Corporation. Small Pharma has a controlled drug licence in respect of the offices at 50 Featherstone St, which was issued on June 6, 2024 and expired on June 5, 2025. An application for 2025 renewal has been made in good time prior to expiration. Although the new certificate has not yet been issued for 2025-2026, the Home Office has advised that the Corporation may continue to handle controlled drugs on the same terms and subject to the same conditions of the 2024-2025 licence.</w:t>
      </w:r>
    </w:p>
    <w:p>
      <w:pPr>
        <w:spacing w:after="0" w:line="12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u w:val="single" w:color="auto"/>
          <w:color w:val="auto"/>
        </w:rPr>
        <w:t>Licensing Requirements</w:t>
      </w:r>
    </w:p>
    <w:p>
      <w:pPr>
        <w:spacing w:after="0" w:line="160" w:lineRule="exact"/>
        <w:rPr>
          <w:sz w:val="20"/>
          <w:szCs w:val="20"/>
          <w:color w:val="auto"/>
        </w:rPr>
      </w:pPr>
    </w:p>
    <w:p>
      <w:pPr>
        <w:jc w:val="both"/>
        <w:ind w:left="5" w:right="20"/>
        <w:spacing w:after="0" w:line="252" w:lineRule="auto"/>
        <w:rPr>
          <w:sz w:val="20"/>
          <w:szCs w:val="20"/>
          <w:color w:val="auto"/>
        </w:rPr>
      </w:pPr>
      <w:r>
        <w:rPr>
          <w:rFonts w:ascii="Times New Roman" w:cs="Times New Roman" w:eastAsia="Times New Roman" w:hAnsi="Times New Roman"/>
          <w:sz w:val="18"/>
          <w:szCs w:val="18"/>
          <w:color w:val="auto"/>
        </w:rPr>
        <w:t>The Corporation obtains CYB003 API from a pharmaceutical ingredient provider who is FDA-registered and based in the United States. The API itself has been manufactured and packaged in FDA-registered facilities in the United States. The API is expected to be sent directly to the Corporation's partners for research and development purposes in the United States, Canada and the United Kingdom and to its clinical trial site in the U.S. As a part of the Corporation's acquisition of a Phase 1 DMT study from Entheon Biomedical Corp. in July 2022 (the "</w:t>
      </w:r>
      <w:r>
        <w:rPr>
          <w:rFonts w:ascii="Times New Roman" w:cs="Times New Roman" w:eastAsia="Times New Roman" w:hAnsi="Times New Roman"/>
          <w:sz w:val="18"/>
          <w:szCs w:val="18"/>
          <w:b w:val="1"/>
          <w:bCs w:val="1"/>
          <w:color w:val="auto"/>
        </w:rPr>
        <w:t>Asset Acquisition</w:t>
      </w:r>
      <w:r>
        <w:rPr>
          <w:rFonts w:ascii="Times New Roman" w:cs="Times New Roman" w:eastAsia="Times New Roman" w:hAnsi="Times New Roman"/>
          <w:sz w:val="18"/>
          <w:szCs w:val="18"/>
          <w:color w:val="auto"/>
        </w:rPr>
        <w:t>"), the Corporation also acquired API. The CYB004-E API was manufactured in the Netherlands by a pharmaceutical ingredient provider that is United</w:t>
      </w:r>
    </w:p>
    <w:p>
      <w:pPr>
        <w:spacing w:after="0" w:line="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color w:val="auto"/>
        </w:rPr>
        <w:t>States FDA-inspected.</w:t>
      </w:r>
      <w:r>
        <w:rPr>
          <w:rFonts w:ascii="Times New Roman" w:cs="Times New Roman" w:eastAsia="Times New Roman" w:hAnsi="Times New Roman"/>
          <w:sz w:val="31"/>
          <w:szCs w:val="31"/>
          <w:color w:val="auto"/>
          <w:vertAlign w:val="superscript"/>
        </w:rPr>
        <w:t>11</w:t>
      </w:r>
    </w:p>
    <w:p>
      <w:pPr>
        <w:spacing w:after="0" w:line="43" w:lineRule="exact"/>
        <w:rPr>
          <w:sz w:val="20"/>
          <w:szCs w:val="20"/>
          <w:color w:val="auto"/>
        </w:rPr>
      </w:pPr>
    </w:p>
    <w:p>
      <w:pPr>
        <w:jc w:val="both"/>
        <w:ind w:left="5"/>
        <w:spacing w:after="0" w:line="237" w:lineRule="auto"/>
        <w:rPr>
          <w:sz w:val="20"/>
          <w:szCs w:val="20"/>
          <w:color w:val="auto"/>
        </w:rPr>
      </w:pPr>
      <w:r>
        <w:rPr>
          <w:rFonts w:ascii="Times New Roman" w:cs="Times New Roman" w:eastAsia="Times New Roman" w:hAnsi="Times New Roman"/>
          <w:sz w:val="19"/>
          <w:szCs w:val="19"/>
          <w:color w:val="auto"/>
        </w:rPr>
        <w:t>As mentioned above, in order to produce, possess and supply the API at a UK-based facility, the facility must also hold a domestic licence issued by the Home Office covering the manufacture, production, possession and supply of a controlled substance. For export of the API to the United States, an export licence is required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and supplied, certain authorizations and licenses from the MHRA may be required to authorize some of the activities carried on at the UK-based facilities in relation to the API.</w:t>
      </w:r>
    </w:p>
    <w:p>
      <w:pPr>
        <w:spacing w:after="0" w:line="127" w:lineRule="exact"/>
        <w:rPr>
          <w:sz w:val="20"/>
          <w:szCs w:val="20"/>
          <w:color w:val="auto"/>
        </w:rPr>
      </w:pPr>
    </w:p>
    <w:p>
      <w:pPr>
        <w:jc w:val="both"/>
        <w:ind w:left="5" w:right="20"/>
        <w:spacing w:after="0" w:line="266" w:lineRule="auto"/>
        <w:rPr>
          <w:sz w:val="20"/>
          <w:szCs w:val="20"/>
          <w:color w:val="auto"/>
        </w:rPr>
      </w:pPr>
      <w:r>
        <w:rPr>
          <w:rFonts w:ascii="Times New Roman" w:cs="Times New Roman" w:eastAsia="Times New Roman" w:hAnsi="Times New Roman"/>
          <w:sz w:val="19"/>
          <w:szCs w:val="19"/>
          <w:color w:val="auto"/>
        </w:rPr>
        <w:t>All premises that are Home Office licensed, or are intending to be licensed, in connection with the possession, and/or supply and/or production of controlled drugs should consider certain security measures.</w:t>
      </w:r>
      <w:r>
        <w:rPr>
          <w:rFonts w:ascii="Times New Roman" w:cs="Times New Roman" w:eastAsia="Times New Roman" w:hAnsi="Times New Roman"/>
          <w:sz w:val="31"/>
          <w:szCs w:val="31"/>
          <w:color w:val="auto"/>
          <w:vertAlign w:val="superscript"/>
        </w:rPr>
        <w:t>12</w:t>
      </w:r>
    </w:p>
    <w:p>
      <w:pPr>
        <w:spacing w:after="0" w:line="1" w:lineRule="exact"/>
        <w:rPr>
          <w:sz w:val="20"/>
          <w:szCs w:val="20"/>
          <w:color w:val="auto"/>
        </w:rPr>
      </w:pPr>
    </w:p>
    <w:p>
      <w:pPr>
        <w:jc w:val="both"/>
        <w:ind w:left="5" w:right="20"/>
        <w:spacing w:after="0" w:line="252" w:lineRule="auto"/>
        <w:rPr>
          <w:sz w:val="20"/>
          <w:szCs w:val="20"/>
          <w:color w:val="auto"/>
        </w:rPr>
      </w:pPr>
      <w:r>
        <w:rPr>
          <w:rFonts w:ascii="Times New Roman" w:cs="Times New Roman" w:eastAsia="Times New Roman" w:hAnsi="Times New Roman"/>
          <w:sz w:val="18"/>
          <w:szCs w:val="18"/>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The MDA requires that every person in possession of controlled drugs holds an appropriate Home Office Licence and under the Home Office guidance, each organization involved in the movement of controlled drugs should have a standard operating procedure</w:t>
      </w:r>
    </w:p>
    <w:p>
      <w:pPr>
        <w:spacing w:after="0" w:line="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color w:val="auto"/>
        </w:rPr>
        <w:t>covering their responsibilities, record keeping, reconciliation and reporting of thefts/losses.</w:t>
      </w:r>
      <w:r>
        <w:rPr>
          <w:rFonts w:ascii="Times New Roman" w:cs="Times New Roman" w:eastAsia="Times New Roman" w:hAnsi="Times New Roman"/>
          <w:sz w:val="31"/>
          <w:szCs w:val="31"/>
          <w:color w:val="auto"/>
          <w:vertAlign w:val="superscript"/>
        </w:rPr>
        <w:t>13</w:t>
      </w:r>
    </w:p>
    <w:p>
      <w:pPr>
        <w:spacing w:after="0" w:line="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color w:val="auto"/>
        </w:rPr>
        <w:t>Small Pharma holds the appropriate UK Home Office licence required to sponsor clinical trials using Schedule I compounds.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342900</wp:posOffset>
            </wp:positionV>
            <wp:extent cx="235839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583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5" w:hanging="5"/>
        <w:spacing w:after="0" w:line="283" w:lineRule="auto"/>
        <w:tabs>
          <w:tab w:leader="none" w:pos="196"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As a result of the Asset Acquisition, including the existing API, the Corporation did not direct the manufacturing of the API for CYB004-E and proceeded in reliance upon the representations of Entheon Biomedical Corp. and the Corporation's acquisition diligence. While the Corporation believes the CYB004- E API meets all required specifications, the Corporation did not oversee or direct the manufacture of the DMT API being used in CYB004-E.</w:t>
      </w:r>
    </w:p>
    <w:p>
      <w:pPr>
        <w:spacing w:after="0" w:line="1" w:lineRule="exact"/>
        <w:rPr>
          <w:rFonts w:ascii="Times New Roman" w:cs="Times New Roman" w:eastAsia="Times New Roman" w:hAnsi="Times New Roman"/>
          <w:sz w:val="29"/>
          <w:szCs w:val="29"/>
          <w:color w:val="auto"/>
          <w:vertAlign w:val="superscript"/>
        </w:rPr>
      </w:pPr>
    </w:p>
    <w:p>
      <w:pPr>
        <w:ind w:left="205" w:hanging="205"/>
        <w:spacing w:after="0" w:line="185" w:lineRule="auto"/>
        <w:tabs>
          <w:tab w:leader="none" w:pos="205" w:val="left"/>
        </w:tabs>
        <w:numPr>
          <w:ilvl w:val="0"/>
          <w:numId w:val="2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Home Office guidance; Security guidance for all existing or prospective Home Office Controlled Drug Licensees and/or Precursor Chemical</w:t>
      </w:r>
    </w:p>
    <w:p>
      <w:pPr>
        <w:ind w:left="5"/>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9"/>
          <w:szCs w:val="19"/>
          <w:color w:val="auto"/>
        </w:rPr>
        <w:t>Licensees or Registrants; 2022; https://assets.publishing.service.gov.uk/media/63a1b6c8e90e075874d91825/ Security_Guidance_for_all_Businesses_and_Other_Organisations_v1.5_Nov_2022.pdf.</w:t>
      </w:r>
    </w:p>
    <w:p>
      <w:pPr>
        <w:spacing w:after="0" w:line="16" w:lineRule="exact"/>
        <w:rPr>
          <w:rFonts w:ascii="Times New Roman" w:cs="Times New Roman" w:eastAsia="Times New Roman" w:hAnsi="Times New Roman"/>
          <w:sz w:val="28"/>
          <w:szCs w:val="28"/>
          <w:color w:val="auto"/>
          <w:vertAlign w:val="superscript"/>
        </w:rPr>
      </w:pPr>
    </w:p>
    <w:p>
      <w:pPr>
        <w:ind w:left="105" w:hanging="105"/>
        <w:spacing w:after="0" w:line="187" w:lineRule="auto"/>
        <w:tabs>
          <w:tab w:leader="none" w:pos="242" w:val="left"/>
        </w:tabs>
        <w:numPr>
          <w:ilvl w:val="0"/>
          <w:numId w:val="20"/>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9"/>
          <w:szCs w:val="19"/>
          <w:color w:val="auto"/>
        </w:rPr>
        <w:t>Home Office guidance; Guidelines for Standard Operating Procedures (SOPs); https://assets.publishing.service.gov.uk/government/uploads/ system/uploads/attachment_data/file/480572/StandardOpProcedure.pdf.</w:t>
      </w:r>
    </w:p>
    <w:p>
      <w:pPr>
        <w:spacing w:after="0" w:line="33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106045</wp:posOffset>
            </wp:positionV>
            <wp:extent cx="716978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5"/>
          </w:cols>
          <w:pgMar w:left="315" w:top="11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9"/>
          <w:szCs w:val="19"/>
          <w:u w:val="single" w:color="auto"/>
          <w:color w:val="auto"/>
        </w:rPr>
        <w:t>Pharmaceutical Products</w:t>
      </w:r>
    </w:p>
    <w:p>
      <w:pPr>
        <w:spacing w:after="0" w:line="149"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A product is regulated as a "medicinal product" under UK legislation (the Human Medicines Regulations 2012, as amended)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32"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In respect of psilocybin/psilocin and DMT, whether a specific product restores, corrects or modifies a physiological function by exerting a pharmacological, immunological or metabolic action will depend on factors such as the concentration of the psilocybin/psilocin or DMT (as applicable) and the mode of action of any psilocybin/psilocin or DMT (as applicable) absorbed in the body. This requires scientific analysis.</w:t>
      </w:r>
    </w:p>
    <w:p>
      <w:pPr>
        <w:spacing w:after="0" w:line="11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If a product is a medicinal product, the Human Medicines Regulations 2012 require that a marketing authorization for the product granted by the UK Licensing Authority should be in place before the product is placed on the market in the UK (other, more limited, licensing options are available, such as a conditional marketing authorization), unless the product falls within one of the specified exemptions, such as supply in response to an unsolicited request from a healthcare professional to meet the special clinical needs of a particular patient under his/her care. Following the UK's exit from the EU and the end of the transitional period, up to (and including) December 31, 2024, there were separate licensing routes and licences for products supplied: (i) in Great Britain only; (ii) in Northern Ireland only; and (iii) across the UK. From January 1, 2025, the UK Licensing Authority now licenses products across the whole of the UK through UK-wide licenses, removing the separate licensing routes for Great Britain and Northern Ireland for many medicinal products. The process for obtaining a standard marketing authorization generally involves submitting preclinical and clinical data as well as quality and manufacturing information in the form of a common technical document to the MHRA. In addition to a marketing authorization for the product itself, companies carrying out activities involving medicinal products, such as manufacturing, distribution and wholesaling, need to meet defined standards (GMP) and/or Good Distribution Practice ("</w:t>
      </w:r>
      <w:r>
        <w:rPr>
          <w:rFonts w:ascii="Times New Roman" w:cs="Times New Roman" w:eastAsia="Times New Roman" w:hAnsi="Times New Roman"/>
          <w:sz w:val="19"/>
          <w:szCs w:val="19"/>
          <w:b w:val="1"/>
          <w:bCs w:val="1"/>
          <w:color w:val="auto"/>
        </w:rPr>
        <w:t>GDP</w:t>
      </w:r>
      <w:r>
        <w:rPr>
          <w:rFonts w:ascii="Times New Roman" w:cs="Times New Roman" w:eastAsia="Times New Roman" w:hAnsi="Times New Roman"/>
          <w:sz w:val="19"/>
          <w:szCs w:val="19"/>
          <w:color w:val="auto"/>
        </w:rPr>
        <w:t>") and to hold a related licence from the MHRA.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the API is subsequently processed will determine the licences (in addition to any applicable Home Office licenses as referred to above) that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UK-based facility must hold. In particular:</w:t>
      </w:r>
    </w:p>
    <w:p>
      <w:pPr>
        <w:spacing w:after="0" w:line="160" w:lineRule="exact"/>
        <w:rPr>
          <w:sz w:val="20"/>
          <w:szCs w:val="20"/>
          <w:color w:val="auto"/>
        </w:rPr>
      </w:pPr>
    </w:p>
    <w:p>
      <w:pPr>
        <w:jc w:val="both"/>
        <w:ind w:left="560" w:right="20"/>
        <w:spacing w:after="0" w:line="244" w:lineRule="auto"/>
        <w:rPr>
          <w:sz w:val="20"/>
          <w:szCs w:val="20"/>
          <w:color w:val="auto"/>
        </w:rPr>
      </w:pPr>
      <w:r>
        <w:rPr>
          <w:rFonts w:ascii="Times New Roman" w:cs="Times New Roman" w:eastAsia="Times New Roman" w:hAnsi="Times New Roman"/>
          <w:sz w:val="19"/>
          <w:szCs w:val="19"/>
          <w:color w:val="auto"/>
        </w:rPr>
        <w:t>if the API is just one 'ingredient' (i.e. active substance) of the investigational medicinal product (the "</w:t>
      </w:r>
      <w:r>
        <w:rPr>
          <w:rFonts w:ascii="Times New Roman" w:cs="Times New Roman" w:eastAsia="Times New Roman" w:hAnsi="Times New Roman"/>
          <w:sz w:val="19"/>
          <w:szCs w:val="19"/>
          <w:b w:val="1"/>
          <w:bCs w:val="1"/>
          <w:color w:val="auto"/>
        </w:rPr>
        <w:t>IMP</w:t>
      </w:r>
      <w:r>
        <w:rPr>
          <w:rFonts w:ascii="Times New Roman" w:cs="Times New Roman" w:eastAsia="Times New Roman" w:hAnsi="Times New Roman"/>
          <w:sz w:val="19"/>
          <w:szCs w:val="19"/>
          <w:color w:val="auto"/>
        </w:rPr>
        <w:t>") which is used in the clinical trial then the UK-based facility must apply to be registered with the MHRA and provide the MHRA with 60 days' notice of the intended start of manufacture, import or distribution of the API, and comply with GMP and GDP for active substances; furthermore, an MHRA inspection may be required;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-506730</wp:posOffset>
            </wp:positionV>
            <wp:extent cx="62865" cy="62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13" w:lineRule="exact"/>
        <w:rPr>
          <w:sz w:val="20"/>
          <w:szCs w:val="20"/>
          <w:color w:val="auto"/>
        </w:rPr>
      </w:pPr>
    </w:p>
    <w:p>
      <w:pPr>
        <w:jc w:val="both"/>
        <w:ind w:left="560"/>
        <w:spacing w:after="0" w:line="243" w:lineRule="auto"/>
        <w:rPr>
          <w:sz w:val="20"/>
          <w:szCs w:val="20"/>
          <w:color w:val="auto"/>
        </w:rPr>
      </w:pPr>
      <w:r>
        <w:rPr>
          <w:rFonts w:ascii="Times New Roman" w:cs="Times New Roman" w:eastAsia="Times New Roman" w:hAnsi="Times New Roman"/>
          <w:sz w:val="19"/>
          <w:szCs w:val="19"/>
          <w:color w:val="auto"/>
        </w:rPr>
        <w:t>conversely, if the API will itself constitute the IMP, the manufacturer must, except in certain limited circumstances, hold a Manufacturer's Authorizations for IMPs licence ("</w:t>
      </w:r>
      <w:r>
        <w:rPr>
          <w:rFonts w:ascii="Times New Roman" w:cs="Times New Roman" w:eastAsia="Times New Roman" w:hAnsi="Times New Roman"/>
          <w:sz w:val="19"/>
          <w:szCs w:val="19"/>
          <w:b w:val="1"/>
          <w:bCs w:val="1"/>
          <w:color w:val="auto"/>
        </w:rPr>
        <w:t>MIA(IMP)")</w:t>
      </w:r>
      <w:r>
        <w:rPr>
          <w:rFonts w:ascii="Times New Roman" w:cs="Times New Roman" w:eastAsia="Times New Roman" w:hAnsi="Times New Roman"/>
          <w:sz w:val="19"/>
          <w:szCs w:val="19"/>
          <w:color w:val="auto"/>
        </w:rPr>
        <w:t xml:space="preserve"> granted by the MHRA. In this scenario, assuming the IMP is manufactured or assembled in the UK, an MIA(IMP) would be required regardless of whether the IMP is for use in clinical trials in the UK, an EEA Member State or a third country (such as the United States or Canada). GMP, GDP and inspection requirements will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-506730</wp:posOffset>
            </wp:positionV>
            <wp:extent cx="62865" cy="62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3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Some products fall on the borderline between medicines and other categories of regulated products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Research and Development</w:t>
      </w:r>
    </w:p>
    <w:p>
      <w:pPr>
        <w:spacing w:after="0" w:line="15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Corporation is focused on development of psychedelic medicines and other products, through research and development of novel chemical compounds and delivery mechanisms and study of such compounds in clinical environments around the world. The Corporation anticipates growing its pipeline of psychedelic pharmaceutical products inspired medicines through its internal research, development, proprietary discovery programs, mergers and acquisitions, joint ventures and collaborative development agreements. The Corporation continues to assess and explore a range of strategic opportunities, including potential mergers and acquisitions, joint ventures and collaborative development agreements, consistent with its growth strategy. At this time, the Corporation has not entered into any definitive agreements or arrangements in respect of such opportunities, nor is it engaged in any meaningful negotiations that would require disclosure in this Prospectus.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0" w:name="page31"/>
    <w:bookmarkEnd w:id="30"/>
    <w:p>
      <w:pPr>
        <w:jc w:val="both"/>
        <w:spacing w:after="0" w:line="239" w:lineRule="auto"/>
        <w:rPr>
          <w:sz w:val="20"/>
          <w:szCs w:val="20"/>
          <w:color w:val="auto"/>
        </w:rPr>
      </w:pPr>
      <w:r>
        <w:rPr>
          <w:rFonts w:ascii="Times New Roman" w:cs="Times New Roman" w:eastAsia="Times New Roman" w:hAnsi="Times New Roman"/>
          <w:sz w:val="19"/>
          <w:szCs w:val="19"/>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19"/>
          <w:szCs w:val="19"/>
          <w:i w:val="1"/>
          <w:iCs w:val="1"/>
          <w:color w:val="auto"/>
        </w:rPr>
        <w:t>Psilocybe</w:t>
      </w:r>
      <w:r>
        <w:rPr>
          <w:rFonts w:ascii="Times New Roman" w:cs="Times New Roman" w:eastAsia="Times New Roman" w:hAnsi="Times New Roman"/>
          <w:sz w:val="19"/>
          <w:szCs w:val="19"/>
          <w:color w:val="auto"/>
        </w:rPr>
        <w:t xml:space="preserve">, such as P. </w:t>
      </w:r>
      <w:r>
        <w:rPr>
          <w:rFonts w:ascii="Times New Roman" w:cs="Times New Roman" w:eastAsia="Times New Roman" w:hAnsi="Times New Roman"/>
          <w:sz w:val="19"/>
          <w:szCs w:val="19"/>
          <w:i w:val="1"/>
          <w:iCs w:val="1"/>
          <w:color w:val="auto"/>
        </w:rPr>
        <w:t>azurescens</w:t>
      </w:r>
      <w:r>
        <w:rPr>
          <w:rFonts w:ascii="Times New Roman" w:cs="Times New Roman" w:eastAsia="Times New Roman" w:hAnsi="Times New Roman"/>
          <w:sz w:val="19"/>
          <w:szCs w:val="19"/>
          <w:color w:val="auto"/>
        </w:rPr>
        <w:t xml:space="preserve">, P. </w:t>
      </w:r>
      <w:r>
        <w:rPr>
          <w:rFonts w:ascii="Times New Roman" w:cs="Times New Roman" w:eastAsia="Times New Roman" w:hAnsi="Times New Roman"/>
          <w:sz w:val="19"/>
          <w:szCs w:val="19"/>
          <w:i w:val="1"/>
          <w:iCs w:val="1"/>
          <w:color w:val="auto"/>
        </w:rPr>
        <w:t>semilanceata</w:t>
      </w:r>
      <w:r>
        <w:rPr>
          <w:rFonts w:ascii="Times New Roman" w:cs="Times New Roman" w:eastAsia="Times New Roman" w:hAnsi="Times New Roman"/>
          <w:sz w:val="19"/>
          <w:szCs w:val="19"/>
          <w:color w:val="auto"/>
        </w:rPr>
        <w:t xml:space="preserve">, and P. </w:t>
      </w:r>
      <w:r>
        <w:rPr>
          <w:rFonts w:ascii="Times New Roman" w:cs="Times New Roman" w:eastAsia="Times New Roman" w:hAnsi="Times New Roman"/>
          <w:sz w:val="19"/>
          <w:szCs w:val="19"/>
          <w:i w:val="1"/>
          <w:iCs w:val="1"/>
          <w:color w:val="auto"/>
        </w:rPr>
        <w:t>cyanescens</w:t>
      </w:r>
      <w:r>
        <w:rPr>
          <w:rFonts w:ascii="Times New Roman" w:cs="Times New Roman" w:eastAsia="Times New Roman" w:hAnsi="Times New Roman"/>
          <w:sz w:val="19"/>
          <w:szCs w:val="19"/>
          <w:color w:val="auto"/>
        </w:rPr>
        <w:t>, but psilocybin has also been isolated from about a dozen other genera. As a prodrug, psilocybin is quickly converted by the body to psilocin, which has mind-altering effects.</w:t>
      </w:r>
    </w:p>
    <w:p>
      <w:pPr>
        <w:spacing w:after="0" w:line="12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The pharmacokinetics, pharmacology and human metabolism of psilocin are well known and well characterized. In conjunction with psychotherapy, psilocin has been utilized broadly in phase II clinical trials.</w:t>
      </w:r>
    </w:p>
    <w:p>
      <w:pPr>
        <w:spacing w:after="0" w:line="11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0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The Corporation has commenced research and development on the delivery of synthetic psilocin and other psychedelics through mechanisms such as sublingual film delivery, IV, and by way of inhalation.</w:t>
      </w:r>
    </w:p>
    <w:p>
      <w:pPr>
        <w:spacing w:after="0" w:line="10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Research and development is led by the Corporation's North American Chief Scientific Officer, Alex Nivorozhkin Ph.D., a seasoned medicinal chemist, drug delivery expert and founder of multiple biotech companies.</w:t>
      </w:r>
    </w:p>
    <w:p>
      <w:pPr>
        <w:spacing w:after="0" w:line="11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The Corporation's research and development must be conducted in strict compliance with the regulations of federal, state, local and regulatory agencies in Canada, the United States and the UK, and the equivalent regulatory agencies in the other jurisdictions in which the Corporation operates. These regulatory authorities regulate, among other things, the research, manufacture, promotion and distribution of drugs in specific jurisdictions under applicable laws and regulations.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Canada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process required before a prescription drug product candidate may be marketed in Canada generally involves:</w:t>
      </w:r>
    </w:p>
    <w:p>
      <w:pPr>
        <w:spacing w:after="0" w:line="180"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9"/>
          <w:szCs w:val="19"/>
          <w:i w:val="1"/>
          <w:iCs w:val="1"/>
          <w:color w:val="auto"/>
        </w:rPr>
        <w:t xml:space="preserve">Chemical and Biological Research - </w:t>
      </w:r>
      <w:r>
        <w:rPr>
          <w:rFonts w:ascii="Times New Roman" w:cs="Times New Roman" w:eastAsia="Times New Roman" w:hAnsi="Times New Roman"/>
          <w:sz w:val="19"/>
          <w:szCs w:val="19"/>
          <w:color w:val="auto"/>
        </w:rPr>
        <w:t>Laboratory tests are carried out on tissue cultures and with a variety of small animals to determine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effects of the drug. If the results are promising, the manufacturer will proceed to the next step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-249555</wp:posOffset>
            </wp:positionV>
            <wp:extent cx="62865" cy="62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87" w:lineRule="exact"/>
        <w:rPr>
          <w:sz w:val="20"/>
          <w:szCs w:val="20"/>
          <w:color w:val="auto"/>
        </w:rPr>
      </w:pPr>
    </w:p>
    <w:p>
      <w:pPr>
        <w:jc w:val="both"/>
        <w:ind w:left="560" w:right="20"/>
        <w:spacing w:after="0" w:line="266" w:lineRule="auto"/>
        <w:rPr>
          <w:sz w:val="20"/>
          <w:szCs w:val="20"/>
          <w:color w:val="auto"/>
        </w:rPr>
      </w:pPr>
      <w:r>
        <w:rPr>
          <w:rFonts w:ascii="Times New Roman" w:cs="Times New Roman" w:eastAsia="Times New Roman" w:hAnsi="Times New Roman"/>
          <w:sz w:val="19"/>
          <w:szCs w:val="19"/>
          <w:i w:val="1"/>
          <w:iCs w:val="1"/>
          <w:color w:val="auto"/>
        </w:rPr>
        <w:t xml:space="preserve">Pre-Clinical Development - </w:t>
      </w:r>
      <w:r>
        <w:rPr>
          <w:rFonts w:ascii="Times New Roman" w:cs="Times New Roman" w:eastAsia="Times New Roman" w:hAnsi="Times New Roman"/>
          <w:sz w:val="19"/>
          <w:szCs w:val="19"/>
          <w:color w:val="auto"/>
        </w:rPr>
        <w:t>Animals are given the drug in varying amounts over differing periods of time. If it can be shown that the drug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causes no serious or unexpected harm at the doses required to have an effect, the manufacturer will proceed to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-249555</wp:posOffset>
            </wp:positionV>
            <wp:extent cx="62865" cy="62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11" w:lineRule="exact"/>
        <w:rPr>
          <w:sz w:val="20"/>
          <w:szCs w:val="20"/>
          <w:color w:val="auto"/>
        </w:rPr>
      </w:pPr>
    </w:p>
    <w:p>
      <w:pPr>
        <w:jc w:val="both"/>
        <w:ind w:left="560" w:right="20"/>
        <w:spacing w:after="0" w:line="244" w:lineRule="auto"/>
        <w:rPr>
          <w:sz w:val="20"/>
          <w:szCs w:val="20"/>
          <w:color w:val="auto"/>
        </w:rPr>
      </w:pPr>
      <w:r>
        <w:rPr>
          <w:rFonts w:ascii="Times New Roman" w:cs="Times New Roman" w:eastAsia="Times New Roman" w:hAnsi="Times New Roman"/>
          <w:sz w:val="19"/>
          <w:szCs w:val="19"/>
          <w:i w:val="1"/>
          <w:iCs w:val="1"/>
          <w:color w:val="auto"/>
        </w:rPr>
        <w:t xml:space="preserve">Clinical Trials - Phase I - </w:t>
      </w:r>
      <w:r>
        <w:rPr>
          <w:rFonts w:ascii="Times New Roman" w:cs="Times New Roman" w:eastAsia="Times New Roman" w:hAnsi="Times New Roman"/>
          <w:sz w:val="19"/>
          <w:szCs w:val="19"/>
          <w:color w:val="auto"/>
        </w:rPr>
        <w:t>The first administration in humans is to test if people can tolerate the drug. If this testing is to take place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Canada, the manufacturer must prepare a clinical trial application for the Therapeutic Products Directorate of Health Canada (the "</w:t>
      </w:r>
      <w:r>
        <w:rPr>
          <w:rFonts w:ascii="Times New Roman" w:cs="Times New Roman" w:eastAsia="Times New Roman" w:hAnsi="Times New Roman"/>
          <w:sz w:val="19"/>
          <w:szCs w:val="19"/>
          <w:b w:val="1"/>
          <w:bCs w:val="1"/>
          <w:color w:val="auto"/>
        </w:rPr>
        <w:t>TPD</w:t>
      </w:r>
      <w:r>
        <w:rPr>
          <w:rFonts w:ascii="Times New Roman" w:cs="Times New Roman" w:eastAsia="Times New Roman" w:hAnsi="Times New Roman"/>
          <w:sz w:val="19"/>
          <w:szCs w:val="19"/>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19"/>
          <w:szCs w:val="19"/>
          <w:b w:val="1"/>
          <w:bCs w:val="1"/>
          <w:color w:val="auto"/>
        </w:rPr>
        <w:t>HPFB</w:t>
      </w:r>
      <w:r>
        <w:rPr>
          <w:rFonts w:ascii="Times New Roman" w:cs="Times New Roman" w:eastAsia="Times New Roman" w:hAnsi="Times New Roman"/>
          <w:sz w:val="19"/>
          <w:szCs w:val="19"/>
          <w:color w:val="auto"/>
        </w:rPr>
        <w:t>") grants permission to start testing the drug, generally first on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-506730</wp:posOffset>
            </wp:positionV>
            <wp:extent cx="62865" cy="62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97" w:lineRule="exact"/>
        <w:rPr>
          <w:sz w:val="20"/>
          <w:szCs w:val="20"/>
          <w:color w:val="auto"/>
        </w:rPr>
      </w:pPr>
    </w:p>
    <w:p>
      <w:pPr>
        <w:jc w:val="both"/>
        <w:ind w:left="560"/>
        <w:spacing w:after="0" w:line="250" w:lineRule="auto"/>
        <w:rPr>
          <w:sz w:val="20"/>
          <w:szCs w:val="20"/>
          <w:color w:val="auto"/>
        </w:rPr>
      </w:pPr>
      <w:r>
        <w:rPr>
          <w:rFonts w:ascii="Times New Roman" w:cs="Times New Roman" w:eastAsia="Times New Roman" w:hAnsi="Times New Roman"/>
          <w:sz w:val="19"/>
          <w:szCs w:val="19"/>
          <w:i w:val="1"/>
          <w:iCs w:val="1"/>
          <w:color w:val="auto"/>
        </w:rPr>
        <w:t xml:space="preserve">Clinical Trials - Phase II - </w:t>
      </w:r>
      <w:r>
        <w:rPr>
          <w:rFonts w:ascii="Times New Roman" w:cs="Times New Roman" w:eastAsia="Times New Roman" w:hAnsi="Times New Roman"/>
          <w:sz w:val="19"/>
          <w:szCs w:val="19"/>
          <w:color w:val="auto"/>
        </w:rPr>
        <w:t>Phase II trials are carried out on people with the target condition, who are usually otherwise healthy, with no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medical condition. Trials carried out in Canada must be approved by the TPD. In phase II, the objective of the trials is to continue to gather information on the safety of the drug and begin to determine its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-375920</wp:posOffset>
            </wp:positionV>
            <wp:extent cx="62865" cy="62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1" w:name="page32"/>
    <w:bookmarkEnd w:id="31"/>
    <w:p>
      <w:pPr>
        <w:jc w:val="both"/>
        <w:ind w:left="560"/>
        <w:spacing w:after="0" w:line="244" w:lineRule="auto"/>
        <w:rPr>
          <w:sz w:val="20"/>
          <w:szCs w:val="20"/>
          <w:color w:val="auto"/>
        </w:rPr>
      </w:pPr>
      <w:r>
        <w:rPr>
          <w:rFonts w:ascii="Times New Roman" w:cs="Times New Roman" w:eastAsia="Times New Roman" w:hAnsi="Times New Roman"/>
          <w:sz w:val="19"/>
          <w:szCs w:val="19"/>
          <w:i w:val="1"/>
          <w:iCs w:val="1"/>
          <w:color w:val="auto"/>
        </w:rPr>
        <w:t xml:space="preserve">Clinical Trials - Phase III - </w:t>
      </w:r>
      <w:r>
        <w:rPr>
          <w:rFonts w:ascii="Times New Roman" w:cs="Times New Roman" w:eastAsia="Times New Roman" w:hAnsi="Times New Roman"/>
          <w:sz w:val="19"/>
          <w:szCs w:val="19"/>
          <w:color w:val="auto"/>
        </w:rPr>
        <w:t>If the results from phase II show promise, the manufacturer provides an updated clinical trial application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-507365</wp:posOffset>
            </wp:positionV>
            <wp:extent cx="62865" cy="62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96" w:lineRule="exact"/>
        <w:rPr>
          <w:sz w:val="20"/>
          <w:szCs w:val="20"/>
          <w:color w:val="auto"/>
        </w:rPr>
      </w:pPr>
    </w:p>
    <w:p>
      <w:pPr>
        <w:jc w:val="both"/>
        <w:ind w:left="560"/>
        <w:spacing w:after="0" w:line="242" w:lineRule="auto"/>
        <w:rPr>
          <w:sz w:val="20"/>
          <w:szCs w:val="20"/>
          <w:color w:val="auto"/>
        </w:rPr>
      </w:pPr>
      <w:r>
        <w:rPr>
          <w:rFonts w:ascii="Times New Roman" w:cs="Times New Roman" w:eastAsia="Times New Roman" w:hAnsi="Times New Roman"/>
          <w:sz w:val="19"/>
          <w:szCs w:val="19"/>
          <w:i w:val="1"/>
          <w:iCs w:val="1"/>
          <w:color w:val="auto"/>
        </w:rPr>
        <w:t xml:space="preserve">New Drug Submission - </w:t>
      </w:r>
      <w:r>
        <w:rPr>
          <w:rFonts w:ascii="Times New Roman" w:cs="Times New Roman" w:eastAsia="Times New Roman" w:hAnsi="Times New Roman"/>
          <w:sz w:val="19"/>
          <w:szCs w:val="19"/>
          <w:color w:val="auto"/>
        </w:rPr>
        <w:t>If the results from phase III continue to be favourable, the drug manufacturer can submit a new drug submission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NDS</w:t>
      </w:r>
      <w:r>
        <w:rPr>
          <w:rFonts w:ascii="Times New Roman" w:cs="Times New Roman" w:eastAsia="Times New Roman" w:hAnsi="Times New Roman"/>
          <w:sz w:val="19"/>
          <w:szCs w:val="19"/>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-641985</wp:posOffset>
            </wp:positionV>
            <wp:extent cx="62865" cy="62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United States</w:t>
      </w:r>
    </w:p>
    <w:p>
      <w:pPr>
        <w:spacing w:after="0" w:line="160"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Because psilocybin, psilocin, DMT, and 5-Methoxy-DMT are listed as Schedule I substances under the CSA, for any product containing psilocin or any Schedule I substance to be available for commercial marketing in the United States, such substance must be rescheduled, or the product itself must be scheduled, by the DEA to Schedule II, III, IV or V.</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process required before a prescription drug product candidate may be marketed in the United States generally involves:</w:t>
      </w:r>
    </w:p>
    <w:p>
      <w:pPr>
        <w:spacing w:after="0" w:line="184" w:lineRule="exact"/>
        <w:rPr>
          <w:sz w:val="20"/>
          <w:szCs w:val="20"/>
          <w:color w:val="auto"/>
        </w:rPr>
      </w:pPr>
    </w:p>
    <w:p>
      <w:pPr>
        <w:jc w:val="both"/>
        <w:ind w:left="560" w:right="20"/>
        <w:spacing w:after="0" w:line="244" w:lineRule="auto"/>
        <w:rPr>
          <w:sz w:val="20"/>
          <w:szCs w:val="20"/>
          <w:color w:val="auto"/>
        </w:rPr>
      </w:pPr>
      <w:r>
        <w:rPr>
          <w:rFonts w:ascii="Times New Roman" w:cs="Times New Roman" w:eastAsia="Times New Roman" w:hAnsi="Times New Roman"/>
          <w:sz w:val="19"/>
          <w:szCs w:val="19"/>
          <w:color w:val="auto"/>
        </w:rPr>
        <w:t>completion of extensive nonclinical laboratory tests, animal studies and formulation studies, all performed in accordance with the FDA's GLP, Good Clinical and/or GMP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-226695</wp:posOffset>
            </wp:positionV>
            <wp:extent cx="62865" cy="62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ind w:left="560"/>
        <w:spacing w:after="0" w:line="235" w:lineRule="auto"/>
        <w:rPr>
          <w:sz w:val="20"/>
          <w:szCs w:val="20"/>
          <w:color w:val="auto"/>
        </w:rPr>
      </w:pPr>
      <w:r>
        <w:rPr>
          <w:rFonts w:ascii="Times New Roman" w:cs="Times New Roman" w:eastAsia="Times New Roman" w:hAnsi="Times New Roman"/>
          <w:sz w:val="19"/>
          <w:szCs w:val="19"/>
          <w:color w:val="auto"/>
        </w:rPr>
        <w:t>submission to the FDA of an IND Application, which the FDA must approve before human clinical trials may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-92710</wp:posOffset>
            </wp:positionV>
            <wp:extent cx="62865" cy="62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jc w:val="both"/>
        <w:ind w:left="560" w:right="20"/>
        <w:spacing w:after="0" w:line="233" w:lineRule="auto"/>
        <w:rPr>
          <w:sz w:val="20"/>
          <w:szCs w:val="20"/>
          <w:color w:val="auto"/>
        </w:rPr>
      </w:pPr>
      <w:r>
        <w:rPr>
          <w:rFonts w:ascii="Times New Roman" w:cs="Times New Roman" w:eastAsia="Times New Roman" w:hAnsi="Times New Roman"/>
          <w:sz w:val="19"/>
          <w:szCs w:val="19"/>
          <w:color w:val="auto"/>
        </w:rPr>
        <w:t>approval by an independent institutional review board ("</w:t>
      </w:r>
      <w:r>
        <w:rPr>
          <w:rFonts w:ascii="Times New Roman" w:cs="Times New Roman" w:eastAsia="Times New Roman" w:hAnsi="Times New Roman"/>
          <w:sz w:val="19"/>
          <w:szCs w:val="19"/>
          <w:b w:val="1"/>
          <w:bCs w:val="1"/>
          <w:color w:val="auto"/>
        </w:rPr>
        <w:t>IRB</w:t>
      </w:r>
      <w:r>
        <w:rPr>
          <w:rFonts w:ascii="Times New Roman" w:cs="Times New Roman" w:eastAsia="Times New Roman" w:hAnsi="Times New Roman"/>
          <w:sz w:val="19"/>
          <w:szCs w:val="19"/>
          <w:color w:val="auto"/>
        </w:rPr>
        <w:t>") or independent ethics committee at each clinical trial site before each trial may be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-226695</wp:posOffset>
            </wp:positionV>
            <wp:extent cx="62865" cy="62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jc w:val="both"/>
        <w:ind w:left="560"/>
        <w:spacing w:after="0" w:line="233" w:lineRule="auto"/>
        <w:rPr>
          <w:sz w:val="20"/>
          <w:szCs w:val="20"/>
          <w:color w:val="auto"/>
        </w:rPr>
      </w:pPr>
      <w:r>
        <w:rPr>
          <w:rFonts w:ascii="Times New Roman" w:cs="Times New Roman" w:eastAsia="Times New Roman" w:hAnsi="Times New Roman"/>
          <w:sz w:val="19"/>
          <w:szCs w:val="19"/>
          <w:color w:val="auto"/>
        </w:rPr>
        <w:t>for nearly all new pharmaceutical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-361315</wp:posOffset>
            </wp:positionV>
            <wp:extent cx="62865" cy="62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ind w:left="560"/>
        <w:spacing w:after="0" w:line="236" w:lineRule="auto"/>
        <w:rPr>
          <w:sz w:val="20"/>
          <w:szCs w:val="20"/>
          <w:color w:val="auto"/>
        </w:rPr>
      </w:pPr>
      <w:r>
        <w:rPr>
          <w:rFonts w:ascii="Times New Roman" w:cs="Times New Roman" w:eastAsia="Times New Roman" w:hAnsi="Times New Roman"/>
          <w:sz w:val="19"/>
          <w:szCs w:val="19"/>
          <w:color w:val="auto"/>
        </w:rPr>
        <w:t>submission to the FDA of a New Drug Application ("</w:t>
      </w:r>
      <w:r>
        <w:rPr>
          <w:rFonts w:ascii="Times New Roman" w:cs="Times New Roman" w:eastAsia="Times New Roman" w:hAnsi="Times New Roman"/>
          <w:sz w:val="19"/>
          <w:szCs w:val="19"/>
          <w:b w:val="1"/>
          <w:bCs w:val="1"/>
          <w:color w:val="auto"/>
        </w:rPr>
        <w:t>NDA</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-92710</wp:posOffset>
            </wp:positionV>
            <wp:extent cx="62865" cy="62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jc w:val="both"/>
        <w:ind w:left="560"/>
        <w:spacing w:after="0" w:line="233" w:lineRule="auto"/>
        <w:rPr>
          <w:sz w:val="20"/>
          <w:szCs w:val="20"/>
          <w:color w:val="auto"/>
        </w:rPr>
      </w:pPr>
      <w:r>
        <w:rPr>
          <w:rFonts w:ascii="Times New Roman" w:cs="Times New Roman" w:eastAsia="Times New Roman" w:hAnsi="Times New Roman"/>
          <w:sz w:val="19"/>
          <w:szCs w:val="19"/>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-361315</wp:posOffset>
            </wp:positionV>
            <wp:extent cx="62865" cy="62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9"/>
          <w:szCs w:val="19"/>
          <w:color w:val="auto"/>
        </w:rPr>
        <w:t>FDA review and approval of the NDA prior to any commercial marketing, sale or shipment of the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-96520</wp:posOffset>
            </wp:positionV>
            <wp:extent cx="62865" cy="62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The testing and approval process requires substantial time, effort and financial resources, and the Corporation cannot be certain that the DEA will schedule or reschedule any Schedule I substance or product candidate to Schedule II, III, IV or V, or that approvals for its prescription drug product candidates will be granted on a timely basis, if at all.</w:t>
      </w:r>
    </w:p>
    <w:p>
      <w:pPr>
        <w:spacing w:after="0" w:line="11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Non-clinical tests include laboratory evaluations of product chemistry, formulation and stability, as well as studies to evaluate toxicity in animals and other animal studies or through FDA-accepted alternative methods (New Approach Methodologies or NAMs).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32" w:name="page33"/>
    <w:bookmarkEnd w:id="32"/>
    <w:p>
      <w:pPr>
        <w:jc w:val="both"/>
        <w:spacing w:after="0" w:line="239" w:lineRule="auto"/>
        <w:rPr>
          <w:sz w:val="20"/>
          <w:szCs w:val="20"/>
          <w:color w:val="auto"/>
        </w:rPr>
      </w:pPr>
      <w:r>
        <w:rPr>
          <w:rFonts w:ascii="Times New Roman" w:cs="Times New Roman" w:eastAsia="Times New Roman" w:hAnsi="Times New Roman"/>
          <w:sz w:val="19"/>
          <w:szCs w:val="19"/>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spacing w:after="0" w:line="13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Corporation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2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2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3" w:name="page34"/>
    <w:bookmarkEnd w:id="33"/>
    <w:p>
      <w:pPr>
        <w:jc w:val="both"/>
        <w:spacing w:after="0" w:line="241" w:lineRule="auto"/>
        <w:rPr>
          <w:sz w:val="20"/>
          <w:szCs w:val="20"/>
          <w:color w:val="auto"/>
        </w:rPr>
      </w:pPr>
      <w:r>
        <w:rPr>
          <w:rFonts w:ascii="Times New Roman" w:cs="Times New Roman" w:eastAsia="Times New Roman" w:hAnsi="Times New Roman"/>
          <w:sz w:val="19"/>
          <w:szCs w:val="19"/>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19"/>
          <w:szCs w:val="19"/>
          <w:i w:val="1"/>
          <w:iCs w:val="1"/>
          <w:color w:val="auto"/>
        </w:rPr>
        <w:t>False Claims Act</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FCA</w:t>
      </w:r>
      <w:r>
        <w:rPr>
          <w:rFonts w:ascii="Times New Roman" w:cs="Times New Roman" w:eastAsia="Times New Roman" w:hAnsi="Times New Roman"/>
          <w:sz w:val="19"/>
          <w:szCs w:val="19"/>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2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3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Controlled Substances</w:t>
      </w:r>
    </w:p>
    <w:p>
      <w:pPr>
        <w:spacing w:after="0" w:line="152"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26"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Facilities that research,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1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The DEA may inspect all research and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researchers and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4" w:name="page35"/>
    <w:bookmarkEnd w:id="34"/>
    <w:p>
      <w:pPr>
        <w:ind w:left="5"/>
        <w:spacing w:after="0"/>
        <w:rPr>
          <w:sz w:val="20"/>
          <w:szCs w:val="20"/>
          <w:color w:val="auto"/>
        </w:rPr>
      </w:pPr>
      <w:r>
        <w:rPr>
          <w:rFonts w:ascii="Times New Roman" w:cs="Times New Roman" w:eastAsia="Times New Roman" w:hAnsi="Times New Roman"/>
          <w:sz w:val="19"/>
          <w:szCs w:val="19"/>
          <w:color w:val="auto"/>
        </w:rPr>
        <w:t>For drugs manufactured in the United States, the DEA establishes annually an aggregate quota for the amount of substances within Schedules I and</w:t>
      </w:r>
    </w:p>
    <w:p>
      <w:pPr>
        <w:spacing w:after="0" w:line="15" w:lineRule="exact"/>
        <w:rPr>
          <w:sz w:val="20"/>
          <w:szCs w:val="20"/>
          <w:color w:val="auto"/>
        </w:rPr>
      </w:pPr>
    </w:p>
    <w:p>
      <w:pPr>
        <w:jc w:val="both"/>
        <w:ind w:left="5" w:hanging="5"/>
        <w:spacing w:after="0" w:line="237" w:lineRule="auto"/>
        <w:tabs>
          <w:tab w:leader="none" w:pos="203"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22" w:lineRule="exact"/>
        <w:rPr>
          <w:sz w:val="20"/>
          <w:szCs w:val="20"/>
          <w:color w:val="auto"/>
        </w:rPr>
      </w:pPr>
    </w:p>
    <w:p>
      <w:pPr>
        <w:jc w:val="both"/>
        <w:ind w:left="5"/>
        <w:spacing w:after="0" w:line="238" w:lineRule="auto"/>
        <w:rPr>
          <w:sz w:val="20"/>
          <w:szCs w:val="20"/>
          <w:color w:val="auto"/>
        </w:rPr>
      </w:pPr>
      <w:r>
        <w:rPr>
          <w:rFonts w:ascii="Times New Roman" w:cs="Times New Roman" w:eastAsia="Times New Roman" w:hAnsi="Times New Roman"/>
          <w:sz w:val="19"/>
          <w:szCs w:val="19"/>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Corporation's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spacing w:after="0" w:line="13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u w:val="single" w:color="auto"/>
          <w:color w:val="auto"/>
        </w:rPr>
        <w:t>EU (Netherlands)</w:t>
      </w:r>
    </w:p>
    <w:p>
      <w:pPr>
        <w:spacing w:after="0" w:line="144" w:lineRule="exact"/>
        <w:rPr>
          <w:sz w:val="20"/>
          <w:szCs w:val="20"/>
          <w:color w:val="auto"/>
        </w:rPr>
      </w:pPr>
    </w:p>
    <w:p>
      <w:pPr>
        <w:jc w:val="both"/>
        <w:ind w:left="5"/>
        <w:spacing w:after="0" w:line="249" w:lineRule="auto"/>
        <w:rPr>
          <w:sz w:val="20"/>
          <w:szCs w:val="20"/>
          <w:color w:val="auto"/>
        </w:rPr>
      </w:pPr>
      <w:r>
        <w:rPr>
          <w:rFonts w:ascii="Times New Roman" w:cs="Times New Roman" w:eastAsia="Times New Roman" w:hAnsi="Times New Roman"/>
          <w:sz w:val="19"/>
          <w:szCs w:val="19"/>
          <w:color w:val="auto"/>
        </w:rPr>
        <w:t>Regulation (EU) No 536/2014 on Clinical Trials on Medicinal Products for Human Use (the "</w:t>
      </w:r>
      <w:r>
        <w:rPr>
          <w:rFonts w:ascii="Times New Roman" w:cs="Times New Roman" w:eastAsia="Times New Roman" w:hAnsi="Times New Roman"/>
          <w:sz w:val="19"/>
          <w:szCs w:val="19"/>
          <w:b w:val="1"/>
          <w:bCs w:val="1"/>
          <w:color w:val="auto"/>
        </w:rPr>
        <w:t>CTR</w:t>
      </w:r>
      <w:r>
        <w:rPr>
          <w:rFonts w:ascii="Times New Roman" w:cs="Times New Roman" w:eastAsia="Times New Roman" w:hAnsi="Times New Roman"/>
          <w:sz w:val="19"/>
          <w:szCs w:val="19"/>
          <w:color w:val="auto"/>
        </w:rPr>
        <w:t xml:space="preserve"> ") is applicable as of January 31, 2022, harmonizing the laws, regulations and administrative provisions of the EU Member States relating to the implementation of Good Clinical Practice</w:t>
      </w:r>
    </w:p>
    <w:p>
      <w:pPr>
        <w:spacing w:after="0" w:line="1" w:lineRule="exact"/>
        <w:rPr>
          <w:sz w:val="20"/>
          <w:szCs w:val="20"/>
          <w:color w:val="auto"/>
        </w:rPr>
      </w:pPr>
    </w:p>
    <w:p>
      <w:pPr>
        <w:jc w:val="both"/>
        <w:ind w:left="5"/>
        <w:spacing w:after="0" w:line="218" w:lineRule="auto"/>
        <w:rPr>
          <w:sz w:val="20"/>
          <w:szCs w:val="20"/>
          <w:color w:val="auto"/>
        </w:rPr>
      </w:pPr>
      <w:r>
        <w:rPr>
          <w:rFonts w:ascii="Times New Roman" w:cs="Times New Roman" w:eastAsia="Times New Roman" w:hAnsi="Times New Roman"/>
          <w:sz w:val="19"/>
          <w:szCs w:val="19"/>
          <w:color w:val="auto"/>
        </w:rPr>
        <w:t>in the conduct of clinical trials on medicinal products for human use.</w:t>
      </w:r>
      <w:r>
        <w:rPr>
          <w:rFonts w:ascii="Times New Roman" w:cs="Times New Roman" w:eastAsia="Times New Roman" w:hAnsi="Times New Roman"/>
          <w:sz w:val="31"/>
          <w:szCs w:val="31"/>
          <w:color w:val="auto"/>
          <w:vertAlign w:val="superscript"/>
        </w:rPr>
        <w:t>14</w:t>
      </w:r>
      <w:r>
        <w:rPr>
          <w:rFonts w:ascii="Times New Roman" w:cs="Times New Roman" w:eastAsia="Times New Roman" w:hAnsi="Times New Roman"/>
          <w:sz w:val="19"/>
          <w:szCs w:val="19"/>
          <w:color w:val="auto"/>
        </w:rPr>
        <w:t xml:space="preserve"> EU Member States have transformed the requirements outlined in the Clinical Trials Directive into the respective national laws. Pursuant to the CTR, as of January 31, 2023 sponsors are obliged to use the Clinical Trials Information System ("</w:t>
      </w:r>
      <w:r>
        <w:rPr>
          <w:rFonts w:ascii="Times New Roman" w:cs="Times New Roman" w:eastAsia="Times New Roman" w:hAnsi="Times New Roman"/>
          <w:sz w:val="19"/>
          <w:szCs w:val="19"/>
          <w:b w:val="1"/>
          <w:bCs w:val="1"/>
          <w:color w:val="auto"/>
        </w:rPr>
        <w:t>CTIS</w:t>
      </w:r>
      <w:r>
        <w:rPr>
          <w:rFonts w:ascii="Times New Roman" w:cs="Times New Roman" w:eastAsia="Times New Roman" w:hAnsi="Times New Roman"/>
          <w:sz w:val="19"/>
          <w:szCs w:val="19"/>
          <w:color w:val="auto"/>
        </w:rPr>
        <w:t>")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spacing w:after="0" w:line="119" w:lineRule="exact"/>
        <w:rPr>
          <w:sz w:val="20"/>
          <w:szCs w:val="20"/>
          <w:color w:val="auto"/>
        </w:rPr>
      </w:pPr>
    </w:p>
    <w:p>
      <w:pPr>
        <w:jc w:val="both"/>
        <w:ind w:left="5"/>
        <w:spacing w:after="0" w:line="239" w:lineRule="auto"/>
        <w:rPr>
          <w:sz w:val="20"/>
          <w:szCs w:val="20"/>
          <w:color w:val="auto"/>
        </w:rPr>
      </w:pPr>
      <w:r>
        <w:rPr>
          <w:rFonts w:ascii="Times New Roman" w:cs="Times New Roman" w:eastAsia="Times New Roman" w:hAnsi="Times New Roman"/>
          <w:sz w:val="19"/>
          <w:szCs w:val="19"/>
          <w:color w:val="auto"/>
        </w:rPr>
        <w:t>Further, the European Medicines Agency ("</w:t>
      </w:r>
      <w:r>
        <w:rPr>
          <w:rFonts w:ascii="Times New Roman" w:cs="Times New Roman" w:eastAsia="Times New Roman" w:hAnsi="Times New Roman"/>
          <w:sz w:val="19"/>
          <w:szCs w:val="19"/>
          <w:b w:val="1"/>
          <w:bCs w:val="1"/>
          <w:color w:val="auto"/>
        </w:rPr>
        <w:t>EMA</w:t>
      </w:r>
      <w:r>
        <w:rPr>
          <w:rFonts w:ascii="Times New Roman" w:cs="Times New Roman" w:eastAsia="Times New Roman" w:hAnsi="Times New Roman"/>
          <w:sz w:val="19"/>
          <w:szCs w:val="19"/>
          <w:color w:val="auto"/>
        </w:rPr>
        <w:t>")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Annex I of the revised rules outlines the timing of information publication for each category of clinical trial and patient population. These new rules became applicable on June 18, 2024, the same day of the launch of the new CTIS portal. In order to smoothen the process of transitioning clinical trials from the Clinical Trial Directive to the CTR, a non-binding guide named "Guidance for the Transition of clinical trials from the Clinical Trials Directive to the Clinical Trials Regulation" (version 4) dated May 2024 is published.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235839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58390" cy="7620"/>
                    </a:xfrm>
                    <a:prstGeom prst="rect">
                      <a:avLst/>
                    </a:prstGeom>
                    <a:noFill/>
                  </pic:spPr>
                </pic:pic>
              </a:graphicData>
            </a:graphic>
          </wp:anchor>
        </w:drawing>
      </w:r>
    </w:p>
    <w:p>
      <w:pPr>
        <w:spacing w:after="0" w:line="270" w:lineRule="exact"/>
        <w:rPr>
          <w:sz w:val="20"/>
          <w:szCs w:val="20"/>
          <w:color w:val="auto"/>
        </w:rPr>
      </w:pPr>
    </w:p>
    <w:p>
      <w:pPr>
        <w:jc w:val="both"/>
        <w:ind w:left="5" w:hanging="5"/>
        <w:spacing w:after="0" w:line="207" w:lineRule="auto"/>
        <w:tabs>
          <w:tab w:leader="none" w:pos="214" w:val="left"/>
        </w:tabs>
        <w:numPr>
          <w:ilvl w:val="0"/>
          <w:numId w:val="22"/>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9"/>
          <w:szCs w:val="19"/>
          <w:color w:val="auto"/>
        </w:rPr>
        <w:t>The CTR does not apply in the UK and UK law on clinical trials is currently based on old EU law (the Clinical Trials Directive), transposed into UK law via the Medicines for Human Use (Clinical Trials) Regulations 2004. An overhaul of UK law on clinical trials has been on-going for a few years, and new legislation on clinical trials in the UK, the Medicines for Human Use (Clinical Trials) (Amendment) Regulations 2024, has been signed into law and is due to come into effect from mid-April 2026.</w:t>
      </w:r>
    </w:p>
    <w:p>
      <w:pPr>
        <w:spacing w:after="0" w:line="12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106045</wp:posOffset>
            </wp:positionV>
            <wp:extent cx="716978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5"/>
          </w:cols>
          <w:pgMar w:left="315" w:top="115" w:right="319" w:bottom="1440" w:gutter="0" w:footer="0" w:header="0"/>
        </w:sectPr>
      </w:pPr>
    </w:p>
    <w:bookmarkStart w:id="35" w:name="page36"/>
    <w:bookmarkEnd w:id="35"/>
    <w:p>
      <w:pPr>
        <w:jc w:val="both"/>
        <w:spacing w:after="0" w:line="238" w:lineRule="auto"/>
        <w:rPr>
          <w:sz w:val="20"/>
          <w:szCs w:val="20"/>
          <w:color w:val="auto"/>
        </w:rPr>
      </w:pPr>
      <w:r>
        <w:rPr>
          <w:rFonts w:ascii="Times New Roman" w:cs="Times New Roman" w:eastAsia="Times New Roman" w:hAnsi="Times New Roman"/>
          <w:sz w:val="19"/>
          <w:szCs w:val="19"/>
          <w:color w:val="auto"/>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rFonts w:ascii="Times New Roman" w:cs="Times New Roman" w:eastAsia="Times New Roman" w:hAnsi="Times New Roman"/>
          <w:sz w:val="19"/>
          <w:szCs w:val="19"/>
          <w:b w:val="1"/>
          <w:bCs w:val="1"/>
          <w:color w:val="auto"/>
        </w:rPr>
        <w:t>CTAG</w:t>
      </w:r>
      <w:r>
        <w:rPr>
          <w:rFonts w:ascii="Times New Roman" w:cs="Times New Roman" w:eastAsia="Times New Roman" w:hAnsi="Times New Roman"/>
          <w:sz w:val="19"/>
          <w:szCs w:val="19"/>
          <w:color w:val="auto"/>
        </w:rPr>
        <w:t>") on December 8, 2023. The objective of the rules is to provide sponsors and investigators a quick guide on the rules and procedures of the CTR with a view to facilitating implementation. In addition to the quick guide, CTAG also published a non-binding Questions &amp; Answers (Version 7.1) that should be read in conjunction with the quick guide and with the "Clinical Trials Information System (CTIS): online training modules" in order to gain a better understanding of the legislative changes that are effected by the CTR.</w:t>
      </w:r>
    </w:p>
    <w:p>
      <w:pPr>
        <w:spacing w:after="0" w:line="1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The Investigational Medicinal Product Dossier ("</w:t>
      </w:r>
      <w:r>
        <w:rPr>
          <w:rFonts w:ascii="Times New Roman" w:cs="Times New Roman" w:eastAsia="Times New Roman" w:hAnsi="Times New Roman"/>
          <w:sz w:val="19"/>
          <w:szCs w:val="19"/>
          <w:b w:val="1"/>
          <w:bCs w:val="1"/>
          <w:color w:val="auto"/>
        </w:rPr>
        <w:t>IMPD</w:t>
      </w:r>
      <w:r>
        <w:rPr>
          <w:rFonts w:ascii="Times New Roman" w:cs="Times New Roman" w:eastAsia="Times New Roman" w:hAnsi="Times New Roman"/>
          <w:sz w:val="19"/>
          <w:szCs w:val="19"/>
          <w:color w:val="auto"/>
        </w:rPr>
        <w:t>")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w:t>
      </w:r>
      <w:r>
        <w:rPr>
          <w:rFonts w:ascii="Times New Roman" w:cs="Times New Roman" w:eastAsia="Times New Roman" w:hAnsi="Times New Roman"/>
          <w:sz w:val="19"/>
          <w:szCs w:val="19"/>
          <w:b w:val="1"/>
          <w:bCs w:val="1"/>
          <w:color w:val="auto"/>
        </w:rPr>
        <w:t>Clinical Trials Directive</w:t>
      </w:r>
      <w:r>
        <w:rPr>
          <w:rFonts w:ascii="Times New Roman" w:cs="Times New Roman" w:eastAsia="Times New Roman" w:hAnsi="Times New Roman"/>
          <w:sz w:val="19"/>
          <w:szCs w:val="19"/>
          <w:color w:val="auto"/>
        </w:rPr>
        <w:t>").</w:t>
      </w:r>
    </w:p>
    <w:p>
      <w:pPr>
        <w:spacing w:after="0" w:line="1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With the completion of the Asset Acquisition, the Corporation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35"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9"/>
          <w:szCs w:val="19"/>
          <w:color w:val="auto"/>
        </w:rPr>
        <w:t>Failure of the Corporation to receive the necessary regulatory approvals required to conduct the Phase 1 Study would have an adverse impact on its business plans and financial condition for a number of reasons including, without limitation: (i) it would cause delays in the Corporation's research and development plans; (ii) it may require the Corporation to expend additional financial and human resources on revising its application package or creating a new one; or (iii) it may require the Corporation to approach an entirely different regulatory authority in a new jurisdiction, in which case the Corporation would have to expend a substantial amount of capital and other resources on engaging the appropriate research and development partners and creating an application package that complies with the regulations of that new jurisdiction. Additionally, the Corporation would be required to spend capital on transferring the DMT materials to the new jurisdiction. All of the foregoing would likely have a negative impact on the Corporation's business and financial condition.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9"/>
          <w:szCs w:val="19"/>
          <w:i w:val="1"/>
          <w:iCs w:val="1"/>
          <w:color w:val="auto"/>
        </w:rPr>
        <w:t>Pharmaceutical Products</w:t>
      </w:r>
    </w:p>
    <w:p>
      <w:pPr>
        <w:spacing w:after="0" w:line="153"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In accordance with the Dutch Medicines Act (Geneesmiddelenwet),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3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or Mutual Recognition procedures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EMA. Where the Centralized procedure is not available but a medicinal product is intended for several EU/EEA Member States, an application for a marketing authorization may be submitted with the competent authority of a single EU/ EEA Member State in accordance with the Decentralized procedure. When the assessment of the application results in a decision to grant the marketing authorization, this decision will be recognized by the competent authorities of the other Member States for which the marketing authorization is applied. The Mutual Recognition procedure is similar to the Decentralised procedure, but applies to applications where the medicinal product is already the subject of a marketing authorization in another EU/EEA Member State. Finally, should a medicinal product be intended for the Netherlands only, then the national procedure may be followed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1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2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Market Authorization Regulatory Process</w:t>
      </w:r>
    </w:p>
    <w:p>
      <w:pPr>
        <w:spacing w:after="0" w:line="1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Corporation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37" w:name="page38"/>
    <w:bookmarkEnd w:id="37"/>
    <w:p>
      <w:pPr>
        <w:jc w:val="both"/>
        <w:spacing w:after="0" w:line="236" w:lineRule="auto"/>
        <w:rPr>
          <w:sz w:val="20"/>
          <w:szCs w:val="20"/>
          <w:color w:val="auto"/>
        </w:rPr>
      </w:pPr>
      <w:r>
        <w:rPr>
          <w:rFonts w:ascii="Times New Roman" w:cs="Times New Roman" w:eastAsia="Times New Roman" w:hAnsi="Times New Roman"/>
          <w:sz w:val="19"/>
          <w:szCs w:val="19"/>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 w:cs="Times New Roman" w:eastAsia="Times New Roman" w:hAnsi="Times New Roman"/>
          <w:sz w:val="19"/>
          <w:szCs w:val="19"/>
          <w:b w:val="1"/>
          <w:bCs w:val="1"/>
          <w:color w:val="auto"/>
        </w:rPr>
        <w:t>RMS</w:t>
      </w:r>
      <w:r>
        <w:rPr>
          <w:rFonts w:ascii="Times New Roman" w:cs="Times New Roman" w:eastAsia="Times New Roman" w:hAnsi="Times New Roman"/>
          <w:sz w:val="19"/>
          <w:szCs w:val="19"/>
          <w:color w:val="auto"/>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19"/>
          <w:szCs w:val="19"/>
          <w:b w:val="1"/>
          <w:bCs w:val="1"/>
          <w:color w:val="auto"/>
        </w:rPr>
        <w:t>CMDh</w:t>
      </w:r>
      <w:r>
        <w:rPr>
          <w:rFonts w:ascii="Times New Roman" w:cs="Times New Roman" w:eastAsia="Times New Roman" w:hAnsi="Times New Roman"/>
          <w:sz w:val="19"/>
          <w:szCs w:val="19"/>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Patent Cooperation Treaty</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9"/>
          <w:szCs w:val="19"/>
          <w:color w:val="auto"/>
        </w:rPr>
        <w:t>The Patent Cooperation Treaty (the "</w:t>
      </w:r>
      <w:r>
        <w:rPr>
          <w:rFonts w:ascii="Times New Roman" w:cs="Times New Roman" w:eastAsia="Times New Roman" w:hAnsi="Times New Roman"/>
          <w:sz w:val="19"/>
          <w:szCs w:val="19"/>
          <w:b w:val="1"/>
          <w:bCs w:val="1"/>
          <w:color w:val="auto"/>
        </w:rPr>
        <w:t>PCT</w:t>
      </w:r>
      <w:r>
        <w:rPr>
          <w:rFonts w:ascii="Times New Roman" w:cs="Times New Roman" w:eastAsia="Times New Roman" w:hAnsi="Times New Roman"/>
          <w:sz w:val="19"/>
          <w:szCs w:val="19"/>
          <w:color w:val="auto"/>
        </w:rPr>
        <w:t>") facilitates filing for patent recognition in multiple jurisdictions simultaneously using a single uniform patent application. 157 countries, including Canada and the United States have ratified the PCT.</w:t>
      </w:r>
    </w:p>
    <w:p>
      <w:pPr>
        <w:spacing w:after="0" w:line="9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33"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9"/>
          <w:szCs w:val="19"/>
          <w:color w:val="auto"/>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9"/>
          <w:szCs w:val="19"/>
          <w:b w:val="1"/>
          <w:bCs w:val="1"/>
          <w:color w:val="auto"/>
        </w:rPr>
        <w:t>COMPLIANCE PROGRAM</w:t>
      </w:r>
    </w:p>
    <w:p>
      <w:pPr>
        <w:spacing w:after="0" w:line="15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spacing w:after="0" w:line="115"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spacing w:after="0" w:line="132"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spacing w:after="0" w:line="11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spacing w:after="0" w:line="1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CAPITALIZATION</w:t>
      </w:r>
    </w:p>
    <w:p>
      <w:pPr>
        <w:spacing w:after="0" w:line="15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Other than as disclosed herein and in the documents incorporated by reference in this Prospectus, there have been no material changes to the share and loan capitalization of the Corporation since the date of the Interim Financial Statements.</w:t>
      </w:r>
    </w:p>
    <w:p>
      <w:pPr>
        <w:spacing w:after="0" w:line="1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following table sets forth the consolidated capitalization of the Corporation as at September 16, 2025, the date immediately before the date of this Prospectus. This table should be read in conjunction with the Interim Financial Statements and the related notes and the Interim MD&amp;A that are incorporated by reference in this Prospectus. On September 19, 2024, the outstanding Common Shares were consolidated on the basis of one new Common Share for every 38 existing Common Shares (the "</w:t>
      </w:r>
      <w:r>
        <w:rPr>
          <w:rFonts w:ascii="Times New Roman" w:cs="Times New Roman" w:eastAsia="Times New Roman" w:hAnsi="Times New Roman"/>
          <w:sz w:val="19"/>
          <w:szCs w:val="19"/>
          <w:b w:val="1"/>
          <w:bCs w:val="1"/>
          <w:color w:val="auto"/>
        </w:rPr>
        <w:t>Consolidation</w:t>
      </w:r>
      <w:r>
        <w:rPr>
          <w:rFonts w:ascii="Times New Roman" w:cs="Times New Roman" w:eastAsia="Times New Roman" w:hAnsi="Times New Roman"/>
          <w:sz w:val="19"/>
          <w:szCs w:val="19"/>
          <w:color w:val="auto"/>
        </w:rPr>
        <w:t>"). All figures in the table below related to securities are represented on a post-Consolidation basis.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39" w:name="page40"/>
    <w:bookmarkEnd w:id="39"/>
    <w:tbl>
      <w:tblPr>
        <w:tblLayout w:type="fixed"/>
        <w:tblInd w:w="1120" w:type="dxa"/>
        <w:tblCellMar>
          <w:top w:w="0" w:type="dxa"/>
          <w:left w:w="0" w:type="dxa"/>
          <w:bottom w:w="0" w:type="dxa"/>
          <w:right w:w="0" w:type="dxa"/>
        </w:tblCellMar>
      </w:tblPr>
      <w:tr>
        <w:trPr>
          <w:trHeight w:val="208"/>
        </w:trPr>
        <w:tc>
          <w:tcPr>
            <w:tcW w:w="4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 of Capital</w:t>
            </w:r>
          </w:p>
        </w:tc>
        <w:tc>
          <w:tcPr>
            <w:tcW w:w="4480" w:type="dxa"/>
            <w:vAlign w:val="bottom"/>
          </w:tcPr>
          <w:p>
            <w:pPr>
              <w:ind w:left="1580"/>
              <w:spacing w:after="0"/>
              <w:rPr>
                <w:sz w:val="20"/>
                <w:szCs w:val="20"/>
                <w:color w:val="auto"/>
              </w:rPr>
            </w:pPr>
            <w:r>
              <w:rPr>
                <w:rFonts w:ascii="Times New Roman" w:cs="Times New Roman" w:eastAsia="Times New Roman" w:hAnsi="Times New Roman"/>
                <w:sz w:val="16"/>
                <w:szCs w:val="16"/>
                <w:b w:val="1"/>
                <w:bCs w:val="1"/>
                <w:color w:val="auto"/>
              </w:rPr>
              <w:t>September 16, 2025</w:t>
            </w:r>
          </w:p>
        </w:tc>
      </w:tr>
      <w:tr>
        <w:trPr>
          <w:trHeight w:val="217"/>
        </w:trPr>
        <w:tc>
          <w:tcPr>
            <w:tcW w:w="4340" w:type="dxa"/>
            <w:vAlign w:val="bottom"/>
            <w:tcBorders>
              <w:top w:val="single" w:sz="8" w:color="auto"/>
            </w:tcBorders>
            <w:shd w:val="clear" w:color="auto" w:fill="E6EFFF"/>
          </w:tcPr>
          <w:p>
            <w:pPr>
              <w:spacing w:after="0"/>
              <w:rPr>
                <w:sz w:val="20"/>
                <w:szCs w:val="20"/>
                <w:color w:val="auto"/>
              </w:rPr>
            </w:pPr>
            <w:r>
              <w:rPr>
                <w:rFonts w:ascii="Times New Roman" w:cs="Times New Roman" w:eastAsia="Times New Roman" w:hAnsi="Times New Roman"/>
                <w:sz w:val="16"/>
                <w:szCs w:val="16"/>
                <w:color w:val="auto"/>
              </w:rPr>
              <w:t>Loans and Borrowings</w:t>
            </w:r>
          </w:p>
        </w:tc>
        <w:tc>
          <w:tcPr>
            <w:tcW w:w="180" w:type="dxa"/>
            <w:vAlign w:val="bottom"/>
            <w:tcBorders>
              <w:top w:val="single" w:sz="8" w:color="E6EFFF"/>
            </w:tcBorders>
            <w:shd w:val="clear" w:color="auto" w:fill="E6EFFF"/>
          </w:tcPr>
          <w:p>
            <w:pPr>
              <w:spacing w:after="0"/>
              <w:rPr>
                <w:sz w:val="18"/>
                <w:szCs w:val="18"/>
                <w:color w:val="auto"/>
              </w:rPr>
            </w:pPr>
          </w:p>
        </w:tc>
        <w:tc>
          <w:tcPr>
            <w:tcW w:w="4480" w:type="dxa"/>
            <w:vAlign w:val="bottom"/>
            <w:tcBorders>
              <w:top w:val="single" w:sz="8" w:color="auto"/>
            </w:tcBorders>
            <w:shd w:val="clear" w:color="auto" w:fill="E6EFFF"/>
          </w:tcPr>
          <w:p>
            <w:pPr>
              <w:jc w:val="center"/>
              <w:spacing w:after="0" w:line="216" w:lineRule="exact"/>
              <w:rPr>
                <w:sz w:val="20"/>
                <w:szCs w:val="20"/>
                <w:color w:val="auto"/>
              </w:rPr>
            </w:pPr>
            <w:r>
              <w:rPr>
                <w:rFonts w:ascii="Times New Roman" w:cs="Times New Roman" w:eastAsia="Times New Roman" w:hAnsi="Times New Roman"/>
                <w:sz w:val="15"/>
                <w:szCs w:val="15"/>
                <w:color w:val="auto"/>
                <w:w w:val="99"/>
              </w:rPr>
              <w:t>$34,750,000</w:t>
            </w:r>
            <w:r>
              <w:rPr>
                <w:rFonts w:ascii="Times New Roman" w:cs="Times New Roman" w:eastAsia="Times New Roman" w:hAnsi="Times New Roman"/>
                <w:sz w:val="25"/>
                <w:szCs w:val="25"/>
                <w:color w:val="auto"/>
                <w:w w:val="99"/>
                <w:vertAlign w:val="superscript"/>
              </w:rPr>
              <w:t>(2)</w:t>
            </w:r>
          </w:p>
        </w:tc>
      </w:tr>
      <w:tr>
        <w:trPr>
          <w:trHeight w:val="225"/>
        </w:trPr>
        <w:tc>
          <w:tcPr>
            <w:tcW w:w="4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4480" w:type="dxa"/>
            <w:vAlign w:val="bottom"/>
          </w:tcPr>
          <w:p>
            <w:pPr>
              <w:jc w:val="center"/>
              <w:spacing w:after="0" w:line="225" w:lineRule="exact"/>
              <w:rPr>
                <w:sz w:val="20"/>
                <w:szCs w:val="20"/>
                <w:color w:val="auto"/>
              </w:rPr>
            </w:pPr>
            <w:r>
              <w:rPr>
                <w:rFonts w:ascii="Times New Roman" w:cs="Times New Roman" w:eastAsia="Times New Roman" w:hAnsi="Times New Roman"/>
                <w:sz w:val="16"/>
                <w:szCs w:val="16"/>
                <w:color w:val="auto"/>
                <w:w w:val="93"/>
              </w:rPr>
              <w:t>25,188,217</w:t>
            </w:r>
            <w:r>
              <w:rPr>
                <w:rFonts w:ascii="Times New Roman" w:cs="Times New Roman" w:eastAsia="Times New Roman" w:hAnsi="Times New Roman"/>
                <w:sz w:val="26"/>
                <w:szCs w:val="26"/>
                <w:color w:val="auto"/>
                <w:w w:val="93"/>
                <w:vertAlign w:val="superscript"/>
              </w:rPr>
              <w:t>(3)</w:t>
            </w:r>
          </w:p>
        </w:tc>
      </w:tr>
      <w:tr>
        <w:trPr>
          <w:trHeight w:val="225"/>
        </w:trPr>
        <w:tc>
          <w:tcPr>
            <w:tcW w:w="452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4480" w:type="dxa"/>
            <w:vAlign w:val="bottom"/>
            <w:shd w:val="clear" w:color="auto" w:fill="E6EFFF"/>
          </w:tcPr>
          <w:p>
            <w:pPr>
              <w:jc w:val="center"/>
              <w:spacing w:after="0" w:line="225" w:lineRule="exact"/>
              <w:rPr>
                <w:sz w:val="20"/>
                <w:szCs w:val="20"/>
                <w:color w:val="auto"/>
              </w:rPr>
            </w:pPr>
            <w:r>
              <w:rPr>
                <w:rFonts w:ascii="Times New Roman" w:cs="Times New Roman" w:eastAsia="Times New Roman" w:hAnsi="Times New Roman"/>
                <w:sz w:val="16"/>
                <w:szCs w:val="16"/>
                <w:color w:val="auto"/>
                <w:w w:val="92"/>
              </w:rPr>
              <w:t>3,994,716</w:t>
            </w:r>
            <w:r>
              <w:rPr>
                <w:rFonts w:ascii="Times New Roman" w:cs="Times New Roman" w:eastAsia="Times New Roman" w:hAnsi="Times New Roman"/>
                <w:sz w:val="26"/>
                <w:szCs w:val="26"/>
                <w:color w:val="auto"/>
                <w:w w:val="92"/>
                <w:vertAlign w:val="superscript"/>
              </w:rPr>
              <w:t>(4)</w:t>
            </w:r>
          </w:p>
        </w:tc>
      </w:tr>
      <w:tr>
        <w:trPr>
          <w:trHeight w:val="347"/>
        </w:trPr>
        <w:tc>
          <w:tcPr>
            <w:tcW w:w="4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Share purchase warrants</w:t>
            </w: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2,796,197</w:t>
            </w:r>
            <w:r>
              <w:rPr>
                <w:rFonts w:ascii="Times New Roman" w:cs="Times New Roman" w:eastAsia="Times New Roman" w:hAnsi="Times New Roman"/>
                <w:sz w:val="26"/>
                <w:szCs w:val="26"/>
                <w:color w:val="auto"/>
                <w:w w:val="92"/>
                <w:vertAlign w:val="superscript"/>
              </w:rPr>
              <w:t>(5)</w:t>
            </w:r>
          </w:p>
        </w:tc>
      </w:tr>
    </w:tbl>
    <w:p>
      <w:pPr>
        <w:spacing w:after="0" w:line="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Notes:</w:t>
      </w:r>
    </w:p>
    <w:p>
      <w:pPr>
        <w:spacing w:after="0" w:line="164" w:lineRule="exact"/>
        <w:rPr>
          <w:sz w:val="20"/>
          <w:szCs w:val="20"/>
          <w:color w:val="auto"/>
        </w:rPr>
      </w:pPr>
    </w:p>
    <w:p>
      <w:pPr>
        <w:ind w:left="780" w:hanging="407"/>
        <w:spacing w:after="0"/>
        <w:tabs>
          <w:tab w:leader="none" w:pos="78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Principal amount of Convertible Debentures issued and outstanding.</w:t>
      </w:r>
    </w:p>
    <w:p>
      <w:pPr>
        <w:spacing w:after="0" w:line="14" w:lineRule="exact"/>
        <w:rPr>
          <w:rFonts w:ascii="Times New Roman" w:cs="Times New Roman" w:eastAsia="Times New Roman" w:hAnsi="Times New Roman"/>
          <w:sz w:val="19"/>
          <w:szCs w:val="19"/>
          <w:color w:val="auto"/>
        </w:rPr>
      </w:pPr>
    </w:p>
    <w:p>
      <w:pPr>
        <w:ind w:left="760" w:right="20" w:hanging="387"/>
        <w:spacing w:after="0" w:line="233" w:lineRule="auto"/>
        <w:tabs>
          <w:tab w:leader="none" w:pos="791"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Since the date of the Interim Financial Statements, an aggregate of (i) 1,590,298 Common Shares were issued on conversion of the Convertible Debentures, and (ii) 7,894 Common Shares were issued upon exercise of certain options to purchase Common Shares.</w:t>
      </w:r>
    </w:p>
    <w:p>
      <w:pPr>
        <w:spacing w:after="0" w:line="1" w:lineRule="exact"/>
        <w:rPr>
          <w:rFonts w:ascii="Times New Roman" w:cs="Times New Roman" w:eastAsia="Times New Roman" w:hAnsi="Times New Roman"/>
          <w:sz w:val="19"/>
          <w:szCs w:val="19"/>
          <w:color w:val="auto"/>
        </w:rPr>
      </w:pPr>
    </w:p>
    <w:p>
      <w:pPr>
        <w:jc w:val="both"/>
        <w:ind w:left="760" w:right="20" w:hanging="387"/>
        <w:spacing w:after="0" w:line="233" w:lineRule="auto"/>
        <w:tabs>
          <w:tab w:leader="none" w:pos="791"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August 15, 2025, options to purchase an aggregate of 53,800 Common Shares at an exercise price of $10.00 per Common Share and options to purchase an aggregate of 80,000 Common Shares at an exercise price of $11.00 per Common Share were granted under the Corporation’s equity incentive plan (the "</w:t>
      </w:r>
      <w:r>
        <w:rPr>
          <w:rFonts w:ascii="Times New Roman" w:cs="Times New Roman" w:eastAsia="Times New Roman" w:hAnsi="Times New Roman"/>
          <w:sz w:val="19"/>
          <w:szCs w:val="19"/>
          <w:b w:val="1"/>
          <w:bCs w:val="1"/>
          <w:color w:val="auto"/>
        </w:rPr>
        <w:t>Equity Incentive Plan</w:t>
      </w:r>
      <w:r>
        <w:rPr>
          <w:rFonts w:ascii="Times New Roman" w:cs="Times New Roman" w:eastAsia="Times New Roman" w:hAnsi="Times New Roman"/>
          <w:sz w:val="19"/>
          <w:szCs w:val="19"/>
          <w:color w:val="auto"/>
        </w:rPr>
        <w:t>"). On August 29, 2025, options to purchase an aggregate of 15,000 Common Shares at an exercise price of $11.00 per Common Share were granted under the Equity Incentive Plan.</w:t>
      </w:r>
    </w:p>
    <w:p>
      <w:pPr>
        <w:spacing w:after="0" w:line="3" w:lineRule="exact"/>
        <w:rPr>
          <w:rFonts w:ascii="Times New Roman" w:cs="Times New Roman" w:eastAsia="Times New Roman" w:hAnsi="Times New Roman"/>
          <w:sz w:val="19"/>
          <w:szCs w:val="19"/>
          <w:color w:val="auto"/>
        </w:rPr>
      </w:pPr>
    </w:p>
    <w:p>
      <w:pPr>
        <w:jc w:val="both"/>
        <w:ind w:left="760" w:hanging="387"/>
        <w:spacing w:after="0" w:line="238" w:lineRule="auto"/>
        <w:tabs>
          <w:tab w:leader="none" w:pos="791"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ease of reference, the Common Share purchase warrants are presented above on a post-Consolidation basis however, the total number of Common Share purchase warrants outstanding have not been consolidated. Rather, the exchange ratio was adjusted on the Consolidation such that the number of Common Shares underlying each Common Share purchase warrant was consolidated.</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USE OF PROCEEDS</w:t>
      </w:r>
    </w:p>
    <w:p>
      <w:pPr>
        <w:spacing w:after="0" w:line="16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19"/>
          <w:szCs w:val="19"/>
          <w:i w:val="1"/>
          <w:iCs w:val="1"/>
          <w:color w:val="auto"/>
        </w:rPr>
        <w:t>"Risk Factors - Risks Related to an Offering - Discretion over the Use of Proceeds"</w:t>
      </w:r>
      <w:r>
        <w:rPr>
          <w:rFonts w:ascii="Times New Roman" w:cs="Times New Roman" w:eastAsia="Times New Roman" w:hAnsi="Times New Roman"/>
          <w:sz w:val="19"/>
          <w:szCs w:val="19"/>
          <w:color w:val="auto"/>
        </w:rPr>
        <w:t>. The Corporation will not receive any proceeds from any sale of Securities by a Selling Securityholder.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Sources and Uses of Capital</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As at September 16, 2025, the Corporation had approximately US$92,200,000 in cash. As at September 16, 2025, the Corporation anticipates that it will require approximately US$92,200,000 to continue operations over the next 12 months, including funding towards the achievement of the next significant milestone under the Corporation’s Deuterated Psilocin Program (CYB003), Deuterated Dimethyltryptamine Program (CYB004), and Phenethylamine and Tryptamine Derivatives Program (CYB005).</w:t>
      </w:r>
    </w:p>
    <w:p>
      <w:pPr>
        <w:spacing w:after="0" w:line="1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Anticipated</w:t>
            </w: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820" w:type="dxa"/>
            <w:vAlign w:val="bottom"/>
          </w:tcPr>
          <w:p>
            <w:pPr>
              <w:spacing w:after="0"/>
              <w:rPr>
                <w:sz w:val="16"/>
                <w:szCs w:val="16"/>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12 Month Use</w:t>
            </w:r>
          </w:p>
        </w:tc>
        <w:tc>
          <w:tcPr>
            <w:tcW w:w="1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Anticipated Timeline</w:t>
            </w:r>
          </w:p>
        </w:tc>
        <w:tc>
          <w:tcPr>
            <w:tcW w:w="0" w:type="dxa"/>
            <w:vAlign w:val="bottom"/>
          </w:tcPr>
          <w:p>
            <w:pPr>
              <w:spacing w:after="0"/>
              <w:rPr>
                <w:sz w:val="1"/>
                <w:szCs w:val="1"/>
                <w:color w:val="auto"/>
              </w:rPr>
            </w:pPr>
          </w:p>
        </w:tc>
      </w:tr>
      <w:tr>
        <w:trPr>
          <w:trHeight w:val="192"/>
        </w:trPr>
        <w:tc>
          <w:tcPr>
            <w:tcW w:w="78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Program</w:t>
            </w:r>
            <w:r>
              <w:rPr>
                <w:rFonts w:ascii="Times New Roman" w:cs="Times New Roman" w:eastAsia="Times New Roman" w:hAnsi="Times New Roman"/>
                <w:sz w:val="26"/>
                <w:szCs w:val="26"/>
                <w:b w:val="1"/>
                <w:bCs w:val="1"/>
                <w:color w:val="auto"/>
                <w:vertAlign w:val="superscript"/>
              </w:rPr>
              <w:t>(1)</w:t>
            </w:r>
          </w:p>
        </w:tc>
        <w:tc>
          <w:tcPr>
            <w:tcW w:w="1680" w:type="dxa"/>
            <w:vAlign w:val="bottom"/>
            <w:gridSpan w:val="2"/>
          </w:tcPr>
          <w:p>
            <w:pPr>
              <w:jc w:val="center"/>
              <w:ind w:right="140"/>
              <w:spacing w:after="0" w:line="192" w:lineRule="exact"/>
              <w:rPr>
                <w:sz w:val="20"/>
                <w:szCs w:val="20"/>
                <w:color w:val="auto"/>
              </w:rPr>
            </w:pPr>
            <w:r>
              <w:rPr>
                <w:rFonts w:ascii="Times New Roman" w:cs="Times New Roman" w:eastAsia="Times New Roman" w:hAnsi="Times New Roman"/>
                <w:sz w:val="14"/>
                <w:szCs w:val="14"/>
                <w:b w:val="1"/>
                <w:bCs w:val="1"/>
                <w:color w:val="auto"/>
              </w:rPr>
              <w:t>of Funds</w:t>
            </w:r>
            <w:r>
              <w:rPr>
                <w:rFonts w:ascii="Times New Roman" w:cs="Times New Roman" w:eastAsia="Times New Roman" w:hAnsi="Times New Roman"/>
                <w:sz w:val="22"/>
                <w:szCs w:val="22"/>
                <w:b w:val="1"/>
                <w:bCs w:val="1"/>
                <w:color w:val="auto"/>
                <w:vertAlign w:val="superscript"/>
              </w:rPr>
              <w:t>(2)(3)</w:t>
            </w: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820" w:type="dxa"/>
            <w:vAlign w:val="bottom"/>
            <w:vMerge w:val="continue"/>
          </w:tcPr>
          <w:p>
            <w:pPr>
              <w:spacing w:after="0"/>
              <w:rPr>
                <w:sz w:val="20"/>
                <w:szCs w:val="20"/>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US($)</w:t>
            </w:r>
          </w:p>
        </w:tc>
        <w:tc>
          <w:tcPr>
            <w:tcW w:w="1760" w:type="dxa"/>
            <w:vAlign w:val="bottom"/>
            <w:gridSpan w:val="2"/>
          </w:tcPr>
          <w:p>
            <w:pPr>
              <w:jc w:val="center"/>
              <w:ind w:right="140"/>
              <w:spacing w:after="0" w:line="236" w:lineRule="exact"/>
              <w:rPr>
                <w:sz w:val="20"/>
                <w:szCs w:val="20"/>
                <w:color w:val="auto"/>
              </w:rPr>
            </w:pPr>
            <w:r>
              <w:rPr>
                <w:rFonts w:ascii="Times New Roman" w:cs="Times New Roman" w:eastAsia="Times New Roman" w:hAnsi="Times New Roman"/>
                <w:sz w:val="16"/>
                <w:szCs w:val="16"/>
                <w:b w:val="1"/>
                <w:bCs w:val="1"/>
                <w:color w:val="auto"/>
                <w:w w:val="94"/>
              </w:rPr>
              <w:t>for Completion</w:t>
            </w:r>
            <w:r>
              <w:rPr>
                <w:rFonts w:ascii="Times New Roman" w:cs="Times New Roman" w:eastAsia="Times New Roman" w:hAnsi="Times New Roman"/>
                <w:sz w:val="26"/>
                <w:szCs w:val="26"/>
                <w:b w:val="1"/>
                <w:bCs w:val="1"/>
                <w:color w:val="auto"/>
                <w:w w:val="94"/>
                <w:vertAlign w:val="superscript"/>
              </w:rPr>
              <w:t>(4)</w:t>
            </w:r>
          </w:p>
        </w:tc>
        <w:tc>
          <w:tcPr>
            <w:tcW w:w="0" w:type="dxa"/>
            <w:vAlign w:val="bottom"/>
          </w:tcPr>
          <w:p>
            <w:pPr>
              <w:spacing w:after="0"/>
              <w:rPr>
                <w:sz w:val="1"/>
                <w:szCs w:val="1"/>
                <w:color w:val="auto"/>
              </w:rPr>
            </w:pPr>
          </w:p>
        </w:tc>
      </w:tr>
      <w:tr>
        <w:trPr>
          <w:trHeight w:val="205"/>
        </w:trPr>
        <w:tc>
          <w:tcPr>
            <w:tcW w:w="7820" w:type="dxa"/>
            <w:vAlign w:val="bottom"/>
            <w:tcBorders>
              <w:top w:val="single" w:sz="8" w:color="E6EFFF"/>
            </w:tcBorders>
            <w:shd w:val="clear" w:color="auto" w:fill="E6EFFF"/>
          </w:tcPr>
          <w:p>
            <w:pPr>
              <w:spacing w:after="0" w:line="204" w:lineRule="exact"/>
              <w:rPr>
                <w:sz w:val="20"/>
                <w:szCs w:val="20"/>
                <w:color w:val="auto"/>
              </w:rPr>
            </w:pPr>
            <w:r>
              <w:rPr>
                <w:rFonts w:ascii="Times New Roman" w:cs="Times New Roman" w:eastAsia="Times New Roman" w:hAnsi="Times New Roman"/>
                <w:sz w:val="14"/>
                <w:szCs w:val="14"/>
                <w:color w:val="auto"/>
              </w:rPr>
              <w:t>Deuterated Psilocin Program (CYB003)</w:t>
            </w:r>
            <w:r>
              <w:rPr>
                <w:rFonts w:ascii="Times New Roman" w:cs="Times New Roman" w:eastAsia="Times New Roman" w:hAnsi="Times New Roman"/>
                <w:sz w:val="23"/>
                <w:szCs w:val="23"/>
                <w:color w:val="auto"/>
                <w:vertAlign w:val="superscript"/>
              </w:rPr>
              <w:t>(5)</w:t>
            </w:r>
          </w:p>
        </w:tc>
        <w:tc>
          <w:tcPr>
            <w:tcW w:w="1440" w:type="dxa"/>
            <w:vAlign w:val="bottom"/>
            <w:tcBorders>
              <w:top w:val="single" w:sz="8" w:color="auto"/>
            </w:tcBorders>
            <w:shd w:val="clear" w:color="auto" w:fill="E6EFFF"/>
          </w:tcPr>
          <w:p>
            <w:pPr>
              <w:spacing w:after="0"/>
              <w:rPr>
                <w:sz w:val="17"/>
                <w:szCs w:val="17"/>
                <w:color w:val="auto"/>
              </w:rPr>
            </w:pPr>
          </w:p>
        </w:tc>
        <w:tc>
          <w:tcPr>
            <w:tcW w:w="240" w:type="dxa"/>
            <w:vAlign w:val="bottom"/>
            <w:tcBorders>
              <w:top w:val="single" w:sz="8" w:color="E6EFFF"/>
            </w:tcBorders>
            <w:shd w:val="clear" w:color="auto" w:fill="E6EFFF"/>
          </w:tcPr>
          <w:p>
            <w:pPr>
              <w:spacing w:after="0"/>
              <w:rPr>
                <w:sz w:val="17"/>
                <w:szCs w:val="17"/>
                <w:color w:val="auto"/>
              </w:rPr>
            </w:pPr>
          </w:p>
        </w:tc>
        <w:tc>
          <w:tcPr>
            <w:tcW w:w="1520" w:type="dxa"/>
            <w:vAlign w:val="bottom"/>
            <w:tcBorders>
              <w:top w:val="single" w:sz="8" w:color="auto"/>
            </w:tcBorders>
            <w:shd w:val="clear" w:color="auto" w:fill="E6EFFF"/>
          </w:tcPr>
          <w:p>
            <w:pPr>
              <w:spacing w:after="0"/>
              <w:rPr>
                <w:sz w:val="17"/>
                <w:szCs w:val="17"/>
                <w:color w:val="auto"/>
              </w:rPr>
            </w:pPr>
          </w:p>
        </w:tc>
        <w:tc>
          <w:tcPr>
            <w:tcW w:w="240" w:type="dxa"/>
            <w:vAlign w:val="bottom"/>
            <w:tcBorders>
              <w:top w:val="single" w:sz="8" w:color="E6EFFF"/>
            </w:tcBorders>
            <w:shd w:val="clear" w:color="auto" w:fill="E6EF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Provide topline efficacy data readout from the first Phase 3 study, APPROACH</w:t>
            </w:r>
          </w:p>
        </w:tc>
        <w:tc>
          <w:tcPr>
            <w:tcW w:w="144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7"/>
              </w:rPr>
              <w:t>27,717,000</w:t>
            </w:r>
          </w:p>
        </w:tc>
        <w:tc>
          <w:tcPr>
            <w:tcW w:w="240" w:type="dxa"/>
            <w:vAlign w:val="bottom"/>
          </w:tcPr>
          <w:p>
            <w:pPr>
              <w:spacing w:after="0"/>
              <w:rPr>
                <w:sz w:val="16"/>
                <w:szCs w:val="16"/>
                <w:color w:val="auto"/>
              </w:rPr>
            </w:pPr>
          </w:p>
        </w:tc>
        <w:tc>
          <w:tcPr>
            <w:tcW w:w="1520" w:type="dxa"/>
            <w:vAlign w:val="bottom"/>
          </w:tcPr>
          <w:p>
            <w:pPr>
              <w:jc w:val="center"/>
              <w:ind w:left="43"/>
              <w:spacing w:after="0"/>
              <w:rPr>
                <w:sz w:val="20"/>
                <w:szCs w:val="20"/>
                <w:color w:val="auto"/>
              </w:rPr>
            </w:pPr>
            <w:r>
              <w:rPr>
                <w:rFonts w:ascii="Times New Roman" w:cs="Times New Roman" w:eastAsia="Times New Roman" w:hAnsi="Times New Roman"/>
                <w:sz w:val="16"/>
                <w:szCs w:val="16"/>
                <w:color w:val="auto"/>
                <w:w w:val="99"/>
              </w:rPr>
              <w:t>2026</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E6EFFF"/>
          </w:tcPr>
          <w:p>
            <w:pPr>
              <w:ind w:left="240"/>
              <w:spacing w:after="0"/>
              <w:rPr>
                <w:sz w:val="20"/>
                <w:szCs w:val="20"/>
                <w:color w:val="auto"/>
              </w:rPr>
            </w:pPr>
            <w:r>
              <w:rPr>
                <w:rFonts w:ascii="Times New Roman" w:cs="Times New Roman" w:eastAsia="Times New Roman" w:hAnsi="Times New Roman"/>
                <w:sz w:val="16"/>
                <w:szCs w:val="16"/>
                <w:color w:val="auto"/>
              </w:rPr>
              <w:t>Progression of the second Phase 3 study, EMBRACE</w:t>
            </w:r>
          </w:p>
        </w:tc>
        <w:tc>
          <w:tcPr>
            <w:tcW w:w="1440" w:type="dxa"/>
            <w:vAlign w:val="bottom"/>
            <w:shd w:val="clear" w:color="auto" w:fill="E6EFFF"/>
          </w:tcPr>
          <w:p>
            <w:pPr>
              <w:jc w:val="center"/>
              <w:ind w:left="22"/>
              <w:spacing w:after="0"/>
              <w:rPr>
                <w:sz w:val="20"/>
                <w:szCs w:val="20"/>
                <w:color w:val="auto"/>
              </w:rPr>
            </w:pPr>
            <w:r>
              <w:rPr>
                <w:rFonts w:ascii="Times New Roman" w:cs="Times New Roman" w:eastAsia="Times New Roman" w:hAnsi="Times New Roman"/>
                <w:sz w:val="16"/>
                <w:szCs w:val="16"/>
                <w:color w:val="auto"/>
                <w:w w:val="97"/>
              </w:rPr>
              <w:t>24,368,000</w:t>
            </w:r>
          </w:p>
        </w:tc>
        <w:tc>
          <w:tcPr>
            <w:tcW w:w="240" w:type="dxa"/>
            <w:vAlign w:val="bottom"/>
            <w:shd w:val="clear" w:color="auto" w:fill="E6EFFF"/>
          </w:tcPr>
          <w:p>
            <w:pPr>
              <w:spacing w:after="0"/>
              <w:rPr>
                <w:sz w:val="19"/>
                <w:szCs w:val="19"/>
                <w:color w:val="auto"/>
              </w:rPr>
            </w:pPr>
          </w:p>
        </w:tc>
        <w:tc>
          <w:tcPr>
            <w:tcW w:w="1760" w:type="dxa"/>
            <w:vAlign w:val="bottom"/>
            <w:gridSpan w:val="2"/>
            <w:shd w:val="clear" w:color="auto" w:fill="E6EFFF"/>
          </w:tcPr>
          <w:p>
            <w:pPr>
              <w:jc w:val="center"/>
              <w:ind w:right="140"/>
              <w:spacing w:after="0" w:line="225" w:lineRule="exact"/>
              <w:rPr>
                <w:sz w:val="20"/>
                <w:szCs w:val="20"/>
                <w:color w:val="auto"/>
              </w:rPr>
            </w:pPr>
            <w:r>
              <w:rPr>
                <w:rFonts w:ascii="Times New Roman" w:cs="Times New Roman" w:eastAsia="Times New Roman" w:hAnsi="Times New Roman"/>
                <w:sz w:val="26"/>
                <w:szCs w:val="26"/>
                <w:color w:val="auto"/>
                <w:w w:val="95"/>
                <w:vertAlign w:val="subscript"/>
              </w:rPr>
              <w:t>N/A</w:t>
            </w:r>
            <w:r>
              <w:rPr>
                <w:rFonts w:ascii="Times New Roman" w:cs="Times New Roman" w:eastAsia="Times New Roman" w:hAnsi="Times New Roman"/>
                <w:sz w:val="12"/>
                <w:szCs w:val="12"/>
                <w:color w:val="auto"/>
                <w:w w:val="95"/>
              </w:rPr>
              <w:t>(7)</w:t>
            </w:r>
          </w:p>
        </w:tc>
        <w:tc>
          <w:tcPr>
            <w:tcW w:w="0" w:type="dxa"/>
            <w:vAlign w:val="bottom"/>
          </w:tcPr>
          <w:p>
            <w:pPr>
              <w:spacing w:after="0"/>
              <w:rPr>
                <w:sz w:val="1"/>
                <w:szCs w:val="1"/>
                <w:color w:val="auto"/>
              </w:rPr>
            </w:pPr>
          </w:p>
        </w:tc>
      </w:tr>
      <w:tr>
        <w:trPr>
          <w:trHeight w:val="225"/>
        </w:trPr>
        <w:tc>
          <w:tcPr>
            <w:tcW w:w="7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Progression of the third Phase 3 study, EXTEND</w:t>
            </w:r>
          </w:p>
        </w:tc>
        <w:tc>
          <w:tcPr>
            <w:tcW w:w="144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7"/>
              </w:rPr>
              <w:t>23,923,000</w:t>
            </w:r>
          </w:p>
        </w:tc>
        <w:tc>
          <w:tcPr>
            <w:tcW w:w="240" w:type="dxa"/>
            <w:vAlign w:val="bottom"/>
          </w:tcPr>
          <w:p>
            <w:pPr>
              <w:spacing w:after="0"/>
              <w:rPr>
                <w:sz w:val="19"/>
                <w:szCs w:val="19"/>
                <w:color w:val="auto"/>
              </w:rPr>
            </w:pPr>
          </w:p>
        </w:tc>
        <w:tc>
          <w:tcPr>
            <w:tcW w:w="1760" w:type="dxa"/>
            <w:vAlign w:val="bottom"/>
            <w:gridSpan w:val="2"/>
          </w:tcPr>
          <w:p>
            <w:pPr>
              <w:jc w:val="center"/>
              <w:ind w:right="140"/>
              <w:spacing w:after="0" w:line="225" w:lineRule="exact"/>
              <w:rPr>
                <w:sz w:val="20"/>
                <w:szCs w:val="20"/>
                <w:color w:val="auto"/>
              </w:rPr>
            </w:pPr>
            <w:r>
              <w:rPr>
                <w:rFonts w:ascii="Times New Roman" w:cs="Times New Roman" w:eastAsia="Times New Roman" w:hAnsi="Times New Roman"/>
                <w:sz w:val="16"/>
                <w:szCs w:val="16"/>
                <w:color w:val="auto"/>
                <w:w w:val="87"/>
              </w:rPr>
              <w:t>N/A</w:t>
            </w:r>
            <w:r>
              <w:rPr>
                <w:rFonts w:ascii="Times New Roman" w:cs="Times New Roman" w:eastAsia="Times New Roman" w:hAnsi="Times New Roman"/>
                <w:sz w:val="26"/>
                <w:szCs w:val="26"/>
                <w:color w:val="auto"/>
                <w:w w:val="87"/>
                <w:vertAlign w:val="superscript"/>
              </w:rPr>
              <w:t>(7)</w:t>
            </w:r>
          </w:p>
        </w:tc>
        <w:tc>
          <w:tcPr>
            <w:tcW w:w="0" w:type="dxa"/>
            <w:vAlign w:val="bottom"/>
          </w:tcPr>
          <w:p>
            <w:pPr>
              <w:spacing w:after="0"/>
              <w:rPr>
                <w:sz w:val="1"/>
                <w:szCs w:val="1"/>
                <w:color w:val="auto"/>
              </w:rPr>
            </w:pPr>
          </w:p>
        </w:tc>
      </w:tr>
      <w:tr>
        <w:trPr>
          <w:trHeight w:val="189"/>
        </w:trPr>
        <w:tc>
          <w:tcPr>
            <w:tcW w:w="7820" w:type="dxa"/>
            <w:vAlign w:val="bottom"/>
            <w:shd w:val="clear" w:color="auto" w:fill="E6EFFF"/>
          </w:tcPr>
          <w:p>
            <w:pPr>
              <w:spacing w:after="0"/>
              <w:rPr>
                <w:sz w:val="20"/>
                <w:szCs w:val="20"/>
                <w:color w:val="auto"/>
              </w:rPr>
            </w:pPr>
            <w:r>
              <w:rPr>
                <w:rFonts w:ascii="Times New Roman" w:cs="Times New Roman" w:eastAsia="Times New Roman" w:hAnsi="Times New Roman"/>
                <w:sz w:val="16"/>
                <w:szCs w:val="16"/>
                <w:color w:val="auto"/>
              </w:rPr>
              <w:t>Deuterated Dimethyltryptamine Program (CYB004)</w:t>
            </w:r>
          </w:p>
        </w:tc>
        <w:tc>
          <w:tcPr>
            <w:tcW w:w="1440" w:type="dxa"/>
            <w:vAlign w:val="bottom"/>
            <w:shd w:val="clear" w:color="auto" w:fill="E6EFFF"/>
          </w:tcPr>
          <w:p>
            <w:pPr>
              <w:spacing w:after="0"/>
              <w:rPr>
                <w:sz w:val="16"/>
                <w:szCs w:val="16"/>
                <w:color w:val="auto"/>
              </w:rPr>
            </w:pPr>
          </w:p>
        </w:tc>
        <w:tc>
          <w:tcPr>
            <w:tcW w:w="240" w:type="dxa"/>
            <w:vAlign w:val="bottom"/>
            <w:shd w:val="clear" w:color="auto" w:fill="E6EFFF"/>
          </w:tcPr>
          <w:p>
            <w:pPr>
              <w:spacing w:after="0"/>
              <w:rPr>
                <w:sz w:val="16"/>
                <w:szCs w:val="16"/>
                <w:color w:val="auto"/>
              </w:rPr>
            </w:pPr>
          </w:p>
        </w:tc>
        <w:tc>
          <w:tcPr>
            <w:tcW w:w="1520" w:type="dxa"/>
            <w:vAlign w:val="bottom"/>
            <w:shd w:val="clear" w:color="auto" w:fill="E6EFFF"/>
          </w:tcPr>
          <w:p>
            <w:pPr>
              <w:spacing w:after="0"/>
              <w:rPr>
                <w:sz w:val="16"/>
                <w:szCs w:val="16"/>
                <w:color w:val="auto"/>
              </w:rPr>
            </w:pPr>
          </w:p>
        </w:tc>
        <w:tc>
          <w:tcPr>
            <w:tcW w:w="240" w:type="dxa"/>
            <w:vAlign w:val="bottom"/>
            <w:shd w:val="clear" w:color="auto" w:fill="E6EF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Complete the Phase 2 GAD study</w:t>
            </w:r>
          </w:p>
        </w:tc>
        <w:tc>
          <w:tcPr>
            <w:tcW w:w="144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6"/>
              </w:rPr>
              <w:t>1,548,000</w:t>
            </w:r>
          </w:p>
        </w:tc>
        <w:tc>
          <w:tcPr>
            <w:tcW w:w="240" w:type="dxa"/>
            <w:vAlign w:val="bottom"/>
          </w:tcPr>
          <w:p>
            <w:pPr>
              <w:spacing w:after="0"/>
              <w:rPr>
                <w:sz w:val="19"/>
                <w:szCs w:val="19"/>
                <w:color w:val="auto"/>
              </w:rPr>
            </w:pPr>
          </w:p>
        </w:tc>
        <w:tc>
          <w:tcPr>
            <w:tcW w:w="1760" w:type="dxa"/>
            <w:vAlign w:val="bottom"/>
            <w:gridSpan w:val="2"/>
          </w:tcPr>
          <w:p>
            <w:pPr>
              <w:jc w:val="center"/>
              <w:ind w:right="120"/>
              <w:spacing w:after="0" w:line="225" w:lineRule="exact"/>
              <w:rPr>
                <w:sz w:val="20"/>
                <w:szCs w:val="20"/>
                <w:color w:val="auto"/>
              </w:rPr>
            </w:pPr>
            <w:r>
              <w:rPr>
                <w:rFonts w:ascii="Times New Roman" w:cs="Times New Roman" w:eastAsia="Times New Roman" w:hAnsi="Times New Roman"/>
                <w:sz w:val="16"/>
                <w:szCs w:val="16"/>
                <w:color w:val="auto"/>
                <w:w w:val="95"/>
              </w:rPr>
              <w:t>December 2025</w:t>
            </w:r>
            <w:r>
              <w:rPr>
                <w:rFonts w:ascii="Times New Roman" w:cs="Times New Roman" w:eastAsia="Times New Roman" w:hAnsi="Times New Roman"/>
                <w:sz w:val="26"/>
                <w:szCs w:val="26"/>
                <w:color w:val="auto"/>
                <w:w w:val="95"/>
                <w:vertAlign w:val="superscript"/>
              </w:rPr>
              <w:t>(8)</w:t>
            </w:r>
          </w:p>
        </w:tc>
        <w:tc>
          <w:tcPr>
            <w:tcW w:w="0" w:type="dxa"/>
            <w:vAlign w:val="bottom"/>
          </w:tcPr>
          <w:p>
            <w:pPr>
              <w:spacing w:after="0"/>
              <w:rPr>
                <w:sz w:val="1"/>
                <w:szCs w:val="1"/>
                <w:color w:val="auto"/>
              </w:rPr>
            </w:pPr>
          </w:p>
        </w:tc>
      </w:tr>
      <w:tr>
        <w:trPr>
          <w:trHeight w:val="189"/>
        </w:trPr>
        <w:tc>
          <w:tcPr>
            <w:tcW w:w="7820" w:type="dxa"/>
            <w:vAlign w:val="bottom"/>
            <w:shd w:val="clear" w:color="auto" w:fill="E6EFFF"/>
          </w:tcPr>
          <w:p>
            <w:pPr>
              <w:ind w:left="240"/>
              <w:spacing w:after="0"/>
              <w:rPr>
                <w:sz w:val="20"/>
                <w:szCs w:val="20"/>
                <w:color w:val="auto"/>
              </w:rPr>
            </w:pPr>
            <w:r>
              <w:rPr>
                <w:rFonts w:ascii="Times New Roman" w:cs="Times New Roman" w:eastAsia="Times New Roman" w:hAnsi="Times New Roman"/>
                <w:sz w:val="16"/>
                <w:szCs w:val="16"/>
                <w:color w:val="auto"/>
              </w:rPr>
              <w:t>Provide topline data readout from the Phase 2 GAD study</w:t>
            </w:r>
          </w:p>
        </w:tc>
        <w:tc>
          <w:tcPr>
            <w:tcW w:w="1440" w:type="dxa"/>
            <w:vAlign w:val="bottom"/>
            <w:shd w:val="clear" w:color="auto" w:fill="E6EFFF"/>
          </w:tcPr>
          <w:p>
            <w:pPr>
              <w:jc w:val="center"/>
              <w:ind w:left="22"/>
              <w:spacing w:after="0"/>
              <w:rPr>
                <w:sz w:val="20"/>
                <w:szCs w:val="20"/>
                <w:color w:val="auto"/>
              </w:rPr>
            </w:pPr>
            <w:r>
              <w:rPr>
                <w:rFonts w:ascii="Times New Roman" w:cs="Times New Roman" w:eastAsia="Times New Roman" w:hAnsi="Times New Roman"/>
                <w:sz w:val="16"/>
                <w:szCs w:val="16"/>
                <w:color w:val="auto"/>
                <w:w w:val="96"/>
              </w:rPr>
              <w:t>594,000</w:t>
            </w:r>
          </w:p>
        </w:tc>
        <w:tc>
          <w:tcPr>
            <w:tcW w:w="240" w:type="dxa"/>
            <w:vAlign w:val="bottom"/>
            <w:shd w:val="clear" w:color="auto" w:fill="E6EFFF"/>
          </w:tcPr>
          <w:p>
            <w:pPr>
              <w:spacing w:after="0"/>
              <w:rPr>
                <w:sz w:val="16"/>
                <w:szCs w:val="16"/>
                <w:color w:val="auto"/>
              </w:rPr>
            </w:pPr>
          </w:p>
        </w:tc>
        <w:tc>
          <w:tcPr>
            <w:tcW w:w="1760" w:type="dxa"/>
            <w:vAlign w:val="bottom"/>
            <w:gridSpan w:val="2"/>
            <w:shd w:val="clear" w:color="auto" w:fill="E6EFFF"/>
          </w:tcPr>
          <w:p>
            <w:pPr>
              <w:jc w:val="center"/>
              <w:ind w:right="140"/>
              <w:spacing w:after="0"/>
              <w:rPr>
                <w:sz w:val="20"/>
                <w:szCs w:val="20"/>
                <w:color w:val="auto"/>
              </w:rPr>
            </w:pPr>
            <w:r>
              <w:rPr>
                <w:rFonts w:ascii="Times New Roman" w:cs="Times New Roman" w:eastAsia="Times New Roman" w:hAnsi="Times New Roman"/>
                <w:sz w:val="16"/>
                <w:szCs w:val="16"/>
                <w:color w:val="auto"/>
                <w:w w:val="97"/>
              </w:rPr>
              <w:t>Q1 2026</w:t>
            </w:r>
          </w:p>
        </w:tc>
        <w:tc>
          <w:tcPr>
            <w:tcW w:w="0" w:type="dxa"/>
            <w:vAlign w:val="bottom"/>
          </w:tcPr>
          <w:p>
            <w:pPr>
              <w:spacing w:after="0"/>
              <w:rPr>
                <w:sz w:val="1"/>
                <w:szCs w:val="1"/>
                <w:color w:val="auto"/>
              </w:rPr>
            </w:pPr>
          </w:p>
        </w:tc>
      </w:tr>
      <w:tr>
        <w:trPr>
          <w:trHeight w:val="189"/>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Phenethylamine and Tryptamine Derivatives Program (CYB005)</w:t>
            </w: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E6EFFF"/>
          </w:tcPr>
          <w:p>
            <w:pPr>
              <w:ind w:left="240"/>
              <w:spacing w:after="0"/>
              <w:rPr>
                <w:sz w:val="20"/>
                <w:szCs w:val="20"/>
                <w:color w:val="auto"/>
              </w:rPr>
            </w:pPr>
            <w:r>
              <w:rPr>
                <w:rFonts w:ascii="Times New Roman" w:cs="Times New Roman" w:eastAsia="Times New Roman" w:hAnsi="Times New Roman"/>
                <w:sz w:val="16"/>
                <w:szCs w:val="16"/>
                <w:color w:val="auto"/>
              </w:rPr>
              <w:t>Deliver a drug development candidate</w:t>
            </w:r>
          </w:p>
        </w:tc>
        <w:tc>
          <w:tcPr>
            <w:tcW w:w="1440" w:type="dxa"/>
            <w:vAlign w:val="bottom"/>
            <w:shd w:val="clear" w:color="auto" w:fill="E6EFFF"/>
          </w:tcPr>
          <w:p>
            <w:pPr>
              <w:jc w:val="center"/>
              <w:ind w:left="22"/>
              <w:spacing w:after="0"/>
              <w:rPr>
                <w:sz w:val="20"/>
                <w:szCs w:val="20"/>
                <w:color w:val="auto"/>
              </w:rPr>
            </w:pPr>
            <w:r>
              <w:rPr>
                <w:rFonts w:ascii="Times New Roman" w:cs="Times New Roman" w:eastAsia="Times New Roman" w:hAnsi="Times New Roman"/>
                <w:sz w:val="16"/>
                <w:szCs w:val="16"/>
                <w:color w:val="auto"/>
                <w:w w:val="96"/>
              </w:rPr>
              <w:t>346,000</w:t>
            </w:r>
          </w:p>
        </w:tc>
        <w:tc>
          <w:tcPr>
            <w:tcW w:w="240" w:type="dxa"/>
            <w:vAlign w:val="bottom"/>
            <w:shd w:val="clear" w:color="auto" w:fill="E6EFFF"/>
          </w:tcPr>
          <w:p>
            <w:pPr>
              <w:spacing w:after="0"/>
              <w:rPr>
                <w:sz w:val="19"/>
                <w:szCs w:val="19"/>
                <w:color w:val="auto"/>
              </w:rPr>
            </w:pPr>
          </w:p>
        </w:tc>
        <w:tc>
          <w:tcPr>
            <w:tcW w:w="1760" w:type="dxa"/>
            <w:vAlign w:val="bottom"/>
            <w:gridSpan w:val="2"/>
            <w:shd w:val="clear" w:color="auto" w:fill="E6EFFF"/>
          </w:tcPr>
          <w:p>
            <w:pPr>
              <w:jc w:val="center"/>
              <w:ind w:right="140"/>
              <w:spacing w:after="0" w:line="225" w:lineRule="exact"/>
              <w:rPr>
                <w:sz w:val="20"/>
                <w:szCs w:val="20"/>
                <w:color w:val="auto"/>
              </w:rPr>
            </w:pPr>
            <w:r>
              <w:rPr>
                <w:rFonts w:ascii="Times New Roman" w:cs="Times New Roman" w:eastAsia="Times New Roman" w:hAnsi="Times New Roman"/>
                <w:sz w:val="16"/>
                <w:szCs w:val="16"/>
                <w:color w:val="auto"/>
                <w:w w:val="92"/>
              </w:rPr>
              <w:t>Q3 2026</w:t>
            </w:r>
            <w:r>
              <w:rPr>
                <w:rFonts w:ascii="Times New Roman" w:cs="Times New Roman" w:eastAsia="Times New Roman" w:hAnsi="Times New Roman"/>
                <w:sz w:val="26"/>
                <w:szCs w:val="26"/>
                <w:color w:val="auto"/>
                <w:w w:val="92"/>
                <w:vertAlign w:val="superscript"/>
              </w:rPr>
              <w:t>(9)</w:t>
            </w:r>
          </w:p>
        </w:tc>
        <w:tc>
          <w:tcPr>
            <w:tcW w:w="0" w:type="dxa"/>
            <w:vAlign w:val="bottom"/>
          </w:tcPr>
          <w:p>
            <w:pPr>
              <w:spacing w:after="0"/>
              <w:rPr>
                <w:sz w:val="1"/>
                <w:szCs w:val="1"/>
                <w:color w:val="auto"/>
              </w:rPr>
            </w:pPr>
          </w:p>
        </w:tc>
      </w:tr>
      <w:tr>
        <w:trPr>
          <w:trHeight w:val="225"/>
        </w:trPr>
        <w:tc>
          <w:tcPr>
            <w:tcW w:w="7820" w:type="dxa"/>
            <w:vAlign w:val="bottom"/>
          </w:tcPr>
          <w:p>
            <w:pPr>
              <w:spacing w:after="0" w:line="225" w:lineRule="exact"/>
              <w:rPr>
                <w:sz w:val="20"/>
                <w:szCs w:val="20"/>
                <w:color w:val="auto"/>
              </w:rPr>
            </w:pPr>
            <w:r>
              <w:rPr>
                <w:rFonts w:ascii="Times New Roman" w:cs="Times New Roman" w:eastAsia="Times New Roman" w:hAnsi="Times New Roman"/>
                <w:sz w:val="16"/>
                <w:szCs w:val="16"/>
                <w:color w:val="auto"/>
              </w:rPr>
              <w:t>Working Capital, and General Corporate Purposes</w:t>
            </w:r>
            <w:r>
              <w:rPr>
                <w:rFonts w:ascii="Times New Roman" w:cs="Times New Roman" w:eastAsia="Times New Roman" w:hAnsi="Times New Roman"/>
                <w:sz w:val="26"/>
                <w:szCs w:val="26"/>
                <w:color w:val="auto"/>
                <w:vertAlign w:val="superscript"/>
              </w:rPr>
              <w:t>(6)</w:t>
            </w:r>
          </w:p>
        </w:tc>
        <w:tc>
          <w:tcPr>
            <w:tcW w:w="144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7"/>
              </w:rPr>
              <w:t>13,704,000</w:t>
            </w:r>
          </w:p>
        </w:tc>
        <w:tc>
          <w:tcPr>
            <w:tcW w:w="240" w:type="dxa"/>
            <w:vAlign w:val="bottom"/>
          </w:tcPr>
          <w:p>
            <w:pPr>
              <w:spacing w:after="0"/>
              <w:rPr>
                <w:sz w:val="19"/>
                <w:szCs w:val="19"/>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4"/>
              </w:rPr>
              <w:t>N/A</w:t>
            </w:r>
          </w:p>
        </w:tc>
        <w:tc>
          <w:tcPr>
            <w:tcW w:w="0" w:type="dxa"/>
            <w:vAlign w:val="bottom"/>
          </w:tcPr>
          <w:p>
            <w:pPr>
              <w:spacing w:after="0"/>
              <w:rPr>
                <w:sz w:val="1"/>
                <w:szCs w:val="1"/>
                <w:color w:val="auto"/>
              </w:rPr>
            </w:pPr>
          </w:p>
        </w:tc>
      </w:tr>
      <w:tr>
        <w:trPr>
          <w:trHeight w:val="189"/>
        </w:trPr>
        <w:tc>
          <w:tcPr>
            <w:tcW w:w="7820" w:type="dxa"/>
            <w:vAlign w:val="bottom"/>
            <w:shd w:val="clear" w:color="auto" w:fill="E6EF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40" w:type="dxa"/>
            <w:vAlign w:val="bottom"/>
            <w:shd w:val="clear" w:color="auto" w:fill="E6EFFF"/>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7"/>
              </w:rPr>
              <w:t>92,200,000</w:t>
            </w:r>
          </w:p>
        </w:tc>
        <w:tc>
          <w:tcPr>
            <w:tcW w:w="240" w:type="dxa"/>
            <w:vAlign w:val="bottom"/>
            <w:shd w:val="clear" w:color="auto" w:fill="E6EFFF"/>
          </w:tcPr>
          <w:p>
            <w:pPr>
              <w:spacing w:after="0"/>
              <w:rPr>
                <w:sz w:val="16"/>
                <w:szCs w:val="16"/>
                <w:color w:val="auto"/>
              </w:rPr>
            </w:pPr>
          </w:p>
        </w:tc>
        <w:tc>
          <w:tcPr>
            <w:tcW w:w="1520" w:type="dxa"/>
            <w:vAlign w:val="bottom"/>
            <w:shd w:val="clear" w:color="auto" w:fill="E6EFFF"/>
          </w:tcPr>
          <w:p>
            <w:pPr>
              <w:spacing w:after="0"/>
              <w:rPr>
                <w:sz w:val="16"/>
                <w:szCs w:val="16"/>
                <w:color w:val="auto"/>
              </w:rPr>
            </w:pPr>
          </w:p>
        </w:tc>
        <w:tc>
          <w:tcPr>
            <w:tcW w:w="240" w:type="dxa"/>
            <w:vAlign w:val="bottom"/>
            <w:shd w:val="clear" w:color="auto" w:fill="E6EFFF"/>
          </w:tcPr>
          <w:p>
            <w:pPr>
              <w:spacing w:after="0"/>
              <w:rPr>
                <w:sz w:val="16"/>
                <w:szCs w:val="1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Notes:</w:t>
      </w:r>
    </w:p>
    <w:p>
      <w:pPr>
        <w:spacing w:after="0" w:line="164" w:lineRule="exact"/>
        <w:rPr>
          <w:sz w:val="20"/>
          <w:szCs w:val="20"/>
          <w:color w:val="auto"/>
        </w:rPr>
      </w:pPr>
    </w:p>
    <w:p>
      <w:pPr>
        <w:ind w:left="560" w:hanging="376"/>
        <w:spacing w:after="0" w:line="244" w:lineRule="auto"/>
        <w:tabs>
          <w:tab w:leader="none" w:pos="591"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Please see the Interim MD&amp;A for a description of the Corporation’s programs. All milestones are subject to receipt of all necessary approvals, including the academic and scientific organizations with which the Corporation is working.</w:t>
      </w:r>
    </w:p>
    <w:p>
      <w:pPr>
        <w:spacing w:after="0" w:line="1" w:lineRule="exact"/>
        <w:rPr>
          <w:rFonts w:ascii="Times New Roman" w:cs="Times New Roman" w:eastAsia="Times New Roman" w:hAnsi="Times New Roman"/>
          <w:sz w:val="19"/>
          <w:szCs w:val="19"/>
          <w:color w:val="auto"/>
        </w:rPr>
      </w:pPr>
    </w:p>
    <w:p>
      <w:pPr>
        <w:jc w:val="both"/>
        <w:ind w:left="560" w:hanging="376"/>
        <w:spacing w:after="0" w:line="233" w:lineRule="auto"/>
        <w:tabs>
          <w:tab w:leader="none" w:pos="591"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Effective April 1, 2025, the Corporation changed its presentation currency from the Canadian dollar to the United States dollar . The change in presentation currency was made to better reflect the Corporation’s operations, align with the currency in which the majority of cash based expenses are denominated, and improve comparability of its financial results with other publicly traded businesses in the industry. As a result, all amounts presented under the heading “ Sources and Uses of Capital” are in United States dollar unless otherwise stated.</w:t>
      </w:r>
    </w:p>
    <w:p>
      <w:pPr>
        <w:spacing w:after="0" w:line="3" w:lineRule="exact"/>
        <w:rPr>
          <w:rFonts w:ascii="Times New Roman" w:cs="Times New Roman" w:eastAsia="Times New Roman" w:hAnsi="Times New Roman"/>
          <w:sz w:val="19"/>
          <w:szCs w:val="19"/>
          <w:color w:val="auto"/>
        </w:rPr>
      </w:pPr>
    </w:p>
    <w:p>
      <w:pPr>
        <w:ind w:left="600" w:hanging="416"/>
        <w:spacing w:after="0" w:line="233" w:lineRule="auto"/>
        <w:tabs>
          <w:tab w:leader="none" w:pos="60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Represents proceeds from private placements and offerings previously disclosed.</w:t>
      </w:r>
    </w:p>
    <w:p>
      <w:pPr>
        <w:ind w:left="560" w:right="20" w:hanging="376"/>
        <w:spacing w:after="0" w:line="233" w:lineRule="auto"/>
        <w:tabs>
          <w:tab w:leader="none" w:pos="591"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Times New Roman" w:cs="Times New Roman" w:eastAsia="Times New Roman" w:hAnsi="Times New Roman"/>
          <w:sz w:val="19"/>
          <w:szCs w:val="19"/>
          <w:color w:val="auto"/>
        </w:rPr>
      </w:pPr>
    </w:p>
    <w:p>
      <w:pPr>
        <w:jc w:val="both"/>
        <w:ind w:left="560" w:hanging="376"/>
        <w:spacing w:after="0" w:line="233" w:lineRule="auto"/>
        <w:tabs>
          <w:tab w:leader="none" w:pos="591"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Corporation's APPROACH trial participants (n=220) will be randomized 1:1 to receive 16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APPROACH is expected to enroll at approximately 45 clinical sites across the U.S. The Corporation's EMBRACE trial participants (n=330) will be randomized 1:1:1 to receive 16 mg of CYB003 (n=110), 8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EMBRACE is expected to enroll at approximately 60 clinical sites, with minimal site overlap with the APPROACH study. Participants (up to n=550) from APPROACH and EMBRACE will roll over into EXTEND, the Corporation's Phase 3 Pivotal study 3 trial, after the completion of the 12-week, double-blind, placebo-controlled treatment periods. 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 The Corporation has engaged Worldwide Clinical Trials Inc, a full-service contract research organization with deep expertise in central nervous system drug development, to carry out the Phase 3 pivotal studies of CYB003. The Corporation cannot at this time estimate the cost of bringing CYB003 drug candidate to market as much of the associated costs depend on the outcomes of the phase III pivotal clinical trials. Further, there is no assurance that the aforementioned timelines will be met or that such studies will be completed.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20" w:lineRule="exact"/>
        <w:rPr>
          <w:rFonts w:ascii="Times New Roman" w:cs="Times New Roman" w:eastAsia="Times New Roman" w:hAnsi="Times New Roman"/>
          <w:sz w:val="19"/>
          <w:szCs w:val="19"/>
          <w:color w:val="auto"/>
        </w:rPr>
      </w:pPr>
    </w:p>
    <w:p>
      <w:pPr>
        <w:jc w:val="both"/>
        <w:ind w:left="560" w:hanging="376"/>
        <w:spacing w:after="0" w:line="237" w:lineRule="auto"/>
        <w:tabs>
          <w:tab w:leader="none" w:pos="591"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Psilocin Program and Deuterated Dimethyltryptamine Program. The allocation between and specific milestones within these programs have not yet been determined.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41" w:name="page42"/>
    <w:bookmarkEnd w:id="41"/>
    <w:p>
      <w:pPr>
        <w:ind w:left="560" w:right="20" w:hanging="376"/>
        <w:spacing w:after="0" w:line="245" w:lineRule="auto"/>
        <w:tabs>
          <w:tab w:leader="none" w:pos="591"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 will progress the Phase 3 study EMBRACE and Phase 3 study EXTEND over the next 12 months however, these studies are not anticipated to be completed within the 12 month timeframe.</w:t>
      </w:r>
    </w:p>
    <w:p>
      <w:pPr>
        <w:jc w:val="both"/>
        <w:ind w:left="560" w:hanging="376"/>
        <w:spacing w:after="0" w:line="233" w:lineRule="auto"/>
        <w:tabs>
          <w:tab w:leader="none" w:pos="591"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 has updated the anticipated timeline for completion of this milestone. The Corporation had previously expected it would complete this milestone around mid-year 2025. There was a minor change in anticipated timing due to updates to the study. Anticipated spending and timelines regarding drug development are based on reasonable assumptions informed by current knowledge and information available to the Corporation.</w:t>
      </w:r>
    </w:p>
    <w:p>
      <w:pPr>
        <w:spacing w:after="0" w:line="3" w:lineRule="exact"/>
        <w:rPr>
          <w:rFonts w:ascii="Times New Roman" w:cs="Times New Roman" w:eastAsia="Times New Roman" w:hAnsi="Times New Roman"/>
          <w:sz w:val="19"/>
          <w:szCs w:val="19"/>
          <w:color w:val="auto"/>
        </w:rPr>
      </w:pPr>
    </w:p>
    <w:p>
      <w:pPr>
        <w:jc w:val="both"/>
        <w:ind w:left="560" w:hanging="376"/>
        <w:spacing w:after="0" w:line="237" w:lineRule="auto"/>
        <w:tabs>
          <w:tab w:leader="none" w:pos="591"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Corporation has updated the anticipated timeline for completion of this milestone. The Corporation had previously expected it would complete this milestone in Q1 2026. The Corporation has expanded this program, which previously was focused only on phenethylamine molecules to also include tryptamine molecules. Anticipated spending and timelines regarding drug development are based on reasonable assumptions informed by current knowledge and information available to the Corporation.</w:t>
      </w:r>
    </w:p>
    <w:p>
      <w:pPr>
        <w:spacing w:after="0" w:line="118"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9"/>
          <w:szCs w:val="19"/>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As at September 16, 2025, the Corporation’s current financial resources, absent any capital injections, will be sufficient to meet the Corporation’s short-term liquidity requirements and to fund its operations for the coming 12 months. The Corporation makes this statement based on its current cash position of approximately US$92,200,000.</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Corporation's expectation is based on certain assumptions and risks as set forth in the section "</w:t>
      </w:r>
      <w:r>
        <w:rPr>
          <w:rFonts w:ascii="Times New Roman" w:cs="Times New Roman" w:eastAsia="Times New Roman" w:hAnsi="Times New Roman"/>
          <w:sz w:val="19"/>
          <w:szCs w:val="19"/>
          <w:i w:val="1"/>
          <w:iCs w:val="1"/>
          <w:color w:val="auto"/>
        </w:rPr>
        <w:t>Cautionary Note Regarding Forward Looking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Information</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 in this Prospectus.</w:t>
      </w:r>
    </w:p>
    <w:p>
      <w:pPr>
        <w:spacing w:after="0" w:line="9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19"/>
          <w:szCs w:val="19"/>
          <w:i w:val="1"/>
          <w:iCs w:val="1"/>
          <w:color w:val="auto"/>
        </w:rPr>
        <w:t>Cautionary Note Regarding Forward-Looking Information"</w:t>
      </w:r>
      <w:r>
        <w:rPr>
          <w:rFonts w:ascii="Times New Roman" w:cs="Times New Roman" w:eastAsia="Times New Roman" w:hAnsi="Times New Roman"/>
          <w:sz w:val="19"/>
          <w:szCs w:val="19"/>
          <w:color w:val="auto"/>
        </w:rPr>
        <w:t xml:space="preserve"> section above. The actual amount that the Corporation spends in connection with each of the identified uses and programs will depend on a number of factors, including those listed under </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 xml:space="preserve"> in, or incorporated by reference in, this Prospectus.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Negative Cash Flow From Operations</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 xml:space="preserve">Since inception, the Corporation has financed its operations primarily from the issuance of equity and interest income on funds available for investment. To date, the Corporation has raised approximately US$383,000,000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19"/>
          <w:szCs w:val="19"/>
          <w:i w:val="1"/>
          <w:iCs w:val="1"/>
          <w:color w:val="auto"/>
        </w:rPr>
        <w:t>“Risk Factors – Risks Related to an Offering - Negative Operating Cash Flow”.</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2" w:name="page43"/>
    <w:bookmarkEnd w:id="42"/>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SELLING SECURITYHOLDERS</w:t>
      </w:r>
    </w:p>
    <w:p>
      <w:pPr>
        <w:spacing w:after="0" w:line="149" w:lineRule="exact"/>
        <w:rPr>
          <w:sz w:val="20"/>
          <w:szCs w:val="20"/>
          <w:color w:val="auto"/>
        </w:rPr>
      </w:pPr>
    </w:p>
    <w:p>
      <w:pPr>
        <w:jc w:val="both"/>
        <w:ind w:left="5"/>
        <w:spacing w:after="0" w:line="236" w:lineRule="auto"/>
        <w:rPr>
          <w:sz w:val="20"/>
          <w:szCs w:val="20"/>
          <w:color w:val="auto"/>
        </w:rPr>
      </w:pPr>
      <w:r>
        <w:rPr>
          <w:rFonts w:ascii="Times New Roman" w:cs="Times New Roman" w:eastAsia="Times New Roman" w:hAnsi="Times New Roman"/>
          <w:sz w:val="19"/>
          <w:szCs w:val="19"/>
          <w:color w:val="auto"/>
        </w:rPr>
        <w:t>The Prospectus may also from time to time, relate to the Offering of Securities by way of a secondary offering (each, a "</w:t>
      </w:r>
      <w:r>
        <w:rPr>
          <w:rFonts w:ascii="Times New Roman" w:cs="Times New Roman" w:eastAsia="Times New Roman" w:hAnsi="Times New Roman"/>
          <w:sz w:val="19"/>
          <w:szCs w:val="19"/>
          <w:b w:val="1"/>
          <w:bCs w:val="1"/>
          <w:color w:val="auto"/>
        </w:rPr>
        <w:t>Secondary Offering</w:t>
      </w:r>
      <w:r>
        <w:rPr>
          <w:rFonts w:ascii="Times New Roman" w:cs="Times New Roman" w:eastAsia="Times New Roman" w:hAnsi="Times New Roman"/>
          <w:sz w:val="19"/>
          <w:szCs w:val="19"/>
          <w:color w:val="auto"/>
        </w:rPr>
        <w:t>") by one or more Selling Securityholders. The terms under which the Securities will be offered by Selling Securityholders will be described in the applicable Prospectus Supplement. The Prospectus Supplement for or including any Secondary Offering by Selling Securityholders will include, without limitation, where applicable: (i) the names of the Selling Securityholders; (ii) the number and type of Securities owned, controlled or directed by each of the Selling Securityholders; (iii) the number of Securities being distributed for the accounts of each Selling Securityholders; (iv) the number of Securities to be beneficially owned, controlled, or directed by the Selling Securityholders after the distribution and the percentage that number or amount represents out of the total number of outstanding Securities of the class or series; (v) whether such Securities are owned by the Selling Securityholders both of record and beneficially, of record only or beneficially only; (vi) if a Selling Securityholder purchased any of the Securities held by such Selling Securityholder in the 12 months preceding the date of the Prospectus Supplement, the date or dates such Selling Securityholder acquired the Securities; (vii) if a Selling Securityholder acquired the Securities held by such Selling Securityholder in the 12 months preceding the date of the Prospectus Supplement, the cost thereof to such Selling Securityholder in the aggregate and on a per Security basis; and</w:t>
      </w:r>
    </w:p>
    <w:p>
      <w:pPr>
        <w:spacing w:after="0" w:line="2" w:lineRule="exact"/>
        <w:rPr>
          <w:sz w:val="20"/>
          <w:szCs w:val="20"/>
          <w:color w:val="auto"/>
        </w:rPr>
      </w:pPr>
    </w:p>
    <w:p>
      <w:pPr>
        <w:jc w:val="both"/>
        <w:ind w:left="5" w:hanging="5"/>
        <w:spacing w:after="0" w:line="238" w:lineRule="auto"/>
        <w:tabs>
          <w:tab w:leader="none" w:pos="448"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disclosure required by Item 1.11 of Form 44-101F1 - </w:t>
      </w:r>
      <w:r>
        <w:rPr>
          <w:rFonts w:ascii="Times New Roman" w:cs="Times New Roman" w:eastAsia="Times New Roman" w:hAnsi="Times New Roman"/>
          <w:sz w:val="19"/>
          <w:szCs w:val="19"/>
          <w:i w:val="1"/>
          <w:iCs w:val="1"/>
          <w:color w:val="auto"/>
        </w:rPr>
        <w:t>Short Form Prospectus,</w:t>
      </w:r>
      <w:r>
        <w:rPr>
          <w:rFonts w:ascii="Times New Roman" w:cs="Times New Roman" w:eastAsia="Times New Roman" w:hAnsi="Times New Roman"/>
          <w:sz w:val="19"/>
          <w:szCs w:val="19"/>
          <w:color w:val="auto"/>
        </w:rPr>
        <w:t xml:space="preserve"> and, if applicable, each Selling Securityholder will file a non-issuer's submission to jurisdiction form with the applicable Prospectus Supplement. No Selling Securityholder may distribute Securities pursuant to an "at-the-market distribution" in Canada.</w:t>
      </w:r>
    </w:p>
    <w:p>
      <w:pPr>
        <w:spacing w:after="0" w:line="13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DIVIDEND POLICY</w:t>
      </w:r>
    </w:p>
    <w:p>
      <w:pPr>
        <w:spacing w:after="0" w:line="152" w:lineRule="exact"/>
        <w:rPr>
          <w:sz w:val="20"/>
          <w:szCs w:val="20"/>
          <w:color w:val="auto"/>
        </w:rPr>
      </w:pPr>
    </w:p>
    <w:p>
      <w:pPr>
        <w:jc w:val="both"/>
        <w:ind w:left="5"/>
        <w:spacing w:after="0" w:line="241" w:lineRule="auto"/>
        <w:rPr>
          <w:sz w:val="20"/>
          <w:szCs w:val="20"/>
          <w:color w:val="auto"/>
        </w:rPr>
      </w:pPr>
      <w:r>
        <w:rPr>
          <w:rFonts w:ascii="Times New Roman" w:cs="Times New Roman" w:eastAsia="Times New Roman" w:hAnsi="Times New Roman"/>
          <w:sz w:val="19"/>
          <w:szCs w:val="19"/>
          <w:color w:val="auto"/>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Times New Roman" w:cs="Times New Roman" w:eastAsia="Times New Roman" w:hAnsi="Times New Roman"/>
          <w:sz w:val="19"/>
          <w:szCs w:val="19"/>
          <w:i w:val="1"/>
          <w:iCs w:val="1"/>
          <w:color w:val="auto"/>
        </w:rPr>
        <w:t>Risk Factors - Risks Related to an Offering - Speculative Nature of Investment Risk</w:t>
      </w:r>
      <w:r>
        <w:rPr>
          <w:rFonts w:ascii="Times New Roman" w:cs="Times New Roman" w:eastAsia="Times New Roman" w:hAnsi="Times New Roman"/>
          <w:sz w:val="19"/>
          <w:szCs w:val="19"/>
          <w:color w:val="auto"/>
        </w:rPr>
        <w:t>".</w:t>
      </w:r>
    </w:p>
    <w:p>
      <w:pPr>
        <w:spacing w:after="0" w:line="11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DESCRIPTION OF SECURITIES BEING DISTRIBUTED</w:t>
      </w:r>
    </w:p>
    <w:p>
      <w:pPr>
        <w:spacing w:after="0" w:line="164" w:lineRule="exact"/>
        <w:rPr>
          <w:sz w:val="20"/>
          <w:szCs w:val="20"/>
          <w:color w:val="auto"/>
        </w:rPr>
      </w:pPr>
    </w:p>
    <w:p>
      <w:pPr>
        <w:jc w:val="both"/>
        <w:ind w:left="5"/>
        <w:spacing w:after="0" w:line="243" w:lineRule="auto"/>
        <w:rPr>
          <w:sz w:val="20"/>
          <w:szCs w:val="20"/>
          <w:color w:val="auto"/>
        </w:rPr>
      </w:pPr>
      <w:r>
        <w:rPr>
          <w:rFonts w:ascii="Times New Roman" w:cs="Times New Roman" w:eastAsia="Times New Roman" w:hAnsi="Times New Roman"/>
          <w:sz w:val="19"/>
          <w:szCs w:val="19"/>
          <w:color w:val="auto"/>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pacing w:after="0" w:line="11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b w:val="1"/>
          <w:bCs w:val="1"/>
          <w:color w:val="auto"/>
        </w:rPr>
        <w:t>Common Shares</w:t>
      </w:r>
    </w:p>
    <w:p>
      <w:pPr>
        <w:spacing w:after="0" w:line="152"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9"/>
          <w:szCs w:val="19"/>
          <w:color w:val="auto"/>
        </w:rPr>
        <w:t>The Corporation is authorized to issue an unlimited number of Common Shares and an unlimited number of preferred shares. As at September 16, 2025, the Corporation had 25,188,217 Common Shares and nil preferred shares issued and outstanding.</w:t>
      </w:r>
    </w:p>
    <w:p>
      <w:pPr>
        <w:spacing w:after="0" w:line="114" w:lineRule="exact"/>
        <w:rPr>
          <w:sz w:val="20"/>
          <w:szCs w:val="20"/>
          <w:color w:val="auto"/>
        </w:rPr>
      </w:pPr>
    </w:p>
    <w:p>
      <w:pPr>
        <w:jc w:val="both"/>
        <w:ind w:left="5" w:right="20"/>
        <w:spacing w:after="0" w:line="241" w:lineRule="auto"/>
        <w:rPr>
          <w:sz w:val="20"/>
          <w:szCs w:val="20"/>
          <w:color w:val="auto"/>
        </w:rPr>
      </w:pPr>
      <w:r>
        <w:rPr>
          <w:rFonts w:ascii="Times New Roman" w:cs="Times New Roman" w:eastAsia="Times New Roman" w:hAnsi="Times New Roman"/>
          <w:sz w:val="19"/>
          <w:szCs w:val="19"/>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21"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9"/>
          <w:szCs w:val="19"/>
          <w:color w:val="auto"/>
        </w:rPr>
        <w:t>Common Shares may be sold separately or together with certain other Securities under this Prospectus. Common Shares may also be issuable on conversion, exchange, exercise or maturity of certain other Securities qualified for issuance under this Prospectus.</w:t>
      </w:r>
    </w:p>
    <w:p>
      <w:pPr>
        <w:spacing w:after="0" w:line="10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16978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5"/>
          </w:cols>
          <w:pgMar w:left="315" w:top="112"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15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spacing w:after="0" w:line="13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A copy of any warrant indenture or any warrant agency agreement relating to an offering of Warrants will be filed by the Corporation with the relevant securities regulatory authorities in Canada after it has been entered into by the Corporation.</w:t>
      </w:r>
    </w:p>
    <w:p>
      <w:pPr>
        <w:spacing w:after="0" w:line="1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Each applicable Prospectus Supplement will set forth the terms and other information with respect to the Warrants being offered thereby, which may include, without limitation, the following (where applicable):</w:t>
      </w:r>
    </w:p>
    <w:p>
      <w:pPr>
        <w:spacing w:after="0" w:line="1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the designation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-83820</wp:posOffset>
            </wp:positionV>
            <wp:extent cx="62865" cy="62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the aggregate number of Warrants offered and the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-83820</wp:posOffset>
            </wp:positionV>
            <wp:extent cx="62865" cy="62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40" w:lineRule="exact"/>
        <w:rPr>
          <w:sz w:val="20"/>
          <w:szCs w:val="20"/>
          <w:color w:val="auto"/>
        </w:rPr>
      </w:pPr>
    </w:p>
    <w:p>
      <w:pPr>
        <w:ind w:left="560" w:right="20"/>
        <w:spacing w:after="0" w:line="262" w:lineRule="auto"/>
        <w:rPr>
          <w:sz w:val="20"/>
          <w:szCs w:val="20"/>
          <w:color w:val="auto"/>
        </w:rPr>
      </w:pPr>
      <w:r>
        <w:rPr>
          <w:rFonts w:ascii="Times New Roman" w:cs="Times New Roman" w:eastAsia="Times New Roman" w:hAnsi="Times New Roman"/>
          <w:sz w:val="19"/>
          <w:szCs w:val="19"/>
          <w:color w:val="auto"/>
        </w:rPr>
        <w:t>the designation, number and terms of the other Securities purchasable upon exercise of the Warrants, and procedures that will result in the adjustment of those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-247650</wp:posOffset>
            </wp:positionV>
            <wp:extent cx="62865" cy="62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the exercise price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-83820</wp:posOffset>
            </wp:positionV>
            <wp:extent cx="62865" cy="62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the dates or periods during which the Warrants are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-83820</wp:posOffset>
            </wp:positionV>
            <wp:extent cx="62865" cy="62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the designation and terms of any securities with which the Warrants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-83820</wp:posOffset>
            </wp:positionV>
            <wp:extent cx="62865" cy="62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64" w:lineRule="exact"/>
        <w:rPr>
          <w:sz w:val="20"/>
          <w:szCs w:val="20"/>
          <w:color w:val="auto"/>
        </w:rPr>
      </w:pPr>
    </w:p>
    <w:p>
      <w:pPr>
        <w:ind w:left="560" w:right="20"/>
        <w:spacing w:after="0" w:line="262" w:lineRule="auto"/>
        <w:rPr>
          <w:sz w:val="20"/>
          <w:szCs w:val="20"/>
          <w:color w:val="auto"/>
        </w:rPr>
      </w:pPr>
      <w:r>
        <w:rPr>
          <w:rFonts w:ascii="Times New Roman" w:cs="Times New Roman" w:eastAsia="Times New Roman" w:hAnsi="Times New Roman"/>
          <w:sz w:val="19"/>
          <w:szCs w:val="19"/>
          <w:color w:val="auto"/>
        </w:rPr>
        <w:t>if the Warrants are issued as a unit with another Security, the date on and after which the Warrants and the other Security will be separately transferable;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-247650</wp:posOffset>
            </wp:positionV>
            <wp:extent cx="62865" cy="62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any minimum or maximum amount of Warrants that may be exercised at any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-83820</wp:posOffset>
            </wp:positionV>
            <wp:extent cx="62865" cy="62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whether such Warrants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-83820</wp:posOffset>
            </wp:positionV>
            <wp:extent cx="62865" cy="62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any terms, procedures and limitations relating to the transferability, exchange or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-83820</wp:posOffset>
            </wp:positionV>
            <wp:extent cx="62865" cy="62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certain material Canadian tax consequences of owning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-83820</wp:posOffset>
            </wp:positionV>
            <wp:extent cx="62865" cy="62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any other material terms and conditions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-83820</wp:posOffset>
            </wp:positionV>
            <wp:extent cx="62865" cy="62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16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spacing w:after="0" w:line="12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Each applicable Prospectus Supplement will set forth the terms and other information with respect to the Units being offered thereby, which may include, without limitation, the following (where applicable):</w:t>
      </w:r>
    </w:p>
    <w:p>
      <w:pPr>
        <w:spacing w:after="0" w:line="138" w:lineRule="exact"/>
        <w:rPr>
          <w:sz w:val="20"/>
          <w:szCs w:val="20"/>
          <w:color w:val="auto"/>
        </w:rPr>
      </w:pPr>
    </w:p>
    <w:p>
      <w:pPr>
        <w:ind w:left="460" w:right="200"/>
        <w:spacing w:after="0" w:line="262" w:lineRule="auto"/>
        <w:rPr>
          <w:sz w:val="20"/>
          <w:szCs w:val="20"/>
          <w:color w:val="auto"/>
        </w:rPr>
      </w:pPr>
      <w:r>
        <w:rPr>
          <w:rFonts w:ascii="Times New Roman" w:cs="Times New Roman" w:eastAsia="Times New Roman" w:hAnsi="Times New Roman"/>
          <w:sz w:val="19"/>
          <w:szCs w:val="19"/>
          <w:color w:val="auto"/>
        </w:rPr>
        <w:t>the designation, number and terms of the Units and of the Securities comprising the Units, including whether and under what circumstances those Securities may be held or transferred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-247650</wp:posOffset>
            </wp:positionV>
            <wp:extent cx="62865" cy="62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44" w:name="page45"/>
    <w:bookmarkEnd w:id="44"/>
    <w:p>
      <w:pPr>
        <w:ind w:left="460" w:right="1080"/>
        <w:spacing w:after="0" w:line="418" w:lineRule="auto"/>
        <w:rPr>
          <w:sz w:val="20"/>
          <w:szCs w:val="20"/>
          <w:color w:val="auto"/>
        </w:rPr>
      </w:pPr>
      <w:r>
        <w:rPr>
          <w:rFonts w:ascii="Times New Roman" w:cs="Times New Roman" w:eastAsia="Times New Roman" w:hAnsi="Times New Roman"/>
          <w:sz w:val="19"/>
          <w:szCs w:val="19"/>
          <w:color w:val="auto"/>
        </w:rPr>
        <w:t>any provisions for the issuance, payment, settlement, transfer or exchange of the Units or of the Securities comprising the Units; certain material Canadian tax consequences of owning the Securities comprising the Units; and any other material terms and conditions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-669290</wp:posOffset>
            </wp:positionV>
            <wp:extent cx="62865" cy="62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865" cy="62865"/>
                    </a:xfrm>
                    <a:prstGeom prst="rect">
                      <a:avLst/>
                    </a:prstGeom>
                    <a:noFill/>
                  </pic:spPr>
                </pic:pic>
              </a:graphicData>
            </a:graphic>
          </wp:anchor>
        </w:drawing>
        <w:drawing>
          <wp:anchor simplePos="0" relativeHeight="251657728" behindDoc="1" locked="0" layoutInCell="0" allowOverlap="1">
            <wp:simplePos x="0" y="0"/>
            <wp:positionH relativeFrom="column">
              <wp:posOffset>163830</wp:posOffset>
            </wp:positionH>
            <wp:positionV relativeFrom="paragraph">
              <wp:posOffset>-436245</wp:posOffset>
            </wp:positionV>
            <wp:extent cx="62865" cy="62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865" cy="62865"/>
                    </a:xfrm>
                    <a:prstGeom prst="rect">
                      <a:avLst/>
                    </a:prstGeom>
                    <a:noFill/>
                  </pic:spPr>
                </pic:pic>
              </a:graphicData>
            </a:graphic>
          </wp:anchor>
        </w:drawing>
        <w:drawing>
          <wp:anchor simplePos="0" relativeHeight="251657728" behindDoc="1" locked="0" layoutInCell="0" allowOverlap="1">
            <wp:simplePos x="0" y="0"/>
            <wp:positionH relativeFrom="column">
              <wp:posOffset>163830</wp:posOffset>
            </wp:positionH>
            <wp:positionV relativeFrom="paragraph">
              <wp:posOffset>-196215</wp:posOffset>
            </wp:positionV>
            <wp:extent cx="62865" cy="62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14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The Debt Securities may be issued in one or more series under an indenture (the "</w:t>
      </w:r>
      <w:r>
        <w:rPr>
          <w:rFonts w:ascii="Times New Roman" w:cs="Times New Roman" w:eastAsia="Times New Roman" w:hAnsi="Times New Roman"/>
          <w:sz w:val="19"/>
          <w:szCs w:val="19"/>
          <w:b w:val="1"/>
          <w:bCs w:val="1"/>
          <w:color w:val="auto"/>
        </w:rPr>
        <w:t>Indenture</w:t>
      </w:r>
      <w:r>
        <w:rPr>
          <w:rFonts w:ascii="Times New Roman" w:cs="Times New Roman" w:eastAsia="Times New Roman" w:hAnsi="Times New Roman"/>
          <w:sz w:val="19"/>
          <w:szCs w:val="19"/>
          <w:color w:val="auto"/>
        </w:rPr>
        <w:t>") to be entered into between the Corporation and one or more trustees that may be named in a Prospectus Supplement for a series of Debt Securities. To the extent applicable, the Indenture will be subject to and governed by the United States Trust Indenture Act of 1939, as amended. A copy of the form of the Indenture to be entered into has been or will be filed with the SEC as an exhibit to the Registration Statement of which this Prospectus forms a part and will be filed with the securities commissions or similar authorities in Canada when it is entered into. The Corporation may issue Debt Securities, separately or together, with Common Shares, Warrants, Subscription Receipts or Units or any combination thereof, as the case may be.</w:t>
      </w:r>
    </w:p>
    <w:p>
      <w:pPr>
        <w:spacing w:after="0" w:line="12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description of certain provisions of the Indenture in this section do not purport to be complete and are subject to, and are qualified in their entirety by reference to, the provisions of the Indenture. The following sets forth certain general terms and provisions of the Debt Securities. The particular terms and provisions of a series of Debt Securities offered pursuant to this Prospectus will be set forth in the applicable Prospectus Supplement, and the extent to which the general terms and provisions described below may apply to such Debt Securities will be described in the applicable Prospectus Supplement. This description may include, but may not be limited to, any of the following, if applicable:</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the specific designation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-83820</wp:posOffset>
            </wp:positionV>
            <wp:extent cx="62865" cy="62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any limit on the aggregate principal amount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-83820</wp:posOffset>
            </wp:positionV>
            <wp:extent cx="62865" cy="62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28" w:lineRule="exact"/>
        <w:rPr>
          <w:sz w:val="20"/>
          <w:szCs w:val="20"/>
          <w:color w:val="auto"/>
        </w:rPr>
      </w:pPr>
    </w:p>
    <w:p>
      <w:pPr>
        <w:ind w:left="460" w:right="700"/>
        <w:spacing w:after="0" w:line="262" w:lineRule="auto"/>
        <w:rPr>
          <w:sz w:val="20"/>
          <w:szCs w:val="20"/>
          <w:color w:val="auto"/>
        </w:rPr>
      </w:pPr>
      <w:r>
        <w:rPr>
          <w:rFonts w:ascii="Times New Roman" w:cs="Times New Roman" w:eastAsia="Times New Roman" w:hAnsi="Times New Roman"/>
          <w:sz w:val="19"/>
          <w:szCs w:val="19"/>
          <w:color w:val="auto"/>
        </w:rPr>
        <w:t>the date or dates, if any, on which the Debt Securities will mature and the portion (if less than all of the principal amount) of the Debt Securities to be payable upon declaration of acceleration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-247650</wp:posOffset>
            </wp:positionV>
            <wp:extent cx="62865" cy="62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82" w:lineRule="exact"/>
        <w:rPr>
          <w:sz w:val="20"/>
          <w:szCs w:val="20"/>
          <w:color w:val="auto"/>
        </w:rPr>
      </w:pPr>
    </w:p>
    <w:p>
      <w:pPr>
        <w:jc w:val="both"/>
        <w:ind w:left="460" w:right="560"/>
        <w:spacing w:after="0" w:line="290" w:lineRule="auto"/>
        <w:rPr>
          <w:sz w:val="20"/>
          <w:szCs w:val="20"/>
          <w:color w:val="auto"/>
        </w:rPr>
      </w:pPr>
      <w:r>
        <w:rPr>
          <w:rFonts w:ascii="Times New Roman" w:cs="Times New Roman" w:eastAsia="Times New Roman" w:hAnsi="Times New Roman"/>
          <w:sz w:val="18"/>
          <w:szCs w:val="18"/>
          <w:color w:val="auto"/>
        </w:rPr>
        <w:t>the rate or rates (whether fixed or variable) at which the Debt Securities will bear interest, if any, the date or dates from which any such interest will accrue and on which any such interest will be payable and the record dates for any interest payable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-262255</wp:posOffset>
            </wp:positionV>
            <wp:extent cx="62865" cy="62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71" w:lineRule="exact"/>
        <w:rPr>
          <w:sz w:val="20"/>
          <w:szCs w:val="20"/>
          <w:color w:val="auto"/>
        </w:rPr>
      </w:pPr>
    </w:p>
    <w:p>
      <w:pPr>
        <w:ind w:left="460" w:right="420"/>
        <w:spacing w:after="0" w:line="262" w:lineRule="auto"/>
        <w:rPr>
          <w:sz w:val="20"/>
          <w:szCs w:val="20"/>
          <w:color w:val="auto"/>
        </w:rPr>
      </w:pPr>
      <w:r>
        <w:rPr>
          <w:rFonts w:ascii="Times New Roman" w:cs="Times New Roman" w:eastAsia="Times New Roman" w:hAnsi="Times New Roman"/>
          <w:sz w:val="19"/>
          <w:szCs w:val="19"/>
          <w:color w:val="auto"/>
        </w:rPr>
        <w:t>the terms and conditions under which the Corporation may be obligated to redeem, repay or purchase the Debt Securities pursuant to any sinking fund or analogous provisions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-247650</wp:posOffset>
            </wp:positionV>
            <wp:extent cx="62865" cy="62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the terms and conditions upon which the Corporation may redeem the Debt Securities, in whole or in part, at its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-83820</wp:posOffset>
            </wp:positionV>
            <wp:extent cx="62865" cy="62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the covenants applicable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-83820</wp:posOffset>
            </wp:positionV>
            <wp:extent cx="62865" cy="62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the terms and conditions for any conversion or exchange of the Debt Securities for any other securities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-83820</wp:posOffset>
            </wp:positionV>
            <wp:extent cx="62865" cy="62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28" w:lineRule="exact"/>
        <w:rPr>
          <w:sz w:val="20"/>
          <w:szCs w:val="20"/>
          <w:color w:val="auto"/>
        </w:rPr>
      </w:pPr>
    </w:p>
    <w:p>
      <w:pPr>
        <w:ind w:left="460" w:right="220"/>
        <w:spacing w:after="0" w:line="262" w:lineRule="auto"/>
        <w:rPr>
          <w:sz w:val="20"/>
          <w:szCs w:val="20"/>
          <w:color w:val="auto"/>
        </w:rPr>
      </w:pPr>
      <w:r>
        <w:rPr>
          <w:rFonts w:ascii="Times New Roman" w:cs="Times New Roman" w:eastAsia="Times New Roman" w:hAnsi="Times New Roman"/>
          <w:sz w:val="19"/>
          <w:szCs w:val="19"/>
          <w:color w:val="auto"/>
        </w:rPr>
        <w:t>the extent and manner, if any, to which payment on or in respect of the Debt Securities of the series will be senior or will be subordinated to the prior payment of other liabilities and obligations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-247650</wp:posOffset>
            </wp:positionV>
            <wp:extent cx="62865" cy="62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whether the Debt Securities will be secured or 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-83820</wp:posOffset>
            </wp:positionV>
            <wp:extent cx="62865" cy="62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36" w:lineRule="exact"/>
        <w:rPr>
          <w:sz w:val="20"/>
          <w:szCs w:val="20"/>
          <w:color w:val="auto"/>
        </w:rPr>
      </w:pPr>
    </w:p>
    <w:p>
      <w:pPr>
        <w:ind w:left="460" w:right="60"/>
        <w:spacing w:after="0" w:line="266" w:lineRule="auto"/>
        <w:rPr>
          <w:sz w:val="20"/>
          <w:szCs w:val="20"/>
          <w:color w:val="auto"/>
        </w:rPr>
      </w:pPr>
      <w:r>
        <w:rPr>
          <w:rFonts w:ascii="Times New Roman" w:cs="Times New Roman" w:eastAsia="Times New Roman" w:hAnsi="Times New Roman"/>
          <w:sz w:val="19"/>
          <w:szCs w:val="19"/>
          <w:color w:val="auto"/>
        </w:rPr>
        <w:t>whether the Debt Securities will be issuable in the form of global securities ("</w:t>
      </w:r>
      <w:r>
        <w:rPr>
          <w:rFonts w:ascii="Times New Roman" w:cs="Times New Roman" w:eastAsia="Times New Roman" w:hAnsi="Times New Roman"/>
          <w:sz w:val="19"/>
          <w:szCs w:val="19"/>
          <w:b w:val="1"/>
          <w:bCs w:val="1"/>
          <w:color w:val="auto"/>
        </w:rPr>
        <w:t>Global Securities</w:t>
      </w:r>
      <w:r>
        <w:rPr>
          <w:rFonts w:ascii="Times New Roman" w:cs="Times New Roman" w:eastAsia="Times New Roman" w:hAnsi="Times New Roman"/>
          <w:sz w:val="19"/>
          <w:szCs w:val="19"/>
          <w:color w:val="auto"/>
        </w:rPr>
        <w:t>"), and, if so, the identity of the depositary for such Global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-249555</wp:posOffset>
            </wp:positionV>
            <wp:extent cx="62865" cy="62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the denominations in which Debt Securities will be issuable, if other than denominations of US$1,000 or integral multiples of US$1,000;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-83820</wp:posOffset>
            </wp:positionV>
            <wp:extent cx="62865" cy="62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28" w:lineRule="exact"/>
        <w:rPr>
          <w:sz w:val="20"/>
          <w:szCs w:val="20"/>
          <w:color w:val="auto"/>
        </w:rPr>
      </w:pPr>
    </w:p>
    <w:p>
      <w:pPr>
        <w:ind w:left="460" w:right="560"/>
        <w:spacing w:after="0" w:line="262" w:lineRule="auto"/>
        <w:rPr>
          <w:sz w:val="20"/>
          <w:szCs w:val="20"/>
          <w:color w:val="auto"/>
        </w:rPr>
      </w:pPr>
      <w:r>
        <w:rPr>
          <w:rFonts w:ascii="Times New Roman" w:cs="Times New Roman" w:eastAsia="Times New Roman" w:hAnsi="Times New Roman"/>
          <w:sz w:val="19"/>
          <w:szCs w:val="19"/>
          <w:color w:val="auto"/>
        </w:rPr>
        <w:t>each office or agency where payments on the Debt Securities will be made and each office or agency where the Debt Securities may be presented for registration of transfer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-247650</wp:posOffset>
            </wp:positionV>
            <wp:extent cx="62865" cy="62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5" w:name="page46"/>
    <w:bookmarkEnd w:id="45"/>
    <w:p>
      <w:pPr>
        <w:ind w:left="460" w:right="20"/>
        <w:spacing w:after="0" w:line="263" w:lineRule="auto"/>
        <w:rPr>
          <w:sz w:val="20"/>
          <w:szCs w:val="20"/>
          <w:color w:val="auto"/>
        </w:rPr>
      </w:pPr>
      <w:r>
        <w:rPr>
          <w:rFonts w:ascii="Times New Roman" w:cs="Times New Roman" w:eastAsia="Times New Roman" w:hAnsi="Times New Roman"/>
          <w:sz w:val="19"/>
          <w:szCs w:val="19"/>
          <w:color w:val="auto"/>
        </w:rPr>
        <w:t>if other than United States dollars, the currency in which the Debt Securities are denominated or the currency in which we will make payments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-248285</wp:posOffset>
            </wp:positionV>
            <wp:extent cx="62865" cy="62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82" w:lineRule="exact"/>
        <w:rPr>
          <w:sz w:val="20"/>
          <w:szCs w:val="20"/>
          <w:color w:val="auto"/>
        </w:rPr>
      </w:pPr>
    </w:p>
    <w:p>
      <w:pPr>
        <w:ind w:left="460" w:right="260"/>
        <w:spacing w:after="0" w:line="428" w:lineRule="auto"/>
        <w:rPr>
          <w:sz w:val="20"/>
          <w:szCs w:val="20"/>
          <w:color w:val="auto"/>
        </w:rPr>
      </w:pPr>
      <w:r>
        <w:rPr>
          <w:rFonts w:ascii="Times New Roman" w:cs="Times New Roman" w:eastAsia="Times New Roman" w:hAnsi="Times New Roman"/>
          <w:sz w:val="19"/>
          <w:szCs w:val="19"/>
          <w:color w:val="auto"/>
        </w:rPr>
        <w:t>material Canadian federal income tax consequences and United States federal income tax consequences of owning the Debt Securities; and any other terms, conditions, rights or preferences of the Debt Securities which apply solely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-439420</wp:posOffset>
            </wp:positionV>
            <wp:extent cx="62865" cy="62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865" cy="62865"/>
                    </a:xfrm>
                    <a:prstGeom prst="rect">
                      <a:avLst/>
                    </a:prstGeom>
                    <a:noFill/>
                  </pic:spPr>
                </pic:pic>
              </a:graphicData>
            </a:graphic>
          </wp:anchor>
        </w:drawing>
        <w:drawing>
          <wp:anchor simplePos="0" relativeHeight="251657728" behindDoc="1" locked="0" layoutInCell="0" allowOverlap="1">
            <wp:simplePos x="0" y="0"/>
            <wp:positionH relativeFrom="column">
              <wp:posOffset>163830</wp:posOffset>
            </wp:positionH>
            <wp:positionV relativeFrom="paragraph">
              <wp:posOffset>-199390</wp:posOffset>
            </wp:positionV>
            <wp:extent cx="62865" cy="62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jc w:val="both"/>
        <w:spacing w:after="0" w:line="241" w:lineRule="auto"/>
        <w:rPr>
          <w:sz w:val="20"/>
          <w:szCs w:val="20"/>
          <w:color w:val="auto"/>
        </w:rPr>
      </w:pPr>
      <w:r>
        <w:rPr>
          <w:rFonts w:ascii="Times New Roman" w:cs="Times New Roman" w:eastAsia="Times New Roman" w:hAnsi="Times New Roman"/>
          <w:sz w:val="19"/>
          <w:szCs w:val="19"/>
          <w:color w:val="auto"/>
        </w:rPr>
        <w:t>If the Corporation denominates the purchase price of any of the Debt Securities in a currency or currencies other than United States dollars or a non-United States dollar unit or units, or if the principal of and any premium and interest on any Debt Securities is payable in a currency or currencies other than United States dollars or a non-United States dollar unit or units, the Corporation will provide investors with information on the restrictions, elections, general tax considerations, specific terms and other information with respect to that issue of Debt Securities and such non-United States dollar currency or currencies or non-United States dollar unit or units in the applicable Prospectus Supplement.</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Each series of Debt Securities may be issued at various times with different maturity dates, may bear interest at different rates and may otherwise vary.</w:t>
      </w:r>
    </w:p>
    <w:p>
      <w:pPr>
        <w:spacing w:after="0" w:line="10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The terms on which a series of Debt Securities may be convertible into or exchangeable for Common Shares or other securities of the Corporation will be described in the applicable Prospectus Supplement. These terms may include provisions as to whether conversion or exchange is mandatory, at the option of the holder or at the option of the Corporation, and may include provisions pursuant to which the number of Common Shares or other securities to be received by the holders of such series of Debt Securities would be subject to adjustment.</w:t>
      </w:r>
    </w:p>
    <w:p>
      <w:pPr>
        <w:spacing w:after="0" w:line="132"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To the extent any Debt Securities are convertible into Common Shares or other securities of the Corporation, prior to such conversion the holders of such Debt Securities will not have any of the rights of holders of the securities into which the Debt Securities are convertible, including the right to receive payments of dividends or the right to vote such underlying securities.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Subscription Receipts</w:t>
      </w:r>
    </w:p>
    <w:p>
      <w:pPr>
        <w:spacing w:after="0" w:line="15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Subscription Receipts may be offered separately or together with other Securities, as the case may be. The Subscription Receipts may be issued under a subscription receipt agreement.</w:t>
      </w:r>
    </w:p>
    <w:p>
      <w:pPr>
        <w:spacing w:after="0" w:line="1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the number of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-83820</wp:posOffset>
            </wp:positionV>
            <wp:extent cx="62865" cy="62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the price at which the Subscription Receipts will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-83820</wp:posOffset>
            </wp:positionV>
            <wp:extent cx="62865" cy="62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the terms, conditions and procedures for the conversion of the Subscription Receipts into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-83820</wp:posOffset>
            </wp:positionV>
            <wp:extent cx="62865" cy="62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the designation, number and terms of the other Securities that may be exchanged upon conversion of each Subscription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-83820</wp:posOffset>
            </wp:positionV>
            <wp:extent cx="62865" cy="62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128" w:lineRule="exact"/>
        <w:rPr>
          <w:sz w:val="20"/>
          <w:szCs w:val="20"/>
          <w:color w:val="auto"/>
        </w:rPr>
      </w:pPr>
    </w:p>
    <w:p>
      <w:pPr>
        <w:ind w:left="560" w:right="20"/>
        <w:spacing w:after="0" w:line="262" w:lineRule="auto"/>
        <w:rPr>
          <w:sz w:val="20"/>
          <w:szCs w:val="20"/>
          <w:color w:val="auto"/>
        </w:rPr>
      </w:pPr>
      <w:r>
        <w:rPr>
          <w:rFonts w:ascii="Times New Roman" w:cs="Times New Roman" w:eastAsia="Times New Roman" w:hAnsi="Times New Roman"/>
          <w:sz w:val="19"/>
          <w:szCs w:val="19"/>
          <w:color w:val="auto"/>
        </w:rPr>
        <w:t>the designation, number and terms of other Securities with which the Subscription Receipts will be offered, if any, and the number of Subscription Receipts that will be offered with each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-247650</wp:posOffset>
            </wp:positionV>
            <wp:extent cx="62865" cy="62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spacing w:after="0" w:line="82" w:lineRule="exact"/>
        <w:rPr>
          <w:sz w:val="20"/>
          <w:szCs w:val="20"/>
          <w:color w:val="auto"/>
        </w:rPr>
      </w:pPr>
    </w:p>
    <w:p>
      <w:pPr>
        <w:ind w:left="560" w:right="1600"/>
        <w:spacing w:after="0" w:line="420" w:lineRule="auto"/>
        <w:rPr>
          <w:sz w:val="20"/>
          <w:szCs w:val="20"/>
          <w:color w:val="auto"/>
        </w:rPr>
      </w:pPr>
      <w:r>
        <w:rPr>
          <w:rFonts w:ascii="Times New Roman" w:cs="Times New Roman" w:eastAsia="Times New Roman" w:hAnsi="Times New Roman"/>
          <w:sz w:val="19"/>
          <w:szCs w:val="19"/>
          <w:color w:val="auto"/>
        </w:rPr>
        <w:t>terms applicable to the gross or net proceeds from the sale of the Subscription Receipts plus any interest earned thereon; certain material Canadian tax consequences of owning the Subscription Receipts; and any other material terms and conditions of the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-673100</wp:posOffset>
            </wp:positionV>
            <wp:extent cx="62865" cy="62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865" cy="6286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-433070</wp:posOffset>
            </wp:positionV>
            <wp:extent cx="62865" cy="62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865" cy="6286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-200025</wp:posOffset>
            </wp:positionV>
            <wp:extent cx="62865" cy="62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865" cy="6286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9"/>
          <w:szCs w:val="19"/>
          <w:b w:val="1"/>
          <w:bCs w:val="1"/>
          <w:color w:val="auto"/>
        </w:rPr>
        <w:t>PLAN OF DISTRIBUTION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General</w:t>
      </w:r>
    </w:p>
    <w:p>
      <w:pPr>
        <w:spacing w:after="0" w:line="16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The Corporation and the Selling Securityholders may from time to time during the 25-month period that this Prospectus, including any amendments and supplements hereto, remains valid, offer for sale and sell up to an aggregate of $800,000,000 in Securities hereunder. To the extent there are any Secondary Offerings, the aggregate amount of Securities that may be offered and sold by the Corporation hereunder shall be reduced by the aggregate amount of such Secondary Offerings.</w:t>
      </w:r>
    </w:p>
    <w:p>
      <w:pPr>
        <w:spacing w:after="0" w:line="1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Securities may be sold by the Corporation and the Selling Securityholders (i) directly pursuant to applicable statutory exemptions, (ii) to or through underwriters or dealers, or (iii) through designated agents pursuant to applicable statutory exemptions.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identity of the Selling Securityholders, if any, the net proceeds to the Corporation or the Selling Securityholder, as applicable,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Securities offered by that Prospectus Supplement.</w:t>
      </w:r>
    </w:p>
    <w:p>
      <w:pPr>
        <w:spacing w:after="0" w:line="11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In addition, the Securities may be offered and issued in consideration for the acquisition of other businesses, assets or securities by the Corporation or one of its subsidiaries. The consideration for any such acquisition may consist of the Securities separately, a combination of Securities or any combination of, among other things, Securities, cash and assumption of liabilities. In addition, one or more Selling Securityholders may sell Securities to or through underwriters or dealers purchasing as principals and may also sell Securities to one or more purchasers directly, through statutory exemptions, or through agents designated from time to time.</w:t>
      </w:r>
    </w:p>
    <w:p>
      <w:pPr>
        <w:spacing w:after="0" w:line="1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Securities may be sold from time to time in one or more transactions at a fixed price or prices or at non-fixed prices. If offered on a non-fixed price basis, the Securities may be offered at market prices 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CBOE Canada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w:t>
      </w:r>
    </w:p>
    <w:p>
      <w:pPr>
        <w:spacing w:after="0" w:line="128"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9"/>
          <w:szCs w:val="19"/>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1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47" w:name="page48"/>
    <w:bookmarkEnd w:id="47"/>
    <w:p>
      <w:pPr>
        <w:jc w:val="both"/>
        <w:spacing w:after="0" w:line="241" w:lineRule="auto"/>
        <w:rPr>
          <w:sz w:val="20"/>
          <w:szCs w:val="20"/>
          <w:color w:val="auto"/>
        </w:rPr>
      </w:pPr>
      <w:r>
        <w:rPr>
          <w:rFonts w:ascii="Times New Roman" w:cs="Times New Roman" w:eastAsia="Times New Roman" w:hAnsi="Times New Roman"/>
          <w:sz w:val="19"/>
          <w:szCs w:val="19"/>
          <w:color w:val="auto"/>
        </w:rPr>
        <w:t>In connection with the sale of the Securities, underwriters, dealers or agents may receive compensation from the Corporation, any Selling Securityholder or from other parties, including in the form of underwriters', dealers' or agents' fees, commissions or concessions. Underwriters, dealers and agents that participate in the distribution of the Securities may be deemed to be underwriters for the purposes of applicable Canadian securities legislation and any such compensation that they receive from the Corporation or any Selling Securityholder and any profit that they make on the resale of the Securities, may be deemed to be underwriting commissions.</w:t>
      </w:r>
    </w:p>
    <w:p>
      <w:pPr>
        <w:spacing w:after="0" w:line="1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Underwriters, dealers or agents who participate in the distribution of the Securities may be entitled, under agreements to be entered into with the Corporation and/or any Selling Securityholder, to indemnification by the Corporation and/or any Selling Securityholder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RISK FACTORS</w:t>
      </w:r>
    </w:p>
    <w:p>
      <w:pPr>
        <w:spacing w:after="0" w:line="16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Times New Roman" w:cs="Times New Roman" w:eastAsia="Times New Roman" w:hAnsi="Times New Roman"/>
          <w:sz w:val="19"/>
          <w:szCs w:val="19"/>
          <w:b w:val="1"/>
          <w:bCs w:val="1"/>
          <w:i w:val="1"/>
          <w:iCs w:val="1"/>
          <w:color w:val="auto"/>
        </w:rPr>
        <w:t>Risk Factors”</w:t>
      </w:r>
      <w:r>
        <w:rPr>
          <w:rFonts w:ascii="Times New Roman" w:cs="Times New Roman" w:eastAsia="Times New Roman" w:hAnsi="Times New Roman"/>
          <w:sz w:val="19"/>
          <w:szCs w:val="19"/>
          <w:b w:val="1"/>
          <w:bCs w:val="1"/>
          <w:color w:val="auto"/>
        </w:rPr>
        <w:t xml:space="preserve"> in the Annual Information Form and under the heading </w:t>
      </w:r>
      <w:r>
        <w:rPr>
          <w:rFonts w:ascii="Times New Roman" w:cs="Times New Roman" w:eastAsia="Times New Roman" w:hAnsi="Times New Roman"/>
          <w:sz w:val="19"/>
          <w:szCs w:val="19"/>
          <w:b w:val="1"/>
          <w:bCs w:val="1"/>
          <w:i w:val="1"/>
          <w:iCs w:val="1"/>
          <w:color w:val="auto"/>
        </w:rPr>
        <w:t>“Risks and Uncertainties”</w:t>
      </w:r>
      <w:r>
        <w:rPr>
          <w:rFonts w:ascii="Times New Roman" w:cs="Times New Roman" w:eastAsia="Times New Roman" w:hAnsi="Times New Roman"/>
          <w:sz w:val="19"/>
          <w:szCs w:val="19"/>
          <w:b w:val="1"/>
          <w:bCs w:val="1"/>
          <w:color w:val="auto"/>
        </w:rPr>
        <w:t xml:space="preserve"> in the Interim MD&amp;A, and any other risk factors described herein or in a document incorporated by reference herein, which investors should carefully consider before investing. </w:t>
      </w:r>
      <w:r>
        <w:rPr>
          <w:rFonts w:ascii="Times New Roman" w:cs="Times New Roman" w:eastAsia="Times New Roman" w:hAnsi="Times New Roman"/>
          <w:sz w:val="19"/>
          <w:szCs w:val="19"/>
          <w:color w:val="auto"/>
        </w:rPr>
        <w:t>Additional risk factors relating to a specific Offering of Securities will be described in the applicable Prospectus Supplement.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the Business of the Corporation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Regulatory Risks and Uncertainties</w:t>
      </w:r>
    </w:p>
    <w:p>
      <w:pPr>
        <w:spacing w:after="0" w:line="16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In Canada, certain psychedelic drugs, including psilocybin/psilocin,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48" w:name="page49"/>
    <w:bookmarkEnd w:id="48"/>
    <w:p>
      <w:pPr>
        <w:jc w:val="both"/>
        <w:spacing w:after="0" w:line="236" w:lineRule="auto"/>
        <w:rPr>
          <w:sz w:val="20"/>
          <w:szCs w:val="20"/>
          <w:color w:val="auto"/>
        </w:rPr>
      </w:pPr>
      <w:r>
        <w:rPr>
          <w:rFonts w:ascii="Times New Roman" w:cs="Times New Roman" w:eastAsia="Times New Roman" w:hAnsi="Times New Roman"/>
          <w:sz w:val="19"/>
          <w:szCs w:val="19"/>
          <w:color w:val="auto"/>
        </w:rPr>
        <w:t>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loss of the necessary licences and permits for any of the above scheduled drugs could have an adverse effect on the Corporation's operations.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pacing w:after="0" w:line="1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The success of the Corporation's business is dependent on the reform of controlled substances laws pertaining to psilocybin. If controlled substances laws are not favourably reformed in Canada, the United States, the Netherlands, the UK, and other global jurisdictions, the commercial opportunity that the Corporation is pursuing may be highly limited.</w:t>
      </w:r>
    </w:p>
    <w:p>
      <w:pPr>
        <w:spacing w:after="0" w:line="11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The Corporation makes no medical, treatment or health benefit claims about the Corporation's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 Corporation will complete such trials. If the Corporation cannot obtain the approvals or research necessary to commercialize its business, it may have a material adverse effect on the Corporation's performance and operations.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9"/>
          <w:szCs w:val="19"/>
          <w:i w:val="1"/>
          <w:iCs w:val="1"/>
          <w:color w:val="auto"/>
        </w:rPr>
        <w:t>"Foreign Private Issuer" Status Under the U.S. Securities Laws</w:t>
      </w:r>
    </w:p>
    <w:p>
      <w:pPr>
        <w:spacing w:after="0" w:line="15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The Corporation is a "foreign private issuer", under applicable U.S. federal securities laws, and is, therefore, not subject to the same requirements that are imposed upon U.S. domestic issuers by the SEC. Under the Exchange Act, the Corporation is subject to reporting obligations that, in certain respects, are less detailed and less frequent than those of U.S. domestic reporting companies. As a result, the Corporation does not file the same reports that a U.S. domestic issuer would file with the SEC, although the Corporation is required to file with or furnish to the SEC the continuous disclosure documents that it is required to file in Canada under Canadian securities laws. In addition, the Corporation's officers, directors, and principal shareholders are exempt from the reporting and short-swing profit recovery provisions of Section 16 of the Exchange Act. Therefore, the Corporation's shareholders may not know on as timely a basis when the Corporation's officers, directors and principal shareholders purchase or sell Common Shares, as the reporting periods under the corresponding Canadian insider reporting requirements are longer.</w:t>
      </w:r>
    </w:p>
    <w:p>
      <w:pPr>
        <w:spacing w:after="0" w:line="13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As a foreign private issuer, the Corporation is exempt from the rules and regulations under the Exchange Act related to the furnishing and content of proxy statements. The Corporation is also exempt from Regulation FD, which prohibits issuers from making selective disclosures of material non-public information. While the Corporation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Corporation may not be required under the Exchange Act to file annual and quarterly reports with the SEC as promptly as U.S. domestic companies whose securities are registered under the Exchange Act.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Risks Related to an Offering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Speculative Nature of Investment Risk</w:t>
      </w:r>
    </w:p>
    <w:p>
      <w:pPr>
        <w:spacing w:after="0" w:line="16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Negative Operating Cash Flow</w:t>
      </w:r>
    </w:p>
    <w:p>
      <w:pPr>
        <w:spacing w:after="0" w:line="15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Discretion over the Use of Proceeds</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50" w:name="page51"/>
    <w:bookmarkEnd w:id="50"/>
    <w:p>
      <w:pPr>
        <w:jc w:val="both"/>
        <w:spacing w:after="0" w:line="241" w:lineRule="auto"/>
        <w:rPr>
          <w:sz w:val="20"/>
          <w:szCs w:val="20"/>
          <w:color w:val="auto"/>
        </w:rPr>
      </w:pPr>
      <w:r>
        <w:rPr>
          <w:rFonts w:ascii="Times New Roman" w:cs="Times New Roman" w:eastAsia="Times New Roman" w:hAnsi="Times New Roman"/>
          <w:sz w:val="19"/>
          <w:szCs w:val="19"/>
          <w:color w:val="auto"/>
        </w:rPr>
        <w:t xml:space="preserve">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 Supplement in ways that an investor may not consider desirable. The results and the effectiveness of the application of the proceeds are uncertain. If the proceeds are not applied effectively, the Corporation's results of operations may suffer. See </w:t>
      </w:r>
      <w:r>
        <w:rPr>
          <w:rFonts w:ascii="Times New Roman" w:cs="Times New Roman" w:eastAsia="Times New Roman" w:hAnsi="Times New Roman"/>
          <w:sz w:val="19"/>
          <w:szCs w:val="19"/>
          <w:i w:val="1"/>
          <w:iCs w:val="1"/>
          <w:color w:val="auto"/>
        </w:rPr>
        <w:t>"Use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Proceeds"</w:t>
      </w:r>
      <w:r>
        <w:rPr>
          <w:rFonts w:ascii="Times New Roman" w:cs="Times New Roman" w:eastAsia="Times New Roman" w:hAnsi="Times New Roman"/>
          <w:sz w:val="19"/>
          <w:szCs w:val="19"/>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Need for Additional Financing</w:t>
      </w:r>
    </w:p>
    <w:p>
      <w:pPr>
        <w:spacing w:after="0" w:line="16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Times New Roman" w:cs="Times New Roman" w:eastAsia="Times New Roman" w:hAnsi="Times New Roman"/>
          <w:sz w:val="19"/>
          <w:szCs w:val="19"/>
          <w:i w:val="1"/>
          <w:iCs w:val="1"/>
          <w:color w:val="auto"/>
        </w:rPr>
        <w:t>"Risk Factors - Risks Related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an Offering - Negative Operating Cash Flow" and "- Potential Dilution".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Volatile Market Price of Corporation's Common Shares</w:t>
      </w:r>
    </w:p>
    <w:p>
      <w:pPr>
        <w:spacing w:after="0" w:line="15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1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Times New Roman" w:cs="Times New Roman" w:eastAsia="Times New Roman" w:hAnsi="Times New Roman"/>
          <w:sz w:val="19"/>
          <w:szCs w:val="19"/>
          <w:i w:val="1"/>
          <w:iCs w:val="1"/>
          <w:color w:val="auto"/>
        </w:rPr>
        <w:t>"Cautionary Note Regarding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Forward-Looking Information"</w:t>
      </w:r>
      <w:r>
        <w:rPr>
          <w:rFonts w:ascii="Times New Roman" w:cs="Times New Roman" w:eastAsia="Times New Roman" w:hAnsi="Times New Roman"/>
          <w:sz w:val="19"/>
          <w:szCs w:val="19"/>
          <w:color w:val="auto"/>
        </w:rPr>
        <w:t>. In addition, the market price for securities on stock markets, including the CBOE Canada is subject to significant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12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Potential Dilution</w:t>
      </w:r>
    </w:p>
    <w:p>
      <w:pPr>
        <w:spacing w:after="0" w:line="16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the Corporation's Securities. Issuances of a 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Times New Roman" w:cs="Times New Roman" w:eastAsia="Times New Roman" w:hAnsi="Times New Roman"/>
          <w:sz w:val="19"/>
          <w:szCs w:val="19"/>
          <w:i w:val="1"/>
          <w:iCs w:val="1"/>
          <w:color w:val="auto"/>
        </w:rPr>
        <w:t>"Risk Factors - Risks Related to an Offering - Potential Need for Additional Financing</w:t>
      </w:r>
      <w:r>
        <w:rPr>
          <w:rFonts w:ascii="Times New Roman" w:cs="Times New Roman" w:eastAsia="Times New Roman" w:hAnsi="Times New Roman"/>
          <w:sz w:val="19"/>
          <w:szCs w:val="19"/>
          <w:color w:val="auto"/>
        </w:rPr>
        <w: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1" w:name="page52"/>
    <w:bookmarkEnd w:id="51"/>
    <w:p>
      <w:pPr>
        <w:jc w:val="both"/>
        <w:spacing w:after="0" w:line="235" w:lineRule="auto"/>
        <w:rPr>
          <w:sz w:val="20"/>
          <w:szCs w:val="20"/>
          <w:color w:val="auto"/>
        </w:rPr>
      </w:pPr>
      <w:r>
        <w:rPr>
          <w:rFonts w:ascii="Times New Roman" w:cs="Times New Roman" w:eastAsia="Times New Roman" w:hAnsi="Times New Roman"/>
          <w:sz w:val="19"/>
          <w:szCs w:val="19"/>
          <w:color w:val="auto"/>
        </w:rPr>
        <w:t>Pursuant to the Securities Purchase Agreement, the Corporation and High Trail also entered into a registration rights agreement, as amended on August 12, 2025 (the “</w:t>
      </w:r>
      <w:r>
        <w:rPr>
          <w:rFonts w:ascii="Times New Roman" w:cs="Times New Roman" w:eastAsia="Times New Roman" w:hAnsi="Times New Roman"/>
          <w:sz w:val="19"/>
          <w:szCs w:val="19"/>
          <w:b w:val="1"/>
          <w:bCs w:val="1"/>
          <w:color w:val="auto"/>
        </w:rPr>
        <w:t>Registration Rights Agreement</w:t>
      </w:r>
      <w:r>
        <w:rPr>
          <w:rFonts w:ascii="Times New Roman" w:cs="Times New Roman" w:eastAsia="Times New Roman" w:hAnsi="Times New Roman"/>
          <w:sz w:val="19"/>
          <w:szCs w:val="19"/>
          <w:color w:val="auto"/>
        </w:rPr>
        <w:t>”) pursuant to which, among other matters, the Corporation agreed to file a prospectus supplement to its effective Form F-10 registration statement to register under the U.S. Securities Act the resale by High Trail of up to 20,000,000 Common Shares issuable upon the conversion of the Convertible Debentures (the “</w:t>
      </w:r>
      <w:r>
        <w:rPr>
          <w:rFonts w:ascii="Times New Roman" w:cs="Times New Roman" w:eastAsia="Times New Roman" w:hAnsi="Times New Roman"/>
          <w:sz w:val="19"/>
          <w:szCs w:val="19"/>
          <w:b w:val="1"/>
          <w:bCs w:val="1"/>
          <w:color w:val="auto"/>
        </w:rPr>
        <w:t>Registrable Common Shares</w:t>
      </w:r>
      <w:r>
        <w:rPr>
          <w:rFonts w:ascii="Times New Roman" w:cs="Times New Roman" w:eastAsia="Times New Roman" w:hAnsi="Times New Roman"/>
          <w:sz w:val="19"/>
          <w:szCs w:val="19"/>
          <w:color w:val="auto"/>
        </w:rPr>
        <w:t>”), on the terms of the Securities Purchase Agreement and the Convertible Debentures, at the Conversion Price (as defined in the Securities Purchase Agreement) in the United States, within 15 calendar days of the closing date. Accordingly, in order to meet its obligations under the Registration Rights Agreement, on July 14, 2025, the Corporation filed a prospectus supplement (the “</w:t>
      </w:r>
      <w:r>
        <w:rPr>
          <w:rFonts w:ascii="Times New Roman" w:cs="Times New Roman" w:eastAsia="Times New Roman" w:hAnsi="Times New Roman"/>
          <w:sz w:val="19"/>
          <w:szCs w:val="19"/>
          <w:b w:val="1"/>
          <w:bCs w:val="1"/>
          <w:color w:val="auto"/>
        </w:rPr>
        <w:t>July Prospectus Supplement</w:t>
      </w:r>
      <w:r>
        <w:rPr>
          <w:rFonts w:ascii="Times New Roman" w:cs="Times New Roman" w:eastAsia="Times New Roman" w:hAnsi="Times New Roman"/>
          <w:sz w:val="19"/>
          <w:szCs w:val="19"/>
          <w:color w:val="auto"/>
        </w:rPr>
        <w:t>”) to permit High Trail to offer up to 20,000,000 Registrable Common Shares for sale or other disposition from time to time in the United States. Further, the Securities Purchase Agreement contemplates that the Corporation may sell and issue to High Trail up to an additional $450,000,000 aggregate principal amount of Convertible Debentures (the “</w:t>
      </w:r>
      <w:r>
        <w:rPr>
          <w:rFonts w:ascii="Times New Roman" w:cs="Times New Roman" w:eastAsia="Times New Roman" w:hAnsi="Times New Roman"/>
          <w:sz w:val="19"/>
          <w:szCs w:val="19"/>
          <w:b w:val="1"/>
          <w:bCs w:val="1"/>
          <w:color w:val="auto"/>
        </w:rPr>
        <w:t>Additional Convertible Debentures</w:t>
      </w:r>
      <w:r>
        <w:rPr>
          <w:rFonts w:ascii="Times New Roman" w:cs="Times New Roman" w:eastAsia="Times New Roman" w:hAnsi="Times New Roman"/>
          <w:sz w:val="19"/>
          <w:szCs w:val="19"/>
          <w:color w:val="auto"/>
        </w:rPr>
        <w:t>”) at a future date, upon mutual agreement of the parties. It is anticipated that High Trail will receive registration rights to permit High Trail to offer such number of Common Shares as would be issued on conversion of the Additional Convertible Debentures (the “</w:t>
      </w:r>
      <w:r>
        <w:rPr>
          <w:rFonts w:ascii="Times New Roman" w:cs="Times New Roman" w:eastAsia="Times New Roman" w:hAnsi="Times New Roman"/>
          <w:sz w:val="19"/>
          <w:szCs w:val="19"/>
          <w:b w:val="1"/>
          <w:bCs w:val="1"/>
          <w:color w:val="auto"/>
        </w:rPr>
        <w:t>Additional Registrable Common Shares</w:t>
      </w:r>
      <w:r>
        <w:rPr>
          <w:rFonts w:ascii="Times New Roman" w:cs="Times New Roman" w:eastAsia="Times New Roman" w:hAnsi="Times New Roman"/>
          <w:sz w:val="19"/>
          <w:szCs w:val="19"/>
          <w:color w:val="auto"/>
        </w:rPr>
        <w:t>”), for sale or other disposition from time to time in the United States. If all of the Registrable Common Shares are issued and outstanding, they would represent a substantial percentage of the Corporation’s public float and of the outstanding Common Shares. As of July 14, 2025, the Registrable Common Shares covered by the July Prospectus Supplement represent approximately 87% of the total number of outstanding Common Shares (assuming all of the Registrable Common Shares covered by the July Prospectus Supplement were issued and outstanding). Accordingly, the resale of the Registrable Common Shares covered by the July Prospectus Supplement, and the resale of any Additional Registrable Common Shares issued on conversion of the Additional Convertible Debentures, or the perception that such sales may occur, could result in a significant decline in the public trading price of the Common Shares. The number of Registrable Common Shares that may actually be issued by the Corporation upon conversion of the Convertible Debentures may be fewer or greater than the number of Registrable Common Shares being qualified by the July Prospectus Supplement. The number of Registrable Common Shares that may actually be acquired by High Trail pursuant to the Convertible Debentures is not known given the variable Conversion Price. In the event that the number of Common Shares issuable upon conversion of the Convertible Debentures is greater than the Registrable Common Shares covered by the July Prospectus Supplement, the Corporation may be obligated under the terms of the Registration Rights Agreement to file and have declared effective additional registration statements registering under the U.S. Securities Act the resale of additional Common Shares issuable upon the conversion of any Convertible Debentures then outstanding.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Market for Securities</w:t>
      </w:r>
    </w:p>
    <w:p>
      <w:pPr>
        <w:spacing w:after="0" w:line="16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the Corporation's Securities, other than the Common Shares, in the secondary market, the transparency and availability of trading prices, the liquidity of these Securities and the extent of issuer regulation. There can be no assurance that an active trading market for the Securities, other than the Common Shares, will develop or, if developed, that any such market, including for the Common Shares, will be sustained.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Enforcement of Civil Liabilities</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3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2" w:name="page53"/>
    <w:bookmarkEnd w:id="52"/>
    <w:p>
      <w:pPr>
        <w:jc w:val="both"/>
        <w:ind w:right="20"/>
        <w:spacing w:after="0" w:line="263" w:lineRule="auto"/>
        <w:rPr>
          <w:sz w:val="20"/>
          <w:szCs w:val="20"/>
          <w:color w:val="auto"/>
        </w:rPr>
      </w:pPr>
      <w:r>
        <w:rPr>
          <w:rFonts w:ascii="Times New Roman" w:cs="Times New Roman" w:eastAsia="Times New Roman" w:hAnsi="Times New Roman"/>
          <w:sz w:val="19"/>
          <w:szCs w:val="19"/>
          <w:color w:val="auto"/>
        </w:rPr>
        <w:t>Most of the officers and directors named in this Prospectus are not residents of the United States, and some of the Corporation's assets and all or a substantial portion of the assets of such person are located outside of the United States.</w:t>
      </w:r>
    </w:p>
    <w:p>
      <w:pPr>
        <w:spacing w:after="0" w:line="102"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33"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CERTAIN FEDERAL INCOME TAX CONSIDERATIONS</w:t>
      </w:r>
    </w:p>
    <w:p>
      <w:pPr>
        <w:spacing w:after="0" w:line="15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applicable Prospectus Supplement will include a general summary of certain Canadian federal income tax consequences which may be applicable to a purchaser of Securities offered thereunder. The applicable Prospectus Supplement may also describe certain United States federal income tax consequences which may be applicable to a purchaser of Securities hereunder by an initial investor who is a United States person (within the meaning of the United States Internal Revenue Code of 1986, as amended). Investors should read the tax discussion in any Prospectus Supplement with respect to a particular offering and consult their own tax advisors with respect to their own particular circumstances.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LEGAL MATTERS</w:t>
      </w:r>
    </w:p>
    <w:p>
      <w:pPr>
        <w:spacing w:after="0" w:line="1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AUDITORS, TRANSFER AGENT AND REGISTRAR</w:t>
      </w:r>
    </w:p>
    <w:p>
      <w:pPr>
        <w:spacing w:after="0" w:line="164"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registrar and transfer agent of the Common Shares is Odyssey Trust Company at its principal office in Calgary, Alberta.</w:t>
      </w:r>
    </w:p>
    <w:p>
      <w:pPr>
        <w:spacing w:after="0" w:line="14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53" w:name="page54"/>
    <w:bookmarkEnd w:id="53"/>
    <w:p>
      <w:pPr>
        <w:ind w:left="5280"/>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14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9"/>
          <w:szCs w:val="19"/>
          <w:b w:val="1"/>
          <w:bCs w:val="1"/>
          <w:color w:val="auto"/>
        </w:rPr>
        <w:t>INFORMATION NOT REQUIRED TO BE DELIVERED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OFFEREES OR PURCHASERS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Indemnification of Directors and Officers</w:t>
      </w:r>
    </w:p>
    <w:p>
      <w:pPr>
        <w:spacing w:after="0" w:line="1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Under the </w:t>
      </w:r>
      <w:r>
        <w:rPr>
          <w:rFonts w:ascii="Times New Roman" w:cs="Times New Roman" w:eastAsia="Times New Roman" w:hAnsi="Times New Roman"/>
          <w:sz w:val="19"/>
          <w:szCs w:val="19"/>
          <w:i w:val="1"/>
          <w:iCs w:val="1"/>
          <w:color w:val="auto"/>
        </w:rPr>
        <w:t>Business Corporations Act</w:t>
      </w:r>
      <w:r>
        <w:rPr>
          <w:rFonts w:ascii="Times New Roman" w:cs="Times New Roman" w:eastAsia="Times New Roman" w:hAnsi="Times New Roman"/>
          <w:sz w:val="19"/>
          <w:szCs w:val="19"/>
          <w:color w:val="auto"/>
        </w:rPr>
        <w:t xml:space="preserve"> (Ontario), the Registrant may indemnify a director or officer of the Registrant, a former director or officer of the Registrant or another individual who acts or acted at the Registrant's request as a director or officer, or an individual acting in a similar capacity, of another entity (each of the foregoing, an "individual"),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Registrant or other entity, on the condition that (i) such individual acted honestly and in good faith with a view to the best interests of the Registrant or, as the case may be, to the best interests of the other entity for which the individual acted as a director or officer or in a similar capacity at the Registrant's request; and (ii) if the matter is a criminal or administrative action or proceeding that is enforced by a monetary penalty, the Registrant shall not indemnify the individual unless the individual had reasonable grounds for believing that his or her conduct was lawful.</w:t>
      </w:r>
    </w:p>
    <w:p>
      <w:pPr>
        <w:spacing w:after="0" w:line="12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Further, the Registrant may, with the approval of a court, indemnify an individual in respect of an action by or on behalf of the Registrant or other entity to obtain a judgment in its favor, to which the individual is made a party because of the individual's association with the Registrant or other entity as a director or officer, a former director or officer, an individual who acts or acted at the Registrant's request as a director or officer, or an individual acting in a similar capacity, against all costs, charges and expenses reasonably incurred by the individual in connection with such action, if the individual fulfills the conditions in (i) and (ii) above. Such individuals are entitled to indemnification from the Registrant in respect of all costs, charges and expenses reasonably incurred by the individual in connection with the defense of any civil, criminal, administrative, investigative or other proceeding to which the individual is subject because of the individual's association with the Registrant or other entity as described above, provided the individual seeking an indemnity: (A) was not judged by a court or other competent authority to have committed any fault or omitted to do anything that the individual ought to have done; and (B) fulfills the conditions in (i) and (ii) above.</w:t>
      </w:r>
    </w:p>
    <w:p>
      <w:pPr>
        <w:spacing w:after="0" w:line="1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The by-laws of the Registrant provide that, subject to the </w:t>
      </w:r>
      <w:r>
        <w:rPr>
          <w:rFonts w:ascii="Times New Roman" w:cs="Times New Roman" w:eastAsia="Times New Roman" w:hAnsi="Times New Roman"/>
          <w:sz w:val="19"/>
          <w:szCs w:val="19"/>
          <w:i w:val="1"/>
          <w:iCs w:val="1"/>
          <w:color w:val="auto"/>
        </w:rPr>
        <w:t>Business Corporations Act</w:t>
      </w:r>
      <w:r>
        <w:rPr>
          <w:rFonts w:ascii="Times New Roman" w:cs="Times New Roman" w:eastAsia="Times New Roman" w:hAnsi="Times New Roman"/>
          <w:sz w:val="19"/>
          <w:szCs w:val="19"/>
          <w:color w:val="auto"/>
        </w:rPr>
        <w:t xml:space="preserve"> (Ontario), the Registrant shall indemnify a director or officer of the Registrant, a former director or officer of the Registrant or another individual who acts or acted at the Registrant's request as a director or officer, or an individual acting in a similar capacity, or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Registrant or other entity, if: (i) the individual acted honestly and in good faith with a view to the best interests of the Registrant or, as the case may be, to the best interest of the other entity for which the individual acted as a director or officer or in a similar capacity at the Registrant's request and (ii) in the case of a criminal or administrative action or proceeding that is enforced by a monetary penalty, the person had reasonable grounds for believing that the individual's conduct was lawful.</w:t>
      </w:r>
    </w:p>
    <w:p>
      <w:pPr>
        <w:spacing w:after="0" w:line="1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 xml:space="preserve">The Registrant maintains directors' and officers' liability insurance which insures directors and officers for losses as a result of claims against the directors and officers of the Registrant in their capacity as directors and officers and also reimburses the Registrant for payments made pursuant to the indemnity provisions under the by-laws of the Registrant and the </w:t>
      </w:r>
      <w:r>
        <w:rPr>
          <w:rFonts w:ascii="Times New Roman" w:cs="Times New Roman" w:eastAsia="Times New Roman" w:hAnsi="Times New Roman"/>
          <w:sz w:val="19"/>
          <w:szCs w:val="19"/>
          <w:i w:val="1"/>
          <w:iCs w:val="1"/>
          <w:color w:val="auto"/>
        </w:rPr>
        <w:t>Business Corporations Act</w:t>
      </w:r>
      <w:r>
        <w:rPr>
          <w:rFonts w:ascii="Times New Roman" w:cs="Times New Roman" w:eastAsia="Times New Roman" w:hAnsi="Times New Roman"/>
          <w:sz w:val="19"/>
          <w:szCs w:val="19"/>
          <w:color w:val="auto"/>
        </w:rPr>
        <w:t xml:space="preserve"> (Ontario).</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 * *</w:t>
      </w:r>
    </w:p>
    <w:p>
      <w:pPr>
        <w:spacing w:after="0" w:line="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b w:val="1"/>
          <w:bCs w:val="1"/>
          <w:color w:val="auto"/>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6978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9"/>
          <w:szCs w:val="19"/>
          <w:b w:val="1"/>
          <w:bCs w:val="1"/>
          <w:color w:val="auto"/>
        </w:rPr>
        <w:t>EXHIBIT INDEX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4"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149465" cy="2476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47650"/>
                    </a:xfrm>
                    <a:prstGeom prst="rect">
                      <a:avLst/>
                    </a:prstGeom>
                    <a:noFill/>
                  </pic:spPr>
                </pic:pic>
              </a:graphicData>
            </a:graphic>
          </wp:anchor>
        </w:drawing>
      </w:r>
    </w:p>
    <w:p>
      <w:pPr>
        <w:jc w:val="both"/>
        <w:ind w:left="720" w:right="20" w:hanging="362"/>
        <w:spacing w:after="0" w:line="269" w:lineRule="auto"/>
        <w:tabs>
          <w:tab w:leader="none" w:pos="700" w:val="left"/>
        </w:tabs>
        <w:rPr>
          <w:rFonts w:ascii="Times New Roman" w:cs="Times New Roman" w:eastAsia="Times New Roman" w:hAnsi="Times New Roman"/>
          <w:sz w:val="16"/>
          <w:szCs w:val="16"/>
          <w:u w:val="single" w:color="auto"/>
          <w:color w:val="0000EE"/>
        </w:rPr>
      </w:pPr>
      <w:hyperlink r:id="rId146">
        <w:r>
          <w:rPr>
            <w:rFonts w:ascii="Times New Roman" w:cs="Times New Roman" w:eastAsia="Times New Roman" w:hAnsi="Times New Roman"/>
            <w:sz w:val="16"/>
            <w:szCs w:val="16"/>
            <w:u w:val="single" w:color="auto"/>
            <w:color w:val="0000EE"/>
          </w:rPr>
          <w:t>4.1</w:t>
        </w:r>
      </w:hyperlink>
      <w:r>
        <w:rPr>
          <w:rFonts w:ascii="Times New Roman" w:cs="Times New Roman" w:eastAsia="Times New Roman" w:hAnsi="Times New Roman"/>
          <w:sz w:val="16"/>
          <w:szCs w:val="16"/>
          <w:u w:val="single" w:color="auto"/>
          <w:color w:val="0000EE"/>
        </w:rPr>
        <w:tab/>
      </w:r>
      <w:hyperlink r:id="rId146">
        <w:r>
          <w:rPr>
            <w:rFonts w:ascii="Times New Roman" w:cs="Times New Roman" w:eastAsia="Times New Roman" w:hAnsi="Times New Roman"/>
            <w:sz w:val="16"/>
            <w:szCs w:val="16"/>
            <w:u w:val="single" w:color="auto"/>
            <w:color w:val="0000EE"/>
          </w:rPr>
          <w:t>The annual information form of the Registrant dated June 30, 2025 for the year ended March 31, 2025 (incorporated by reference from Exhibit 99.1 of the Registrant's</w:t>
        </w:r>
      </w:hyperlink>
      <w:r>
        <w:rPr>
          <w:rFonts w:ascii="Times New Roman" w:cs="Times New Roman" w:eastAsia="Times New Roman" w:hAnsi="Times New Roman"/>
          <w:sz w:val="16"/>
          <w:szCs w:val="16"/>
          <w:u w:val="single" w:color="auto"/>
          <w:color w:val="0000EE"/>
        </w:rPr>
        <w:t xml:space="preserve"> </w:t>
      </w:r>
      <w:hyperlink r:id="rId146">
        <w:r>
          <w:rPr>
            <w:rFonts w:ascii="Times New Roman" w:cs="Times New Roman" w:eastAsia="Times New Roman" w:hAnsi="Times New Roman"/>
            <w:sz w:val="16"/>
            <w:szCs w:val="16"/>
            <w:u w:val="single" w:color="auto"/>
            <w:color w:val="0000EE"/>
          </w:rPr>
          <w:t>Annual Report on Form 40-F, filed with the Commission on July 1, 2025).</w:t>
        </w:r>
      </w:hyperlink>
    </w:p>
    <w:p>
      <w:pPr>
        <w:spacing w:after="0" w:line="150" w:lineRule="exact"/>
        <w:rPr>
          <w:rFonts w:ascii="Times New Roman" w:cs="Times New Roman" w:eastAsia="Times New Roman" w:hAnsi="Times New Roman"/>
          <w:sz w:val="16"/>
          <w:szCs w:val="16"/>
          <w:u w:val="single" w:color="auto"/>
          <w:color w:val="0000EE"/>
        </w:rPr>
      </w:pPr>
    </w:p>
    <w:p>
      <w:pPr>
        <w:jc w:val="both"/>
        <w:ind w:left="720" w:right="20" w:hanging="362"/>
        <w:spacing w:after="0" w:line="276" w:lineRule="auto"/>
        <w:tabs>
          <w:tab w:leader="none" w:pos="700" w:val="left"/>
        </w:tabs>
        <w:rPr>
          <w:rFonts w:ascii="Times New Roman" w:cs="Times New Roman" w:eastAsia="Times New Roman" w:hAnsi="Times New Roman"/>
          <w:sz w:val="16"/>
          <w:szCs w:val="16"/>
          <w:u w:val="single" w:color="auto"/>
          <w:color w:val="0000EE"/>
        </w:rPr>
      </w:pPr>
      <w:hyperlink r:id="rId147">
        <w:r>
          <w:rPr>
            <w:rFonts w:ascii="Times New Roman" w:cs="Times New Roman" w:eastAsia="Times New Roman" w:hAnsi="Times New Roman"/>
            <w:sz w:val="16"/>
            <w:szCs w:val="16"/>
            <w:u w:val="single" w:color="auto"/>
            <w:color w:val="0000EE"/>
          </w:rPr>
          <w:t>4.2</w:t>
        </w:r>
      </w:hyperlink>
      <w:r>
        <w:rPr>
          <w:rFonts w:ascii="Times New Roman" w:cs="Times New Roman" w:eastAsia="Times New Roman" w:hAnsi="Times New Roman"/>
          <w:sz w:val="16"/>
          <w:szCs w:val="16"/>
          <w:u w:val="single" w:color="auto"/>
          <w:color w:val="0000EE"/>
        </w:rPr>
        <w:tab/>
      </w:r>
      <w:hyperlink r:id="rId147">
        <w:r>
          <w:rPr>
            <w:rFonts w:ascii="Times New Roman" w:cs="Times New Roman" w:eastAsia="Times New Roman" w:hAnsi="Times New Roman"/>
            <w:sz w:val="16"/>
            <w:szCs w:val="16"/>
            <w:u w:val="single" w:color="auto"/>
            <w:color w:val="0000EE"/>
          </w:rPr>
          <w:t>The audited consolidated financial statements of the Registrant and the notes thereto as at and for the fiscal years ended March 31, 2025 and 2024, together with the</w:t>
        </w:r>
      </w:hyperlink>
      <w:r>
        <w:rPr>
          <w:rFonts w:ascii="Times New Roman" w:cs="Times New Roman" w:eastAsia="Times New Roman" w:hAnsi="Times New Roman"/>
          <w:sz w:val="16"/>
          <w:szCs w:val="16"/>
          <w:u w:val="single" w:color="auto"/>
          <w:color w:val="0000EE"/>
        </w:rPr>
        <w:t xml:space="preserve"> </w:t>
      </w:r>
      <w:hyperlink r:id="rId147">
        <w:r>
          <w:rPr>
            <w:rFonts w:ascii="Times New Roman" w:cs="Times New Roman" w:eastAsia="Times New Roman" w:hAnsi="Times New Roman"/>
            <w:sz w:val="16"/>
            <w:szCs w:val="16"/>
            <w:u w:val="single" w:color="auto"/>
            <w:color w:val="0000EE"/>
          </w:rPr>
          <w:t>auditor's report thereon (incorporated by reference from Exhibit 99.2 of the Registrant's Annual Report on Form 40-F, filed with the Commission on July 1, 2025).</w:t>
        </w:r>
      </w:hyperlink>
    </w:p>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-257810</wp:posOffset>
            </wp:positionV>
            <wp:extent cx="7149465" cy="2400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49465" cy="240030"/>
                    </a:xfrm>
                    <a:prstGeom prst="rect">
                      <a:avLst/>
                    </a:prstGeom>
                    <a:noFill/>
                  </pic:spPr>
                </pic:pic>
              </a:graphicData>
            </a:graphic>
          </wp:anchor>
        </w:drawing>
      </w:r>
    </w:p>
    <w:p>
      <w:pPr>
        <w:spacing w:after="0" w:line="125" w:lineRule="exact"/>
        <w:rPr>
          <w:rFonts w:ascii="Times New Roman" w:cs="Times New Roman" w:eastAsia="Times New Roman" w:hAnsi="Times New Roman"/>
          <w:sz w:val="16"/>
          <w:szCs w:val="16"/>
          <w:u w:val="single" w:color="auto"/>
          <w:color w:val="0000EE"/>
        </w:rPr>
      </w:pPr>
    </w:p>
    <w:p>
      <w:pPr>
        <w:jc w:val="both"/>
        <w:ind w:left="720" w:right="20" w:hanging="362"/>
        <w:spacing w:after="0" w:line="276" w:lineRule="auto"/>
        <w:tabs>
          <w:tab w:leader="none" w:pos="700" w:val="left"/>
        </w:tabs>
        <w:rPr>
          <w:rFonts w:ascii="Times New Roman" w:cs="Times New Roman" w:eastAsia="Times New Roman" w:hAnsi="Times New Roman"/>
          <w:sz w:val="16"/>
          <w:szCs w:val="16"/>
          <w:u w:val="single" w:color="auto"/>
          <w:color w:val="0000EE"/>
        </w:rPr>
      </w:pPr>
      <w:hyperlink r:id="rId149">
        <w:r>
          <w:rPr>
            <w:rFonts w:ascii="Times New Roman" w:cs="Times New Roman" w:eastAsia="Times New Roman" w:hAnsi="Times New Roman"/>
            <w:sz w:val="16"/>
            <w:szCs w:val="16"/>
            <w:u w:val="single" w:color="auto"/>
            <w:color w:val="0000EE"/>
          </w:rPr>
          <w:t>4.3</w:t>
        </w:r>
      </w:hyperlink>
      <w:r>
        <w:rPr>
          <w:rFonts w:ascii="Times New Roman" w:cs="Times New Roman" w:eastAsia="Times New Roman" w:hAnsi="Times New Roman"/>
          <w:sz w:val="16"/>
          <w:szCs w:val="16"/>
          <w:u w:val="single" w:color="auto"/>
          <w:color w:val="0000EE"/>
        </w:rPr>
        <w:tab/>
      </w:r>
      <w:hyperlink r:id="rId149">
        <w:r>
          <w:rPr>
            <w:rFonts w:ascii="Times New Roman" w:cs="Times New Roman" w:eastAsia="Times New Roman" w:hAnsi="Times New Roman"/>
            <w:sz w:val="16"/>
            <w:szCs w:val="16"/>
            <w:u w:val="single" w:color="auto"/>
            <w:color w:val="0000EE"/>
          </w:rPr>
          <w:t>Management's discussion and analysis of the Registrant for the year ended March 31, 2025 (incorporated by reference from Exhibit 99.3 of the Registrant's Annual</w:t>
        </w:r>
      </w:hyperlink>
      <w:r>
        <w:rPr>
          <w:rFonts w:ascii="Times New Roman" w:cs="Times New Roman" w:eastAsia="Times New Roman" w:hAnsi="Times New Roman"/>
          <w:sz w:val="16"/>
          <w:szCs w:val="16"/>
          <w:u w:val="single" w:color="auto"/>
          <w:color w:val="0000EE"/>
        </w:rPr>
        <w:t xml:space="preserve"> </w:t>
      </w:r>
      <w:hyperlink r:id="rId149">
        <w:r>
          <w:rPr>
            <w:rFonts w:ascii="Times New Roman" w:cs="Times New Roman" w:eastAsia="Times New Roman" w:hAnsi="Times New Roman"/>
            <w:sz w:val="16"/>
            <w:szCs w:val="16"/>
            <w:u w:val="single" w:color="auto"/>
            <w:color w:val="0000EE"/>
          </w:rPr>
          <w:t>Report on Form 40-F, filed with the Commission on July 1, 2025).</w:t>
        </w:r>
      </w:hyperlink>
    </w:p>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-257810</wp:posOffset>
            </wp:positionV>
            <wp:extent cx="7149465" cy="2400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49465" cy="240030"/>
                    </a:xfrm>
                    <a:prstGeom prst="rect">
                      <a:avLst/>
                    </a:prstGeom>
                    <a:noFill/>
                  </pic:spPr>
                </pic:pic>
              </a:graphicData>
            </a:graphic>
          </wp:anchor>
        </w:drawing>
      </w:r>
    </w:p>
    <w:p>
      <w:pPr>
        <w:spacing w:after="0" w:line="125" w:lineRule="exact"/>
        <w:rPr>
          <w:rFonts w:ascii="Times New Roman" w:cs="Times New Roman" w:eastAsia="Times New Roman" w:hAnsi="Times New Roman"/>
          <w:sz w:val="16"/>
          <w:szCs w:val="16"/>
          <w:u w:val="single" w:color="auto"/>
          <w:color w:val="0000EE"/>
        </w:rPr>
      </w:pPr>
    </w:p>
    <w:p>
      <w:pPr>
        <w:jc w:val="both"/>
        <w:ind w:left="720" w:right="20" w:hanging="362"/>
        <w:spacing w:after="0" w:line="261" w:lineRule="auto"/>
        <w:tabs>
          <w:tab w:leader="none" w:pos="700" w:val="left"/>
        </w:tabs>
        <w:rPr>
          <w:rFonts w:ascii="Times New Roman" w:cs="Times New Roman" w:eastAsia="Times New Roman" w:hAnsi="Times New Roman"/>
          <w:sz w:val="16"/>
          <w:szCs w:val="16"/>
          <w:u w:val="single" w:color="auto"/>
          <w:color w:val="0000EE"/>
        </w:rPr>
      </w:pPr>
      <w:hyperlink r:id="rId151">
        <w:r>
          <w:rPr>
            <w:rFonts w:ascii="Times New Roman" w:cs="Times New Roman" w:eastAsia="Times New Roman" w:hAnsi="Times New Roman"/>
            <w:sz w:val="16"/>
            <w:szCs w:val="16"/>
            <w:u w:val="single" w:color="auto"/>
            <w:color w:val="0000EE"/>
          </w:rPr>
          <w:t>4.4</w:t>
        </w:r>
      </w:hyperlink>
      <w:r>
        <w:rPr>
          <w:rFonts w:ascii="Times New Roman" w:cs="Times New Roman" w:eastAsia="Times New Roman" w:hAnsi="Times New Roman"/>
          <w:sz w:val="16"/>
          <w:szCs w:val="16"/>
          <w:u w:val="single" w:color="auto"/>
          <w:color w:val="0000EE"/>
        </w:rPr>
        <w:tab/>
      </w:r>
      <w:hyperlink r:id="rId151">
        <w:r>
          <w:rPr>
            <w:rFonts w:ascii="Times New Roman" w:cs="Times New Roman" w:eastAsia="Times New Roman" w:hAnsi="Times New Roman"/>
            <w:sz w:val="16"/>
            <w:szCs w:val="16"/>
            <w:u w:val="single" w:color="auto"/>
            <w:color w:val="0000EE"/>
          </w:rPr>
          <w:t>The material change report of the Registrant dated July 9, 2025 in connection with the private placement completed by the Registrant on June 30, 2025, of</w:t>
        </w:r>
      </w:hyperlink>
      <w:r>
        <w:rPr>
          <w:rFonts w:ascii="Times New Roman" w:cs="Times New Roman" w:eastAsia="Times New Roman" w:hAnsi="Times New Roman"/>
          <w:sz w:val="16"/>
          <w:szCs w:val="16"/>
          <w:u w:val="single" w:color="auto"/>
          <w:color w:val="0000EE"/>
        </w:rPr>
        <w:t xml:space="preserve"> </w:t>
      </w:r>
      <w:hyperlink r:id="rId151">
        <w:r>
          <w:rPr>
            <w:rFonts w:ascii="Times New Roman" w:cs="Times New Roman" w:eastAsia="Times New Roman" w:hAnsi="Times New Roman"/>
            <w:sz w:val="16"/>
            <w:szCs w:val="16"/>
            <w:u w:val="single" w:color="auto"/>
            <w:color w:val="0000EE"/>
          </w:rPr>
          <w:t>US$50,000,000 aggregate principal amount of unsecured convertible debentures issued to a single investor pursuant to a securities purchase agreement, dated June 30,</w:t>
        </w:r>
      </w:hyperlink>
      <w:r>
        <w:rPr>
          <w:rFonts w:ascii="Times New Roman" w:cs="Times New Roman" w:eastAsia="Times New Roman" w:hAnsi="Times New Roman"/>
          <w:sz w:val="16"/>
          <w:szCs w:val="16"/>
          <w:u w:val="single" w:color="auto"/>
          <w:color w:val="0000EE"/>
        </w:rPr>
        <w:t xml:space="preserve"> </w:t>
      </w:r>
      <w:hyperlink r:id="rId151">
        <w:r>
          <w:rPr>
            <w:rFonts w:ascii="Times New Roman" w:cs="Times New Roman" w:eastAsia="Times New Roman" w:hAnsi="Times New Roman"/>
            <w:sz w:val="16"/>
            <w:szCs w:val="16"/>
            <w:u w:val="single" w:color="auto"/>
            <w:color w:val="0000EE"/>
          </w:rPr>
          <w:t>2025 (incorporated by reference from Exhibit 99.1 of the Registrant's Form 6-K, furnished to the Commission on July 10, 2025).</w:t>
        </w:r>
      </w:hyperlink>
    </w:p>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-370205</wp:posOffset>
            </wp:positionV>
            <wp:extent cx="7149465" cy="3606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49465" cy="360680"/>
                    </a:xfrm>
                    <a:prstGeom prst="rect">
                      <a:avLst/>
                    </a:prstGeom>
                    <a:noFill/>
                  </pic:spPr>
                </pic:pic>
              </a:graphicData>
            </a:graphic>
          </wp:anchor>
        </w:drawing>
      </w:r>
    </w:p>
    <w:p>
      <w:pPr>
        <w:spacing w:after="0" w:line="137" w:lineRule="exact"/>
        <w:rPr>
          <w:rFonts w:ascii="Times New Roman" w:cs="Times New Roman" w:eastAsia="Times New Roman" w:hAnsi="Times New Roman"/>
          <w:sz w:val="16"/>
          <w:szCs w:val="16"/>
          <w:u w:val="single" w:color="auto"/>
          <w:color w:val="0000EE"/>
        </w:rPr>
      </w:pPr>
    </w:p>
    <w:p>
      <w:pPr>
        <w:jc w:val="both"/>
        <w:ind w:left="720" w:right="20" w:hanging="362"/>
        <w:spacing w:after="0" w:line="276" w:lineRule="auto"/>
        <w:tabs>
          <w:tab w:leader="none" w:pos="700" w:val="left"/>
        </w:tabs>
        <w:rPr>
          <w:rFonts w:ascii="Times New Roman" w:cs="Times New Roman" w:eastAsia="Times New Roman" w:hAnsi="Times New Roman"/>
          <w:sz w:val="16"/>
          <w:szCs w:val="16"/>
          <w:u w:val="single" w:color="auto"/>
          <w:color w:val="0000EE"/>
        </w:rPr>
      </w:pPr>
      <w:hyperlink r:id="rId153">
        <w:r>
          <w:rPr>
            <w:rFonts w:ascii="Times New Roman" w:cs="Times New Roman" w:eastAsia="Times New Roman" w:hAnsi="Times New Roman"/>
            <w:sz w:val="16"/>
            <w:szCs w:val="16"/>
            <w:u w:val="single" w:color="auto"/>
            <w:color w:val="0000EE"/>
          </w:rPr>
          <w:t>4.5</w:t>
        </w:r>
      </w:hyperlink>
      <w:r>
        <w:rPr>
          <w:rFonts w:ascii="Times New Roman" w:cs="Times New Roman" w:eastAsia="Times New Roman" w:hAnsi="Times New Roman"/>
          <w:sz w:val="16"/>
          <w:szCs w:val="16"/>
          <w:u w:val="single" w:color="auto"/>
          <w:color w:val="0000EE"/>
        </w:rPr>
        <w:tab/>
      </w:r>
      <w:hyperlink r:id="rId153">
        <w:r>
          <w:rPr>
            <w:rFonts w:ascii="Times New Roman" w:cs="Times New Roman" w:eastAsia="Times New Roman" w:hAnsi="Times New Roman"/>
            <w:sz w:val="16"/>
            <w:szCs w:val="16"/>
            <w:u w:val="single" w:color="auto"/>
            <w:color w:val="0000EE"/>
          </w:rPr>
          <w:t>The management information circular of the Registrant dated July 14, 2025 relating to the annual and special meeting of shareholders of the Registrant to be held on</w:t>
        </w:r>
      </w:hyperlink>
      <w:r>
        <w:rPr>
          <w:rFonts w:ascii="Times New Roman" w:cs="Times New Roman" w:eastAsia="Times New Roman" w:hAnsi="Times New Roman"/>
          <w:sz w:val="16"/>
          <w:szCs w:val="16"/>
          <w:u w:val="single" w:color="auto"/>
          <w:color w:val="0000EE"/>
        </w:rPr>
        <w:t xml:space="preserve"> </w:t>
      </w:r>
      <w:hyperlink r:id="rId153">
        <w:r>
          <w:rPr>
            <w:rFonts w:ascii="Times New Roman" w:cs="Times New Roman" w:eastAsia="Times New Roman" w:hAnsi="Times New Roman"/>
            <w:sz w:val="16"/>
            <w:szCs w:val="16"/>
            <w:u w:val="single" w:color="auto"/>
            <w:color w:val="0000EE"/>
          </w:rPr>
          <w:t>August 18, 2025 (incorporated by reference from Exhibit 99.1 of the Registrant's Form 6-K, furnished to the Commission on July 28, 2025).</w:t>
        </w:r>
      </w:hyperlink>
    </w:p>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-257810</wp:posOffset>
            </wp:positionV>
            <wp:extent cx="7149465" cy="2400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49465" cy="240030"/>
                    </a:xfrm>
                    <a:prstGeom prst="rect">
                      <a:avLst/>
                    </a:prstGeom>
                    <a:noFill/>
                  </pic:spPr>
                </pic:pic>
              </a:graphicData>
            </a:graphic>
          </wp:anchor>
        </w:drawing>
      </w:r>
    </w:p>
    <w:p>
      <w:pPr>
        <w:spacing w:after="0" w:line="125" w:lineRule="exact"/>
        <w:rPr>
          <w:rFonts w:ascii="Times New Roman" w:cs="Times New Roman" w:eastAsia="Times New Roman" w:hAnsi="Times New Roman"/>
          <w:sz w:val="16"/>
          <w:szCs w:val="16"/>
          <w:u w:val="single" w:color="auto"/>
          <w:color w:val="0000EE"/>
        </w:rPr>
      </w:pPr>
    </w:p>
    <w:p>
      <w:pPr>
        <w:jc w:val="both"/>
        <w:ind w:left="720" w:right="20" w:hanging="362"/>
        <w:spacing w:after="0" w:line="276" w:lineRule="auto"/>
        <w:tabs>
          <w:tab w:leader="none" w:pos="700" w:val="left"/>
        </w:tabs>
        <w:rPr>
          <w:rFonts w:ascii="Times New Roman" w:cs="Times New Roman" w:eastAsia="Times New Roman" w:hAnsi="Times New Roman"/>
          <w:sz w:val="16"/>
          <w:szCs w:val="16"/>
          <w:u w:val="single" w:color="auto"/>
          <w:color w:val="0000EE"/>
        </w:rPr>
      </w:pPr>
      <w:hyperlink r:id="rId155">
        <w:r>
          <w:rPr>
            <w:rFonts w:ascii="Times New Roman" w:cs="Times New Roman" w:eastAsia="Times New Roman" w:hAnsi="Times New Roman"/>
            <w:sz w:val="16"/>
            <w:szCs w:val="16"/>
            <w:u w:val="single" w:color="auto"/>
            <w:color w:val="0000EE"/>
          </w:rPr>
          <w:t>4.6</w:t>
        </w:r>
      </w:hyperlink>
      <w:r>
        <w:rPr>
          <w:rFonts w:ascii="Times New Roman" w:cs="Times New Roman" w:eastAsia="Times New Roman" w:hAnsi="Times New Roman"/>
          <w:sz w:val="16"/>
          <w:szCs w:val="16"/>
          <w:u w:val="single" w:color="auto"/>
          <w:color w:val="0000EE"/>
        </w:rPr>
        <w:tab/>
      </w:r>
      <w:hyperlink r:id="rId155">
        <w:r>
          <w:rPr>
            <w:rFonts w:ascii="Times New Roman" w:cs="Times New Roman" w:eastAsia="Times New Roman" w:hAnsi="Times New Roman"/>
            <w:sz w:val="16"/>
            <w:szCs w:val="16"/>
            <w:u w:val="single" w:color="auto"/>
            <w:color w:val="0000EE"/>
          </w:rPr>
          <w:t>The unaudited interim condensed consolidated financial statements of the Registrant and the notes thereto for the three months ended June 30, 2025 (incorporated by</w:t>
        </w:r>
      </w:hyperlink>
      <w:r>
        <w:rPr>
          <w:rFonts w:ascii="Times New Roman" w:cs="Times New Roman" w:eastAsia="Times New Roman" w:hAnsi="Times New Roman"/>
          <w:sz w:val="16"/>
          <w:szCs w:val="16"/>
          <w:u w:val="single" w:color="auto"/>
          <w:color w:val="0000EE"/>
        </w:rPr>
        <w:t xml:space="preserve"> </w:t>
      </w:r>
      <w:hyperlink r:id="rId155">
        <w:r>
          <w:rPr>
            <w:rFonts w:ascii="Times New Roman" w:cs="Times New Roman" w:eastAsia="Times New Roman" w:hAnsi="Times New Roman"/>
            <w:sz w:val="16"/>
            <w:szCs w:val="16"/>
            <w:u w:val="single" w:color="auto"/>
            <w:color w:val="0000EE"/>
          </w:rPr>
          <w:t>reference from Exhibit 99.1 of the Registrant’s Current Report on Form 6-K, filed with the Commission on August 13, 2025).</w:t>
        </w:r>
      </w:hyperlink>
    </w:p>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-257810</wp:posOffset>
            </wp:positionV>
            <wp:extent cx="7149465" cy="2400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149465" cy="240030"/>
                    </a:xfrm>
                    <a:prstGeom prst="rect">
                      <a:avLst/>
                    </a:prstGeom>
                    <a:noFill/>
                  </pic:spPr>
                </pic:pic>
              </a:graphicData>
            </a:graphic>
          </wp:anchor>
        </w:drawing>
      </w:r>
    </w:p>
    <w:p>
      <w:pPr>
        <w:spacing w:after="0" w:line="125" w:lineRule="exact"/>
        <w:rPr>
          <w:rFonts w:ascii="Times New Roman" w:cs="Times New Roman" w:eastAsia="Times New Roman" w:hAnsi="Times New Roman"/>
          <w:sz w:val="16"/>
          <w:szCs w:val="16"/>
          <w:u w:val="single" w:color="auto"/>
          <w:color w:val="0000EE"/>
        </w:rPr>
      </w:pPr>
    </w:p>
    <w:p>
      <w:pPr>
        <w:jc w:val="both"/>
        <w:ind w:left="720" w:hanging="362"/>
        <w:spacing w:after="0" w:line="276" w:lineRule="auto"/>
        <w:tabs>
          <w:tab w:leader="none" w:pos="700" w:val="left"/>
        </w:tabs>
        <w:rPr>
          <w:rFonts w:ascii="Times New Roman" w:cs="Times New Roman" w:eastAsia="Times New Roman" w:hAnsi="Times New Roman"/>
          <w:sz w:val="16"/>
          <w:szCs w:val="16"/>
          <w:u w:val="single" w:color="auto"/>
          <w:color w:val="0000EE"/>
        </w:rPr>
      </w:pPr>
      <w:hyperlink r:id="rId157">
        <w:r>
          <w:rPr>
            <w:rFonts w:ascii="Times New Roman" w:cs="Times New Roman" w:eastAsia="Times New Roman" w:hAnsi="Times New Roman"/>
            <w:sz w:val="16"/>
            <w:szCs w:val="16"/>
            <w:u w:val="single" w:color="auto"/>
            <w:color w:val="0000EE"/>
          </w:rPr>
          <w:t>4.7</w:t>
        </w:r>
      </w:hyperlink>
      <w:r>
        <w:rPr>
          <w:rFonts w:ascii="Times New Roman" w:cs="Times New Roman" w:eastAsia="Times New Roman" w:hAnsi="Times New Roman"/>
          <w:sz w:val="16"/>
          <w:szCs w:val="16"/>
          <w:u w:val="single" w:color="auto"/>
          <w:color w:val="0000EE"/>
        </w:rPr>
        <w:tab/>
      </w:r>
      <w:hyperlink r:id="rId157">
        <w:r>
          <w:rPr>
            <w:rFonts w:ascii="Times New Roman" w:cs="Times New Roman" w:eastAsia="Times New Roman" w:hAnsi="Times New Roman"/>
            <w:sz w:val="16"/>
            <w:szCs w:val="16"/>
            <w:u w:val="single" w:color="auto"/>
            <w:color w:val="0000EE"/>
          </w:rPr>
          <w:t>Management's discussion and analysis of the Registrant for the three months ended June 30, 2025 (incorporated by reference from Exhibit 99.2 of the Registrant's</w:t>
        </w:r>
      </w:hyperlink>
      <w:r>
        <w:rPr>
          <w:rFonts w:ascii="Times New Roman" w:cs="Times New Roman" w:eastAsia="Times New Roman" w:hAnsi="Times New Roman"/>
          <w:sz w:val="16"/>
          <w:szCs w:val="16"/>
          <w:u w:val="single" w:color="auto"/>
          <w:color w:val="0000EE"/>
        </w:rPr>
        <w:t xml:space="preserve"> </w:t>
      </w:r>
      <w:hyperlink r:id="rId157">
        <w:r>
          <w:rPr>
            <w:rFonts w:ascii="Times New Roman" w:cs="Times New Roman" w:eastAsia="Times New Roman" w:hAnsi="Times New Roman"/>
            <w:sz w:val="16"/>
            <w:szCs w:val="16"/>
            <w:u w:val="single" w:color="auto"/>
            <w:color w:val="0000EE"/>
          </w:rPr>
          <w:t>Current Report on Form 6-K, filed with the Commission on August 13, 2025).</w:t>
        </w:r>
      </w:hyperlink>
    </w:p>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-257810</wp:posOffset>
            </wp:positionV>
            <wp:extent cx="7149465" cy="2400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7149465" cy="240030"/>
                    </a:xfrm>
                    <a:prstGeom prst="rect">
                      <a:avLst/>
                    </a:prstGeom>
                    <a:noFill/>
                  </pic:spPr>
                </pic:pic>
              </a:graphicData>
            </a:graphic>
          </wp:anchor>
        </w:drawing>
      </w:r>
    </w:p>
    <w:p>
      <w:pPr>
        <w:spacing w:after="0" w:line="125" w:lineRule="exact"/>
        <w:rPr>
          <w:rFonts w:ascii="Times New Roman" w:cs="Times New Roman" w:eastAsia="Times New Roman" w:hAnsi="Times New Roman"/>
          <w:sz w:val="16"/>
          <w:szCs w:val="16"/>
          <w:u w:val="single" w:color="auto"/>
          <w:color w:val="0000EE"/>
        </w:rPr>
      </w:pPr>
    </w:p>
    <w:p>
      <w:pPr>
        <w:jc w:val="both"/>
        <w:ind w:left="720" w:right="20" w:hanging="362"/>
        <w:spacing w:after="0" w:line="276" w:lineRule="auto"/>
        <w:tabs>
          <w:tab w:leader="none" w:pos="700" w:val="left"/>
        </w:tabs>
        <w:rPr>
          <w:rFonts w:ascii="Times New Roman" w:cs="Times New Roman" w:eastAsia="Times New Roman" w:hAnsi="Times New Roman"/>
          <w:sz w:val="16"/>
          <w:szCs w:val="16"/>
          <w:u w:val="single" w:color="auto"/>
          <w:color w:val="0000EE"/>
        </w:rPr>
      </w:pPr>
      <w:hyperlink r:id="rId159">
        <w:r>
          <w:rPr>
            <w:rFonts w:ascii="Times New Roman" w:cs="Times New Roman" w:eastAsia="Times New Roman" w:hAnsi="Times New Roman"/>
            <w:sz w:val="16"/>
            <w:szCs w:val="16"/>
            <w:u w:val="single" w:color="auto"/>
            <w:color w:val="0000EE"/>
          </w:rPr>
          <w:t>4.8</w:t>
        </w:r>
      </w:hyperlink>
      <w:r>
        <w:rPr>
          <w:rFonts w:ascii="Times New Roman" w:cs="Times New Roman" w:eastAsia="Times New Roman" w:hAnsi="Times New Roman"/>
          <w:sz w:val="16"/>
          <w:szCs w:val="16"/>
          <w:u w:val="single" w:color="auto"/>
          <w:color w:val="0000EE"/>
        </w:rPr>
        <w:tab/>
      </w:r>
      <w:hyperlink r:id="rId159">
        <w:r>
          <w:rPr>
            <w:rFonts w:ascii="Times New Roman" w:cs="Times New Roman" w:eastAsia="Times New Roman" w:hAnsi="Times New Roman"/>
            <w:sz w:val="16"/>
            <w:szCs w:val="16"/>
            <w:u w:val="single" w:color="auto"/>
            <w:color w:val="0000EE"/>
          </w:rPr>
          <w:t>The material change report of the Registrant dated September 3, 2025, relating to senior leadership changes (incorporated by reference from Exhibit 99.1 of the</w:t>
        </w:r>
      </w:hyperlink>
      <w:r>
        <w:rPr>
          <w:rFonts w:ascii="Times New Roman" w:cs="Times New Roman" w:eastAsia="Times New Roman" w:hAnsi="Times New Roman"/>
          <w:sz w:val="16"/>
          <w:szCs w:val="16"/>
          <w:u w:val="single" w:color="auto"/>
          <w:color w:val="0000EE"/>
        </w:rPr>
        <w:t xml:space="preserve"> </w:t>
      </w:r>
      <w:hyperlink r:id="rId159">
        <w:r>
          <w:rPr>
            <w:rFonts w:ascii="Times New Roman" w:cs="Times New Roman" w:eastAsia="Times New Roman" w:hAnsi="Times New Roman"/>
            <w:sz w:val="16"/>
            <w:szCs w:val="16"/>
            <w:u w:val="single" w:color="auto"/>
            <w:color w:val="0000EE"/>
          </w:rPr>
          <w:t>Registrant's Current Report on Form 6-K, filed with the Commission on September 17, 2025).</w:t>
        </w:r>
      </w:hyperlink>
    </w:p>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-257810</wp:posOffset>
            </wp:positionV>
            <wp:extent cx="7149465" cy="2400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49465" cy="240030"/>
                    </a:xfrm>
                    <a:prstGeom prst="rect">
                      <a:avLst/>
                    </a:prstGeom>
                    <a:noFill/>
                  </pic:spPr>
                </pic:pic>
              </a:graphicData>
            </a:graphic>
          </wp:anchor>
        </w:drawing>
      </w:r>
    </w:p>
    <w:p>
      <w:pPr>
        <w:spacing w:after="0" w:line="125" w:lineRule="exact"/>
        <w:rPr>
          <w:rFonts w:ascii="Times New Roman" w:cs="Times New Roman" w:eastAsia="Times New Roman" w:hAnsi="Times New Roman"/>
          <w:sz w:val="16"/>
          <w:szCs w:val="16"/>
          <w:u w:val="single" w:color="auto"/>
          <w:color w:val="0000EE"/>
        </w:rPr>
      </w:pPr>
    </w:p>
    <w:p>
      <w:pPr>
        <w:ind w:left="280"/>
        <w:spacing w:after="0"/>
        <w:tabs>
          <w:tab w:leader="none" w:pos="700" w:val="left"/>
        </w:tabs>
        <w:rPr>
          <w:sz w:val="20"/>
          <w:szCs w:val="20"/>
          <w:color w:val="auto"/>
        </w:rPr>
      </w:pPr>
      <w:r>
        <w:rPr>
          <w:rFonts w:ascii="Times New Roman" w:cs="Times New Roman" w:eastAsia="Times New Roman" w:hAnsi="Times New Roman"/>
          <w:sz w:val="16"/>
          <w:szCs w:val="16"/>
          <w:u w:val="single" w:color="auto"/>
          <w:color w:val="0000EE"/>
        </w:rPr>
        <w:t>5.1*</w:t>
      </w:r>
      <w:r>
        <w:rPr>
          <w:sz w:val="20"/>
          <w:szCs w:val="20"/>
          <w:color w:val="auto"/>
        </w:rPr>
        <w:tab/>
      </w:r>
      <w:r>
        <w:rPr>
          <w:rFonts w:ascii="Times New Roman" w:cs="Times New Roman" w:eastAsia="Times New Roman" w:hAnsi="Times New Roman"/>
          <w:sz w:val="15"/>
          <w:szCs w:val="15"/>
          <w:u w:val="single" w:color="auto"/>
          <w:color w:val="0000EE"/>
        </w:rPr>
        <w:t>Consent of Zeifmans LLP.</w:t>
      </w:r>
    </w:p>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149465" cy="1200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spacing w:after="0" w:line="174" w:lineRule="exact"/>
        <w:rPr>
          <w:rFonts w:ascii="Times New Roman" w:cs="Times New Roman" w:eastAsia="Times New Roman" w:hAnsi="Times New Roman"/>
          <w:sz w:val="16"/>
          <w:szCs w:val="16"/>
          <w:u w:val="single" w:color="auto"/>
          <w:color w:val="0000EE"/>
        </w:rPr>
      </w:pPr>
    </w:p>
    <w:p>
      <w:pPr>
        <w:ind w:left="280"/>
        <w:spacing w:after="0"/>
        <w:tabs>
          <w:tab w:leader="none" w:pos="700" w:val="left"/>
        </w:tabs>
        <w:rPr>
          <w:sz w:val="20"/>
          <w:szCs w:val="20"/>
          <w:color w:val="auto"/>
        </w:rPr>
      </w:pPr>
      <w:r>
        <w:rPr>
          <w:rFonts w:ascii="Times New Roman" w:cs="Times New Roman" w:eastAsia="Times New Roman" w:hAnsi="Times New Roman"/>
          <w:sz w:val="16"/>
          <w:szCs w:val="16"/>
          <w:u w:val="single" w:color="auto"/>
          <w:color w:val="0000EE"/>
        </w:rPr>
        <w:t>6.1*</w:t>
      </w:r>
      <w:r>
        <w:rPr>
          <w:sz w:val="20"/>
          <w:szCs w:val="20"/>
          <w:color w:val="auto"/>
        </w:rPr>
        <w:tab/>
      </w:r>
      <w:r>
        <w:rPr>
          <w:rFonts w:ascii="Times New Roman" w:cs="Times New Roman" w:eastAsia="Times New Roman" w:hAnsi="Times New Roman"/>
          <w:sz w:val="15"/>
          <w:szCs w:val="15"/>
          <w:u w:val="single" w:color="auto"/>
          <w:color w:val="0000EE"/>
        </w:rPr>
        <w:t>Powers of Attorney (contained on the signature page hereto).</w:t>
      </w:r>
    </w:p>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149465" cy="1200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spacing w:after="0" w:line="174" w:lineRule="exact"/>
        <w:rPr>
          <w:rFonts w:ascii="Times New Roman" w:cs="Times New Roman" w:eastAsia="Times New Roman" w:hAnsi="Times New Roman"/>
          <w:sz w:val="16"/>
          <w:szCs w:val="16"/>
          <w:u w:val="single" w:color="auto"/>
          <w:color w:val="0000EE"/>
        </w:rPr>
      </w:pPr>
    </w:p>
    <w:p>
      <w:pPr>
        <w:ind w:left="280"/>
        <w:spacing w:after="0"/>
        <w:tabs>
          <w:tab w:leader="none" w:pos="700" w:val="left"/>
        </w:tabs>
        <w:rPr>
          <w:sz w:val="20"/>
          <w:szCs w:val="20"/>
          <w:color w:val="auto"/>
        </w:rPr>
      </w:pPr>
      <w:r>
        <w:rPr>
          <w:rFonts w:ascii="Times New Roman" w:cs="Times New Roman" w:eastAsia="Times New Roman" w:hAnsi="Times New Roman"/>
          <w:sz w:val="16"/>
          <w:szCs w:val="16"/>
          <w:u w:val="single" w:color="auto"/>
          <w:color w:val="0000EE"/>
        </w:rPr>
        <w:t>7.1*</w:t>
      </w:r>
      <w:r>
        <w:rPr>
          <w:sz w:val="20"/>
          <w:szCs w:val="20"/>
          <w:color w:val="auto"/>
        </w:rPr>
        <w:tab/>
      </w:r>
      <w:r>
        <w:rPr>
          <w:rFonts w:ascii="Times New Roman" w:cs="Times New Roman" w:eastAsia="Times New Roman" w:hAnsi="Times New Roman"/>
          <w:sz w:val="15"/>
          <w:szCs w:val="15"/>
          <w:u w:val="single" w:color="auto"/>
          <w:color w:val="0000EE"/>
        </w:rPr>
        <w:t>Form of Debt Indenture.</w:t>
      </w:r>
    </w:p>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149465" cy="1200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spacing w:after="0" w:line="174" w:lineRule="exact"/>
        <w:rPr>
          <w:rFonts w:ascii="Times New Roman" w:cs="Times New Roman" w:eastAsia="Times New Roman" w:hAnsi="Times New Roman"/>
          <w:sz w:val="16"/>
          <w:szCs w:val="16"/>
          <w:u w:val="single" w:color="auto"/>
          <w:color w:val="0000EE"/>
        </w:rPr>
      </w:pPr>
    </w:p>
    <w:p>
      <w:pPr>
        <w:ind w:left="240"/>
        <w:spacing w:after="0"/>
        <w:tabs>
          <w:tab w:leader="none" w:pos="700" w:val="left"/>
        </w:tabs>
        <w:rPr>
          <w:sz w:val="20"/>
          <w:szCs w:val="20"/>
          <w:color w:val="auto"/>
        </w:rPr>
      </w:pPr>
      <w:r>
        <w:rPr>
          <w:rFonts w:ascii="Times New Roman" w:cs="Times New Roman" w:eastAsia="Times New Roman" w:hAnsi="Times New Roman"/>
          <w:sz w:val="16"/>
          <w:szCs w:val="16"/>
          <w:u w:val="single" w:color="auto"/>
          <w:color w:val="0000EE"/>
        </w:rPr>
        <w:t>107*</w:t>
        <w:tab/>
        <w:t>Filing Fee Table.</w:t>
      </w:r>
    </w:p>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149465" cy="1200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spacing w:after="0" w:line="144" w:lineRule="exact"/>
        <w:rPr>
          <w:rFonts w:ascii="Times New Roman" w:cs="Times New Roman" w:eastAsia="Times New Roman" w:hAnsi="Times New Roman"/>
          <w:sz w:val="16"/>
          <w:szCs w:val="16"/>
          <w:u w:val="single" w:color="auto"/>
          <w:color w:val="0000EE"/>
        </w:rPr>
      </w:pPr>
    </w:p>
    <w:p>
      <w:pPr>
        <w:spacing w:after="0"/>
        <w:rPr>
          <w:sz w:val="20"/>
          <w:szCs w:val="20"/>
          <w:color w:val="auto"/>
        </w:rPr>
      </w:pPr>
      <w:r>
        <w:rPr>
          <w:rFonts w:ascii="Times New Roman" w:cs="Times New Roman" w:eastAsia="Times New Roman" w:hAnsi="Times New Roman"/>
          <w:sz w:val="19"/>
          <w:szCs w:val="19"/>
          <w:color w:val="auto"/>
        </w:rPr>
        <w:t>* Filed herewith</w:t>
      </w:r>
    </w:p>
    <w:p>
      <w:pPr>
        <w:spacing w:after="0" w:line="20" w:lineRule="exact"/>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UNDERTAKING AND CONSENT TO SERVICE OF PROCESS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 Undertaking</w:t>
      </w:r>
    </w:p>
    <w:p>
      <w:pPr>
        <w:spacing w:after="0" w:line="1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The Registrant undertakes to make available, in person or by telephone, representatives to respond to inquiries made by the Commission staff, and to furnish promptly, when requested to do so by the Commission staff, information relating to the securities registered pursuant to Form F-10 or to transactions in said securities.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2. Consent to Service of Process</w:t>
      </w:r>
    </w:p>
    <w:p>
      <w:pPr>
        <w:spacing w:after="0" w:line="16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A written Appointment of Agent for Service of Process and Undertaking on Form F-X for the Registrant and its agent for service of process is being filed concurrently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6978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56" w:name="page57"/>
    <w:bookmarkEnd w:id="56"/>
    <w:p>
      <w:pPr>
        <w:jc w:val="both"/>
        <w:spacing w:after="0" w:line="263" w:lineRule="auto"/>
        <w:rPr>
          <w:sz w:val="20"/>
          <w:szCs w:val="20"/>
          <w:color w:val="auto"/>
        </w:rPr>
      </w:pPr>
      <w:r>
        <w:rPr>
          <w:rFonts w:ascii="Times New Roman" w:cs="Times New Roman" w:eastAsia="Times New Roman" w:hAnsi="Times New Roman"/>
          <w:sz w:val="19"/>
          <w:szCs w:val="19"/>
          <w:color w:val="auto"/>
        </w:rPr>
        <w:t>Any change to the name or address of the agent for service of process of the Registrant shall be communicated promptly to the Commission by amendment to Form F-X referencing the file number of this Registration Statement on Form F-10.</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1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Pursuant to the requirements of the Securities Act of 1933, as amended, the registrant certifies that it has reasonable grounds to believe that it meets all of the requirements for filing on Form F-10 and has duly caused this Registration Statement to be signed on its behalf by the undersigned, thereunto duly authorized, in the City of Toronto, Country of Canada on December 19, 2025.</w:t>
      </w:r>
    </w:p>
    <w:p>
      <w:pPr>
        <w:spacing w:after="0" w:line="1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CYBIN INC.</w:t>
      </w:r>
    </w:p>
    <w:p>
      <w:pPr>
        <w:spacing w:after="0" w:line="19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i w:val="1"/>
          <w:iCs w:val="1"/>
          <w:color w:val="auto"/>
        </w:rPr>
        <w:t>/s/ 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15240</wp:posOffset>
            </wp:positionV>
            <wp:extent cx="320675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3206750" cy="7620"/>
                    </a:xfrm>
                    <a:prstGeom prst="rect">
                      <a:avLst/>
                    </a:prstGeom>
                    <a:noFill/>
                  </pic:spPr>
                </pic:pic>
              </a:graphicData>
            </a:graphic>
          </wp:anchor>
        </w:drawing>
      </w:r>
    </w:p>
    <w:p>
      <w:pPr>
        <w:spacing w:after="0" w:line="4"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Greg Cavers</w:t>
      </w:r>
    </w:p>
    <w:p>
      <w:pPr>
        <w:spacing w:after="0" w:line="1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6978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57" w:name="page58"/>
    <w:bookmarkEnd w:id="57"/>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153"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9"/>
          <w:szCs w:val="19"/>
          <w:color w:val="auto"/>
        </w:rPr>
        <w:t>KNOW ALL PERSONS BY THESE PRESENTS, that each person whose signature appears below constitutes and appoints Eric So and Greg Cavers or any of them, his or her true and lawful attorneys-in-fact and agents, each of whom may act alone, with full powers of substitution and resubstitution, for him or her and in his or her name, place and stead, in any and all capacities, to sign any or all amendments to this Registration Statement, including post-effective amendments, registration statements filed pursuant to Rule 429 under the Securities Acts of 1933, as amended, and any and all additional registration statements (including amendments and post-effective amendments thereto) in connection with any increase in the amount of securities registered with the Securities and Exchange Commission, and to file the same, with all exhibits thereto, and other documents and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and hereby ratifies and confirms all his or her said attorneys-in-fact and agents or any of them or his or her substitute or substitutes may lawfully do or cause to be done by virtue hereof.</w:t>
      </w:r>
    </w:p>
    <w:p>
      <w:pPr>
        <w:spacing w:after="0" w:line="137"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9"/>
          <w:szCs w:val="19"/>
          <w:color w:val="auto"/>
        </w:rPr>
        <w:t>This Power of Attorney may be executed in multiple counterparts, each of which shall be deemed an original, but which taken together shall constitute one instrument.</w:t>
      </w:r>
    </w:p>
    <w:p>
      <w:pPr>
        <w:spacing w:after="0" w:line="102"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9"/>
          <w:szCs w:val="19"/>
          <w:color w:val="auto"/>
        </w:rPr>
        <w:t>Pursuant to the requirements of the Securities Act of 1933, as amended, this Registration Statement has been signed below by the following persons in the capacities indicated and on the dates indicated.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47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2500" w:type="dxa"/>
            <w:vAlign w:val="bottom"/>
          </w:tcPr>
          <w:p>
            <w:pPr>
              <w:ind w:left="10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361"/>
        </w:trPr>
        <w:tc>
          <w:tcPr>
            <w:tcW w:w="40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/s/ Eric So</w:t>
            </w:r>
          </w:p>
        </w:tc>
        <w:tc>
          <w:tcPr>
            <w:tcW w:w="4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Interim Chief Executive Officer, Director, Executive Chairman</w:t>
            </w:r>
          </w:p>
        </w:tc>
        <w:tc>
          <w:tcPr>
            <w:tcW w:w="25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December 19, 2025</w:t>
            </w:r>
          </w:p>
        </w:tc>
        <w:tc>
          <w:tcPr>
            <w:tcW w:w="0" w:type="dxa"/>
            <w:vAlign w:val="bottom"/>
          </w:tcPr>
          <w:p>
            <w:pPr>
              <w:spacing w:after="0"/>
              <w:rPr>
                <w:sz w:val="1"/>
                <w:szCs w:val="1"/>
                <w:color w:val="auto"/>
              </w:rPr>
            </w:pPr>
          </w:p>
        </w:tc>
      </w:tr>
      <w:tr>
        <w:trPr>
          <w:trHeight w:val="99"/>
        </w:trPr>
        <w:tc>
          <w:tcPr>
            <w:tcW w:w="4000" w:type="dxa"/>
            <w:vAlign w:val="bottom"/>
            <w:tcBorders>
              <w:bottom w:val="single" w:sz="8" w:color="808080"/>
            </w:tcBorders>
          </w:tcPr>
          <w:p>
            <w:pPr>
              <w:spacing w:after="0"/>
              <w:rPr>
                <w:sz w:val="8"/>
                <w:szCs w:val="8"/>
                <w:color w:val="auto"/>
              </w:rPr>
            </w:pPr>
          </w:p>
        </w:tc>
        <w:tc>
          <w:tcPr>
            <w:tcW w:w="47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and President</w:t>
            </w:r>
          </w:p>
        </w:tc>
        <w:tc>
          <w:tcPr>
            <w:tcW w:w="2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Eric So</w:t>
            </w:r>
          </w:p>
        </w:tc>
        <w:tc>
          <w:tcPr>
            <w:tcW w:w="478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000" w:type="dxa"/>
            <w:vAlign w:val="bottom"/>
            <w:vMerge w:val="continue"/>
          </w:tcPr>
          <w:p>
            <w:pPr>
              <w:spacing w:after="0"/>
              <w:rPr>
                <w:sz w:val="15"/>
                <w:szCs w:val="15"/>
                <w:color w:val="auto"/>
              </w:rPr>
            </w:pPr>
          </w:p>
        </w:tc>
        <w:tc>
          <w:tcPr>
            <w:tcW w:w="47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40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6"/>
              </w:rPr>
              <w:t>/s/ Greg Cavers</w:t>
            </w:r>
          </w:p>
        </w:tc>
        <w:tc>
          <w:tcPr>
            <w:tcW w:w="4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Chief Financial Officer</w:t>
            </w:r>
          </w:p>
        </w:tc>
        <w:tc>
          <w:tcPr>
            <w:tcW w:w="25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December 19, 2025</w:t>
            </w:r>
          </w:p>
        </w:tc>
        <w:tc>
          <w:tcPr>
            <w:tcW w:w="0" w:type="dxa"/>
            <w:vAlign w:val="bottom"/>
          </w:tcPr>
          <w:p>
            <w:pPr>
              <w:spacing w:after="0"/>
              <w:rPr>
                <w:sz w:val="1"/>
                <w:szCs w:val="1"/>
                <w:color w:val="auto"/>
              </w:rPr>
            </w:pPr>
          </w:p>
        </w:tc>
      </w:tr>
      <w:tr>
        <w:trPr>
          <w:trHeight w:val="82"/>
        </w:trPr>
        <w:tc>
          <w:tcPr>
            <w:tcW w:w="4000" w:type="dxa"/>
            <w:vAlign w:val="bottom"/>
            <w:tcBorders>
              <w:bottom w:val="single" w:sz="8" w:color="808080"/>
            </w:tcBorders>
          </w:tcPr>
          <w:p>
            <w:pPr>
              <w:spacing w:after="0"/>
              <w:rPr>
                <w:sz w:val="7"/>
                <w:szCs w:val="7"/>
                <w:color w:val="auto"/>
              </w:rPr>
            </w:pPr>
          </w:p>
        </w:tc>
        <w:tc>
          <w:tcPr>
            <w:tcW w:w="4780" w:type="dxa"/>
            <w:vAlign w:val="bottom"/>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4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Greg Cavers</w:t>
            </w:r>
          </w:p>
        </w:tc>
        <w:tc>
          <w:tcPr>
            <w:tcW w:w="47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7"/>
        </w:trPr>
        <w:tc>
          <w:tcPr>
            <w:tcW w:w="40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/s/ Eric Hoskins</w:t>
            </w:r>
          </w:p>
        </w:tc>
        <w:tc>
          <w:tcPr>
            <w:tcW w:w="47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Director</w:t>
            </w:r>
          </w:p>
        </w:tc>
        <w:tc>
          <w:tcPr>
            <w:tcW w:w="25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December 19, 2025</w:t>
            </w:r>
          </w:p>
        </w:tc>
        <w:tc>
          <w:tcPr>
            <w:tcW w:w="0" w:type="dxa"/>
            <w:vAlign w:val="bottom"/>
          </w:tcPr>
          <w:p>
            <w:pPr>
              <w:spacing w:after="0"/>
              <w:rPr>
                <w:sz w:val="1"/>
                <w:szCs w:val="1"/>
                <w:color w:val="auto"/>
              </w:rPr>
            </w:pPr>
          </w:p>
        </w:tc>
      </w:tr>
      <w:tr>
        <w:trPr>
          <w:trHeight w:val="82"/>
        </w:trPr>
        <w:tc>
          <w:tcPr>
            <w:tcW w:w="4000" w:type="dxa"/>
            <w:vAlign w:val="bottom"/>
            <w:tcBorders>
              <w:bottom w:val="single" w:sz="8" w:color="808080"/>
            </w:tcBorders>
          </w:tcPr>
          <w:p>
            <w:pPr>
              <w:spacing w:after="0"/>
              <w:rPr>
                <w:sz w:val="7"/>
                <w:szCs w:val="7"/>
                <w:color w:val="auto"/>
              </w:rPr>
            </w:pPr>
          </w:p>
        </w:tc>
        <w:tc>
          <w:tcPr>
            <w:tcW w:w="478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Eric Hoskins</w:t>
            </w:r>
          </w:p>
        </w:tc>
        <w:tc>
          <w:tcPr>
            <w:tcW w:w="478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000" w:type="dxa"/>
            <w:vAlign w:val="bottom"/>
            <w:vMerge w:val="continue"/>
          </w:tcPr>
          <w:p>
            <w:pPr>
              <w:spacing w:after="0"/>
              <w:rPr>
                <w:sz w:val="15"/>
                <w:szCs w:val="15"/>
                <w:color w:val="auto"/>
              </w:rPr>
            </w:pPr>
          </w:p>
        </w:tc>
        <w:tc>
          <w:tcPr>
            <w:tcW w:w="47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40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/s/ Grant Froese</w:t>
            </w:r>
          </w:p>
        </w:tc>
        <w:tc>
          <w:tcPr>
            <w:tcW w:w="47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Director</w:t>
            </w:r>
          </w:p>
        </w:tc>
        <w:tc>
          <w:tcPr>
            <w:tcW w:w="25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December 19, 2025</w:t>
            </w:r>
          </w:p>
        </w:tc>
        <w:tc>
          <w:tcPr>
            <w:tcW w:w="0" w:type="dxa"/>
            <w:vAlign w:val="bottom"/>
          </w:tcPr>
          <w:p>
            <w:pPr>
              <w:spacing w:after="0"/>
              <w:rPr>
                <w:sz w:val="1"/>
                <w:szCs w:val="1"/>
                <w:color w:val="auto"/>
              </w:rPr>
            </w:pPr>
          </w:p>
        </w:tc>
      </w:tr>
      <w:tr>
        <w:trPr>
          <w:trHeight w:val="82"/>
        </w:trPr>
        <w:tc>
          <w:tcPr>
            <w:tcW w:w="4000" w:type="dxa"/>
            <w:vAlign w:val="bottom"/>
            <w:tcBorders>
              <w:bottom w:val="single" w:sz="8" w:color="808080"/>
            </w:tcBorders>
          </w:tcPr>
          <w:p>
            <w:pPr>
              <w:spacing w:after="0"/>
              <w:rPr>
                <w:sz w:val="7"/>
                <w:szCs w:val="7"/>
                <w:color w:val="auto"/>
              </w:rPr>
            </w:pPr>
          </w:p>
        </w:tc>
        <w:tc>
          <w:tcPr>
            <w:tcW w:w="478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Grant Froese</w:t>
            </w:r>
          </w:p>
        </w:tc>
        <w:tc>
          <w:tcPr>
            <w:tcW w:w="478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000" w:type="dxa"/>
            <w:vAlign w:val="bottom"/>
            <w:vMerge w:val="continue"/>
          </w:tcPr>
          <w:p>
            <w:pPr>
              <w:spacing w:after="0"/>
              <w:rPr>
                <w:sz w:val="15"/>
                <w:szCs w:val="15"/>
                <w:color w:val="auto"/>
              </w:rPr>
            </w:pPr>
          </w:p>
        </w:tc>
        <w:tc>
          <w:tcPr>
            <w:tcW w:w="47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40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/s/ Mark Lawson</w:t>
            </w:r>
          </w:p>
        </w:tc>
        <w:tc>
          <w:tcPr>
            <w:tcW w:w="47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Director</w:t>
            </w:r>
          </w:p>
        </w:tc>
        <w:tc>
          <w:tcPr>
            <w:tcW w:w="25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December 19, 2025</w:t>
            </w:r>
          </w:p>
        </w:tc>
        <w:tc>
          <w:tcPr>
            <w:tcW w:w="0" w:type="dxa"/>
            <w:vAlign w:val="bottom"/>
          </w:tcPr>
          <w:p>
            <w:pPr>
              <w:spacing w:after="0"/>
              <w:rPr>
                <w:sz w:val="1"/>
                <w:szCs w:val="1"/>
                <w:color w:val="auto"/>
              </w:rPr>
            </w:pPr>
          </w:p>
        </w:tc>
      </w:tr>
      <w:tr>
        <w:trPr>
          <w:trHeight w:val="82"/>
        </w:trPr>
        <w:tc>
          <w:tcPr>
            <w:tcW w:w="4000" w:type="dxa"/>
            <w:vAlign w:val="bottom"/>
            <w:tcBorders>
              <w:bottom w:val="single" w:sz="8" w:color="808080"/>
            </w:tcBorders>
          </w:tcPr>
          <w:p>
            <w:pPr>
              <w:spacing w:after="0"/>
              <w:rPr>
                <w:sz w:val="7"/>
                <w:szCs w:val="7"/>
                <w:color w:val="auto"/>
              </w:rPr>
            </w:pPr>
          </w:p>
        </w:tc>
        <w:tc>
          <w:tcPr>
            <w:tcW w:w="478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Mark Lawson</w:t>
            </w:r>
          </w:p>
        </w:tc>
        <w:tc>
          <w:tcPr>
            <w:tcW w:w="478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000" w:type="dxa"/>
            <w:vAlign w:val="bottom"/>
            <w:vMerge w:val="continue"/>
          </w:tcPr>
          <w:p>
            <w:pPr>
              <w:spacing w:after="0"/>
              <w:rPr>
                <w:sz w:val="15"/>
                <w:szCs w:val="15"/>
                <w:color w:val="auto"/>
              </w:rPr>
            </w:pPr>
          </w:p>
        </w:tc>
        <w:tc>
          <w:tcPr>
            <w:tcW w:w="47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40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/s/ Theresa Firestone</w:t>
            </w:r>
          </w:p>
        </w:tc>
        <w:tc>
          <w:tcPr>
            <w:tcW w:w="47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Director</w:t>
            </w:r>
          </w:p>
        </w:tc>
        <w:tc>
          <w:tcPr>
            <w:tcW w:w="25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December 19, 2025</w:t>
            </w:r>
          </w:p>
        </w:tc>
        <w:tc>
          <w:tcPr>
            <w:tcW w:w="0" w:type="dxa"/>
            <w:vAlign w:val="bottom"/>
          </w:tcPr>
          <w:p>
            <w:pPr>
              <w:spacing w:after="0"/>
              <w:rPr>
                <w:sz w:val="1"/>
                <w:szCs w:val="1"/>
                <w:color w:val="auto"/>
              </w:rPr>
            </w:pPr>
          </w:p>
        </w:tc>
      </w:tr>
      <w:tr>
        <w:trPr>
          <w:trHeight w:val="82"/>
        </w:trPr>
        <w:tc>
          <w:tcPr>
            <w:tcW w:w="4000" w:type="dxa"/>
            <w:vAlign w:val="bottom"/>
            <w:tcBorders>
              <w:bottom w:val="single" w:sz="8" w:color="808080"/>
            </w:tcBorders>
          </w:tcPr>
          <w:p>
            <w:pPr>
              <w:spacing w:after="0"/>
              <w:rPr>
                <w:sz w:val="7"/>
                <w:szCs w:val="7"/>
                <w:color w:val="auto"/>
              </w:rPr>
            </w:pPr>
          </w:p>
        </w:tc>
        <w:tc>
          <w:tcPr>
            <w:tcW w:w="478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Theresa Firestone</w:t>
            </w:r>
          </w:p>
        </w:tc>
        <w:tc>
          <w:tcPr>
            <w:tcW w:w="478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000" w:type="dxa"/>
            <w:vAlign w:val="bottom"/>
            <w:vMerge w:val="continue"/>
          </w:tcPr>
          <w:p>
            <w:pPr>
              <w:spacing w:after="0"/>
              <w:rPr>
                <w:sz w:val="15"/>
                <w:szCs w:val="15"/>
                <w:color w:val="auto"/>
              </w:rPr>
            </w:pPr>
          </w:p>
        </w:tc>
        <w:tc>
          <w:tcPr>
            <w:tcW w:w="47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40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/s/ Paul Glavine</w:t>
            </w:r>
          </w:p>
        </w:tc>
        <w:tc>
          <w:tcPr>
            <w:tcW w:w="4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Director</w:t>
            </w:r>
          </w:p>
        </w:tc>
        <w:tc>
          <w:tcPr>
            <w:tcW w:w="25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December 19, 2025</w:t>
            </w:r>
          </w:p>
        </w:tc>
        <w:tc>
          <w:tcPr>
            <w:tcW w:w="0" w:type="dxa"/>
            <w:vAlign w:val="bottom"/>
          </w:tcPr>
          <w:p>
            <w:pPr>
              <w:spacing w:after="0"/>
              <w:rPr>
                <w:sz w:val="1"/>
                <w:szCs w:val="1"/>
                <w:color w:val="auto"/>
              </w:rPr>
            </w:pPr>
          </w:p>
        </w:tc>
      </w:tr>
      <w:tr>
        <w:trPr>
          <w:trHeight w:val="82"/>
        </w:trPr>
        <w:tc>
          <w:tcPr>
            <w:tcW w:w="4000" w:type="dxa"/>
            <w:vAlign w:val="bottom"/>
            <w:tcBorders>
              <w:bottom w:val="single" w:sz="8" w:color="808080"/>
            </w:tcBorders>
          </w:tcPr>
          <w:p>
            <w:pPr>
              <w:spacing w:after="0"/>
              <w:rPr>
                <w:sz w:val="7"/>
                <w:szCs w:val="7"/>
                <w:color w:val="auto"/>
              </w:rPr>
            </w:pPr>
          </w:p>
        </w:tc>
        <w:tc>
          <w:tcPr>
            <w:tcW w:w="4780" w:type="dxa"/>
            <w:vAlign w:val="bottom"/>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4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Paul Glavine</w:t>
            </w:r>
          </w:p>
        </w:tc>
        <w:tc>
          <w:tcPr>
            <w:tcW w:w="47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000" w:type="dxa"/>
            <w:vAlign w:val="bottom"/>
            <w:shd w:val="clear" w:color="auto" w:fill="000000"/>
          </w:tcPr>
          <w:p>
            <w:pPr>
              <w:spacing w:after="0"/>
              <w:rPr>
                <w:sz w:val="5"/>
                <w:szCs w:val="5"/>
                <w:color w:val="auto"/>
              </w:rPr>
            </w:pPr>
          </w:p>
        </w:tc>
        <w:tc>
          <w:tcPr>
            <w:tcW w:w="4780" w:type="dxa"/>
            <w:vAlign w:val="bottom"/>
            <w:shd w:val="clear" w:color="auto" w:fill="000000"/>
          </w:tcPr>
          <w:p>
            <w:pPr>
              <w:spacing w:after="0"/>
              <w:rPr>
                <w:sz w:val="5"/>
                <w:szCs w:val="5"/>
                <w:color w:val="auto"/>
              </w:rPr>
            </w:pPr>
          </w:p>
        </w:tc>
        <w:tc>
          <w:tcPr>
            <w:tcW w:w="25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111" w:right="29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9"/>
          <w:szCs w:val="19"/>
          <w:b w:val="1"/>
          <w:bCs w:val="1"/>
          <w:color w:val="auto"/>
        </w:rPr>
        <w:t>AUTHORIZED REPRESENTATIVE</w:t>
      </w:r>
    </w:p>
    <w:p>
      <w:pPr>
        <w:spacing w:after="0" w:line="15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Pursuant to the requirements of Section 6(a) of the Securities Act of 1933, as amended, the undersigned has signed this Registration Statement, in the capacity of the duly authorized representative of the Registrant in the United States, on December 19, 2025.</w:t>
      </w:r>
    </w:p>
    <w:p>
      <w:pPr>
        <w:spacing w:after="0" w:line="11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9"/>
          <w:szCs w:val="19"/>
          <w:i w:val="1"/>
          <w:iCs w:val="1"/>
          <w:color w:val="auto"/>
        </w:rPr>
        <w:t>/s/ Aaron Bartlone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-8255</wp:posOffset>
            </wp:positionV>
            <wp:extent cx="212153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2121535" cy="762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9"/>
          <w:szCs w:val="19"/>
          <w:color w:val="auto"/>
        </w:rPr>
        <w:t>Name: Aaron Bartlone</w:t>
      </w:r>
    </w:p>
    <w:p>
      <w:pPr>
        <w:ind w:left="5620"/>
        <w:spacing w:after="0"/>
        <w:rPr>
          <w:sz w:val="20"/>
          <w:szCs w:val="20"/>
          <w:color w:val="auto"/>
        </w:rPr>
      </w:pPr>
      <w:r>
        <w:rPr>
          <w:rFonts w:ascii="Times New Roman" w:cs="Times New Roman" w:eastAsia="Times New Roman" w:hAnsi="Times New Roman"/>
          <w:sz w:val="19"/>
          <w:szCs w:val="19"/>
          <w:color w:val="auto"/>
        </w:rPr>
        <w:t>Title: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6978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16978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69785" cy="2540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208915</wp:posOffset>
            </wp:positionV>
            <wp:extent cx="1201420" cy="3530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1201420" cy="353060"/>
                    </a:xfrm>
                    <a:prstGeom prst="rect">
                      <a:avLst/>
                    </a:prstGeom>
                    <a:noFill/>
                  </pic:spPr>
                </pic:pic>
              </a:graphicData>
            </a:graphic>
          </wp:anchor>
        </w:drawing>
        <w:t>We consent to the incorporation by reference into the Registration Statement on Form F-10 (the "Form F-10") of Cybin Inc. (the "Company") being filed with the United States Securities and Exchange Commission, and any amendments thereto, of our report, dated June 30, 2025, with respect to the consolidated statements of financial position of the Company as of March 31, 2025 and 2024, and the consolidated statements of loss and comprehensive loss, changes in shareholders' equity and cash flows for the years then ended, and notes to the consolidated financial statements, including material accounting policy information.</w:t>
      </w:r>
    </w:p>
    <w:p>
      <w:pPr>
        <w:spacing w:after="0" w:line="12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We also consent to the reference to us under the caption "Auditors, Transfer Agent and Registrar" in the short-form base shelf prospectus contained in the Form F-10.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i w:val="1"/>
                <w:iCs w:val="1"/>
                <w:color w:val="auto"/>
                <w:w w:val="97"/>
              </w:rPr>
              <w:t>/s/ Zeifmans LLP</w:t>
            </w:r>
          </w:p>
        </w:tc>
      </w:tr>
      <w:tr>
        <w:trPr>
          <w:trHeight w:val="189"/>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Toronto, Canada</w:t>
            </w: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Chartered Professional Accountants</w:t>
            </w:r>
          </w:p>
        </w:tc>
      </w:tr>
      <w:tr>
        <w:trPr>
          <w:trHeight w:val="206"/>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December 19, 2025</w:t>
            </w: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Licensed Public Accountants</w:t>
            </w:r>
          </w:p>
        </w:tc>
      </w:tr>
      <w:tr>
        <w:trPr>
          <w:trHeight w:val="212"/>
        </w:trPr>
        <w:tc>
          <w:tcPr>
            <w:tcW w:w="4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189"/>
        </w:trPr>
        <w:tc>
          <w:tcPr>
            <w:tcW w:w="4520" w:type="dxa"/>
            <w:vAlign w:val="bottom"/>
            <w:tcBorders>
              <w:right w:val="single" w:sz="8" w:color="BEBEBE"/>
            </w:tcBorders>
          </w:tcPr>
          <w:p>
            <w:pPr>
              <w:spacing w:after="0"/>
              <w:rPr>
                <w:sz w:val="20"/>
                <w:szCs w:val="20"/>
                <w:color w:val="auto"/>
              </w:rPr>
            </w:pPr>
            <w:r>
              <w:rPr>
                <w:rFonts w:ascii="Times New Roman" w:cs="Times New Roman" w:eastAsia="Times New Roman" w:hAnsi="Times New Roman"/>
                <w:sz w:val="16"/>
                <w:szCs w:val="16"/>
                <w:color w:val="A6A6A6"/>
              </w:rPr>
              <w:t>201 Bridgeland Avenue | Toronto</w:t>
            </w:r>
          </w:p>
        </w:tc>
        <w:tc>
          <w:tcPr>
            <w:tcW w:w="560" w:type="dxa"/>
            <w:vAlign w:val="bottom"/>
          </w:tcPr>
          <w:p>
            <w:pPr>
              <w:spacing w:after="0"/>
              <w:rPr>
                <w:sz w:val="16"/>
                <w:szCs w:val="16"/>
                <w:color w:val="auto"/>
              </w:rPr>
            </w:pPr>
          </w:p>
        </w:tc>
        <w:tc>
          <w:tcPr>
            <w:tcW w:w="2820" w:type="dxa"/>
            <w:vAlign w:val="bottom"/>
            <w:tcBorders>
              <w:right w:val="single" w:sz="8" w:color="BEBEBE"/>
            </w:tcBorders>
            <w:gridSpan w:val="2"/>
          </w:tcPr>
          <w:p>
            <w:pPr>
              <w:spacing w:after="0"/>
              <w:rPr>
                <w:sz w:val="20"/>
                <w:szCs w:val="20"/>
                <w:color w:val="auto"/>
              </w:rPr>
            </w:pPr>
            <w:r>
              <w:rPr>
                <w:rFonts w:ascii="Times New Roman" w:cs="Times New Roman" w:eastAsia="Times New Roman" w:hAnsi="Times New Roman"/>
                <w:sz w:val="16"/>
                <w:szCs w:val="16"/>
                <w:color w:val="0000FF"/>
              </w:rPr>
              <w:t>zeifmans.ca</w:t>
            </w:r>
          </w:p>
        </w:tc>
        <w:tc>
          <w:tcPr>
            <w:tcW w:w="3380" w:type="dxa"/>
            <w:vAlign w:val="bottom"/>
          </w:tcPr>
          <w:p>
            <w:pPr>
              <w:spacing w:after="0"/>
              <w:rPr>
                <w:sz w:val="16"/>
                <w:szCs w:val="16"/>
                <w:color w:val="auto"/>
              </w:rPr>
            </w:pPr>
          </w:p>
        </w:tc>
      </w:tr>
      <w:tr>
        <w:trPr>
          <w:trHeight w:val="20"/>
        </w:trPr>
        <w:tc>
          <w:tcPr>
            <w:tcW w:w="4520" w:type="dxa"/>
            <w:vAlign w:val="bottom"/>
            <w:tcBorders>
              <w:right w:val="single" w:sz="8" w:color="BEBEB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80" w:type="dxa"/>
            <w:vAlign w:val="bottom"/>
            <w:tcBorders>
              <w:right w:val="single" w:sz="8" w:color="BEBEBE"/>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40"/>
        </w:trPr>
        <w:tc>
          <w:tcPr>
            <w:tcW w:w="4520" w:type="dxa"/>
            <w:vAlign w:val="bottom"/>
            <w:tcBorders>
              <w:right w:val="single" w:sz="8" w:color="BEBEBE"/>
            </w:tcBorders>
          </w:tcPr>
          <w:p>
            <w:pPr>
              <w:spacing w:after="0"/>
              <w:rPr>
                <w:sz w:val="20"/>
                <w:szCs w:val="20"/>
                <w:color w:val="auto"/>
              </w:rPr>
            </w:pPr>
            <w:r>
              <w:rPr>
                <w:rFonts w:ascii="Times New Roman" w:cs="Times New Roman" w:eastAsia="Times New Roman" w:hAnsi="Times New Roman"/>
                <w:sz w:val="16"/>
                <w:szCs w:val="16"/>
                <w:color w:val="A6A6A6"/>
              </w:rPr>
              <w:t>Ontario | M6A 1Y7 | Canada</w:t>
            </w:r>
          </w:p>
        </w:tc>
        <w:tc>
          <w:tcPr>
            <w:tcW w:w="560" w:type="dxa"/>
            <w:vAlign w:val="bottom"/>
          </w:tcPr>
          <w:p>
            <w:pPr>
              <w:spacing w:after="0"/>
              <w:rPr>
                <w:sz w:val="20"/>
                <w:szCs w:val="20"/>
                <w:color w:val="auto"/>
              </w:rPr>
            </w:pPr>
          </w:p>
        </w:tc>
        <w:tc>
          <w:tcPr>
            <w:tcW w:w="2820" w:type="dxa"/>
            <w:vAlign w:val="bottom"/>
            <w:tcBorders>
              <w:right w:val="single" w:sz="8" w:color="BEBEBE"/>
            </w:tcBorders>
            <w:gridSpan w:val="2"/>
          </w:tcPr>
          <w:p>
            <w:pPr>
              <w:spacing w:after="0"/>
              <w:rPr>
                <w:sz w:val="20"/>
                <w:szCs w:val="20"/>
                <w:color w:val="auto"/>
              </w:rPr>
            </w:pPr>
            <w:r>
              <w:rPr>
                <w:rFonts w:ascii="Times New Roman" w:cs="Times New Roman" w:eastAsia="Times New Roman" w:hAnsi="Times New Roman"/>
                <w:sz w:val="16"/>
                <w:szCs w:val="16"/>
                <w:color w:val="A6A6A6"/>
              </w:rPr>
              <w:t>T: 416.256.4000</w:t>
            </w:r>
          </w:p>
        </w:tc>
        <w:tc>
          <w:tcPr>
            <w:tcW w:w="3380" w:type="dxa"/>
            <w:vAlign w:val="bottom"/>
          </w:tcPr>
          <w:p>
            <w:pPr>
              <w:spacing w:after="0"/>
              <w:rPr>
                <w:sz w:val="20"/>
                <w:szCs w:val="20"/>
                <w:color w:val="auto"/>
              </w:rPr>
            </w:pPr>
          </w:p>
        </w:tc>
      </w:tr>
      <w:tr>
        <w:trPr>
          <w:trHeight w:val="91"/>
        </w:trPr>
        <w:tc>
          <w:tcPr>
            <w:tcW w:w="4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3380" w:type="dxa"/>
            <w:vAlign w:val="bottom"/>
          </w:tcPr>
          <w:p>
            <w:pPr>
              <w:spacing w:after="0"/>
              <w:rPr>
                <w:sz w:val="7"/>
                <w:szCs w:val="7"/>
                <w:color w:val="auto"/>
              </w:rPr>
            </w:pPr>
          </w:p>
        </w:tc>
      </w:tr>
      <w:tr>
        <w:trPr>
          <w:trHeight w:val="67"/>
        </w:trPr>
        <w:tc>
          <w:tcPr>
            <w:tcW w:w="4520" w:type="dxa"/>
            <w:vAlign w:val="bottom"/>
            <w:tcBorders>
              <w:right w:val="single" w:sz="8" w:color="auto"/>
            </w:tcBorders>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2080" w:type="dxa"/>
            <w:vAlign w:val="bottom"/>
            <w:tcBorders>
              <w:right w:val="single" w:sz="8" w:color="auto"/>
            </w:tcBorders>
            <w:shd w:val="clear" w:color="auto" w:fill="000000"/>
          </w:tcPr>
          <w:p>
            <w:pPr>
              <w:spacing w:after="0"/>
              <w:rPr>
                <w:sz w:val="5"/>
                <w:szCs w:val="5"/>
                <w:color w:val="auto"/>
              </w:rPr>
            </w:pPr>
          </w:p>
        </w:tc>
        <w:tc>
          <w:tcPr>
            <w:tcW w:w="338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6537325</wp:posOffset>
            </wp:positionH>
            <wp:positionV relativeFrom="paragraph">
              <wp:posOffset>-384810</wp:posOffset>
            </wp:positionV>
            <wp:extent cx="585470" cy="2552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585470" cy="255270"/>
                    </a:xfrm>
                    <a:prstGeom prst="rect">
                      <a:avLst/>
                    </a:prstGeom>
                    <a:noFill/>
                  </pic:spPr>
                </pic:pic>
              </a:graphicData>
            </a:graphic>
          </wp:anchor>
        </w:drawing>
      </w:r>
    </w:p>
    <w:p>
      <w:pPr>
        <w:sectPr>
          <w:pgSz w:w="11900" w:h="16838" w:orient="portrait"/>
          <w:cols w:equalWidth="0" w:num="1">
            <w:col w:w="11280"/>
          </w:cols>
          <w:pgMar w:left="320" w:top="1027" w:right="299" w:bottom="1440" w:gutter="0" w:footer="0" w:header="0"/>
        </w:sectPr>
      </w:pPr>
    </w:p>
    <w:bookmarkStart w:id="60" w:name="page61"/>
    <w:bookmarkEnd w:id="60"/>
    <w:p>
      <w:pPr>
        <w:ind w:left="1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16978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69785" cy="25400"/>
                    </a:xfrm>
                    <a:prstGeom prst="rect">
                      <a:avLst/>
                    </a:prstGeom>
                    <a:noFill/>
                  </pic:spPr>
                </pic:pic>
              </a:graphicData>
            </a:graphic>
          </wp:anchor>
        </w:drawing>
        <w:t>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b w:val="1"/>
          <w:bCs w:val="1"/>
          <w:color w:val="auto"/>
        </w:rPr>
        <w:t>CYBIN INC.</w:t>
      </w:r>
    </w:p>
    <w:p>
      <w:pPr>
        <w:spacing w:after="0" w:line="1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as Issuer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and</w:t>
      </w:r>
    </w:p>
    <w:p>
      <w:pPr>
        <w:spacing w:after="0" w:line="207" w:lineRule="exact"/>
        <w:rPr>
          <w:sz w:val="20"/>
          <w:szCs w:val="20"/>
          <w:color w:val="auto"/>
        </w:rPr>
      </w:pPr>
    </w:p>
    <w:p>
      <w:pPr>
        <w:ind w:left="4700" w:hanging="448"/>
        <w:spacing w:after="0"/>
        <w:tabs>
          <w:tab w:leader="none" w:pos="4700" w:val="left"/>
        </w:tabs>
        <w:numPr>
          <w:ilvl w:val="0"/>
          <w:numId w:val="2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 U.S. Trustee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and</w:t>
      </w:r>
    </w:p>
    <w:p>
      <w:pPr>
        <w:spacing w:after="0" w:line="207" w:lineRule="exact"/>
        <w:rPr>
          <w:sz w:val="20"/>
          <w:szCs w:val="20"/>
          <w:color w:val="auto"/>
        </w:rPr>
      </w:pPr>
    </w:p>
    <w:p>
      <w:pPr>
        <w:ind w:left="4660" w:hanging="432"/>
        <w:spacing w:after="0"/>
        <w:tabs>
          <w:tab w:leader="none" w:pos="4660" w:val="left"/>
        </w:tabs>
        <w:numPr>
          <w:ilvl w:val="0"/>
          <w:numId w:val="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 Canadian Trustee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Indenture</w:t>
      </w:r>
    </w:p>
    <w:p>
      <w:pPr>
        <w:spacing w:after="0" w:line="207" w:lineRule="exact"/>
        <w:rPr>
          <w:sz w:val="20"/>
          <w:szCs w:val="20"/>
          <w:color w:val="auto"/>
        </w:rPr>
      </w:pPr>
    </w:p>
    <w:p>
      <w:pPr>
        <w:jc w:val="center"/>
        <w:spacing w:after="0"/>
        <w:tabs>
          <w:tab w:leader="none" w:pos="340" w:val="left"/>
        </w:tabs>
        <w:rPr>
          <w:sz w:val="20"/>
          <w:szCs w:val="20"/>
          <w:color w:val="auto"/>
        </w:rPr>
      </w:pPr>
      <w:r>
        <w:rPr>
          <w:rFonts w:ascii="Times New Roman" w:cs="Times New Roman" w:eastAsia="Times New Roman" w:hAnsi="Times New Roman"/>
          <w:sz w:val="19"/>
          <w:szCs w:val="19"/>
          <w:b w:val="1"/>
          <w:bCs w:val="1"/>
          <w:color w:val="auto"/>
        </w:rPr>
        <w:t>Dated as of [</w:t>
      </w:r>
      <w:r>
        <w:rPr>
          <w:sz w:val="20"/>
          <w:szCs w:val="20"/>
          <w:color w:val="auto"/>
        </w:rPr>
        <w:tab/>
      </w:r>
      <w:r>
        <w:rPr>
          <w:rFonts w:ascii="Times New Roman" w:cs="Times New Roman" w:eastAsia="Times New Roman" w:hAnsi="Times New Roman"/>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356235</wp:posOffset>
            </wp:positionV>
            <wp:extent cx="716978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sectPr>
      </w:pPr>
    </w:p>
    <w:bookmarkStart w:id="61" w:name="page62"/>
    <w:bookmarkEnd w:id="61"/>
    <w:p>
      <w:pPr>
        <w:jc w:val="center"/>
        <w:ind w:right="20"/>
        <w:spacing w:after="0"/>
        <w:rPr>
          <w:sz w:val="20"/>
          <w:szCs w:val="20"/>
          <w:color w:val="auto"/>
        </w:rPr>
      </w:pPr>
      <w:r>
        <w:rPr>
          <w:rFonts w:ascii="Times New Roman" w:cs="Times New Roman" w:eastAsia="Times New Roman" w:hAnsi="Times New Roman"/>
          <w:sz w:val="19"/>
          <w:szCs w:val="19"/>
          <w:color w:val="auto"/>
        </w:rPr>
        <w:t>TABLE OF CONTENTS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080" w:type="dxa"/>
            <w:vAlign w:val="bottom"/>
            <w:gridSpan w:val="29"/>
            <w:shd w:val="clear" w:color="auto" w:fill="EEEEEE"/>
          </w:tcPr>
          <w:p>
            <w:pPr>
              <w:spacing w:after="0"/>
              <w:rPr>
                <w:sz w:val="20"/>
                <w:szCs w:val="20"/>
                <w:color w:val="auto"/>
              </w:rPr>
            </w:pPr>
            <w:r>
              <w:rPr>
                <w:rFonts w:ascii="Times New Roman" w:cs="Times New Roman" w:eastAsia="Times New Roman" w:hAnsi="Times New Roman"/>
                <w:sz w:val="16"/>
                <w:szCs w:val="16"/>
                <w:b w:val="1"/>
                <w:bCs w:val="1"/>
                <w:color w:val="0000EE"/>
              </w:rPr>
              <w:t>ARTICLE ONE DEFINITIONS AND OTHER PROVISIONS OF GENERAL APPLICATION</w:t>
            </w:r>
          </w:p>
        </w:tc>
        <w:tc>
          <w:tcPr>
            <w:tcW w:w="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0000EE"/>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080" w:type="dxa"/>
            <w:vAlign w:val="bottom"/>
            <w:tcBorders>
              <w:right w:val="single" w:sz="8" w:color="0000EE"/>
            </w:tcBorders>
            <w:shd w:val="clear" w:color="auto" w:fill="0000EE"/>
          </w:tcPr>
          <w:p>
            <w:pPr>
              <w:spacing w:after="0"/>
              <w:rPr>
                <w:sz w:val="3"/>
                <w:szCs w:val="3"/>
                <w:color w:val="auto"/>
              </w:rPr>
            </w:pPr>
          </w:p>
        </w:tc>
        <w:tc>
          <w:tcPr>
            <w:tcW w:w="1600" w:type="dxa"/>
            <w:vAlign w:val="bottom"/>
            <w:shd w:val="clear" w:color="auto" w:fill="EEEEEE"/>
          </w:tcPr>
          <w:p>
            <w:pPr>
              <w:spacing w:after="0"/>
              <w:rPr>
                <w:sz w:val="3"/>
                <w:szCs w:val="3"/>
                <w:color w:val="auto"/>
              </w:rPr>
            </w:pPr>
          </w:p>
        </w:tc>
        <w:tc>
          <w:tcPr>
            <w:tcW w:w="480" w:type="dxa"/>
            <w:vAlign w:val="bottom"/>
            <w:shd w:val="clear" w:color="auto" w:fill="EEEEEE"/>
          </w:tcPr>
          <w:p>
            <w:pPr>
              <w:spacing w:after="0"/>
              <w:rPr>
                <w:sz w:val="3"/>
                <w:szCs w:val="3"/>
                <w:color w:val="auto"/>
              </w:rPr>
            </w:pPr>
          </w:p>
        </w:tc>
        <w:tc>
          <w:tcPr>
            <w:tcW w:w="26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1.01</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360" w:type="dxa"/>
            <w:vAlign w:val="bottom"/>
            <w:gridSpan w:val="22"/>
          </w:tcPr>
          <w:p>
            <w:pPr>
              <w:spacing w:after="0" w:line="154" w:lineRule="exact"/>
              <w:rPr>
                <w:sz w:val="20"/>
                <w:szCs w:val="20"/>
                <w:color w:val="auto"/>
              </w:rPr>
            </w:pPr>
            <w:r>
              <w:rPr>
                <w:rFonts w:ascii="Times New Roman" w:cs="Times New Roman" w:eastAsia="Times New Roman" w:hAnsi="Times New Roman"/>
                <w:sz w:val="16"/>
                <w:szCs w:val="16"/>
                <w:color w:val="0000EE"/>
              </w:rPr>
              <w:t>Definitions</w:t>
            </w:r>
          </w:p>
        </w:tc>
        <w:tc>
          <w:tcPr>
            <w:tcW w:w="4720" w:type="dxa"/>
            <w:vAlign w:val="bottom"/>
            <w:gridSpan w:val="3"/>
          </w:tcPr>
          <w:p>
            <w:pPr>
              <w:spacing w:after="0"/>
              <w:rPr>
                <w:sz w:val="13"/>
                <w:szCs w:val="13"/>
                <w:color w:val="auto"/>
              </w:rPr>
            </w:pPr>
          </w:p>
        </w:tc>
        <w:tc>
          <w:tcPr>
            <w:tcW w:w="16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0000EE"/>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980" w:type="dxa"/>
            <w:vAlign w:val="bottom"/>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1.02</w:t>
            </w:r>
          </w:p>
        </w:tc>
        <w:tc>
          <w:tcPr>
            <w:tcW w:w="38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1380" w:type="dxa"/>
            <w:vAlign w:val="bottom"/>
            <w:tcBorders>
              <w:right w:val="single" w:sz="8" w:color="EEEEEE"/>
            </w:tcBorders>
            <w:gridSpan w:val="10"/>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5"/>
              </w:rPr>
              <w:t>Rules of Construction</w:t>
            </w:r>
          </w:p>
        </w:tc>
        <w:tc>
          <w:tcPr>
            <w:tcW w:w="7700" w:type="dxa"/>
            <w:vAlign w:val="bottom"/>
            <w:gridSpan w:val="15"/>
            <w:shd w:val="clear" w:color="auto" w:fill="EEEEEE"/>
          </w:tcPr>
          <w:p>
            <w:pPr>
              <w:spacing w:after="0"/>
              <w:rPr>
                <w:sz w:val="14"/>
                <w:szCs w:val="14"/>
                <w:color w:val="auto"/>
              </w:rPr>
            </w:pPr>
          </w:p>
        </w:tc>
        <w:tc>
          <w:tcPr>
            <w:tcW w:w="160" w:type="dxa"/>
            <w:vAlign w:val="bottom"/>
            <w:gridSpan w:val="2"/>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52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080" w:type="dxa"/>
            <w:vAlign w:val="bottom"/>
            <w:tcBorders>
              <w:right w:val="single" w:sz="8" w:color="EEEEEE"/>
            </w:tcBorders>
            <w:shd w:val="clear" w:color="auto" w:fill="EEEEEE"/>
          </w:tcPr>
          <w:p>
            <w:pPr>
              <w:spacing w:after="0"/>
              <w:rPr>
                <w:sz w:val="3"/>
                <w:szCs w:val="3"/>
                <w:color w:val="auto"/>
              </w:rPr>
            </w:pPr>
          </w:p>
        </w:tc>
        <w:tc>
          <w:tcPr>
            <w:tcW w:w="1600" w:type="dxa"/>
            <w:vAlign w:val="bottom"/>
            <w:shd w:val="clear" w:color="auto" w:fill="EEEEEE"/>
          </w:tcPr>
          <w:p>
            <w:pPr>
              <w:spacing w:after="0"/>
              <w:rPr>
                <w:sz w:val="3"/>
                <w:szCs w:val="3"/>
                <w:color w:val="auto"/>
              </w:rPr>
            </w:pPr>
          </w:p>
        </w:tc>
        <w:tc>
          <w:tcPr>
            <w:tcW w:w="480" w:type="dxa"/>
            <w:vAlign w:val="bottom"/>
            <w:shd w:val="clear" w:color="auto" w:fill="EEEEEE"/>
          </w:tcPr>
          <w:p>
            <w:pPr>
              <w:spacing w:after="0"/>
              <w:rPr>
                <w:sz w:val="3"/>
                <w:szCs w:val="3"/>
                <w:color w:val="auto"/>
              </w:rPr>
            </w:pPr>
          </w:p>
        </w:tc>
        <w:tc>
          <w:tcPr>
            <w:tcW w:w="26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1.03</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80" w:type="dxa"/>
            <w:vAlign w:val="bottom"/>
            <w:gridSpan w:val="25"/>
          </w:tcPr>
          <w:p>
            <w:pPr>
              <w:spacing w:after="0" w:line="154" w:lineRule="exact"/>
              <w:rPr>
                <w:sz w:val="20"/>
                <w:szCs w:val="20"/>
                <w:color w:val="auto"/>
              </w:rPr>
            </w:pPr>
            <w:r>
              <w:rPr>
                <w:rFonts w:ascii="Times New Roman" w:cs="Times New Roman" w:eastAsia="Times New Roman" w:hAnsi="Times New Roman"/>
                <w:sz w:val="16"/>
                <w:szCs w:val="16"/>
                <w:color w:val="0000EE"/>
              </w:rPr>
              <w:t>Compliance Certificates and Opinions</w:t>
            </w:r>
          </w:p>
        </w:tc>
        <w:tc>
          <w:tcPr>
            <w:tcW w:w="16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tcBorders>
              <w:bottom w:val="single" w:sz="8" w:color="EEEEEE"/>
            </w:tcBorders>
            <w:shd w:val="clear" w:color="auto" w:fill="EEEEEE"/>
          </w:tcPr>
          <w:p>
            <w:pPr>
              <w:spacing w:after="0"/>
              <w:rPr>
                <w:sz w:val="16"/>
                <w:szCs w:val="16"/>
                <w:color w:val="auto"/>
              </w:rPr>
            </w:pPr>
          </w:p>
        </w:tc>
        <w:tc>
          <w:tcPr>
            <w:tcW w:w="980" w:type="dxa"/>
            <w:vAlign w:val="bottom"/>
            <w:tcBorders>
              <w:bottom w:val="single" w:sz="8" w:color="0000EE"/>
            </w:tcBorders>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1.04</w:t>
            </w:r>
          </w:p>
        </w:tc>
        <w:tc>
          <w:tcPr>
            <w:tcW w:w="380" w:type="dxa"/>
            <w:vAlign w:val="bottom"/>
            <w:tcBorders>
              <w:bottom w:val="single" w:sz="8" w:color="EEEEEE"/>
            </w:tcBorders>
            <w:shd w:val="clear" w:color="auto" w:fill="EEEEEE"/>
          </w:tcPr>
          <w:p>
            <w:pPr>
              <w:spacing w:after="0"/>
              <w:rPr>
                <w:sz w:val="16"/>
                <w:szCs w:val="16"/>
                <w:color w:val="auto"/>
              </w:rPr>
            </w:pPr>
          </w:p>
        </w:tc>
        <w:tc>
          <w:tcPr>
            <w:tcW w:w="380" w:type="dxa"/>
            <w:vAlign w:val="bottom"/>
            <w:tcBorders>
              <w:bottom w:val="single" w:sz="8" w:color="EEEEEE"/>
            </w:tcBorders>
            <w:shd w:val="clear" w:color="auto" w:fill="EEEEEE"/>
          </w:tcPr>
          <w:p>
            <w:pPr>
              <w:spacing w:after="0"/>
              <w:rPr>
                <w:sz w:val="16"/>
                <w:szCs w:val="16"/>
                <w:color w:val="auto"/>
              </w:rPr>
            </w:pPr>
          </w:p>
        </w:tc>
        <w:tc>
          <w:tcPr>
            <w:tcW w:w="2660" w:type="dxa"/>
            <w:vAlign w:val="bottom"/>
            <w:tcBorders>
              <w:bottom w:val="single" w:sz="8" w:color="0000EE"/>
            </w:tcBorders>
            <w:gridSpan w:val="18"/>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7"/>
              </w:rPr>
              <w:t>Form of Documents Delivered to Trustees</w:t>
            </w:r>
          </w:p>
        </w:tc>
        <w:tc>
          <w:tcPr>
            <w:tcW w:w="6420" w:type="dxa"/>
            <w:vAlign w:val="bottom"/>
            <w:tcBorders>
              <w:bottom w:val="single" w:sz="8" w:color="EEEEEE"/>
            </w:tcBorders>
            <w:gridSpan w:val="7"/>
            <w:shd w:val="clear" w:color="auto" w:fill="EEEEEE"/>
          </w:tcPr>
          <w:p>
            <w:pPr>
              <w:spacing w:after="0"/>
              <w:rPr>
                <w:sz w:val="16"/>
                <w:szCs w:val="16"/>
                <w:color w:val="auto"/>
              </w:rPr>
            </w:pPr>
          </w:p>
        </w:tc>
        <w:tc>
          <w:tcPr>
            <w:tcW w:w="160" w:type="dxa"/>
            <w:vAlign w:val="bottom"/>
            <w:tcBorders>
              <w:bottom w:val="single" w:sz="8" w:color="0000EE"/>
            </w:tcBorders>
            <w:gridSpan w:val="2"/>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bottom w:val="single" w:sz="8" w:color="0000EE"/>
            </w:tcBorders>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1.05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Borders>
              <w:bottom w:val="single" w:sz="8" w:color="0000EE"/>
            </w:tcBorders>
            <w:gridSpan w:val="7"/>
          </w:tcPr>
          <w:p>
            <w:pPr>
              <w:spacing w:after="0" w:line="154" w:lineRule="exact"/>
              <w:rPr>
                <w:sz w:val="20"/>
                <w:szCs w:val="20"/>
                <w:color w:val="auto"/>
              </w:rPr>
            </w:pPr>
            <w:r>
              <w:rPr>
                <w:rFonts w:ascii="Times New Roman" w:cs="Times New Roman" w:eastAsia="Times New Roman" w:hAnsi="Times New Roman"/>
                <w:sz w:val="16"/>
                <w:szCs w:val="16"/>
                <w:color w:val="0000EE"/>
                <w:w w:val="96"/>
              </w:rPr>
              <w:t>Acts of Holders</w:t>
            </w:r>
          </w:p>
        </w:tc>
        <w:tc>
          <w:tcPr>
            <w:tcW w:w="8080" w:type="dxa"/>
            <w:vAlign w:val="bottom"/>
            <w:gridSpan w:val="18"/>
          </w:tcPr>
          <w:p>
            <w:pPr>
              <w:spacing w:after="0"/>
              <w:rPr>
                <w:sz w:val="13"/>
                <w:szCs w:val="13"/>
                <w:color w:val="auto"/>
              </w:rPr>
            </w:pPr>
          </w:p>
        </w:tc>
        <w:tc>
          <w:tcPr>
            <w:tcW w:w="160" w:type="dxa"/>
            <w:vAlign w:val="bottom"/>
            <w:tcBorders>
              <w:bottom w:val="single" w:sz="8" w:color="0000EE"/>
            </w:tcBorders>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tcBorders>
              <w:bottom w:val="single" w:sz="8" w:color="EEEEEE"/>
            </w:tcBorders>
            <w:shd w:val="clear" w:color="auto" w:fill="EEEEEE"/>
          </w:tcPr>
          <w:p>
            <w:pPr>
              <w:spacing w:after="0"/>
              <w:rPr>
                <w:sz w:val="16"/>
                <w:szCs w:val="16"/>
                <w:color w:val="auto"/>
              </w:rPr>
            </w:pPr>
          </w:p>
        </w:tc>
        <w:tc>
          <w:tcPr>
            <w:tcW w:w="980" w:type="dxa"/>
            <w:vAlign w:val="bottom"/>
            <w:tcBorders>
              <w:bottom w:val="single" w:sz="8" w:color="0000EE"/>
            </w:tcBorders>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1.06</w:t>
            </w:r>
          </w:p>
        </w:tc>
        <w:tc>
          <w:tcPr>
            <w:tcW w:w="380" w:type="dxa"/>
            <w:vAlign w:val="bottom"/>
            <w:tcBorders>
              <w:bottom w:val="single" w:sz="8" w:color="EEEEEE"/>
            </w:tcBorders>
            <w:shd w:val="clear" w:color="auto" w:fill="EEEEEE"/>
          </w:tcPr>
          <w:p>
            <w:pPr>
              <w:spacing w:after="0"/>
              <w:rPr>
                <w:sz w:val="16"/>
                <w:szCs w:val="16"/>
                <w:color w:val="auto"/>
              </w:rPr>
            </w:pPr>
          </w:p>
        </w:tc>
        <w:tc>
          <w:tcPr>
            <w:tcW w:w="380" w:type="dxa"/>
            <w:vAlign w:val="bottom"/>
            <w:tcBorders>
              <w:bottom w:val="single" w:sz="8" w:color="EEEEEE"/>
            </w:tcBorders>
            <w:shd w:val="clear" w:color="auto" w:fill="EEEEEE"/>
          </w:tcPr>
          <w:p>
            <w:pPr>
              <w:spacing w:after="0"/>
              <w:rPr>
                <w:sz w:val="16"/>
                <w:szCs w:val="16"/>
                <w:color w:val="auto"/>
              </w:rPr>
            </w:pPr>
          </w:p>
        </w:tc>
        <w:tc>
          <w:tcPr>
            <w:tcW w:w="480" w:type="dxa"/>
            <w:vAlign w:val="bottom"/>
            <w:tcBorders>
              <w:bottom w:val="single" w:sz="8" w:color="0000EE"/>
            </w:tcBorders>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4"/>
              </w:rPr>
              <w:t>Notices</w:t>
            </w:r>
          </w:p>
        </w:tc>
        <w:tc>
          <w:tcPr>
            <w:tcW w:w="8600" w:type="dxa"/>
            <w:vAlign w:val="bottom"/>
            <w:tcBorders>
              <w:bottom w:val="single" w:sz="8" w:color="EEEEEE"/>
            </w:tcBorders>
            <w:gridSpan w:val="24"/>
            <w:shd w:val="clear" w:color="auto" w:fill="EEEEEE"/>
          </w:tcPr>
          <w:p>
            <w:pPr>
              <w:spacing w:after="0"/>
              <w:rPr>
                <w:sz w:val="16"/>
                <w:szCs w:val="16"/>
                <w:color w:val="auto"/>
              </w:rPr>
            </w:pPr>
          </w:p>
        </w:tc>
        <w:tc>
          <w:tcPr>
            <w:tcW w:w="160" w:type="dxa"/>
            <w:vAlign w:val="bottom"/>
            <w:tcBorders>
              <w:bottom w:val="single" w:sz="8" w:color="0000EE"/>
            </w:tcBorders>
            <w:gridSpan w:val="2"/>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bottom w:val="single" w:sz="8" w:color="0000EE"/>
            </w:tcBorders>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1.07</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Borders>
              <w:bottom w:val="single" w:sz="8" w:color="0000EE"/>
            </w:tcBorders>
            <w:gridSpan w:val="13"/>
          </w:tcPr>
          <w:p>
            <w:pPr>
              <w:spacing w:after="0" w:line="154" w:lineRule="exact"/>
              <w:rPr>
                <w:sz w:val="20"/>
                <w:szCs w:val="20"/>
                <w:color w:val="auto"/>
              </w:rPr>
            </w:pPr>
            <w:r>
              <w:rPr>
                <w:rFonts w:ascii="Times New Roman" w:cs="Times New Roman" w:eastAsia="Times New Roman" w:hAnsi="Times New Roman"/>
                <w:sz w:val="16"/>
                <w:szCs w:val="16"/>
                <w:color w:val="0000EE"/>
                <w:w w:val="96"/>
              </w:rPr>
              <w:t>Notice to Holders; Waiver</w:t>
            </w:r>
          </w:p>
        </w:tc>
        <w:tc>
          <w:tcPr>
            <w:tcW w:w="7420" w:type="dxa"/>
            <w:vAlign w:val="bottom"/>
            <w:gridSpan w:val="12"/>
          </w:tcPr>
          <w:p>
            <w:pPr>
              <w:spacing w:after="0"/>
              <w:rPr>
                <w:sz w:val="13"/>
                <w:szCs w:val="13"/>
                <w:color w:val="auto"/>
              </w:rPr>
            </w:pPr>
          </w:p>
        </w:tc>
        <w:tc>
          <w:tcPr>
            <w:tcW w:w="160" w:type="dxa"/>
            <w:vAlign w:val="bottom"/>
            <w:tcBorders>
              <w:bottom w:val="single" w:sz="8" w:color="0000EE"/>
            </w:tcBorders>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980" w:type="dxa"/>
            <w:vAlign w:val="bottom"/>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1.08</w:t>
            </w:r>
          </w:p>
        </w:tc>
        <w:tc>
          <w:tcPr>
            <w:tcW w:w="38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9080" w:type="dxa"/>
            <w:vAlign w:val="bottom"/>
            <w:gridSpan w:val="25"/>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Effect of Headings and Table of Contents</w:t>
            </w:r>
          </w:p>
        </w:tc>
        <w:tc>
          <w:tcPr>
            <w:tcW w:w="160" w:type="dxa"/>
            <w:vAlign w:val="bottom"/>
            <w:gridSpan w:val="2"/>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Borders>
              <w:top w:val="single" w:sz="8" w:color="EEEEEE"/>
            </w:tcBorders>
          </w:tcPr>
          <w:p>
            <w:pPr>
              <w:spacing w:after="0"/>
              <w:rPr>
                <w:sz w:val="13"/>
                <w:szCs w:val="13"/>
                <w:color w:val="auto"/>
              </w:rPr>
            </w:pPr>
          </w:p>
        </w:tc>
        <w:tc>
          <w:tcPr>
            <w:tcW w:w="980" w:type="dxa"/>
            <w:vAlign w:val="bottom"/>
            <w:tcBorders>
              <w:top w:val="single" w:sz="8" w:color="0000EE"/>
              <w:bottom w:val="single" w:sz="8" w:color="0000EE"/>
            </w:tcBorders>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1.09</w:t>
            </w:r>
          </w:p>
        </w:tc>
        <w:tc>
          <w:tcPr>
            <w:tcW w:w="380" w:type="dxa"/>
            <w:vAlign w:val="bottom"/>
            <w:tcBorders>
              <w:top w:val="single" w:sz="8" w:color="EEEEEE"/>
            </w:tcBorders>
          </w:tcPr>
          <w:p>
            <w:pPr>
              <w:spacing w:after="0"/>
              <w:rPr>
                <w:sz w:val="13"/>
                <w:szCs w:val="13"/>
                <w:color w:val="auto"/>
              </w:rPr>
            </w:pPr>
          </w:p>
        </w:tc>
        <w:tc>
          <w:tcPr>
            <w:tcW w:w="380" w:type="dxa"/>
            <w:vAlign w:val="bottom"/>
            <w:tcBorders>
              <w:top w:val="single" w:sz="8" w:color="EEEEEE"/>
            </w:tcBorders>
          </w:tcPr>
          <w:p>
            <w:pPr>
              <w:spacing w:after="0"/>
              <w:rPr>
                <w:sz w:val="13"/>
                <w:szCs w:val="13"/>
                <w:color w:val="auto"/>
              </w:rPr>
            </w:pPr>
          </w:p>
        </w:tc>
        <w:tc>
          <w:tcPr>
            <w:tcW w:w="1500" w:type="dxa"/>
            <w:vAlign w:val="bottom"/>
            <w:tcBorders>
              <w:top w:val="single" w:sz="8" w:color="0000EE"/>
              <w:bottom w:val="single" w:sz="8" w:color="0000EE"/>
            </w:tcBorders>
            <w:gridSpan w:val="11"/>
          </w:tcPr>
          <w:p>
            <w:pPr>
              <w:spacing w:after="0" w:line="154" w:lineRule="exact"/>
              <w:rPr>
                <w:sz w:val="20"/>
                <w:szCs w:val="20"/>
                <w:color w:val="auto"/>
              </w:rPr>
            </w:pPr>
            <w:r>
              <w:rPr>
                <w:rFonts w:ascii="Times New Roman" w:cs="Times New Roman" w:eastAsia="Times New Roman" w:hAnsi="Times New Roman"/>
                <w:sz w:val="16"/>
                <w:szCs w:val="16"/>
                <w:color w:val="0000EE"/>
                <w:w w:val="97"/>
              </w:rPr>
              <w:t>Successors and Assigns</w:t>
            </w:r>
          </w:p>
        </w:tc>
        <w:tc>
          <w:tcPr>
            <w:tcW w:w="1100" w:type="dxa"/>
            <w:vAlign w:val="bottom"/>
            <w:tcBorders>
              <w:top w:val="single" w:sz="8" w:color="0000EE"/>
            </w:tcBorders>
            <w:gridSpan w:val="6"/>
          </w:tcPr>
          <w:p>
            <w:pPr>
              <w:spacing w:after="0"/>
              <w:rPr>
                <w:sz w:val="13"/>
                <w:szCs w:val="13"/>
                <w:color w:val="auto"/>
              </w:rPr>
            </w:pPr>
          </w:p>
        </w:tc>
        <w:tc>
          <w:tcPr>
            <w:tcW w:w="6480" w:type="dxa"/>
            <w:vAlign w:val="bottom"/>
            <w:tcBorders>
              <w:top w:val="single" w:sz="8" w:color="EEEEEE"/>
            </w:tcBorders>
            <w:gridSpan w:val="8"/>
          </w:tcPr>
          <w:p>
            <w:pPr>
              <w:spacing w:after="0"/>
              <w:rPr>
                <w:sz w:val="13"/>
                <w:szCs w:val="13"/>
                <w:color w:val="auto"/>
              </w:rPr>
            </w:pPr>
          </w:p>
        </w:tc>
        <w:tc>
          <w:tcPr>
            <w:tcW w:w="160" w:type="dxa"/>
            <w:vAlign w:val="bottom"/>
            <w:tcBorders>
              <w:top w:val="single" w:sz="8" w:color="0000EE"/>
              <w:bottom w:val="single" w:sz="8" w:color="0000EE"/>
            </w:tcBorders>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980" w:type="dxa"/>
            <w:vAlign w:val="bottom"/>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1.10</w:t>
            </w:r>
          </w:p>
        </w:tc>
        <w:tc>
          <w:tcPr>
            <w:tcW w:w="38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9080" w:type="dxa"/>
            <w:vAlign w:val="bottom"/>
            <w:gridSpan w:val="25"/>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Severability Clause</w:t>
            </w:r>
          </w:p>
        </w:tc>
        <w:tc>
          <w:tcPr>
            <w:tcW w:w="160" w:type="dxa"/>
            <w:vAlign w:val="bottom"/>
            <w:gridSpan w:val="2"/>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80" w:type="dxa"/>
            <w:vAlign w:val="bottom"/>
            <w:tcBorders>
              <w:right w:val="single" w:sz="8" w:color="EEEEEE"/>
            </w:tcBorders>
            <w:shd w:val="clear" w:color="auto" w:fill="0000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52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080" w:type="dxa"/>
            <w:vAlign w:val="bottom"/>
            <w:tcBorders>
              <w:right w:val="single" w:sz="8" w:color="EEEEEE"/>
            </w:tcBorders>
            <w:shd w:val="clear" w:color="auto" w:fill="EEEEEE"/>
          </w:tcPr>
          <w:p>
            <w:pPr>
              <w:spacing w:after="0"/>
              <w:rPr>
                <w:sz w:val="3"/>
                <w:szCs w:val="3"/>
                <w:color w:val="auto"/>
              </w:rPr>
            </w:pPr>
          </w:p>
        </w:tc>
        <w:tc>
          <w:tcPr>
            <w:tcW w:w="1600" w:type="dxa"/>
            <w:vAlign w:val="bottom"/>
            <w:shd w:val="clear" w:color="auto" w:fill="EEEEEE"/>
          </w:tcPr>
          <w:p>
            <w:pPr>
              <w:spacing w:after="0"/>
              <w:rPr>
                <w:sz w:val="3"/>
                <w:szCs w:val="3"/>
                <w:color w:val="auto"/>
              </w:rPr>
            </w:pPr>
          </w:p>
        </w:tc>
        <w:tc>
          <w:tcPr>
            <w:tcW w:w="480" w:type="dxa"/>
            <w:vAlign w:val="bottom"/>
            <w:shd w:val="clear" w:color="auto" w:fill="EEEEEE"/>
          </w:tcPr>
          <w:p>
            <w:pPr>
              <w:spacing w:after="0"/>
              <w:rPr>
                <w:sz w:val="3"/>
                <w:szCs w:val="3"/>
                <w:color w:val="auto"/>
              </w:rPr>
            </w:pPr>
          </w:p>
        </w:tc>
        <w:tc>
          <w:tcPr>
            <w:tcW w:w="264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1.11</w:t>
            </w:r>
          </w:p>
        </w:tc>
        <w:tc>
          <w:tcPr>
            <w:tcW w:w="380" w:type="dxa"/>
            <w:vAlign w:val="bottom"/>
          </w:tcPr>
          <w:p>
            <w:pPr>
              <w:spacing w:after="0"/>
              <w:rPr>
                <w:sz w:val="13"/>
                <w:szCs w:val="13"/>
                <w:color w:val="auto"/>
              </w:rPr>
            </w:pPr>
          </w:p>
        </w:tc>
        <w:tc>
          <w:tcPr>
            <w:tcW w:w="9460" w:type="dxa"/>
            <w:vAlign w:val="bottom"/>
            <w:gridSpan w:val="26"/>
          </w:tcPr>
          <w:p>
            <w:pPr>
              <w:ind w:left="380"/>
              <w:spacing w:after="0" w:line="154" w:lineRule="exact"/>
              <w:rPr>
                <w:sz w:val="20"/>
                <w:szCs w:val="20"/>
                <w:color w:val="auto"/>
              </w:rPr>
            </w:pPr>
            <w:r>
              <w:rPr>
                <w:rFonts w:ascii="Times New Roman" w:cs="Times New Roman" w:eastAsia="Times New Roman" w:hAnsi="Times New Roman"/>
                <w:sz w:val="16"/>
                <w:szCs w:val="16"/>
                <w:color w:val="0000EE"/>
              </w:rPr>
              <w:t>Benefits of Indenture</w:t>
            </w:r>
          </w:p>
        </w:tc>
        <w:tc>
          <w:tcPr>
            <w:tcW w:w="16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980" w:type="dxa"/>
            <w:vAlign w:val="bottom"/>
            <w:tcBorders>
              <w:top w:val="single" w:sz="8" w:color="0000EE"/>
            </w:tcBorders>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1.12</w:t>
            </w:r>
          </w:p>
        </w:tc>
        <w:tc>
          <w:tcPr>
            <w:tcW w:w="38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1380" w:type="dxa"/>
            <w:vAlign w:val="bottom"/>
            <w:tcBorders>
              <w:top w:val="single" w:sz="8" w:color="0000EE"/>
              <w:right w:val="single" w:sz="8" w:color="EEEEEE"/>
            </w:tcBorders>
            <w:gridSpan w:val="10"/>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Governing Law</w:t>
            </w:r>
          </w:p>
        </w:tc>
        <w:tc>
          <w:tcPr>
            <w:tcW w:w="7700" w:type="dxa"/>
            <w:vAlign w:val="bottom"/>
            <w:gridSpan w:val="15"/>
            <w:shd w:val="clear" w:color="auto" w:fill="EEEEEE"/>
          </w:tcPr>
          <w:p>
            <w:pPr>
              <w:spacing w:after="0"/>
              <w:rPr>
                <w:sz w:val="16"/>
                <w:szCs w:val="16"/>
                <w:color w:val="auto"/>
              </w:rPr>
            </w:pPr>
          </w:p>
        </w:tc>
        <w:tc>
          <w:tcPr>
            <w:tcW w:w="160" w:type="dxa"/>
            <w:vAlign w:val="bottom"/>
            <w:tcBorders>
              <w:top w:val="single" w:sz="8" w:color="0000EE"/>
            </w:tcBorders>
            <w:gridSpan w:val="2"/>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Borders>
              <w:top w:val="single" w:sz="8" w:color="EEEEEE"/>
            </w:tcBorders>
          </w:tcPr>
          <w:p>
            <w:pPr>
              <w:spacing w:after="0"/>
              <w:rPr>
                <w:sz w:val="13"/>
                <w:szCs w:val="13"/>
                <w:color w:val="auto"/>
              </w:rPr>
            </w:pPr>
          </w:p>
        </w:tc>
        <w:tc>
          <w:tcPr>
            <w:tcW w:w="980" w:type="dxa"/>
            <w:vAlign w:val="bottom"/>
            <w:tcBorders>
              <w:top w:val="single" w:sz="8" w:color="0000EE"/>
            </w:tcBorders>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1.13</w:t>
            </w:r>
          </w:p>
        </w:tc>
        <w:tc>
          <w:tcPr>
            <w:tcW w:w="380" w:type="dxa"/>
            <w:vAlign w:val="bottom"/>
            <w:tcBorders>
              <w:top w:val="single" w:sz="8" w:color="EEEEEE"/>
            </w:tcBorders>
          </w:tcPr>
          <w:p>
            <w:pPr>
              <w:spacing w:after="0"/>
              <w:rPr>
                <w:sz w:val="13"/>
                <w:szCs w:val="13"/>
                <w:color w:val="auto"/>
              </w:rPr>
            </w:pPr>
          </w:p>
        </w:tc>
        <w:tc>
          <w:tcPr>
            <w:tcW w:w="380" w:type="dxa"/>
            <w:vAlign w:val="bottom"/>
            <w:tcBorders>
              <w:top w:val="single" w:sz="8" w:color="EEEEEE"/>
            </w:tcBorders>
          </w:tcPr>
          <w:p>
            <w:pPr>
              <w:spacing w:after="0"/>
              <w:rPr>
                <w:sz w:val="13"/>
                <w:szCs w:val="13"/>
                <w:color w:val="auto"/>
              </w:rPr>
            </w:pPr>
          </w:p>
        </w:tc>
        <w:tc>
          <w:tcPr>
            <w:tcW w:w="980" w:type="dxa"/>
            <w:vAlign w:val="bottom"/>
            <w:tcBorders>
              <w:top w:val="single" w:sz="8" w:color="0000EE"/>
            </w:tcBorders>
            <w:gridSpan w:val="6"/>
          </w:tcPr>
          <w:p>
            <w:pPr>
              <w:spacing w:after="0" w:line="154" w:lineRule="exact"/>
              <w:rPr>
                <w:sz w:val="20"/>
                <w:szCs w:val="20"/>
                <w:color w:val="auto"/>
              </w:rPr>
            </w:pPr>
            <w:r>
              <w:rPr>
                <w:rFonts w:ascii="Times New Roman" w:cs="Times New Roman" w:eastAsia="Times New Roman" w:hAnsi="Times New Roman"/>
                <w:sz w:val="16"/>
                <w:szCs w:val="16"/>
                <w:color w:val="0000EE"/>
                <w:w w:val="97"/>
              </w:rPr>
              <w:t>Legal Holidays</w:t>
            </w:r>
          </w:p>
        </w:tc>
        <w:tc>
          <w:tcPr>
            <w:tcW w:w="8100" w:type="dxa"/>
            <w:vAlign w:val="bottom"/>
            <w:tcBorders>
              <w:top w:val="single" w:sz="8" w:color="EEEEEE"/>
            </w:tcBorders>
            <w:gridSpan w:val="19"/>
          </w:tcPr>
          <w:p>
            <w:pPr>
              <w:spacing w:after="0"/>
              <w:rPr>
                <w:sz w:val="13"/>
                <w:szCs w:val="13"/>
                <w:color w:val="auto"/>
              </w:rPr>
            </w:pPr>
          </w:p>
        </w:tc>
        <w:tc>
          <w:tcPr>
            <w:tcW w:w="160" w:type="dxa"/>
            <w:vAlign w:val="bottom"/>
            <w:tcBorders>
              <w:top w:val="single" w:sz="8" w:color="0000EE"/>
            </w:tcBorders>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tcBorders>
              <w:bottom w:val="single" w:sz="8" w:color="EEEEEE"/>
            </w:tcBorders>
            <w:shd w:val="clear" w:color="auto" w:fill="EEEEEE"/>
          </w:tcPr>
          <w:p>
            <w:pPr>
              <w:spacing w:after="0"/>
              <w:rPr>
                <w:sz w:val="16"/>
                <w:szCs w:val="16"/>
                <w:color w:val="auto"/>
              </w:rPr>
            </w:pPr>
          </w:p>
        </w:tc>
        <w:tc>
          <w:tcPr>
            <w:tcW w:w="980" w:type="dxa"/>
            <w:vAlign w:val="bottom"/>
            <w:tcBorders>
              <w:bottom w:val="single" w:sz="8" w:color="0000EE"/>
            </w:tcBorders>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1.14</w:t>
            </w:r>
          </w:p>
        </w:tc>
        <w:tc>
          <w:tcPr>
            <w:tcW w:w="380" w:type="dxa"/>
            <w:vAlign w:val="bottom"/>
            <w:tcBorders>
              <w:bottom w:val="single" w:sz="8" w:color="EEEEEE"/>
            </w:tcBorders>
            <w:shd w:val="clear" w:color="auto" w:fill="EEEEEE"/>
          </w:tcPr>
          <w:p>
            <w:pPr>
              <w:spacing w:after="0"/>
              <w:rPr>
                <w:sz w:val="16"/>
                <w:szCs w:val="16"/>
                <w:color w:val="auto"/>
              </w:rPr>
            </w:pPr>
          </w:p>
        </w:tc>
        <w:tc>
          <w:tcPr>
            <w:tcW w:w="380" w:type="dxa"/>
            <w:vAlign w:val="bottom"/>
            <w:tcBorders>
              <w:bottom w:val="single" w:sz="8" w:color="EEEEEE"/>
            </w:tcBorders>
            <w:shd w:val="clear" w:color="auto" w:fill="EEEEEE"/>
          </w:tcPr>
          <w:p>
            <w:pPr>
              <w:spacing w:after="0"/>
              <w:rPr>
                <w:sz w:val="16"/>
                <w:szCs w:val="16"/>
                <w:color w:val="auto"/>
              </w:rPr>
            </w:pPr>
          </w:p>
        </w:tc>
        <w:tc>
          <w:tcPr>
            <w:tcW w:w="4360" w:type="dxa"/>
            <w:vAlign w:val="bottom"/>
            <w:tcBorders>
              <w:bottom w:val="single" w:sz="8" w:color="0000EE"/>
              <w:right w:val="single" w:sz="8" w:color="EEEEEE"/>
            </w:tcBorders>
            <w:gridSpan w:val="22"/>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7"/>
              </w:rPr>
              <w:t>Agent for Service; Submission to Jurisdiction; Waiver of Immunities</w:t>
            </w:r>
          </w:p>
        </w:tc>
        <w:tc>
          <w:tcPr>
            <w:tcW w:w="4720" w:type="dxa"/>
            <w:vAlign w:val="bottom"/>
            <w:tcBorders>
              <w:bottom w:val="single" w:sz="8" w:color="EEEEEE"/>
            </w:tcBorders>
            <w:gridSpan w:val="3"/>
            <w:shd w:val="clear" w:color="auto" w:fill="EEEEEE"/>
          </w:tcPr>
          <w:p>
            <w:pPr>
              <w:spacing w:after="0"/>
              <w:rPr>
                <w:sz w:val="16"/>
                <w:szCs w:val="16"/>
                <w:color w:val="auto"/>
              </w:rPr>
            </w:pPr>
          </w:p>
        </w:tc>
        <w:tc>
          <w:tcPr>
            <w:tcW w:w="160" w:type="dxa"/>
            <w:vAlign w:val="bottom"/>
            <w:tcBorders>
              <w:bottom w:val="single" w:sz="8" w:color="0000EE"/>
            </w:tcBorders>
            <w:gridSpan w:val="2"/>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bottom w:val="single" w:sz="8" w:color="0000EE"/>
            </w:tcBorders>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1.15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80" w:type="dxa"/>
            <w:vAlign w:val="bottom"/>
            <w:tcBorders>
              <w:bottom w:val="single" w:sz="8" w:color="0000EE"/>
            </w:tcBorders>
            <w:gridSpan w:val="14"/>
          </w:tcPr>
          <w:p>
            <w:pPr>
              <w:spacing w:after="0" w:line="154" w:lineRule="exact"/>
              <w:rPr>
                <w:sz w:val="20"/>
                <w:szCs w:val="20"/>
                <w:color w:val="auto"/>
              </w:rPr>
            </w:pPr>
            <w:r>
              <w:rPr>
                <w:rFonts w:ascii="Times New Roman" w:cs="Times New Roman" w:eastAsia="Times New Roman" w:hAnsi="Times New Roman"/>
                <w:sz w:val="16"/>
                <w:szCs w:val="16"/>
                <w:color w:val="0000EE"/>
                <w:w w:val="97"/>
              </w:rPr>
              <w:t>Conversion of Judgment Currency</w:t>
            </w:r>
          </w:p>
        </w:tc>
        <w:tc>
          <w:tcPr>
            <w:tcW w:w="6900" w:type="dxa"/>
            <w:vAlign w:val="bottom"/>
            <w:gridSpan w:val="11"/>
          </w:tcPr>
          <w:p>
            <w:pPr>
              <w:spacing w:after="0"/>
              <w:rPr>
                <w:sz w:val="13"/>
                <w:szCs w:val="13"/>
                <w:color w:val="auto"/>
              </w:rPr>
            </w:pPr>
          </w:p>
        </w:tc>
        <w:tc>
          <w:tcPr>
            <w:tcW w:w="160" w:type="dxa"/>
            <w:vAlign w:val="bottom"/>
            <w:tcBorders>
              <w:bottom w:val="single" w:sz="8" w:color="0000EE"/>
            </w:tcBorders>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980" w:type="dxa"/>
            <w:vAlign w:val="bottom"/>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1.16</w:t>
            </w:r>
          </w:p>
        </w:tc>
        <w:tc>
          <w:tcPr>
            <w:tcW w:w="38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9080" w:type="dxa"/>
            <w:vAlign w:val="bottom"/>
            <w:gridSpan w:val="25"/>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Currency Equivalent</w:t>
            </w:r>
          </w:p>
        </w:tc>
        <w:tc>
          <w:tcPr>
            <w:tcW w:w="160" w:type="dxa"/>
            <w:vAlign w:val="bottom"/>
            <w:gridSpan w:val="2"/>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52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080" w:type="dxa"/>
            <w:vAlign w:val="bottom"/>
            <w:tcBorders>
              <w:right w:val="single" w:sz="8" w:color="EEEEEE"/>
            </w:tcBorders>
            <w:shd w:val="clear" w:color="auto" w:fill="EEEEEE"/>
          </w:tcPr>
          <w:p>
            <w:pPr>
              <w:spacing w:after="0"/>
              <w:rPr>
                <w:sz w:val="3"/>
                <w:szCs w:val="3"/>
                <w:color w:val="auto"/>
              </w:rPr>
            </w:pPr>
          </w:p>
        </w:tc>
        <w:tc>
          <w:tcPr>
            <w:tcW w:w="1600" w:type="dxa"/>
            <w:vAlign w:val="bottom"/>
            <w:shd w:val="clear" w:color="auto" w:fill="EEEEEE"/>
          </w:tcPr>
          <w:p>
            <w:pPr>
              <w:spacing w:after="0"/>
              <w:rPr>
                <w:sz w:val="3"/>
                <w:szCs w:val="3"/>
                <w:color w:val="auto"/>
              </w:rPr>
            </w:pPr>
          </w:p>
        </w:tc>
        <w:tc>
          <w:tcPr>
            <w:tcW w:w="480" w:type="dxa"/>
            <w:vAlign w:val="bottom"/>
            <w:shd w:val="clear" w:color="auto" w:fill="EEEEEE"/>
          </w:tcPr>
          <w:p>
            <w:pPr>
              <w:spacing w:after="0"/>
              <w:rPr>
                <w:sz w:val="3"/>
                <w:szCs w:val="3"/>
                <w:color w:val="auto"/>
              </w:rPr>
            </w:pPr>
          </w:p>
        </w:tc>
        <w:tc>
          <w:tcPr>
            <w:tcW w:w="264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bottom w:val="single" w:sz="8" w:color="0000EE"/>
            </w:tcBorders>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1.17</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0" w:type="dxa"/>
            <w:vAlign w:val="bottom"/>
            <w:tcBorders>
              <w:bottom w:val="single" w:sz="8" w:color="0000EE"/>
            </w:tcBorders>
            <w:gridSpan w:val="17"/>
          </w:tcPr>
          <w:p>
            <w:pPr>
              <w:spacing w:after="0" w:line="154" w:lineRule="exact"/>
              <w:rPr>
                <w:sz w:val="20"/>
                <w:szCs w:val="20"/>
                <w:color w:val="auto"/>
              </w:rPr>
            </w:pPr>
            <w:r>
              <w:rPr>
                <w:rFonts w:ascii="Times New Roman" w:cs="Times New Roman" w:eastAsia="Times New Roman" w:hAnsi="Times New Roman"/>
                <w:sz w:val="16"/>
                <w:szCs w:val="16"/>
                <w:color w:val="0000EE"/>
                <w:w w:val="97"/>
              </w:rPr>
              <w:t>Conflict with Trust Indenture Legislation</w:t>
            </w:r>
          </w:p>
        </w:tc>
        <w:tc>
          <w:tcPr>
            <w:tcW w:w="6480" w:type="dxa"/>
            <w:vAlign w:val="bottom"/>
            <w:gridSpan w:val="8"/>
          </w:tcPr>
          <w:p>
            <w:pPr>
              <w:spacing w:after="0"/>
              <w:rPr>
                <w:sz w:val="13"/>
                <w:szCs w:val="13"/>
                <w:color w:val="auto"/>
              </w:rPr>
            </w:pPr>
          </w:p>
        </w:tc>
        <w:tc>
          <w:tcPr>
            <w:tcW w:w="160" w:type="dxa"/>
            <w:vAlign w:val="bottom"/>
            <w:tcBorders>
              <w:bottom w:val="single" w:sz="8" w:color="0000EE"/>
            </w:tcBorders>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tcBorders>
              <w:bottom w:val="single" w:sz="8" w:color="EEEEEE"/>
            </w:tcBorders>
            <w:shd w:val="clear" w:color="auto" w:fill="EEEEEE"/>
          </w:tcPr>
          <w:p>
            <w:pPr>
              <w:spacing w:after="0"/>
              <w:rPr>
                <w:sz w:val="16"/>
                <w:szCs w:val="16"/>
                <w:color w:val="auto"/>
              </w:rPr>
            </w:pPr>
          </w:p>
        </w:tc>
        <w:tc>
          <w:tcPr>
            <w:tcW w:w="980" w:type="dxa"/>
            <w:vAlign w:val="bottom"/>
            <w:tcBorders>
              <w:bottom w:val="single" w:sz="8" w:color="0000EE"/>
            </w:tcBorders>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1.18</w:t>
            </w:r>
          </w:p>
        </w:tc>
        <w:tc>
          <w:tcPr>
            <w:tcW w:w="380" w:type="dxa"/>
            <w:vAlign w:val="bottom"/>
            <w:tcBorders>
              <w:bottom w:val="single" w:sz="8" w:color="EEEEEE"/>
            </w:tcBorders>
            <w:shd w:val="clear" w:color="auto" w:fill="EEEEEE"/>
          </w:tcPr>
          <w:p>
            <w:pPr>
              <w:spacing w:after="0"/>
              <w:rPr>
                <w:sz w:val="16"/>
                <w:szCs w:val="16"/>
                <w:color w:val="auto"/>
              </w:rPr>
            </w:pPr>
          </w:p>
        </w:tc>
        <w:tc>
          <w:tcPr>
            <w:tcW w:w="380" w:type="dxa"/>
            <w:vAlign w:val="bottom"/>
            <w:tcBorders>
              <w:bottom w:val="single" w:sz="8" w:color="EEEEEE"/>
            </w:tcBorders>
            <w:shd w:val="clear" w:color="auto" w:fill="EEEEEE"/>
          </w:tcPr>
          <w:p>
            <w:pPr>
              <w:spacing w:after="0"/>
              <w:rPr>
                <w:sz w:val="16"/>
                <w:szCs w:val="16"/>
                <w:color w:val="auto"/>
              </w:rPr>
            </w:pPr>
          </w:p>
        </w:tc>
        <w:tc>
          <w:tcPr>
            <w:tcW w:w="6440" w:type="dxa"/>
            <w:vAlign w:val="bottom"/>
            <w:tcBorders>
              <w:bottom w:val="single" w:sz="8" w:color="0000EE"/>
            </w:tcBorders>
            <w:gridSpan w:val="24"/>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8"/>
              </w:rPr>
              <w:t>Incorporators, Shareholders, Officers and Directors of the Company Exempt from Individual Liability</w:t>
            </w:r>
          </w:p>
        </w:tc>
        <w:tc>
          <w:tcPr>
            <w:tcW w:w="2640" w:type="dxa"/>
            <w:vAlign w:val="bottom"/>
            <w:tcBorders>
              <w:bottom w:val="single" w:sz="8" w:color="EEEEEE"/>
            </w:tcBorders>
            <w:shd w:val="clear" w:color="auto" w:fill="EEEEEE"/>
          </w:tcPr>
          <w:p>
            <w:pPr>
              <w:spacing w:after="0"/>
              <w:rPr>
                <w:sz w:val="16"/>
                <w:szCs w:val="16"/>
                <w:color w:val="auto"/>
              </w:rPr>
            </w:pPr>
          </w:p>
        </w:tc>
        <w:tc>
          <w:tcPr>
            <w:tcW w:w="160" w:type="dxa"/>
            <w:vAlign w:val="bottom"/>
            <w:tcBorders>
              <w:bottom w:val="single" w:sz="8" w:color="0000EE"/>
            </w:tcBorders>
            <w:gridSpan w:val="2"/>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1.19</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80" w:type="dxa"/>
            <w:vAlign w:val="bottom"/>
            <w:gridSpan w:val="25"/>
          </w:tcPr>
          <w:p>
            <w:pPr>
              <w:spacing w:after="0" w:line="154" w:lineRule="exact"/>
              <w:rPr>
                <w:sz w:val="20"/>
                <w:szCs w:val="20"/>
                <w:color w:val="auto"/>
              </w:rPr>
            </w:pPr>
            <w:r>
              <w:rPr>
                <w:rFonts w:ascii="Times New Roman" w:cs="Times New Roman" w:eastAsia="Times New Roman" w:hAnsi="Times New Roman"/>
                <w:sz w:val="16"/>
                <w:szCs w:val="16"/>
                <w:color w:val="0000EE"/>
              </w:rPr>
              <w:t>Waiver of Jury Trial</w:t>
            </w:r>
          </w:p>
        </w:tc>
        <w:tc>
          <w:tcPr>
            <w:tcW w:w="16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tcBorders>
              <w:bottom w:val="single" w:sz="8" w:color="EEEEEE"/>
            </w:tcBorders>
            <w:shd w:val="clear" w:color="auto" w:fill="EEEEEE"/>
          </w:tcPr>
          <w:p>
            <w:pPr>
              <w:spacing w:after="0"/>
              <w:rPr>
                <w:sz w:val="16"/>
                <w:szCs w:val="16"/>
                <w:color w:val="auto"/>
              </w:rPr>
            </w:pPr>
          </w:p>
        </w:tc>
        <w:tc>
          <w:tcPr>
            <w:tcW w:w="980" w:type="dxa"/>
            <w:vAlign w:val="bottom"/>
            <w:tcBorders>
              <w:top w:val="single" w:sz="8" w:color="0000EE"/>
              <w:bottom w:val="single" w:sz="8" w:color="0000EE"/>
            </w:tcBorders>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1.20</w:t>
            </w:r>
          </w:p>
        </w:tc>
        <w:tc>
          <w:tcPr>
            <w:tcW w:w="380" w:type="dxa"/>
            <w:vAlign w:val="bottom"/>
            <w:tcBorders>
              <w:bottom w:val="single" w:sz="8" w:color="EEEEEE"/>
            </w:tcBorders>
            <w:shd w:val="clear" w:color="auto" w:fill="EEEEEE"/>
          </w:tcPr>
          <w:p>
            <w:pPr>
              <w:spacing w:after="0"/>
              <w:rPr>
                <w:sz w:val="16"/>
                <w:szCs w:val="16"/>
                <w:color w:val="auto"/>
              </w:rPr>
            </w:pPr>
          </w:p>
        </w:tc>
        <w:tc>
          <w:tcPr>
            <w:tcW w:w="380" w:type="dxa"/>
            <w:vAlign w:val="bottom"/>
            <w:tcBorders>
              <w:bottom w:val="single" w:sz="8" w:color="EEEEEE"/>
            </w:tcBorders>
            <w:shd w:val="clear" w:color="auto" w:fill="EEEEEE"/>
          </w:tcPr>
          <w:p>
            <w:pPr>
              <w:spacing w:after="0"/>
              <w:rPr>
                <w:sz w:val="16"/>
                <w:szCs w:val="16"/>
                <w:color w:val="auto"/>
              </w:rPr>
            </w:pPr>
          </w:p>
        </w:tc>
        <w:tc>
          <w:tcPr>
            <w:tcW w:w="820" w:type="dxa"/>
            <w:vAlign w:val="bottom"/>
            <w:tcBorders>
              <w:top w:val="single" w:sz="8" w:color="0000EE"/>
              <w:bottom w:val="single" w:sz="8" w:color="0000EE"/>
            </w:tcBorders>
            <w:gridSpan w:val="4"/>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Counterparts</w:t>
            </w:r>
          </w:p>
        </w:tc>
        <w:tc>
          <w:tcPr>
            <w:tcW w:w="560" w:type="dxa"/>
            <w:vAlign w:val="bottom"/>
            <w:tcBorders>
              <w:top w:val="single" w:sz="8" w:color="0000EE"/>
              <w:bottom w:val="single" w:sz="8" w:color="EEEEEE"/>
              <w:right w:val="single" w:sz="8" w:color="EEEEEE"/>
            </w:tcBorders>
            <w:gridSpan w:val="6"/>
            <w:shd w:val="clear" w:color="auto" w:fill="EEEEEE"/>
          </w:tcPr>
          <w:p>
            <w:pPr>
              <w:spacing w:after="0"/>
              <w:rPr>
                <w:sz w:val="16"/>
                <w:szCs w:val="16"/>
                <w:color w:val="auto"/>
              </w:rPr>
            </w:pPr>
          </w:p>
        </w:tc>
        <w:tc>
          <w:tcPr>
            <w:tcW w:w="7700" w:type="dxa"/>
            <w:vAlign w:val="bottom"/>
            <w:tcBorders>
              <w:bottom w:val="single" w:sz="8" w:color="EEEEEE"/>
            </w:tcBorders>
            <w:gridSpan w:val="15"/>
            <w:shd w:val="clear" w:color="auto" w:fill="EEEEEE"/>
          </w:tcPr>
          <w:p>
            <w:pPr>
              <w:spacing w:after="0"/>
              <w:rPr>
                <w:sz w:val="16"/>
                <w:szCs w:val="16"/>
                <w:color w:val="auto"/>
              </w:rPr>
            </w:pPr>
          </w:p>
        </w:tc>
        <w:tc>
          <w:tcPr>
            <w:tcW w:w="160" w:type="dxa"/>
            <w:vAlign w:val="bottom"/>
            <w:tcBorders>
              <w:top w:val="single" w:sz="8" w:color="0000EE"/>
              <w:bottom w:val="single" w:sz="8" w:color="0000EE"/>
            </w:tcBorders>
            <w:gridSpan w:val="2"/>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0000EE"/>
              </w:rPr>
              <w:t>SECTION 1.21</w:t>
            </w:r>
          </w:p>
        </w:tc>
        <w:tc>
          <w:tcPr>
            <w:tcW w:w="380" w:type="dxa"/>
            <w:vAlign w:val="bottom"/>
          </w:tcPr>
          <w:p>
            <w:pPr>
              <w:spacing w:after="0"/>
              <w:rPr>
                <w:sz w:val="14"/>
                <w:szCs w:val="14"/>
                <w:color w:val="auto"/>
              </w:rPr>
            </w:pPr>
          </w:p>
        </w:tc>
        <w:tc>
          <w:tcPr>
            <w:tcW w:w="9080" w:type="dxa"/>
            <w:vAlign w:val="bottom"/>
            <w:gridSpan w:val="25"/>
          </w:tcPr>
          <w:p>
            <w:pPr>
              <w:spacing w:after="0" w:line="154" w:lineRule="exact"/>
              <w:rPr>
                <w:sz w:val="20"/>
                <w:szCs w:val="20"/>
                <w:color w:val="auto"/>
              </w:rPr>
            </w:pPr>
            <w:r>
              <w:rPr>
                <w:rFonts w:ascii="Times New Roman" w:cs="Times New Roman" w:eastAsia="Times New Roman" w:hAnsi="Times New Roman"/>
                <w:sz w:val="16"/>
                <w:szCs w:val="16"/>
                <w:color w:val="0000EE"/>
              </w:rPr>
              <w:t>Force Majeure</w:t>
            </w:r>
          </w:p>
        </w:tc>
        <w:tc>
          <w:tcPr>
            <w:tcW w:w="16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980" w:type="dxa"/>
            <w:vAlign w:val="bottom"/>
            <w:tcBorders>
              <w:top w:val="single" w:sz="8" w:color="0000EE"/>
            </w:tcBorders>
            <w:shd w:val="clear" w:color="auto" w:fill="EEEEEE"/>
          </w:tcPr>
          <w:p>
            <w:pPr>
              <w:spacing w:after="0"/>
              <w:rPr>
                <w:sz w:val="17"/>
                <w:szCs w:val="17"/>
                <w:color w:val="auto"/>
              </w:rPr>
            </w:pPr>
          </w:p>
        </w:tc>
        <w:tc>
          <w:tcPr>
            <w:tcW w:w="760" w:type="dxa"/>
            <w:vAlign w:val="bottom"/>
            <w:gridSpan w:val="2"/>
            <w:shd w:val="clear" w:color="auto" w:fill="EEEEEE"/>
          </w:tcPr>
          <w:p>
            <w:pPr>
              <w:spacing w:after="0"/>
              <w:rPr>
                <w:sz w:val="17"/>
                <w:szCs w:val="17"/>
                <w:color w:val="auto"/>
              </w:rPr>
            </w:pPr>
          </w:p>
        </w:tc>
        <w:tc>
          <w:tcPr>
            <w:tcW w:w="480" w:type="dxa"/>
            <w:vAlign w:val="bottom"/>
            <w:tcBorders>
              <w:top w:val="single" w:sz="8" w:color="0000EE"/>
            </w:tcBorders>
            <w:shd w:val="clear" w:color="auto" w:fill="EEEEEE"/>
          </w:tcPr>
          <w:p>
            <w:pPr>
              <w:spacing w:after="0"/>
              <w:rPr>
                <w:sz w:val="17"/>
                <w:szCs w:val="17"/>
                <w:color w:val="auto"/>
              </w:rPr>
            </w:pPr>
          </w:p>
        </w:tc>
        <w:tc>
          <w:tcPr>
            <w:tcW w:w="220" w:type="dxa"/>
            <w:vAlign w:val="bottom"/>
            <w:tcBorders>
              <w:top w:val="single" w:sz="8" w:color="0000EE"/>
              <w:right w:val="single" w:sz="8" w:color="EEEEEE"/>
            </w:tcBorders>
            <w:shd w:val="clear" w:color="auto" w:fill="EEEEEE"/>
          </w:tcPr>
          <w:p>
            <w:pPr>
              <w:spacing w:after="0"/>
              <w:rPr>
                <w:sz w:val="17"/>
                <w:szCs w:val="17"/>
                <w:color w:val="auto"/>
              </w:rPr>
            </w:pPr>
          </w:p>
        </w:tc>
        <w:tc>
          <w:tcPr>
            <w:tcW w:w="100" w:type="dxa"/>
            <w:vAlign w:val="bottom"/>
            <w:tcBorders>
              <w:top w:val="single" w:sz="8" w:color="0000EE"/>
              <w:left w:val="single" w:sz="8" w:color="EEEEEE"/>
            </w:tcBorders>
            <w:shd w:val="clear" w:color="auto" w:fill="EEEEEE"/>
          </w:tcPr>
          <w:p>
            <w:pPr>
              <w:spacing w:after="0"/>
              <w:rPr>
                <w:sz w:val="17"/>
                <w:szCs w:val="17"/>
                <w:color w:val="auto"/>
              </w:rPr>
            </w:pPr>
          </w:p>
        </w:tc>
        <w:tc>
          <w:tcPr>
            <w:tcW w:w="20" w:type="dxa"/>
            <w:vAlign w:val="bottom"/>
            <w:tcBorders>
              <w:top w:val="single" w:sz="8" w:color="0000EE"/>
            </w:tcBorders>
            <w:shd w:val="clear" w:color="auto" w:fill="EEEEEE"/>
          </w:tcPr>
          <w:p>
            <w:pPr>
              <w:spacing w:after="0"/>
              <w:rPr>
                <w:sz w:val="17"/>
                <w:szCs w:val="17"/>
                <w:color w:val="auto"/>
              </w:rPr>
            </w:pPr>
          </w:p>
        </w:tc>
        <w:tc>
          <w:tcPr>
            <w:tcW w:w="140" w:type="dxa"/>
            <w:vAlign w:val="bottom"/>
            <w:tcBorders>
              <w:top w:val="single" w:sz="8" w:color="0000EE"/>
              <w:right w:val="single" w:sz="8" w:color="EEEEEE"/>
            </w:tcBorders>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80" w:type="dxa"/>
            <w:vAlign w:val="bottom"/>
            <w:tcBorders>
              <w:right w:val="single" w:sz="8" w:color="EEEEEE"/>
            </w:tcBorders>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0" w:type="dxa"/>
            <w:vAlign w:val="bottom"/>
            <w:tcBorders>
              <w:right w:val="single" w:sz="8" w:color="EEEEEE"/>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80" w:type="dxa"/>
            <w:vAlign w:val="bottom"/>
            <w:tcBorders>
              <w:right w:val="single" w:sz="8" w:color="EEEEEE"/>
            </w:tcBorders>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640" w:type="dxa"/>
            <w:vAlign w:val="bottom"/>
            <w:shd w:val="clear" w:color="auto" w:fill="EEEEEE"/>
          </w:tcPr>
          <w:p>
            <w:pPr>
              <w:spacing w:after="0"/>
              <w:rPr>
                <w:sz w:val="17"/>
                <w:szCs w:val="17"/>
                <w:color w:val="auto"/>
              </w:rPr>
            </w:pPr>
          </w:p>
        </w:tc>
        <w:tc>
          <w:tcPr>
            <w:tcW w:w="80" w:type="dxa"/>
            <w:vAlign w:val="bottom"/>
            <w:tcBorders>
              <w:top w:val="single" w:sz="8" w:color="0000EE"/>
            </w:tcBorders>
            <w:shd w:val="clear" w:color="auto" w:fill="EEEEEE"/>
          </w:tcPr>
          <w:p>
            <w:pPr>
              <w:spacing w:after="0"/>
              <w:rPr>
                <w:sz w:val="17"/>
                <w:szCs w:val="17"/>
                <w:color w:val="auto"/>
              </w:rPr>
            </w:pPr>
          </w:p>
        </w:tc>
        <w:tc>
          <w:tcPr>
            <w:tcW w:w="80" w:type="dxa"/>
            <w:vAlign w:val="bottom"/>
            <w:tcBorders>
              <w:top w:val="single" w:sz="8" w:color="0000EE"/>
            </w:tcBorders>
            <w:shd w:val="clear" w:color="auto" w:fill="EEEEEE"/>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2700" w:type="dxa"/>
            <w:vAlign w:val="bottom"/>
            <w:tcBorders>
              <w:bottom w:val="single" w:sz="8" w:color="0000EE"/>
            </w:tcBorders>
            <w:gridSpan w:val="6"/>
          </w:tcPr>
          <w:p>
            <w:pPr>
              <w:spacing w:after="0" w:line="154" w:lineRule="exact"/>
              <w:rPr>
                <w:sz w:val="20"/>
                <w:szCs w:val="20"/>
                <w:color w:val="auto"/>
              </w:rPr>
            </w:pPr>
            <w:r>
              <w:rPr>
                <w:rFonts w:ascii="Times New Roman" w:cs="Times New Roman" w:eastAsia="Times New Roman" w:hAnsi="Times New Roman"/>
                <w:sz w:val="16"/>
                <w:szCs w:val="16"/>
                <w:b w:val="1"/>
                <w:bCs w:val="1"/>
                <w:color w:val="0000EE"/>
                <w:w w:val="95"/>
              </w:rPr>
              <w:t>ARTICLE TWO SECURITIES FORMS</w:t>
            </w:r>
          </w:p>
        </w:tc>
        <w:tc>
          <w:tcPr>
            <w:tcW w:w="8380" w:type="dxa"/>
            <w:vAlign w:val="bottom"/>
            <w:gridSpan w:val="23"/>
          </w:tcPr>
          <w:p>
            <w:pPr>
              <w:spacing w:after="0"/>
              <w:rPr>
                <w:sz w:val="13"/>
                <w:szCs w:val="13"/>
                <w:color w:val="auto"/>
              </w:rPr>
            </w:pPr>
          </w:p>
        </w:tc>
        <w:tc>
          <w:tcPr>
            <w:tcW w:w="160" w:type="dxa"/>
            <w:vAlign w:val="bottom"/>
            <w:tcBorders>
              <w:bottom w:val="single" w:sz="8" w:color="0000EE"/>
            </w:tcBorders>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16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tcBorders>
              <w:bottom w:val="single" w:sz="8" w:color="EEEEEE"/>
            </w:tcBorders>
            <w:shd w:val="clear" w:color="auto" w:fill="EEEEEE"/>
          </w:tcPr>
          <w:p>
            <w:pPr>
              <w:spacing w:after="0"/>
              <w:rPr>
                <w:sz w:val="16"/>
                <w:szCs w:val="16"/>
                <w:color w:val="auto"/>
              </w:rPr>
            </w:pPr>
          </w:p>
        </w:tc>
        <w:tc>
          <w:tcPr>
            <w:tcW w:w="980" w:type="dxa"/>
            <w:vAlign w:val="bottom"/>
            <w:tcBorders>
              <w:bottom w:val="single" w:sz="8" w:color="0000EE"/>
            </w:tcBorders>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2.01</w:t>
            </w:r>
          </w:p>
        </w:tc>
        <w:tc>
          <w:tcPr>
            <w:tcW w:w="380" w:type="dxa"/>
            <w:vAlign w:val="bottom"/>
            <w:tcBorders>
              <w:bottom w:val="single" w:sz="8" w:color="EEEEEE"/>
            </w:tcBorders>
            <w:shd w:val="clear" w:color="auto" w:fill="EEEEEE"/>
          </w:tcPr>
          <w:p>
            <w:pPr>
              <w:spacing w:after="0"/>
              <w:rPr>
                <w:sz w:val="16"/>
                <w:szCs w:val="16"/>
                <w:color w:val="auto"/>
              </w:rPr>
            </w:pPr>
          </w:p>
        </w:tc>
        <w:tc>
          <w:tcPr>
            <w:tcW w:w="380" w:type="dxa"/>
            <w:vAlign w:val="bottom"/>
            <w:tcBorders>
              <w:bottom w:val="single" w:sz="8" w:color="EEEEEE"/>
            </w:tcBorders>
            <w:shd w:val="clear" w:color="auto" w:fill="EEEEEE"/>
          </w:tcPr>
          <w:p>
            <w:pPr>
              <w:spacing w:after="0"/>
              <w:rPr>
                <w:sz w:val="16"/>
                <w:szCs w:val="16"/>
                <w:color w:val="auto"/>
              </w:rPr>
            </w:pPr>
          </w:p>
        </w:tc>
        <w:tc>
          <w:tcPr>
            <w:tcW w:w="1060" w:type="dxa"/>
            <w:vAlign w:val="bottom"/>
            <w:tcBorders>
              <w:bottom w:val="single" w:sz="8" w:color="0000EE"/>
            </w:tcBorders>
            <w:gridSpan w:val="8"/>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Forms Generally</w:t>
            </w:r>
          </w:p>
        </w:tc>
        <w:tc>
          <w:tcPr>
            <w:tcW w:w="8020" w:type="dxa"/>
            <w:vAlign w:val="bottom"/>
            <w:tcBorders>
              <w:bottom w:val="single" w:sz="8" w:color="EEEEEE"/>
            </w:tcBorders>
            <w:gridSpan w:val="17"/>
            <w:shd w:val="clear" w:color="auto" w:fill="EEEEEE"/>
          </w:tcPr>
          <w:p>
            <w:pPr>
              <w:spacing w:after="0"/>
              <w:rPr>
                <w:sz w:val="16"/>
                <w:szCs w:val="16"/>
                <w:color w:val="auto"/>
              </w:rPr>
            </w:pPr>
          </w:p>
        </w:tc>
        <w:tc>
          <w:tcPr>
            <w:tcW w:w="160" w:type="dxa"/>
            <w:vAlign w:val="bottom"/>
            <w:tcBorders>
              <w:bottom w:val="single" w:sz="8" w:color="0000EE"/>
            </w:tcBorders>
            <w:gridSpan w:val="2"/>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bottom w:val="single" w:sz="8" w:color="0000EE"/>
            </w:tcBorders>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2.02</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60" w:type="dxa"/>
            <w:vAlign w:val="bottom"/>
            <w:tcBorders>
              <w:bottom w:val="single" w:sz="8" w:color="0000EE"/>
            </w:tcBorders>
            <w:gridSpan w:val="19"/>
          </w:tcPr>
          <w:p>
            <w:pPr>
              <w:spacing w:after="0" w:line="154" w:lineRule="exact"/>
              <w:rPr>
                <w:sz w:val="20"/>
                <w:szCs w:val="20"/>
                <w:color w:val="auto"/>
              </w:rPr>
            </w:pPr>
            <w:r>
              <w:rPr>
                <w:rFonts w:ascii="Times New Roman" w:cs="Times New Roman" w:eastAsia="Times New Roman" w:hAnsi="Times New Roman"/>
                <w:sz w:val="16"/>
                <w:szCs w:val="16"/>
                <w:color w:val="0000EE"/>
                <w:w w:val="97"/>
              </w:rPr>
              <w:t>Form of Trustee's Certificate of Authentication</w:t>
            </w:r>
          </w:p>
        </w:tc>
        <w:tc>
          <w:tcPr>
            <w:tcW w:w="6120" w:type="dxa"/>
            <w:vAlign w:val="bottom"/>
            <w:gridSpan w:val="6"/>
          </w:tcPr>
          <w:p>
            <w:pPr>
              <w:spacing w:after="0"/>
              <w:rPr>
                <w:sz w:val="13"/>
                <w:szCs w:val="13"/>
                <w:color w:val="auto"/>
              </w:rPr>
            </w:pPr>
          </w:p>
        </w:tc>
        <w:tc>
          <w:tcPr>
            <w:tcW w:w="160" w:type="dxa"/>
            <w:vAlign w:val="bottom"/>
            <w:tcBorders>
              <w:bottom w:val="single" w:sz="8" w:color="0000EE"/>
            </w:tcBorders>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360" w:type="dxa"/>
            <w:vAlign w:val="bottom"/>
            <w:gridSpan w:val="2"/>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SECTION 2.03</w:t>
            </w:r>
          </w:p>
        </w:tc>
        <w:tc>
          <w:tcPr>
            <w:tcW w:w="380" w:type="dxa"/>
            <w:vAlign w:val="bottom"/>
            <w:shd w:val="clear" w:color="auto" w:fill="EEEEEE"/>
          </w:tcPr>
          <w:p>
            <w:pPr>
              <w:spacing w:after="0"/>
              <w:rPr>
                <w:sz w:val="16"/>
                <w:szCs w:val="16"/>
                <w:color w:val="auto"/>
              </w:rPr>
            </w:pPr>
          </w:p>
        </w:tc>
        <w:tc>
          <w:tcPr>
            <w:tcW w:w="9080" w:type="dxa"/>
            <w:vAlign w:val="bottom"/>
            <w:gridSpan w:val="25"/>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Securities Issuable in Global Form</w:t>
            </w:r>
          </w:p>
        </w:tc>
        <w:tc>
          <w:tcPr>
            <w:tcW w:w="160" w:type="dxa"/>
            <w:vAlign w:val="bottom"/>
            <w:gridSpan w:val="2"/>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60" w:type="dxa"/>
            <w:vAlign w:val="bottom"/>
            <w:tcBorders>
              <w:top w:val="single" w:sz="8" w:color="EEEEEE"/>
            </w:tcBorders>
          </w:tcPr>
          <w:p>
            <w:pPr>
              <w:spacing w:after="0"/>
              <w:rPr>
                <w:sz w:val="16"/>
                <w:szCs w:val="16"/>
                <w:color w:val="auto"/>
              </w:rPr>
            </w:pPr>
          </w:p>
        </w:tc>
        <w:tc>
          <w:tcPr>
            <w:tcW w:w="980" w:type="dxa"/>
            <w:vAlign w:val="bottom"/>
            <w:tcBorders>
              <w:top w:val="single" w:sz="8" w:color="0000EE"/>
            </w:tcBorders>
          </w:tcPr>
          <w:p>
            <w:pPr>
              <w:spacing w:after="0"/>
              <w:rPr>
                <w:sz w:val="16"/>
                <w:szCs w:val="16"/>
                <w:color w:val="auto"/>
              </w:rPr>
            </w:pPr>
          </w:p>
        </w:tc>
        <w:tc>
          <w:tcPr>
            <w:tcW w:w="760" w:type="dxa"/>
            <w:vAlign w:val="bottom"/>
            <w:tcBorders>
              <w:top w:val="single" w:sz="8" w:color="EEEEEE"/>
            </w:tcBorders>
            <w:gridSpan w:val="2"/>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220" w:type="dxa"/>
            <w:vAlign w:val="bottom"/>
            <w:tcBorders>
              <w:top w:val="single" w:sz="8" w:color="EEEEEE"/>
            </w:tcBorders>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30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220" w:type="dxa"/>
            <w:vAlign w:val="bottom"/>
            <w:tcBorders>
              <w:top w:val="single" w:sz="8" w:color="EEEEEE"/>
            </w:tcBorders>
          </w:tcPr>
          <w:p>
            <w:pPr>
              <w:spacing w:after="0"/>
              <w:rPr>
                <w:sz w:val="16"/>
                <w:szCs w:val="16"/>
                <w:color w:val="auto"/>
              </w:rPr>
            </w:pPr>
          </w:p>
        </w:tc>
        <w:tc>
          <w:tcPr>
            <w:tcW w:w="1080" w:type="dxa"/>
            <w:vAlign w:val="bottom"/>
            <w:tcBorders>
              <w:top w:val="single" w:sz="8" w:color="EEEEEE"/>
            </w:tcBorders>
          </w:tcPr>
          <w:p>
            <w:pPr>
              <w:spacing w:after="0"/>
              <w:rPr>
                <w:sz w:val="16"/>
                <w:szCs w:val="16"/>
                <w:color w:val="auto"/>
              </w:rPr>
            </w:pPr>
          </w:p>
        </w:tc>
        <w:tc>
          <w:tcPr>
            <w:tcW w:w="1600" w:type="dxa"/>
            <w:vAlign w:val="bottom"/>
            <w:tcBorders>
              <w:top w:val="single" w:sz="8" w:color="EEEEEE"/>
            </w:tcBorders>
          </w:tcPr>
          <w:p>
            <w:pPr>
              <w:spacing w:after="0"/>
              <w:rPr>
                <w:sz w:val="16"/>
                <w:szCs w:val="16"/>
                <w:color w:val="auto"/>
              </w:rPr>
            </w:pPr>
          </w:p>
        </w:tc>
        <w:tc>
          <w:tcPr>
            <w:tcW w:w="480" w:type="dxa"/>
            <w:vAlign w:val="bottom"/>
            <w:tcBorders>
              <w:top w:val="single" w:sz="8" w:color="EEEEEE"/>
            </w:tcBorders>
          </w:tcPr>
          <w:p>
            <w:pPr>
              <w:spacing w:after="0"/>
              <w:rPr>
                <w:sz w:val="16"/>
                <w:szCs w:val="16"/>
                <w:color w:val="auto"/>
              </w:rPr>
            </w:pPr>
          </w:p>
        </w:tc>
        <w:tc>
          <w:tcPr>
            <w:tcW w:w="264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11080" w:type="dxa"/>
            <w:vAlign w:val="bottom"/>
            <w:gridSpan w:val="29"/>
            <w:shd w:val="clear" w:color="auto" w:fill="EEEEEE"/>
          </w:tcPr>
          <w:p>
            <w:pPr>
              <w:spacing w:after="0" w:line="154" w:lineRule="exact"/>
              <w:rPr>
                <w:sz w:val="20"/>
                <w:szCs w:val="20"/>
                <w:color w:val="auto"/>
              </w:rPr>
            </w:pPr>
            <w:r>
              <w:rPr>
                <w:rFonts w:ascii="Times New Roman" w:cs="Times New Roman" w:eastAsia="Times New Roman" w:hAnsi="Times New Roman"/>
                <w:sz w:val="16"/>
                <w:szCs w:val="16"/>
                <w:b w:val="1"/>
                <w:bCs w:val="1"/>
                <w:color w:val="0000EE"/>
              </w:rPr>
              <w:t>ARTICLE THREE THE SECURITIES</w:t>
            </w:r>
          </w:p>
        </w:tc>
        <w:tc>
          <w:tcPr>
            <w:tcW w:w="160" w:type="dxa"/>
            <w:vAlign w:val="bottom"/>
            <w:gridSpan w:val="2"/>
            <w:shd w:val="clear" w:color="auto" w:fill="EEEEEE"/>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18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20" w:type="dxa"/>
            <w:vAlign w:val="bottom"/>
            <w:tcBorders>
              <w:right w:val="single" w:sz="8" w:color="EEEEEE"/>
            </w:tcBorders>
            <w:shd w:val="clear" w:color="auto" w:fill="0000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140" w:type="dxa"/>
            <w:vAlign w:val="bottom"/>
            <w:tcBorders>
              <w:right w:val="single" w:sz="8" w:color="EEEEEE"/>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280" w:type="dxa"/>
            <w:vAlign w:val="bottom"/>
            <w:tcBorders>
              <w:right w:val="single" w:sz="8" w:color="EEEEEE"/>
            </w:tcBorders>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52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080" w:type="dxa"/>
            <w:vAlign w:val="bottom"/>
            <w:tcBorders>
              <w:right w:val="single" w:sz="8" w:color="EEEEEE"/>
            </w:tcBorders>
            <w:shd w:val="clear" w:color="auto" w:fill="EEEEEE"/>
          </w:tcPr>
          <w:p>
            <w:pPr>
              <w:spacing w:after="0"/>
              <w:rPr>
                <w:sz w:val="3"/>
                <w:szCs w:val="3"/>
                <w:color w:val="auto"/>
              </w:rPr>
            </w:pPr>
          </w:p>
        </w:tc>
        <w:tc>
          <w:tcPr>
            <w:tcW w:w="1600" w:type="dxa"/>
            <w:vAlign w:val="bottom"/>
            <w:shd w:val="clear" w:color="auto" w:fill="EEEEEE"/>
          </w:tcPr>
          <w:p>
            <w:pPr>
              <w:spacing w:after="0"/>
              <w:rPr>
                <w:sz w:val="3"/>
                <w:szCs w:val="3"/>
                <w:color w:val="auto"/>
              </w:rPr>
            </w:pPr>
          </w:p>
        </w:tc>
        <w:tc>
          <w:tcPr>
            <w:tcW w:w="480" w:type="dxa"/>
            <w:vAlign w:val="bottom"/>
            <w:shd w:val="clear" w:color="auto" w:fill="EEEEEE"/>
          </w:tcPr>
          <w:p>
            <w:pPr>
              <w:spacing w:after="0"/>
              <w:rPr>
                <w:sz w:val="3"/>
                <w:szCs w:val="3"/>
                <w:color w:val="auto"/>
              </w:rPr>
            </w:pPr>
          </w:p>
        </w:tc>
        <w:tc>
          <w:tcPr>
            <w:tcW w:w="264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bottom w:val="single" w:sz="8" w:color="0000EE"/>
            </w:tcBorders>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3.01</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Borders>
              <w:bottom w:val="single" w:sz="8" w:color="0000EE"/>
            </w:tcBorders>
            <w:gridSpan w:val="9"/>
          </w:tcPr>
          <w:p>
            <w:pPr>
              <w:spacing w:after="0" w:line="154" w:lineRule="exact"/>
              <w:rPr>
                <w:sz w:val="20"/>
                <w:szCs w:val="20"/>
                <w:color w:val="auto"/>
              </w:rPr>
            </w:pPr>
            <w:r>
              <w:rPr>
                <w:rFonts w:ascii="Times New Roman" w:cs="Times New Roman" w:eastAsia="Times New Roman" w:hAnsi="Times New Roman"/>
                <w:sz w:val="16"/>
                <w:szCs w:val="16"/>
                <w:color w:val="0000EE"/>
                <w:w w:val="96"/>
              </w:rPr>
              <w:t>Issuable in Series</w:t>
            </w:r>
          </w:p>
        </w:tc>
        <w:tc>
          <w:tcPr>
            <w:tcW w:w="7980" w:type="dxa"/>
            <w:vAlign w:val="bottom"/>
            <w:gridSpan w:val="16"/>
          </w:tcPr>
          <w:p>
            <w:pPr>
              <w:spacing w:after="0"/>
              <w:rPr>
                <w:sz w:val="13"/>
                <w:szCs w:val="13"/>
                <w:color w:val="auto"/>
              </w:rPr>
            </w:pPr>
          </w:p>
        </w:tc>
        <w:tc>
          <w:tcPr>
            <w:tcW w:w="160" w:type="dxa"/>
            <w:vAlign w:val="bottom"/>
            <w:tcBorders>
              <w:bottom w:val="single" w:sz="8" w:color="0000EE"/>
            </w:tcBorders>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tcBorders>
              <w:bottom w:val="single" w:sz="8" w:color="EEEEEE"/>
            </w:tcBorders>
            <w:shd w:val="clear" w:color="auto" w:fill="EEEEEE"/>
          </w:tcPr>
          <w:p>
            <w:pPr>
              <w:spacing w:after="0"/>
              <w:rPr>
                <w:sz w:val="16"/>
                <w:szCs w:val="16"/>
                <w:color w:val="auto"/>
              </w:rPr>
            </w:pPr>
          </w:p>
        </w:tc>
        <w:tc>
          <w:tcPr>
            <w:tcW w:w="980" w:type="dxa"/>
            <w:vAlign w:val="bottom"/>
            <w:tcBorders>
              <w:bottom w:val="single" w:sz="8" w:color="0000EE"/>
            </w:tcBorders>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3.02</w:t>
            </w:r>
          </w:p>
        </w:tc>
        <w:tc>
          <w:tcPr>
            <w:tcW w:w="380" w:type="dxa"/>
            <w:vAlign w:val="bottom"/>
            <w:tcBorders>
              <w:bottom w:val="single" w:sz="8" w:color="EEEEEE"/>
            </w:tcBorders>
            <w:shd w:val="clear" w:color="auto" w:fill="EEEEEE"/>
          </w:tcPr>
          <w:p>
            <w:pPr>
              <w:spacing w:after="0"/>
              <w:rPr>
                <w:sz w:val="16"/>
                <w:szCs w:val="16"/>
                <w:color w:val="auto"/>
              </w:rPr>
            </w:pPr>
          </w:p>
        </w:tc>
        <w:tc>
          <w:tcPr>
            <w:tcW w:w="380" w:type="dxa"/>
            <w:vAlign w:val="bottom"/>
            <w:tcBorders>
              <w:bottom w:val="single" w:sz="8" w:color="EEEEEE"/>
            </w:tcBorders>
            <w:shd w:val="clear" w:color="auto" w:fill="EEEEEE"/>
          </w:tcPr>
          <w:p>
            <w:pPr>
              <w:spacing w:after="0"/>
              <w:rPr>
                <w:sz w:val="16"/>
                <w:szCs w:val="16"/>
                <w:color w:val="auto"/>
              </w:rPr>
            </w:pPr>
          </w:p>
        </w:tc>
        <w:tc>
          <w:tcPr>
            <w:tcW w:w="960" w:type="dxa"/>
            <w:vAlign w:val="bottom"/>
            <w:tcBorders>
              <w:bottom w:val="single" w:sz="8" w:color="0000EE"/>
              <w:right w:val="single" w:sz="8" w:color="EEEEEE"/>
            </w:tcBorders>
            <w:gridSpan w:val="5"/>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4"/>
              </w:rPr>
              <w:t>Denominations</w:t>
            </w:r>
          </w:p>
        </w:tc>
        <w:tc>
          <w:tcPr>
            <w:tcW w:w="8120" w:type="dxa"/>
            <w:vAlign w:val="bottom"/>
            <w:tcBorders>
              <w:bottom w:val="single" w:sz="8" w:color="EEEEEE"/>
            </w:tcBorders>
            <w:gridSpan w:val="20"/>
            <w:shd w:val="clear" w:color="auto" w:fill="EEEEEE"/>
          </w:tcPr>
          <w:p>
            <w:pPr>
              <w:spacing w:after="0"/>
              <w:rPr>
                <w:sz w:val="16"/>
                <w:szCs w:val="16"/>
                <w:color w:val="auto"/>
              </w:rPr>
            </w:pPr>
          </w:p>
        </w:tc>
        <w:tc>
          <w:tcPr>
            <w:tcW w:w="160" w:type="dxa"/>
            <w:vAlign w:val="bottom"/>
            <w:tcBorders>
              <w:bottom w:val="single" w:sz="8" w:color="0000EE"/>
            </w:tcBorders>
            <w:gridSpan w:val="2"/>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bottom w:val="single" w:sz="8" w:color="0000EE"/>
            </w:tcBorders>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3.03</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60" w:type="dxa"/>
            <w:vAlign w:val="bottom"/>
            <w:tcBorders>
              <w:bottom w:val="single" w:sz="8" w:color="0000EE"/>
            </w:tcBorders>
            <w:gridSpan w:val="20"/>
          </w:tcPr>
          <w:p>
            <w:pPr>
              <w:spacing w:after="0" w:line="154" w:lineRule="exact"/>
              <w:rPr>
                <w:sz w:val="20"/>
                <w:szCs w:val="20"/>
                <w:color w:val="auto"/>
              </w:rPr>
            </w:pPr>
            <w:r>
              <w:rPr>
                <w:rFonts w:ascii="Times New Roman" w:cs="Times New Roman" w:eastAsia="Times New Roman" w:hAnsi="Times New Roman"/>
                <w:sz w:val="16"/>
                <w:szCs w:val="16"/>
                <w:color w:val="0000EE"/>
                <w:w w:val="98"/>
              </w:rPr>
              <w:t>Execution, Authentication, Delivery and Dating</w:t>
            </w:r>
          </w:p>
        </w:tc>
        <w:tc>
          <w:tcPr>
            <w:tcW w:w="6020" w:type="dxa"/>
            <w:vAlign w:val="bottom"/>
            <w:gridSpan w:val="5"/>
          </w:tcPr>
          <w:p>
            <w:pPr>
              <w:spacing w:after="0"/>
              <w:rPr>
                <w:sz w:val="13"/>
                <w:szCs w:val="13"/>
                <w:color w:val="auto"/>
              </w:rPr>
            </w:pPr>
          </w:p>
        </w:tc>
        <w:tc>
          <w:tcPr>
            <w:tcW w:w="160" w:type="dxa"/>
            <w:vAlign w:val="bottom"/>
            <w:tcBorders>
              <w:bottom w:val="single" w:sz="8" w:color="0000EE"/>
            </w:tcBorders>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980" w:type="dxa"/>
            <w:vAlign w:val="bottom"/>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3.04</w:t>
            </w:r>
          </w:p>
        </w:tc>
        <w:tc>
          <w:tcPr>
            <w:tcW w:w="38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9080" w:type="dxa"/>
            <w:vAlign w:val="bottom"/>
            <w:gridSpan w:val="25"/>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Temporary Securities</w:t>
            </w:r>
          </w:p>
        </w:tc>
        <w:tc>
          <w:tcPr>
            <w:tcW w:w="160" w:type="dxa"/>
            <w:vAlign w:val="bottom"/>
            <w:gridSpan w:val="2"/>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520" w:type="dxa"/>
            <w:vAlign w:val="bottom"/>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100" w:type="dxa"/>
            <w:vAlign w:val="bottom"/>
            <w:tcBorders>
              <w:right w:val="single" w:sz="8" w:color="EEEEEE"/>
            </w:tcBorders>
            <w:shd w:val="clear" w:color="auto" w:fill="EEEE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080" w:type="dxa"/>
            <w:vAlign w:val="bottom"/>
            <w:tcBorders>
              <w:right w:val="single" w:sz="8" w:color="EEEEEE"/>
            </w:tcBorders>
            <w:shd w:val="clear" w:color="auto" w:fill="EEEEEE"/>
          </w:tcPr>
          <w:p>
            <w:pPr>
              <w:spacing w:after="0"/>
              <w:rPr>
                <w:sz w:val="3"/>
                <w:szCs w:val="3"/>
                <w:color w:val="auto"/>
              </w:rPr>
            </w:pPr>
          </w:p>
        </w:tc>
        <w:tc>
          <w:tcPr>
            <w:tcW w:w="1600" w:type="dxa"/>
            <w:vAlign w:val="bottom"/>
            <w:shd w:val="clear" w:color="auto" w:fill="EEEEEE"/>
          </w:tcPr>
          <w:p>
            <w:pPr>
              <w:spacing w:after="0"/>
              <w:rPr>
                <w:sz w:val="3"/>
                <w:szCs w:val="3"/>
                <w:color w:val="auto"/>
              </w:rPr>
            </w:pPr>
          </w:p>
        </w:tc>
        <w:tc>
          <w:tcPr>
            <w:tcW w:w="480" w:type="dxa"/>
            <w:vAlign w:val="bottom"/>
            <w:shd w:val="clear" w:color="auto" w:fill="EEEEEE"/>
          </w:tcPr>
          <w:p>
            <w:pPr>
              <w:spacing w:after="0"/>
              <w:rPr>
                <w:sz w:val="3"/>
                <w:szCs w:val="3"/>
                <w:color w:val="auto"/>
              </w:rPr>
            </w:pPr>
          </w:p>
        </w:tc>
        <w:tc>
          <w:tcPr>
            <w:tcW w:w="264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3.05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80" w:type="dxa"/>
            <w:vAlign w:val="bottom"/>
            <w:gridSpan w:val="25"/>
          </w:tcPr>
          <w:p>
            <w:pPr>
              <w:spacing w:after="0" w:line="154" w:lineRule="exact"/>
              <w:rPr>
                <w:sz w:val="20"/>
                <w:szCs w:val="20"/>
                <w:color w:val="auto"/>
              </w:rPr>
            </w:pPr>
            <w:r>
              <w:rPr>
                <w:rFonts w:ascii="Times New Roman" w:cs="Times New Roman" w:eastAsia="Times New Roman" w:hAnsi="Times New Roman"/>
                <w:sz w:val="16"/>
                <w:szCs w:val="16"/>
                <w:color w:val="0000EE"/>
              </w:rPr>
              <w:t>Registration, Registration of Transfer and Exchange</w:t>
            </w:r>
          </w:p>
        </w:tc>
        <w:tc>
          <w:tcPr>
            <w:tcW w:w="16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980" w:type="dxa"/>
            <w:vAlign w:val="bottom"/>
            <w:tcBorders>
              <w:top w:val="single" w:sz="8" w:color="0000EE"/>
            </w:tcBorders>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3.06</w:t>
            </w:r>
          </w:p>
        </w:tc>
        <w:tc>
          <w:tcPr>
            <w:tcW w:w="38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3280" w:type="dxa"/>
            <w:vAlign w:val="bottom"/>
            <w:tcBorders>
              <w:top w:val="single" w:sz="8" w:color="0000EE"/>
            </w:tcBorders>
            <w:gridSpan w:val="21"/>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Mutilated, Destroyed, Lost and Stolen Securities</w:t>
            </w:r>
          </w:p>
        </w:tc>
        <w:tc>
          <w:tcPr>
            <w:tcW w:w="5800" w:type="dxa"/>
            <w:vAlign w:val="bottom"/>
            <w:gridSpan w:val="4"/>
            <w:shd w:val="clear" w:color="auto" w:fill="EEEEEE"/>
          </w:tcPr>
          <w:p>
            <w:pPr>
              <w:spacing w:after="0"/>
              <w:rPr>
                <w:sz w:val="14"/>
                <w:szCs w:val="14"/>
                <w:color w:val="auto"/>
              </w:rPr>
            </w:pPr>
          </w:p>
        </w:tc>
        <w:tc>
          <w:tcPr>
            <w:tcW w:w="160" w:type="dxa"/>
            <w:vAlign w:val="bottom"/>
            <w:tcBorders>
              <w:top w:val="single" w:sz="8" w:color="0000EE"/>
            </w:tcBorders>
            <w:gridSpan w:val="2"/>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080" w:type="dxa"/>
            <w:vAlign w:val="bottom"/>
            <w:tcBorders>
              <w:right w:val="single" w:sz="8" w:color="EEEEEE"/>
            </w:tcBorders>
            <w:shd w:val="clear" w:color="auto" w:fill="EEEEEE"/>
          </w:tcPr>
          <w:p>
            <w:pPr>
              <w:spacing w:after="0"/>
              <w:rPr>
                <w:sz w:val="3"/>
                <w:szCs w:val="3"/>
                <w:color w:val="auto"/>
              </w:rPr>
            </w:pPr>
          </w:p>
        </w:tc>
        <w:tc>
          <w:tcPr>
            <w:tcW w:w="1600" w:type="dxa"/>
            <w:vAlign w:val="bottom"/>
            <w:shd w:val="clear" w:color="auto" w:fill="EEEEEE"/>
          </w:tcPr>
          <w:p>
            <w:pPr>
              <w:spacing w:after="0"/>
              <w:rPr>
                <w:sz w:val="3"/>
                <w:szCs w:val="3"/>
                <w:color w:val="auto"/>
              </w:rPr>
            </w:pPr>
          </w:p>
        </w:tc>
        <w:tc>
          <w:tcPr>
            <w:tcW w:w="480" w:type="dxa"/>
            <w:vAlign w:val="bottom"/>
            <w:shd w:val="clear" w:color="auto" w:fill="EEEEEE"/>
          </w:tcPr>
          <w:p>
            <w:pPr>
              <w:spacing w:after="0"/>
              <w:rPr>
                <w:sz w:val="3"/>
                <w:szCs w:val="3"/>
                <w:color w:val="auto"/>
              </w:rPr>
            </w:pPr>
          </w:p>
        </w:tc>
        <w:tc>
          <w:tcPr>
            <w:tcW w:w="264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3.07</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80" w:type="dxa"/>
            <w:vAlign w:val="bottom"/>
            <w:gridSpan w:val="25"/>
          </w:tcPr>
          <w:p>
            <w:pPr>
              <w:spacing w:after="0" w:line="154" w:lineRule="exact"/>
              <w:rPr>
                <w:sz w:val="20"/>
                <w:szCs w:val="20"/>
                <w:color w:val="auto"/>
              </w:rPr>
            </w:pPr>
            <w:r>
              <w:rPr>
                <w:rFonts w:ascii="Times New Roman" w:cs="Times New Roman" w:eastAsia="Times New Roman" w:hAnsi="Times New Roman"/>
                <w:sz w:val="16"/>
                <w:szCs w:val="16"/>
                <w:color w:val="0000EE"/>
              </w:rPr>
              <w:t>Payment of Principal, Premium and Interest; Interest Rights Preserved; Optional Interest Reset</w:t>
            </w:r>
          </w:p>
        </w:tc>
        <w:tc>
          <w:tcPr>
            <w:tcW w:w="16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tcBorders>
              <w:bottom w:val="single" w:sz="8" w:color="EEEEEE"/>
            </w:tcBorders>
            <w:shd w:val="clear" w:color="auto" w:fill="EEEEEE"/>
          </w:tcPr>
          <w:p>
            <w:pPr>
              <w:spacing w:after="0"/>
              <w:rPr>
                <w:sz w:val="16"/>
                <w:szCs w:val="16"/>
                <w:color w:val="auto"/>
              </w:rPr>
            </w:pPr>
          </w:p>
        </w:tc>
        <w:tc>
          <w:tcPr>
            <w:tcW w:w="980" w:type="dxa"/>
            <w:vAlign w:val="bottom"/>
            <w:tcBorders>
              <w:top w:val="single" w:sz="8" w:color="0000EE"/>
              <w:bottom w:val="single" w:sz="8" w:color="0000EE"/>
            </w:tcBorders>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3.08</w:t>
            </w:r>
          </w:p>
        </w:tc>
        <w:tc>
          <w:tcPr>
            <w:tcW w:w="380" w:type="dxa"/>
            <w:vAlign w:val="bottom"/>
            <w:tcBorders>
              <w:bottom w:val="single" w:sz="8" w:color="EEEEEE"/>
            </w:tcBorders>
            <w:shd w:val="clear" w:color="auto" w:fill="EEEEEE"/>
          </w:tcPr>
          <w:p>
            <w:pPr>
              <w:spacing w:after="0"/>
              <w:rPr>
                <w:sz w:val="16"/>
                <w:szCs w:val="16"/>
                <w:color w:val="auto"/>
              </w:rPr>
            </w:pPr>
          </w:p>
        </w:tc>
        <w:tc>
          <w:tcPr>
            <w:tcW w:w="380" w:type="dxa"/>
            <w:vAlign w:val="bottom"/>
            <w:tcBorders>
              <w:bottom w:val="single" w:sz="8" w:color="EEEEEE"/>
            </w:tcBorders>
            <w:shd w:val="clear" w:color="auto" w:fill="EEEEEE"/>
          </w:tcPr>
          <w:p>
            <w:pPr>
              <w:spacing w:after="0"/>
              <w:rPr>
                <w:sz w:val="16"/>
                <w:szCs w:val="16"/>
                <w:color w:val="auto"/>
              </w:rPr>
            </w:pPr>
          </w:p>
        </w:tc>
        <w:tc>
          <w:tcPr>
            <w:tcW w:w="2420" w:type="dxa"/>
            <w:vAlign w:val="bottom"/>
            <w:tcBorders>
              <w:top w:val="single" w:sz="8" w:color="0000EE"/>
              <w:bottom w:val="single" w:sz="8" w:color="0000EE"/>
            </w:tcBorders>
            <w:gridSpan w:val="16"/>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7"/>
              </w:rPr>
              <w:t>Optional Extension of Stated Maturity</w:t>
            </w:r>
          </w:p>
        </w:tc>
        <w:tc>
          <w:tcPr>
            <w:tcW w:w="3540" w:type="dxa"/>
            <w:vAlign w:val="bottom"/>
            <w:tcBorders>
              <w:top w:val="single" w:sz="8" w:color="0000EE"/>
              <w:bottom w:val="single" w:sz="8" w:color="EEEEEE"/>
            </w:tcBorders>
            <w:gridSpan w:val="7"/>
            <w:shd w:val="clear" w:color="auto" w:fill="EEEEEE"/>
          </w:tcPr>
          <w:p>
            <w:pPr>
              <w:spacing w:after="0"/>
              <w:rPr>
                <w:sz w:val="16"/>
                <w:szCs w:val="16"/>
                <w:color w:val="auto"/>
              </w:rPr>
            </w:pPr>
          </w:p>
        </w:tc>
        <w:tc>
          <w:tcPr>
            <w:tcW w:w="3120" w:type="dxa"/>
            <w:vAlign w:val="bottom"/>
            <w:tcBorders>
              <w:bottom w:val="single" w:sz="8" w:color="EEEEEE"/>
            </w:tcBorders>
            <w:gridSpan w:val="2"/>
            <w:shd w:val="clear" w:color="auto" w:fill="EEEEEE"/>
          </w:tcPr>
          <w:p>
            <w:pPr>
              <w:spacing w:after="0"/>
              <w:rPr>
                <w:sz w:val="16"/>
                <w:szCs w:val="16"/>
                <w:color w:val="auto"/>
              </w:rPr>
            </w:pPr>
          </w:p>
        </w:tc>
        <w:tc>
          <w:tcPr>
            <w:tcW w:w="160" w:type="dxa"/>
            <w:vAlign w:val="bottom"/>
            <w:tcBorders>
              <w:top w:val="single" w:sz="8" w:color="0000EE"/>
              <w:bottom w:val="single" w:sz="8" w:color="0000EE"/>
            </w:tcBorders>
            <w:gridSpan w:val="2"/>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3.09</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80" w:type="dxa"/>
            <w:vAlign w:val="bottom"/>
            <w:gridSpan w:val="25"/>
          </w:tcPr>
          <w:p>
            <w:pPr>
              <w:spacing w:after="0" w:line="154" w:lineRule="exact"/>
              <w:rPr>
                <w:sz w:val="20"/>
                <w:szCs w:val="20"/>
                <w:color w:val="auto"/>
              </w:rPr>
            </w:pPr>
            <w:r>
              <w:rPr>
                <w:rFonts w:ascii="Times New Roman" w:cs="Times New Roman" w:eastAsia="Times New Roman" w:hAnsi="Times New Roman"/>
                <w:sz w:val="16"/>
                <w:szCs w:val="16"/>
                <w:color w:val="0000EE"/>
              </w:rPr>
              <w:t>Persons Deemed Owners</w:t>
            </w:r>
          </w:p>
        </w:tc>
        <w:tc>
          <w:tcPr>
            <w:tcW w:w="16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tcBorders>
              <w:bottom w:val="single" w:sz="8" w:color="EEEEEE"/>
            </w:tcBorders>
            <w:shd w:val="clear" w:color="auto" w:fill="EEEEEE"/>
          </w:tcPr>
          <w:p>
            <w:pPr>
              <w:spacing w:after="0"/>
              <w:rPr>
                <w:sz w:val="16"/>
                <w:szCs w:val="16"/>
                <w:color w:val="auto"/>
              </w:rPr>
            </w:pPr>
          </w:p>
        </w:tc>
        <w:tc>
          <w:tcPr>
            <w:tcW w:w="980" w:type="dxa"/>
            <w:vAlign w:val="bottom"/>
            <w:tcBorders>
              <w:top w:val="single" w:sz="8" w:color="0000EE"/>
              <w:bottom w:val="single" w:sz="8" w:color="0000EE"/>
            </w:tcBorders>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3.10</w:t>
            </w:r>
          </w:p>
        </w:tc>
        <w:tc>
          <w:tcPr>
            <w:tcW w:w="380" w:type="dxa"/>
            <w:vAlign w:val="bottom"/>
            <w:tcBorders>
              <w:bottom w:val="single" w:sz="8" w:color="EEEEEE"/>
            </w:tcBorders>
            <w:shd w:val="clear" w:color="auto" w:fill="EEEEEE"/>
          </w:tcPr>
          <w:p>
            <w:pPr>
              <w:spacing w:after="0"/>
              <w:rPr>
                <w:sz w:val="16"/>
                <w:szCs w:val="16"/>
                <w:color w:val="auto"/>
              </w:rPr>
            </w:pPr>
          </w:p>
        </w:tc>
        <w:tc>
          <w:tcPr>
            <w:tcW w:w="380" w:type="dxa"/>
            <w:vAlign w:val="bottom"/>
            <w:tcBorders>
              <w:bottom w:val="single" w:sz="8" w:color="EEEEEE"/>
            </w:tcBorders>
            <w:shd w:val="clear" w:color="auto" w:fill="EEEEEE"/>
          </w:tcPr>
          <w:p>
            <w:pPr>
              <w:spacing w:after="0"/>
              <w:rPr>
                <w:sz w:val="16"/>
                <w:szCs w:val="16"/>
                <w:color w:val="auto"/>
              </w:rPr>
            </w:pPr>
          </w:p>
        </w:tc>
        <w:tc>
          <w:tcPr>
            <w:tcW w:w="800" w:type="dxa"/>
            <w:vAlign w:val="bottom"/>
            <w:tcBorders>
              <w:top w:val="single" w:sz="8" w:color="0000EE"/>
              <w:bottom w:val="single" w:sz="8" w:color="0000EE"/>
            </w:tcBorders>
            <w:gridSpan w:val="3"/>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Cancellation</w:t>
            </w:r>
          </w:p>
        </w:tc>
        <w:tc>
          <w:tcPr>
            <w:tcW w:w="780" w:type="dxa"/>
            <w:vAlign w:val="bottom"/>
            <w:tcBorders>
              <w:top w:val="single" w:sz="8" w:color="0000EE"/>
              <w:bottom w:val="single" w:sz="8" w:color="EEEEEE"/>
            </w:tcBorders>
            <w:gridSpan w:val="9"/>
            <w:shd w:val="clear" w:color="auto" w:fill="EEEEEE"/>
          </w:tcPr>
          <w:p>
            <w:pPr>
              <w:spacing w:after="0"/>
              <w:rPr>
                <w:sz w:val="16"/>
                <w:szCs w:val="16"/>
                <w:color w:val="auto"/>
              </w:rPr>
            </w:pPr>
          </w:p>
        </w:tc>
        <w:tc>
          <w:tcPr>
            <w:tcW w:w="7500" w:type="dxa"/>
            <w:vAlign w:val="bottom"/>
            <w:tcBorders>
              <w:bottom w:val="single" w:sz="8" w:color="EEEEEE"/>
            </w:tcBorders>
            <w:gridSpan w:val="13"/>
            <w:shd w:val="clear" w:color="auto" w:fill="EEEEEE"/>
          </w:tcPr>
          <w:p>
            <w:pPr>
              <w:spacing w:after="0"/>
              <w:rPr>
                <w:sz w:val="16"/>
                <w:szCs w:val="16"/>
                <w:color w:val="auto"/>
              </w:rPr>
            </w:pPr>
          </w:p>
        </w:tc>
        <w:tc>
          <w:tcPr>
            <w:tcW w:w="160" w:type="dxa"/>
            <w:vAlign w:val="bottom"/>
            <w:tcBorders>
              <w:top w:val="single" w:sz="8" w:color="0000EE"/>
              <w:bottom w:val="single" w:sz="8" w:color="0000EE"/>
            </w:tcBorders>
            <w:gridSpan w:val="2"/>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3.11</w:t>
            </w:r>
          </w:p>
        </w:tc>
        <w:tc>
          <w:tcPr>
            <w:tcW w:w="380" w:type="dxa"/>
            <w:vAlign w:val="bottom"/>
          </w:tcPr>
          <w:p>
            <w:pPr>
              <w:spacing w:after="0"/>
              <w:rPr>
                <w:sz w:val="13"/>
                <w:szCs w:val="13"/>
                <w:color w:val="auto"/>
              </w:rPr>
            </w:pPr>
          </w:p>
        </w:tc>
        <w:tc>
          <w:tcPr>
            <w:tcW w:w="9460" w:type="dxa"/>
            <w:vAlign w:val="bottom"/>
            <w:gridSpan w:val="26"/>
          </w:tcPr>
          <w:p>
            <w:pPr>
              <w:ind w:left="380"/>
              <w:spacing w:after="0" w:line="154" w:lineRule="exact"/>
              <w:rPr>
                <w:sz w:val="20"/>
                <w:szCs w:val="20"/>
                <w:color w:val="auto"/>
              </w:rPr>
            </w:pPr>
            <w:r>
              <w:rPr>
                <w:rFonts w:ascii="Times New Roman" w:cs="Times New Roman" w:eastAsia="Times New Roman" w:hAnsi="Times New Roman"/>
                <w:sz w:val="16"/>
                <w:szCs w:val="16"/>
                <w:color w:val="0000EE"/>
              </w:rPr>
              <w:t>Computation of Interest</w:t>
            </w:r>
          </w:p>
        </w:tc>
        <w:tc>
          <w:tcPr>
            <w:tcW w:w="16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980" w:type="dxa"/>
            <w:vAlign w:val="bottom"/>
            <w:tcBorders>
              <w:bottom w:val="single" w:sz="8" w:color="0000EE"/>
            </w:tcBorders>
            <w:shd w:val="clear" w:color="auto" w:fill="EEEEEE"/>
          </w:tcPr>
          <w:p>
            <w:pPr>
              <w:spacing w:after="0"/>
              <w:rPr>
                <w:sz w:val="20"/>
                <w:szCs w:val="20"/>
                <w:color w:val="auto"/>
              </w:rPr>
            </w:pPr>
            <w:r>
              <w:rPr>
                <w:rFonts w:ascii="Times New Roman" w:cs="Times New Roman" w:eastAsia="Times New Roman" w:hAnsi="Times New Roman"/>
                <w:sz w:val="16"/>
                <w:szCs w:val="16"/>
                <w:color w:val="0000EE"/>
                <w:w w:val="96"/>
              </w:rPr>
              <w:t>SECTION 3.12</w:t>
            </w:r>
          </w:p>
        </w:tc>
        <w:tc>
          <w:tcPr>
            <w:tcW w:w="760" w:type="dxa"/>
            <w:vAlign w:val="bottom"/>
            <w:tcBorders>
              <w:bottom w:val="single" w:sz="8" w:color="EEEEEE"/>
              <w:right w:val="single" w:sz="8" w:color="EEEEEE"/>
            </w:tcBorders>
            <w:shd w:val="clear" w:color="auto" w:fill="EEEEEE"/>
          </w:tcPr>
          <w:p>
            <w:pPr>
              <w:spacing w:after="0"/>
              <w:rPr>
                <w:sz w:val="17"/>
                <w:szCs w:val="17"/>
                <w:color w:val="auto"/>
              </w:rPr>
            </w:pPr>
          </w:p>
        </w:tc>
        <w:tc>
          <w:tcPr>
            <w:tcW w:w="3740" w:type="dxa"/>
            <w:vAlign w:val="bottom"/>
            <w:tcBorders>
              <w:bottom w:val="single" w:sz="8" w:color="0000EE"/>
            </w:tcBorders>
            <w:gridSpan w:val="27"/>
            <w:shd w:val="clear" w:color="auto" w:fill="EEEEEE"/>
          </w:tcPr>
          <w:p>
            <w:pPr>
              <w:spacing w:after="0"/>
              <w:rPr>
                <w:sz w:val="20"/>
                <w:szCs w:val="20"/>
                <w:color w:val="auto"/>
              </w:rPr>
            </w:pPr>
            <w:r>
              <w:rPr>
                <w:rFonts w:ascii="Times New Roman" w:cs="Times New Roman" w:eastAsia="Times New Roman" w:hAnsi="Times New Roman"/>
                <w:sz w:val="16"/>
                <w:szCs w:val="16"/>
                <w:color w:val="0000EE"/>
                <w:w w:val="98"/>
              </w:rPr>
              <w:t>Currency and Manner of Payments in Respect of Securities</w:t>
            </w:r>
          </w:p>
        </w:tc>
        <w:tc>
          <w:tcPr>
            <w:tcW w:w="5340" w:type="dxa"/>
            <w:vAlign w:val="bottom"/>
            <w:tcBorders>
              <w:bottom w:val="single" w:sz="8" w:color="EEEEEE"/>
            </w:tcBorders>
            <w:gridSpan w:val="8"/>
            <w:shd w:val="clear" w:color="auto" w:fill="EEEEEE"/>
          </w:tcPr>
          <w:p>
            <w:pPr>
              <w:spacing w:after="0"/>
              <w:rPr>
                <w:sz w:val="17"/>
                <w:szCs w:val="17"/>
                <w:color w:val="auto"/>
              </w:rPr>
            </w:pPr>
          </w:p>
        </w:tc>
        <w:tc>
          <w:tcPr>
            <w:tcW w:w="160" w:type="dxa"/>
            <w:vAlign w:val="bottom"/>
            <w:tcBorders>
              <w:bottom w:val="single" w:sz="8" w:color="0000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0000EE"/>
                <w:w w:val="87"/>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0000EE"/>
              </w:rPr>
              <w:t>SECTION 3.13</w:t>
            </w:r>
          </w:p>
        </w:tc>
        <w:tc>
          <w:tcPr>
            <w:tcW w:w="9080" w:type="dxa"/>
            <w:vAlign w:val="bottom"/>
            <w:gridSpan w:val="35"/>
          </w:tcPr>
          <w:p>
            <w:pPr>
              <w:spacing w:after="0" w:line="154" w:lineRule="exact"/>
              <w:rPr>
                <w:sz w:val="20"/>
                <w:szCs w:val="20"/>
                <w:color w:val="auto"/>
              </w:rPr>
            </w:pPr>
            <w:r>
              <w:rPr>
                <w:rFonts w:ascii="Times New Roman" w:cs="Times New Roman" w:eastAsia="Times New Roman" w:hAnsi="Times New Roman"/>
                <w:sz w:val="16"/>
                <w:szCs w:val="16"/>
                <w:color w:val="0000EE"/>
              </w:rPr>
              <w:t>Appointment and Resignation of Successor Exchange Rate Agent</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980" w:type="dxa"/>
            <w:vAlign w:val="bottom"/>
            <w:tcBorders>
              <w:top w:val="single" w:sz="8" w:color="0000EE"/>
            </w:tcBorders>
            <w:shd w:val="clear" w:color="auto" w:fill="EEEEEE"/>
          </w:tcPr>
          <w:p>
            <w:pPr>
              <w:spacing w:after="0"/>
              <w:rPr>
                <w:sz w:val="17"/>
                <w:szCs w:val="17"/>
                <w:color w:val="auto"/>
              </w:rPr>
            </w:pPr>
          </w:p>
        </w:tc>
        <w:tc>
          <w:tcPr>
            <w:tcW w:w="760" w:type="dxa"/>
            <w:vAlign w:val="bottom"/>
            <w:tcBorders>
              <w:right w:val="single" w:sz="8" w:color="EEEEEE"/>
            </w:tcBorders>
            <w:shd w:val="clear" w:color="auto" w:fill="EEEEEE"/>
          </w:tcPr>
          <w:p>
            <w:pPr>
              <w:spacing w:after="0"/>
              <w:rPr>
                <w:sz w:val="17"/>
                <w:szCs w:val="17"/>
                <w:color w:val="auto"/>
              </w:rPr>
            </w:pPr>
          </w:p>
        </w:tc>
        <w:tc>
          <w:tcPr>
            <w:tcW w:w="220" w:type="dxa"/>
            <w:vAlign w:val="bottom"/>
            <w:tcBorders>
              <w:top w:val="single" w:sz="8" w:color="0000EE"/>
            </w:tcBorders>
            <w:shd w:val="clear" w:color="auto" w:fill="EEEEEE"/>
          </w:tcPr>
          <w:p>
            <w:pPr>
              <w:spacing w:after="0"/>
              <w:rPr>
                <w:sz w:val="17"/>
                <w:szCs w:val="17"/>
                <w:color w:val="auto"/>
              </w:rPr>
            </w:pPr>
          </w:p>
        </w:tc>
        <w:tc>
          <w:tcPr>
            <w:tcW w:w="660" w:type="dxa"/>
            <w:vAlign w:val="bottom"/>
            <w:tcBorders>
              <w:top w:val="single" w:sz="8" w:color="0000EE"/>
            </w:tcBorders>
            <w:shd w:val="clear" w:color="auto" w:fill="EEEEEE"/>
          </w:tcPr>
          <w:p>
            <w:pPr>
              <w:spacing w:after="0"/>
              <w:rPr>
                <w:sz w:val="17"/>
                <w:szCs w:val="17"/>
                <w:color w:val="auto"/>
              </w:rPr>
            </w:pPr>
          </w:p>
        </w:tc>
        <w:tc>
          <w:tcPr>
            <w:tcW w:w="280" w:type="dxa"/>
            <w:vAlign w:val="bottom"/>
            <w:tcBorders>
              <w:top w:val="single" w:sz="8" w:color="0000EE"/>
              <w:right w:val="single" w:sz="8" w:color="EEEEEE"/>
            </w:tcBorders>
            <w:shd w:val="clear" w:color="auto" w:fill="EEEEEE"/>
          </w:tcPr>
          <w:p>
            <w:pPr>
              <w:spacing w:after="0"/>
              <w:rPr>
                <w:sz w:val="17"/>
                <w:szCs w:val="17"/>
                <w:color w:val="auto"/>
              </w:rPr>
            </w:pPr>
          </w:p>
        </w:tc>
        <w:tc>
          <w:tcPr>
            <w:tcW w:w="140" w:type="dxa"/>
            <w:vAlign w:val="bottom"/>
            <w:tcBorders>
              <w:top w:val="single" w:sz="8" w:color="0000EE"/>
              <w:left w:val="single" w:sz="8" w:color="EEEEEE"/>
            </w:tcBorders>
            <w:shd w:val="clear" w:color="auto" w:fill="EEEEEE"/>
          </w:tcPr>
          <w:p>
            <w:pPr>
              <w:spacing w:after="0"/>
              <w:rPr>
                <w:sz w:val="17"/>
                <w:szCs w:val="17"/>
                <w:color w:val="auto"/>
              </w:rPr>
            </w:pPr>
          </w:p>
        </w:tc>
        <w:tc>
          <w:tcPr>
            <w:tcW w:w="20" w:type="dxa"/>
            <w:vAlign w:val="bottom"/>
            <w:tcBorders>
              <w:top w:val="single" w:sz="8" w:color="0000EE"/>
            </w:tcBorders>
            <w:shd w:val="clear" w:color="auto" w:fill="EEEEEE"/>
          </w:tcPr>
          <w:p>
            <w:pPr>
              <w:spacing w:after="0"/>
              <w:rPr>
                <w:sz w:val="17"/>
                <w:szCs w:val="17"/>
                <w:color w:val="auto"/>
              </w:rPr>
            </w:pPr>
          </w:p>
        </w:tc>
        <w:tc>
          <w:tcPr>
            <w:tcW w:w="80" w:type="dxa"/>
            <w:vAlign w:val="bottom"/>
            <w:tcBorders>
              <w:top w:val="single" w:sz="8" w:color="0000EE"/>
            </w:tcBorders>
            <w:shd w:val="clear" w:color="auto" w:fill="EEEEEE"/>
          </w:tcPr>
          <w:p>
            <w:pPr>
              <w:spacing w:after="0"/>
              <w:rPr>
                <w:sz w:val="17"/>
                <w:szCs w:val="17"/>
                <w:color w:val="auto"/>
              </w:rPr>
            </w:pPr>
          </w:p>
        </w:tc>
        <w:tc>
          <w:tcPr>
            <w:tcW w:w="100" w:type="dxa"/>
            <w:vAlign w:val="bottom"/>
            <w:tcBorders>
              <w:top w:val="single" w:sz="8" w:color="0000EE"/>
            </w:tcBorders>
            <w:shd w:val="clear" w:color="auto" w:fill="EEEEEE"/>
          </w:tcPr>
          <w:p>
            <w:pPr>
              <w:spacing w:after="0"/>
              <w:rPr>
                <w:sz w:val="17"/>
                <w:szCs w:val="17"/>
                <w:color w:val="auto"/>
              </w:rPr>
            </w:pPr>
          </w:p>
        </w:tc>
        <w:tc>
          <w:tcPr>
            <w:tcW w:w="40" w:type="dxa"/>
            <w:vAlign w:val="bottom"/>
            <w:tcBorders>
              <w:top w:val="single" w:sz="8" w:color="0000EE"/>
            </w:tcBorders>
            <w:shd w:val="clear" w:color="auto" w:fill="EEEEEE"/>
          </w:tcPr>
          <w:p>
            <w:pPr>
              <w:spacing w:after="0"/>
              <w:rPr>
                <w:sz w:val="17"/>
                <w:szCs w:val="17"/>
                <w:color w:val="auto"/>
              </w:rPr>
            </w:pPr>
          </w:p>
        </w:tc>
        <w:tc>
          <w:tcPr>
            <w:tcW w:w="100" w:type="dxa"/>
            <w:vAlign w:val="bottom"/>
            <w:tcBorders>
              <w:top w:val="single" w:sz="8" w:color="0000EE"/>
            </w:tcBorders>
            <w:shd w:val="clear" w:color="auto" w:fill="EEEEEE"/>
          </w:tcPr>
          <w:p>
            <w:pPr>
              <w:spacing w:after="0"/>
              <w:rPr>
                <w:sz w:val="17"/>
                <w:szCs w:val="17"/>
                <w:color w:val="auto"/>
              </w:rPr>
            </w:pPr>
          </w:p>
        </w:tc>
        <w:tc>
          <w:tcPr>
            <w:tcW w:w="100" w:type="dxa"/>
            <w:vAlign w:val="bottom"/>
            <w:tcBorders>
              <w:top w:val="single" w:sz="8" w:color="0000EE"/>
            </w:tcBorders>
            <w:shd w:val="clear" w:color="auto" w:fill="EEEEEE"/>
          </w:tcPr>
          <w:p>
            <w:pPr>
              <w:spacing w:after="0"/>
              <w:rPr>
                <w:sz w:val="17"/>
                <w:szCs w:val="17"/>
                <w:color w:val="auto"/>
              </w:rPr>
            </w:pPr>
          </w:p>
        </w:tc>
        <w:tc>
          <w:tcPr>
            <w:tcW w:w="20" w:type="dxa"/>
            <w:vAlign w:val="bottom"/>
            <w:tcBorders>
              <w:top w:val="single" w:sz="8" w:color="0000EE"/>
            </w:tcBorders>
            <w:shd w:val="clear" w:color="auto" w:fill="EEEEEE"/>
          </w:tcPr>
          <w:p>
            <w:pPr>
              <w:spacing w:after="0"/>
              <w:rPr>
                <w:sz w:val="17"/>
                <w:szCs w:val="17"/>
                <w:color w:val="auto"/>
              </w:rPr>
            </w:pPr>
          </w:p>
        </w:tc>
        <w:tc>
          <w:tcPr>
            <w:tcW w:w="180" w:type="dxa"/>
            <w:vAlign w:val="bottom"/>
            <w:tcBorders>
              <w:top w:val="single" w:sz="8" w:color="0000EE"/>
            </w:tcBorders>
            <w:shd w:val="clear" w:color="auto" w:fill="EEEEEE"/>
          </w:tcPr>
          <w:p>
            <w:pPr>
              <w:spacing w:after="0"/>
              <w:rPr>
                <w:sz w:val="17"/>
                <w:szCs w:val="17"/>
                <w:color w:val="auto"/>
              </w:rPr>
            </w:pPr>
          </w:p>
        </w:tc>
        <w:tc>
          <w:tcPr>
            <w:tcW w:w="100" w:type="dxa"/>
            <w:vAlign w:val="bottom"/>
            <w:tcBorders>
              <w:top w:val="single" w:sz="8" w:color="0000EE"/>
            </w:tcBorders>
            <w:shd w:val="clear" w:color="auto" w:fill="EEEEEE"/>
          </w:tcPr>
          <w:p>
            <w:pPr>
              <w:spacing w:after="0"/>
              <w:rPr>
                <w:sz w:val="17"/>
                <w:szCs w:val="17"/>
                <w:color w:val="auto"/>
              </w:rPr>
            </w:pPr>
          </w:p>
        </w:tc>
        <w:tc>
          <w:tcPr>
            <w:tcW w:w="80" w:type="dxa"/>
            <w:vAlign w:val="bottom"/>
            <w:tcBorders>
              <w:top w:val="single" w:sz="8" w:color="0000EE"/>
            </w:tcBorders>
            <w:shd w:val="clear" w:color="auto" w:fill="EEEEEE"/>
          </w:tcPr>
          <w:p>
            <w:pPr>
              <w:spacing w:after="0"/>
              <w:rPr>
                <w:sz w:val="17"/>
                <w:szCs w:val="17"/>
                <w:color w:val="auto"/>
              </w:rPr>
            </w:pPr>
          </w:p>
        </w:tc>
        <w:tc>
          <w:tcPr>
            <w:tcW w:w="60" w:type="dxa"/>
            <w:vAlign w:val="bottom"/>
            <w:tcBorders>
              <w:top w:val="single" w:sz="8" w:color="0000EE"/>
              <w:right w:val="single" w:sz="8" w:color="EEEEEE"/>
            </w:tcBorders>
            <w:shd w:val="clear" w:color="auto" w:fill="EEEEEE"/>
          </w:tcPr>
          <w:p>
            <w:pPr>
              <w:spacing w:after="0"/>
              <w:rPr>
                <w:sz w:val="17"/>
                <w:szCs w:val="17"/>
                <w:color w:val="auto"/>
              </w:rPr>
            </w:pPr>
          </w:p>
        </w:tc>
        <w:tc>
          <w:tcPr>
            <w:tcW w:w="40" w:type="dxa"/>
            <w:vAlign w:val="bottom"/>
            <w:tcBorders>
              <w:top w:val="single" w:sz="8" w:color="0000EE"/>
            </w:tcBorders>
            <w:shd w:val="clear" w:color="auto" w:fill="EEEEEE"/>
          </w:tcPr>
          <w:p>
            <w:pPr>
              <w:spacing w:after="0"/>
              <w:rPr>
                <w:sz w:val="17"/>
                <w:szCs w:val="17"/>
                <w:color w:val="auto"/>
              </w:rPr>
            </w:pPr>
          </w:p>
        </w:tc>
        <w:tc>
          <w:tcPr>
            <w:tcW w:w="60" w:type="dxa"/>
            <w:vAlign w:val="bottom"/>
            <w:tcBorders>
              <w:top w:val="single" w:sz="8" w:color="0000EE"/>
            </w:tcBorders>
            <w:shd w:val="clear" w:color="auto" w:fill="EEEEEE"/>
          </w:tcPr>
          <w:p>
            <w:pPr>
              <w:spacing w:after="0"/>
              <w:rPr>
                <w:sz w:val="17"/>
                <w:szCs w:val="17"/>
                <w:color w:val="auto"/>
              </w:rPr>
            </w:pPr>
          </w:p>
        </w:tc>
        <w:tc>
          <w:tcPr>
            <w:tcW w:w="120" w:type="dxa"/>
            <w:vAlign w:val="bottom"/>
            <w:tcBorders>
              <w:top w:val="single" w:sz="8" w:color="0000EE"/>
            </w:tcBorders>
            <w:shd w:val="clear" w:color="auto" w:fill="EEEEEE"/>
          </w:tcPr>
          <w:p>
            <w:pPr>
              <w:spacing w:after="0"/>
              <w:rPr>
                <w:sz w:val="17"/>
                <w:szCs w:val="17"/>
                <w:color w:val="auto"/>
              </w:rPr>
            </w:pPr>
          </w:p>
        </w:tc>
        <w:tc>
          <w:tcPr>
            <w:tcW w:w="100" w:type="dxa"/>
            <w:vAlign w:val="bottom"/>
            <w:tcBorders>
              <w:top w:val="single" w:sz="8" w:color="0000EE"/>
            </w:tcBorders>
            <w:shd w:val="clear" w:color="auto" w:fill="EEEEEE"/>
          </w:tcPr>
          <w:p>
            <w:pPr>
              <w:spacing w:after="0"/>
              <w:rPr>
                <w:sz w:val="17"/>
                <w:szCs w:val="17"/>
                <w:color w:val="auto"/>
              </w:rPr>
            </w:pPr>
          </w:p>
        </w:tc>
        <w:tc>
          <w:tcPr>
            <w:tcW w:w="40" w:type="dxa"/>
            <w:vAlign w:val="bottom"/>
            <w:tcBorders>
              <w:top w:val="single" w:sz="8" w:color="0000EE"/>
            </w:tcBorders>
            <w:shd w:val="clear" w:color="auto" w:fill="EEEEEE"/>
          </w:tcPr>
          <w:p>
            <w:pPr>
              <w:spacing w:after="0"/>
              <w:rPr>
                <w:sz w:val="17"/>
                <w:szCs w:val="17"/>
                <w:color w:val="auto"/>
              </w:rPr>
            </w:pPr>
          </w:p>
        </w:tc>
        <w:tc>
          <w:tcPr>
            <w:tcW w:w="100" w:type="dxa"/>
            <w:vAlign w:val="bottom"/>
            <w:tcBorders>
              <w:top w:val="single" w:sz="8" w:color="0000EE"/>
            </w:tcBorders>
            <w:shd w:val="clear" w:color="auto" w:fill="EEEEEE"/>
          </w:tcPr>
          <w:p>
            <w:pPr>
              <w:spacing w:after="0"/>
              <w:rPr>
                <w:sz w:val="17"/>
                <w:szCs w:val="17"/>
                <w:color w:val="auto"/>
              </w:rPr>
            </w:pPr>
          </w:p>
        </w:tc>
        <w:tc>
          <w:tcPr>
            <w:tcW w:w="340" w:type="dxa"/>
            <w:vAlign w:val="bottom"/>
            <w:tcBorders>
              <w:top w:val="single" w:sz="8" w:color="0000EE"/>
              <w:right w:val="single" w:sz="8" w:color="EEEEEE"/>
            </w:tcBorders>
            <w:shd w:val="clear" w:color="auto" w:fill="EEEEEE"/>
          </w:tcPr>
          <w:p>
            <w:pPr>
              <w:spacing w:after="0"/>
              <w:rPr>
                <w:sz w:val="17"/>
                <w:szCs w:val="17"/>
                <w:color w:val="auto"/>
              </w:rPr>
            </w:pPr>
          </w:p>
        </w:tc>
        <w:tc>
          <w:tcPr>
            <w:tcW w:w="360" w:type="dxa"/>
            <w:vAlign w:val="bottom"/>
            <w:tcBorders>
              <w:top w:val="single" w:sz="8" w:color="0000EE"/>
            </w:tcBorders>
            <w:shd w:val="clear" w:color="auto" w:fill="EEEEEE"/>
          </w:tcPr>
          <w:p>
            <w:pPr>
              <w:spacing w:after="0"/>
              <w:rPr>
                <w:sz w:val="17"/>
                <w:szCs w:val="17"/>
                <w:color w:val="auto"/>
              </w:rPr>
            </w:pPr>
          </w:p>
        </w:tc>
        <w:tc>
          <w:tcPr>
            <w:tcW w:w="40" w:type="dxa"/>
            <w:vAlign w:val="bottom"/>
            <w:tcBorders>
              <w:top w:val="single" w:sz="8" w:color="0000EE"/>
            </w:tcBorders>
            <w:shd w:val="clear" w:color="auto" w:fill="EEEEEE"/>
          </w:tcPr>
          <w:p>
            <w:pPr>
              <w:spacing w:after="0"/>
              <w:rPr>
                <w:sz w:val="17"/>
                <w:szCs w:val="17"/>
                <w:color w:val="auto"/>
              </w:rPr>
            </w:pPr>
          </w:p>
        </w:tc>
        <w:tc>
          <w:tcPr>
            <w:tcW w:w="180" w:type="dxa"/>
            <w:vAlign w:val="bottom"/>
            <w:tcBorders>
              <w:top w:val="single" w:sz="8" w:color="0000EE"/>
            </w:tcBorders>
            <w:shd w:val="clear" w:color="auto" w:fill="EEEEEE"/>
          </w:tcPr>
          <w:p>
            <w:pPr>
              <w:spacing w:after="0"/>
              <w:rPr>
                <w:sz w:val="17"/>
                <w:szCs w:val="17"/>
                <w:color w:val="auto"/>
              </w:rPr>
            </w:pPr>
          </w:p>
        </w:tc>
        <w:tc>
          <w:tcPr>
            <w:tcW w:w="80" w:type="dxa"/>
            <w:vAlign w:val="bottom"/>
            <w:tcBorders>
              <w:top w:val="single" w:sz="8" w:color="0000EE"/>
            </w:tcBorders>
            <w:shd w:val="clear" w:color="auto" w:fill="EEEEEE"/>
          </w:tcPr>
          <w:p>
            <w:pPr>
              <w:spacing w:after="0"/>
              <w:rPr>
                <w:sz w:val="17"/>
                <w:szCs w:val="17"/>
                <w:color w:val="auto"/>
              </w:rPr>
            </w:pPr>
          </w:p>
        </w:tc>
        <w:tc>
          <w:tcPr>
            <w:tcW w:w="100" w:type="dxa"/>
            <w:vAlign w:val="bottom"/>
            <w:tcBorders>
              <w:top w:val="single" w:sz="8" w:color="0000EE"/>
            </w:tcBorders>
            <w:shd w:val="clear" w:color="auto" w:fill="EEEEEE"/>
          </w:tcPr>
          <w:p>
            <w:pPr>
              <w:spacing w:after="0"/>
              <w:rPr>
                <w:sz w:val="17"/>
                <w:szCs w:val="17"/>
                <w:color w:val="auto"/>
              </w:rPr>
            </w:pPr>
          </w:p>
        </w:tc>
        <w:tc>
          <w:tcPr>
            <w:tcW w:w="140" w:type="dxa"/>
            <w:vAlign w:val="bottom"/>
            <w:tcBorders>
              <w:top w:val="single" w:sz="8" w:color="0000EE"/>
            </w:tcBorders>
            <w:shd w:val="clear" w:color="auto" w:fill="EEEEEE"/>
          </w:tcPr>
          <w:p>
            <w:pPr>
              <w:spacing w:after="0"/>
              <w:rPr>
                <w:sz w:val="17"/>
                <w:szCs w:val="17"/>
                <w:color w:val="auto"/>
              </w:rPr>
            </w:pPr>
          </w:p>
        </w:tc>
        <w:tc>
          <w:tcPr>
            <w:tcW w:w="80" w:type="dxa"/>
            <w:vAlign w:val="bottom"/>
            <w:tcBorders>
              <w:top w:val="single" w:sz="8" w:color="0000EE"/>
            </w:tcBorders>
            <w:shd w:val="clear" w:color="auto" w:fill="EEEEEE"/>
          </w:tcPr>
          <w:p>
            <w:pPr>
              <w:spacing w:after="0"/>
              <w:rPr>
                <w:sz w:val="17"/>
                <w:szCs w:val="17"/>
                <w:color w:val="auto"/>
              </w:rPr>
            </w:pPr>
          </w:p>
        </w:tc>
        <w:tc>
          <w:tcPr>
            <w:tcW w:w="20" w:type="dxa"/>
            <w:vAlign w:val="bottom"/>
            <w:tcBorders>
              <w:top w:val="single" w:sz="8" w:color="0000EE"/>
            </w:tcBorders>
            <w:shd w:val="clear" w:color="auto" w:fill="EEEEEE"/>
          </w:tcPr>
          <w:p>
            <w:pPr>
              <w:spacing w:after="0"/>
              <w:rPr>
                <w:sz w:val="17"/>
                <w:szCs w:val="17"/>
                <w:color w:val="auto"/>
              </w:rPr>
            </w:pPr>
          </w:p>
        </w:tc>
        <w:tc>
          <w:tcPr>
            <w:tcW w:w="20" w:type="dxa"/>
            <w:vAlign w:val="bottom"/>
            <w:tcBorders>
              <w:top w:val="single" w:sz="8" w:color="0000EE"/>
            </w:tcBorders>
            <w:shd w:val="clear" w:color="auto" w:fill="EEEEEE"/>
          </w:tcPr>
          <w:p>
            <w:pPr>
              <w:spacing w:after="0"/>
              <w:rPr>
                <w:sz w:val="17"/>
                <w:szCs w:val="17"/>
                <w:color w:val="auto"/>
              </w:rPr>
            </w:pPr>
          </w:p>
        </w:tc>
        <w:tc>
          <w:tcPr>
            <w:tcW w:w="20" w:type="dxa"/>
            <w:vAlign w:val="bottom"/>
            <w:tcBorders>
              <w:top w:val="single" w:sz="8" w:color="0000EE"/>
            </w:tcBorders>
            <w:shd w:val="clear" w:color="auto" w:fill="EEEEEE"/>
          </w:tcPr>
          <w:p>
            <w:pPr>
              <w:spacing w:after="0"/>
              <w:rPr>
                <w:sz w:val="17"/>
                <w:szCs w:val="17"/>
                <w:color w:val="auto"/>
              </w:rPr>
            </w:pPr>
          </w:p>
        </w:tc>
        <w:tc>
          <w:tcPr>
            <w:tcW w:w="120" w:type="dxa"/>
            <w:vAlign w:val="bottom"/>
            <w:tcBorders>
              <w:top w:val="single" w:sz="8" w:color="0000EE"/>
            </w:tcBorders>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4340" w:type="dxa"/>
            <w:vAlign w:val="bottom"/>
            <w:shd w:val="clear" w:color="auto" w:fill="EEEEEE"/>
          </w:tcPr>
          <w:p>
            <w:pPr>
              <w:spacing w:after="0"/>
              <w:rPr>
                <w:sz w:val="17"/>
                <w:szCs w:val="17"/>
                <w:color w:val="auto"/>
              </w:rPr>
            </w:pPr>
          </w:p>
        </w:tc>
        <w:tc>
          <w:tcPr>
            <w:tcW w:w="160" w:type="dxa"/>
            <w:vAlign w:val="bottom"/>
            <w:tcBorders>
              <w:top w:val="single" w:sz="8" w:color="0000EE"/>
            </w:tcBorders>
            <w:shd w:val="clear" w:color="auto" w:fill="EEEEEE"/>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11080" w:type="dxa"/>
            <w:vAlign w:val="bottom"/>
            <w:gridSpan w:val="38"/>
          </w:tcPr>
          <w:p>
            <w:pPr>
              <w:spacing w:after="0" w:line="154" w:lineRule="exact"/>
              <w:rPr>
                <w:sz w:val="20"/>
                <w:szCs w:val="20"/>
                <w:color w:val="auto"/>
              </w:rPr>
            </w:pPr>
            <w:r>
              <w:rPr>
                <w:rFonts w:ascii="Times New Roman" w:cs="Times New Roman" w:eastAsia="Times New Roman" w:hAnsi="Times New Roman"/>
                <w:sz w:val="16"/>
                <w:szCs w:val="16"/>
                <w:b w:val="1"/>
                <w:bCs w:val="1"/>
                <w:color w:val="0000EE"/>
              </w:rPr>
              <w:t>ARTICLE FOUR SATISFACTION AND DISCHARGE</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35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tcBorders>
              <w:bottom w:val="single" w:sz="8" w:color="EEEEEE"/>
            </w:tcBorders>
            <w:shd w:val="clear" w:color="auto" w:fill="EEEEEE"/>
          </w:tcPr>
          <w:p>
            <w:pPr>
              <w:spacing w:after="0"/>
              <w:rPr>
                <w:sz w:val="16"/>
                <w:szCs w:val="16"/>
                <w:color w:val="auto"/>
              </w:rPr>
            </w:pPr>
          </w:p>
        </w:tc>
        <w:tc>
          <w:tcPr>
            <w:tcW w:w="980" w:type="dxa"/>
            <w:vAlign w:val="bottom"/>
            <w:tcBorders>
              <w:bottom w:val="single" w:sz="8" w:color="0000EE"/>
            </w:tcBorders>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4.01</w:t>
            </w:r>
          </w:p>
        </w:tc>
        <w:tc>
          <w:tcPr>
            <w:tcW w:w="760" w:type="dxa"/>
            <w:vAlign w:val="bottom"/>
            <w:tcBorders>
              <w:bottom w:val="single" w:sz="8" w:color="EEEEEE"/>
              <w:right w:val="single" w:sz="8" w:color="EEEEEE"/>
            </w:tcBorders>
            <w:shd w:val="clear" w:color="auto" w:fill="EEEEEE"/>
          </w:tcPr>
          <w:p>
            <w:pPr>
              <w:spacing w:after="0"/>
              <w:rPr>
                <w:sz w:val="16"/>
                <w:szCs w:val="16"/>
                <w:color w:val="auto"/>
              </w:rPr>
            </w:pPr>
          </w:p>
        </w:tc>
        <w:tc>
          <w:tcPr>
            <w:tcW w:w="2500" w:type="dxa"/>
            <w:vAlign w:val="bottom"/>
            <w:tcBorders>
              <w:bottom w:val="single" w:sz="8" w:color="0000EE"/>
            </w:tcBorders>
            <w:gridSpan w:val="19"/>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7"/>
              </w:rPr>
              <w:t>Satisfaction and Discharge of Indenture</w:t>
            </w:r>
          </w:p>
        </w:tc>
        <w:tc>
          <w:tcPr>
            <w:tcW w:w="6580" w:type="dxa"/>
            <w:vAlign w:val="bottom"/>
            <w:tcBorders>
              <w:bottom w:val="single" w:sz="8" w:color="EEEEEE"/>
            </w:tcBorders>
            <w:gridSpan w:val="16"/>
            <w:shd w:val="clear" w:color="auto" w:fill="EEEEEE"/>
          </w:tcPr>
          <w:p>
            <w:pPr>
              <w:spacing w:after="0"/>
              <w:rPr>
                <w:sz w:val="16"/>
                <w:szCs w:val="16"/>
                <w:color w:val="auto"/>
              </w:rPr>
            </w:pPr>
          </w:p>
        </w:tc>
        <w:tc>
          <w:tcPr>
            <w:tcW w:w="160" w:type="dxa"/>
            <w:vAlign w:val="bottom"/>
            <w:tcBorders>
              <w:bottom w:val="single" w:sz="8" w:color="0000EE"/>
            </w:tcBorders>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spacing w:after="0" w:line="154" w:lineRule="exact"/>
              <w:rPr>
                <w:sz w:val="20"/>
                <w:szCs w:val="20"/>
                <w:color w:val="auto"/>
              </w:rPr>
            </w:pPr>
            <w:r>
              <w:rPr>
                <w:rFonts w:ascii="Times New Roman" w:cs="Times New Roman" w:eastAsia="Times New Roman" w:hAnsi="Times New Roman"/>
                <w:sz w:val="16"/>
                <w:szCs w:val="16"/>
                <w:color w:val="0000EE"/>
              </w:rPr>
              <w:t>SECTION 4.02</w:t>
            </w:r>
          </w:p>
        </w:tc>
        <w:tc>
          <w:tcPr>
            <w:tcW w:w="9080" w:type="dxa"/>
            <w:vAlign w:val="bottom"/>
            <w:gridSpan w:val="35"/>
          </w:tcPr>
          <w:p>
            <w:pPr>
              <w:spacing w:after="0" w:line="154" w:lineRule="exact"/>
              <w:rPr>
                <w:sz w:val="20"/>
                <w:szCs w:val="20"/>
                <w:color w:val="auto"/>
              </w:rPr>
            </w:pPr>
            <w:r>
              <w:rPr>
                <w:rFonts w:ascii="Times New Roman" w:cs="Times New Roman" w:eastAsia="Times New Roman" w:hAnsi="Times New Roman"/>
                <w:sz w:val="16"/>
                <w:szCs w:val="16"/>
                <w:color w:val="0000EE"/>
              </w:rPr>
              <w:t>Application of Trust Money</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980" w:type="dxa"/>
            <w:vAlign w:val="bottom"/>
            <w:tcBorders>
              <w:top w:val="single" w:sz="8" w:color="0000EE"/>
            </w:tcBorders>
            <w:shd w:val="clear" w:color="auto" w:fill="EEEEEE"/>
          </w:tcPr>
          <w:p>
            <w:pPr>
              <w:spacing w:after="0"/>
              <w:rPr>
                <w:sz w:val="17"/>
                <w:szCs w:val="17"/>
                <w:color w:val="auto"/>
              </w:rPr>
            </w:pPr>
          </w:p>
        </w:tc>
        <w:tc>
          <w:tcPr>
            <w:tcW w:w="760" w:type="dxa"/>
            <w:vAlign w:val="bottom"/>
            <w:tcBorders>
              <w:right w:val="single" w:sz="8" w:color="EEEEEE"/>
            </w:tcBorders>
            <w:shd w:val="clear" w:color="auto" w:fill="EEEEEE"/>
          </w:tcPr>
          <w:p>
            <w:pPr>
              <w:spacing w:after="0"/>
              <w:rPr>
                <w:sz w:val="17"/>
                <w:szCs w:val="17"/>
                <w:color w:val="auto"/>
              </w:rPr>
            </w:pPr>
          </w:p>
        </w:tc>
        <w:tc>
          <w:tcPr>
            <w:tcW w:w="220" w:type="dxa"/>
            <w:vAlign w:val="bottom"/>
            <w:tcBorders>
              <w:top w:val="single" w:sz="8" w:color="0000EE"/>
            </w:tcBorders>
            <w:shd w:val="clear" w:color="auto" w:fill="EEEEEE"/>
          </w:tcPr>
          <w:p>
            <w:pPr>
              <w:spacing w:after="0"/>
              <w:rPr>
                <w:sz w:val="17"/>
                <w:szCs w:val="17"/>
                <w:color w:val="auto"/>
              </w:rPr>
            </w:pPr>
          </w:p>
        </w:tc>
        <w:tc>
          <w:tcPr>
            <w:tcW w:w="660" w:type="dxa"/>
            <w:vAlign w:val="bottom"/>
            <w:tcBorders>
              <w:top w:val="single" w:sz="8" w:color="0000EE"/>
            </w:tcBorders>
            <w:shd w:val="clear" w:color="auto" w:fill="EEEEEE"/>
          </w:tcPr>
          <w:p>
            <w:pPr>
              <w:spacing w:after="0"/>
              <w:rPr>
                <w:sz w:val="17"/>
                <w:szCs w:val="17"/>
                <w:color w:val="auto"/>
              </w:rPr>
            </w:pPr>
          </w:p>
        </w:tc>
        <w:tc>
          <w:tcPr>
            <w:tcW w:w="280" w:type="dxa"/>
            <w:vAlign w:val="bottom"/>
            <w:tcBorders>
              <w:top w:val="single" w:sz="8" w:color="0000EE"/>
              <w:right w:val="single" w:sz="8" w:color="EEEEEE"/>
            </w:tcBorders>
            <w:shd w:val="clear" w:color="auto" w:fill="EEEEEE"/>
          </w:tcPr>
          <w:p>
            <w:pPr>
              <w:spacing w:after="0"/>
              <w:rPr>
                <w:sz w:val="17"/>
                <w:szCs w:val="17"/>
                <w:color w:val="auto"/>
              </w:rPr>
            </w:pPr>
          </w:p>
        </w:tc>
        <w:tc>
          <w:tcPr>
            <w:tcW w:w="140" w:type="dxa"/>
            <w:vAlign w:val="bottom"/>
            <w:tcBorders>
              <w:top w:val="single" w:sz="8" w:color="0000EE"/>
              <w:left w:val="single" w:sz="8" w:color="EEEEEE"/>
            </w:tcBorders>
            <w:shd w:val="clear" w:color="auto" w:fill="EEEEEE"/>
          </w:tcPr>
          <w:p>
            <w:pPr>
              <w:spacing w:after="0"/>
              <w:rPr>
                <w:sz w:val="17"/>
                <w:szCs w:val="17"/>
                <w:color w:val="auto"/>
              </w:rPr>
            </w:pPr>
          </w:p>
        </w:tc>
        <w:tc>
          <w:tcPr>
            <w:tcW w:w="20" w:type="dxa"/>
            <w:vAlign w:val="bottom"/>
            <w:tcBorders>
              <w:top w:val="single" w:sz="8" w:color="0000EE"/>
            </w:tcBorders>
            <w:shd w:val="clear" w:color="auto" w:fill="EEEEEE"/>
          </w:tcPr>
          <w:p>
            <w:pPr>
              <w:spacing w:after="0"/>
              <w:rPr>
                <w:sz w:val="17"/>
                <w:szCs w:val="17"/>
                <w:color w:val="auto"/>
              </w:rPr>
            </w:pPr>
          </w:p>
        </w:tc>
        <w:tc>
          <w:tcPr>
            <w:tcW w:w="80" w:type="dxa"/>
            <w:vAlign w:val="bottom"/>
            <w:tcBorders>
              <w:top w:val="single" w:sz="8" w:color="0000EE"/>
            </w:tcBorders>
            <w:shd w:val="clear" w:color="auto" w:fill="EEEEEE"/>
          </w:tcPr>
          <w:p>
            <w:pPr>
              <w:spacing w:after="0"/>
              <w:rPr>
                <w:sz w:val="17"/>
                <w:szCs w:val="17"/>
                <w:color w:val="auto"/>
              </w:rPr>
            </w:pPr>
          </w:p>
        </w:tc>
        <w:tc>
          <w:tcPr>
            <w:tcW w:w="100" w:type="dxa"/>
            <w:vAlign w:val="bottom"/>
            <w:tcBorders>
              <w:top w:val="single" w:sz="8" w:color="0000EE"/>
            </w:tcBorders>
            <w:shd w:val="clear" w:color="auto" w:fill="EEEEEE"/>
          </w:tcPr>
          <w:p>
            <w:pPr>
              <w:spacing w:after="0"/>
              <w:rPr>
                <w:sz w:val="17"/>
                <w:szCs w:val="17"/>
                <w:color w:val="auto"/>
              </w:rPr>
            </w:pPr>
          </w:p>
        </w:tc>
        <w:tc>
          <w:tcPr>
            <w:tcW w:w="40" w:type="dxa"/>
            <w:vAlign w:val="bottom"/>
            <w:tcBorders>
              <w:top w:val="single" w:sz="8" w:color="0000EE"/>
            </w:tcBorders>
            <w:shd w:val="clear" w:color="auto" w:fill="EEEEEE"/>
          </w:tcPr>
          <w:p>
            <w:pPr>
              <w:spacing w:after="0"/>
              <w:rPr>
                <w:sz w:val="17"/>
                <w:szCs w:val="17"/>
                <w:color w:val="auto"/>
              </w:rPr>
            </w:pPr>
          </w:p>
        </w:tc>
        <w:tc>
          <w:tcPr>
            <w:tcW w:w="100" w:type="dxa"/>
            <w:vAlign w:val="bottom"/>
            <w:tcBorders>
              <w:top w:val="single" w:sz="8" w:color="0000EE"/>
            </w:tcBorders>
            <w:shd w:val="clear" w:color="auto" w:fill="EEEEEE"/>
          </w:tcPr>
          <w:p>
            <w:pPr>
              <w:spacing w:after="0"/>
              <w:rPr>
                <w:sz w:val="17"/>
                <w:szCs w:val="17"/>
                <w:color w:val="auto"/>
              </w:rPr>
            </w:pPr>
          </w:p>
        </w:tc>
        <w:tc>
          <w:tcPr>
            <w:tcW w:w="100" w:type="dxa"/>
            <w:vAlign w:val="bottom"/>
            <w:tcBorders>
              <w:top w:val="single" w:sz="8" w:color="0000EE"/>
            </w:tcBorders>
            <w:shd w:val="clear" w:color="auto" w:fill="EEEEEE"/>
          </w:tcPr>
          <w:p>
            <w:pPr>
              <w:spacing w:after="0"/>
              <w:rPr>
                <w:sz w:val="17"/>
                <w:szCs w:val="17"/>
                <w:color w:val="auto"/>
              </w:rPr>
            </w:pPr>
          </w:p>
        </w:tc>
        <w:tc>
          <w:tcPr>
            <w:tcW w:w="20" w:type="dxa"/>
            <w:vAlign w:val="bottom"/>
            <w:tcBorders>
              <w:top w:val="single" w:sz="8" w:color="0000EE"/>
            </w:tcBorders>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60" w:type="dxa"/>
            <w:vAlign w:val="bottom"/>
            <w:tcBorders>
              <w:right w:val="single" w:sz="8" w:color="EEEEEE"/>
            </w:tcBorders>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40" w:type="dxa"/>
            <w:vAlign w:val="bottom"/>
            <w:tcBorders>
              <w:right w:val="single" w:sz="8" w:color="EEEEEE"/>
            </w:tcBorders>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4340" w:type="dxa"/>
            <w:vAlign w:val="bottom"/>
            <w:shd w:val="clear" w:color="auto" w:fill="EEEEEE"/>
          </w:tcPr>
          <w:p>
            <w:pPr>
              <w:spacing w:after="0"/>
              <w:rPr>
                <w:sz w:val="17"/>
                <w:szCs w:val="17"/>
                <w:color w:val="auto"/>
              </w:rPr>
            </w:pPr>
          </w:p>
        </w:tc>
        <w:tc>
          <w:tcPr>
            <w:tcW w:w="160" w:type="dxa"/>
            <w:vAlign w:val="bottom"/>
            <w:tcBorders>
              <w:top w:val="single" w:sz="8" w:color="0000EE"/>
            </w:tcBorders>
            <w:shd w:val="clear" w:color="auto" w:fill="EEEEEE"/>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2000" w:type="dxa"/>
            <w:vAlign w:val="bottom"/>
            <w:tcBorders>
              <w:bottom w:val="single" w:sz="8" w:color="0000EE"/>
            </w:tcBorders>
            <w:gridSpan w:val="3"/>
          </w:tcPr>
          <w:p>
            <w:pPr>
              <w:spacing w:after="0" w:line="154" w:lineRule="exact"/>
              <w:rPr>
                <w:sz w:val="20"/>
                <w:szCs w:val="20"/>
                <w:color w:val="auto"/>
              </w:rPr>
            </w:pPr>
            <w:r>
              <w:rPr>
                <w:rFonts w:ascii="Times New Roman" w:cs="Times New Roman" w:eastAsia="Times New Roman" w:hAnsi="Times New Roman"/>
                <w:sz w:val="16"/>
                <w:szCs w:val="16"/>
                <w:b w:val="1"/>
                <w:bCs w:val="1"/>
                <w:color w:val="0000EE"/>
                <w:w w:val="95"/>
              </w:rPr>
              <w:t>ARTICLE FIVE REMEDIES</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60" w:type="dxa"/>
            <w:vAlign w:val="bottom"/>
            <w:tcBorders>
              <w:bottom w:val="single" w:sz="8" w:color="0000EE"/>
            </w:tcBorders>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36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980" w:type="dxa"/>
            <w:vAlign w:val="bottom"/>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5.01</w:t>
            </w:r>
          </w:p>
        </w:tc>
        <w:tc>
          <w:tcPr>
            <w:tcW w:w="760" w:type="dxa"/>
            <w:vAlign w:val="bottom"/>
            <w:tcBorders>
              <w:right w:val="single" w:sz="8" w:color="EEEEEE"/>
            </w:tcBorders>
            <w:shd w:val="clear" w:color="auto" w:fill="EEEEEE"/>
          </w:tcPr>
          <w:p>
            <w:pPr>
              <w:spacing w:after="0"/>
              <w:rPr>
                <w:sz w:val="14"/>
                <w:szCs w:val="14"/>
                <w:color w:val="auto"/>
              </w:rPr>
            </w:pPr>
          </w:p>
        </w:tc>
        <w:tc>
          <w:tcPr>
            <w:tcW w:w="9080" w:type="dxa"/>
            <w:vAlign w:val="bottom"/>
            <w:gridSpan w:val="35"/>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Events of Default</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760" w:type="dxa"/>
            <w:vAlign w:val="bottom"/>
            <w:tcBorders>
              <w:right w:val="single" w:sz="8" w:color="EEEEEE"/>
            </w:tcBorders>
            <w:shd w:val="clear" w:color="auto" w:fill="EEEE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280" w:type="dxa"/>
            <w:vAlign w:val="bottom"/>
            <w:tcBorders>
              <w:right w:val="single" w:sz="8" w:color="EEEEEE"/>
            </w:tcBorders>
            <w:shd w:val="clear" w:color="auto" w:fill="0000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60" w:type="dxa"/>
            <w:vAlign w:val="bottom"/>
            <w:tcBorders>
              <w:right w:val="single" w:sz="8" w:color="EEEEEE"/>
            </w:tcBorders>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340" w:type="dxa"/>
            <w:vAlign w:val="bottom"/>
            <w:tcBorders>
              <w:right w:val="single" w:sz="8" w:color="EEEEEE"/>
            </w:tcBorders>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43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bottom w:val="single" w:sz="8" w:color="0000EE"/>
            </w:tcBorders>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5.02</w:t>
            </w:r>
          </w:p>
        </w:tc>
        <w:tc>
          <w:tcPr>
            <w:tcW w:w="760" w:type="dxa"/>
            <w:vAlign w:val="bottom"/>
          </w:tcPr>
          <w:p>
            <w:pPr>
              <w:spacing w:after="0"/>
              <w:rPr>
                <w:sz w:val="13"/>
                <w:szCs w:val="13"/>
                <w:color w:val="auto"/>
              </w:rPr>
            </w:pPr>
          </w:p>
        </w:tc>
        <w:tc>
          <w:tcPr>
            <w:tcW w:w="3340" w:type="dxa"/>
            <w:vAlign w:val="bottom"/>
            <w:tcBorders>
              <w:bottom w:val="single" w:sz="8" w:color="0000EE"/>
            </w:tcBorders>
            <w:gridSpan w:val="23"/>
          </w:tcPr>
          <w:p>
            <w:pPr>
              <w:spacing w:after="0" w:line="154" w:lineRule="exact"/>
              <w:rPr>
                <w:sz w:val="20"/>
                <w:szCs w:val="20"/>
                <w:color w:val="auto"/>
              </w:rPr>
            </w:pPr>
            <w:r>
              <w:rPr>
                <w:rFonts w:ascii="Times New Roman" w:cs="Times New Roman" w:eastAsia="Times New Roman" w:hAnsi="Times New Roman"/>
                <w:sz w:val="16"/>
                <w:szCs w:val="16"/>
                <w:color w:val="0000EE"/>
                <w:w w:val="97"/>
              </w:rPr>
              <w:t>Acceleration of Maturity; Rescission and Annulment</w:t>
            </w:r>
          </w:p>
        </w:tc>
        <w:tc>
          <w:tcPr>
            <w:tcW w:w="5740" w:type="dxa"/>
            <w:vAlign w:val="bottom"/>
            <w:gridSpan w:val="12"/>
          </w:tcPr>
          <w:p>
            <w:pPr>
              <w:spacing w:after="0"/>
              <w:rPr>
                <w:sz w:val="13"/>
                <w:szCs w:val="13"/>
                <w:color w:val="auto"/>
              </w:rPr>
            </w:pPr>
          </w:p>
        </w:tc>
        <w:tc>
          <w:tcPr>
            <w:tcW w:w="160" w:type="dxa"/>
            <w:vAlign w:val="bottom"/>
            <w:tcBorders>
              <w:bottom w:val="single" w:sz="8" w:color="0000EE"/>
            </w:tcBorders>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tcBorders>
              <w:bottom w:val="single" w:sz="8" w:color="EEEEEE"/>
            </w:tcBorders>
            <w:shd w:val="clear" w:color="auto" w:fill="EEEEEE"/>
          </w:tcPr>
          <w:p>
            <w:pPr>
              <w:spacing w:after="0"/>
              <w:rPr>
                <w:sz w:val="16"/>
                <w:szCs w:val="16"/>
                <w:color w:val="auto"/>
              </w:rPr>
            </w:pPr>
          </w:p>
        </w:tc>
        <w:tc>
          <w:tcPr>
            <w:tcW w:w="980" w:type="dxa"/>
            <w:vAlign w:val="bottom"/>
            <w:tcBorders>
              <w:bottom w:val="single" w:sz="8" w:color="0000EE"/>
            </w:tcBorders>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5.03</w:t>
            </w:r>
          </w:p>
        </w:tc>
        <w:tc>
          <w:tcPr>
            <w:tcW w:w="760" w:type="dxa"/>
            <w:vAlign w:val="bottom"/>
            <w:tcBorders>
              <w:bottom w:val="single" w:sz="8" w:color="EEEEEE"/>
              <w:right w:val="single" w:sz="8" w:color="EEEEEE"/>
            </w:tcBorders>
            <w:shd w:val="clear" w:color="auto" w:fill="EEEEEE"/>
          </w:tcPr>
          <w:p>
            <w:pPr>
              <w:spacing w:after="0"/>
              <w:rPr>
                <w:sz w:val="16"/>
                <w:szCs w:val="16"/>
                <w:color w:val="auto"/>
              </w:rPr>
            </w:pPr>
          </w:p>
        </w:tc>
        <w:tc>
          <w:tcPr>
            <w:tcW w:w="3640" w:type="dxa"/>
            <w:vAlign w:val="bottom"/>
            <w:tcBorders>
              <w:bottom w:val="single" w:sz="8" w:color="0000EE"/>
            </w:tcBorders>
            <w:gridSpan w:val="26"/>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7"/>
              </w:rPr>
              <w:t>Collection of Debt and Suits for Enforcement by Trustees</w:t>
            </w:r>
          </w:p>
        </w:tc>
        <w:tc>
          <w:tcPr>
            <w:tcW w:w="5440" w:type="dxa"/>
            <w:vAlign w:val="bottom"/>
            <w:tcBorders>
              <w:bottom w:val="single" w:sz="8" w:color="EEEEEE"/>
            </w:tcBorders>
            <w:gridSpan w:val="9"/>
            <w:shd w:val="clear" w:color="auto" w:fill="EEEEEE"/>
          </w:tcPr>
          <w:p>
            <w:pPr>
              <w:spacing w:after="0"/>
              <w:rPr>
                <w:sz w:val="16"/>
                <w:szCs w:val="16"/>
                <w:color w:val="auto"/>
              </w:rPr>
            </w:pPr>
          </w:p>
        </w:tc>
        <w:tc>
          <w:tcPr>
            <w:tcW w:w="160" w:type="dxa"/>
            <w:vAlign w:val="bottom"/>
            <w:tcBorders>
              <w:bottom w:val="single" w:sz="8" w:color="0000EE"/>
            </w:tcBorders>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5.04</w:t>
            </w:r>
          </w:p>
        </w:tc>
        <w:tc>
          <w:tcPr>
            <w:tcW w:w="760" w:type="dxa"/>
            <w:vAlign w:val="bottom"/>
          </w:tcPr>
          <w:p>
            <w:pPr>
              <w:spacing w:after="0"/>
              <w:rPr>
                <w:sz w:val="13"/>
                <w:szCs w:val="13"/>
                <w:color w:val="auto"/>
              </w:rPr>
            </w:pPr>
          </w:p>
        </w:tc>
        <w:tc>
          <w:tcPr>
            <w:tcW w:w="9080" w:type="dxa"/>
            <w:vAlign w:val="bottom"/>
            <w:gridSpan w:val="35"/>
          </w:tcPr>
          <w:p>
            <w:pPr>
              <w:spacing w:after="0" w:line="154" w:lineRule="exact"/>
              <w:rPr>
                <w:sz w:val="20"/>
                <w:szCs w:val="20"/>
                <w:color w:val="auto"/>
              </w:rPr>
            </w:pPr>
            <w:r>
              <w:rPr>
                <w:rFonts w:ascii="Times New Roman" w:cs="Times New Roman" w:eastAsia="Times New Roman" w:hAnsi="Times New Roman"/>
                <w:sz w:val="16"/>
                <w:szCs w:val="16"/>
                <w:color w:val="0000EE"/>
              </w:rPr>
              <w:t>Trustees May File Proofs of Claim</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980" w:type="dxa"/>
            <w:vAlign w:val="bottom"/>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5.05</w:t>
            </w:r>
          </w:p>
        </w:tc>
        <w:tc>
          <w:tcPr>
            <w:tcW w:w="760" w:type="dxa"/>
            <w:vAlign w:val="bottom"/>
            <w:tcBorders>
              <w:right w:val="single" w:sz="8" w:color="EEEEEE"/>
            </w:tcBorders>
            <w:shd w:val="clear" w:color="auto" w:fill="EEEEEE"/>
          </w:tcPr>
          <w:p>
            <w:pPr>
              <w:spacing w:after="0"/>
              <w:rPr>
                <w:sz w:val="16"/>
                <w:szCs w:val="16"/>
                <w:color w:val="auto"/>
              </w:rPr>
            </w:pPr>
          </w:p>
        </w:tc>
        <w:tc>
          <w:tcPr>
            <w:tcW w:w="9080" w:type="dxa"/>
            <w:vAlign w:val="bottom"/>
            <w:gridSpan w:val="35"/>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Trustees May Enforce Claims Without Possession of Securities</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Borders>
              <w:top w:val="single" w:sz="8" w:color="EEEEEE"/>
            </w:tcBorders>
          </w:tcPr>
          <w:p>
            <w:pPr>
              <w:spacing w:after="0"/>
              <w:rPr>
                <w:sz w:val="13"/>
                <w:szCs w:val="13"/>
                <w:color w:val="auto"/>
              </w:rPr>
            </w:pPr>
          </w:p>
        </w:tc>
        <w:tc>
          <w:tcPr>
            <w:tcW w:w="980" w:type="dxa"/>
            <w:vAlign w:val="bottom"/>
            <w:tcBorders>
              <w:top w:val="single" w:sz="8" w:color="0000EE"/>
            </w:tcBorders>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5.06</w:t>
            </w:r>
          </w:p>
        </w:tc>
        <w:tc>
          <w:tcPr>
            <w:tcW w:w="760" w:type="dxa"/>
            <w:vAlign w:val="bottom"/>
            <w:tcBorders>
              <w:top w:val="single" w:sz="8" w:color="EEEEEE"/>
            </w:tcBorders>
          </w:tcPr>
          <w:p>
            <w:pPr>
              <w:spacing w:after="0"/>
              <w:rPr>
                <w:sz w:val="13"/>
                <w:szCs w:val="13"/>
                <w:color w:val="auto"/>
              </w:rPr>
            </w:pPr>
          </w:p>
        </w:tc>
        <w:tc>
          <w:tcPr>
            <w:tcW w:w="3980" w:type="dxa"/>
            <w:vAlign w:val="bottom"/>
            <w:tcBorders>
              <w:top w:val="single" w:sz="8" w:color="0000EE"/>
            </w:tcBorders>
            <w:gridSpan w:val="30"/>
          </w:tcPr>
          <w:p>
            <w:pPr>
              <w:spacing w:after="0" w:line="154" w:lineRule="exact"/>
              <w:rPr>
                <w:sz w:val="20"/>
                <w:szCs w:val="20"/>
                <w:color w:val="auto"/>
              </w:rPr>
            </w:pPr>
            <w:r>
              <w:rPr>
                <w:rFonts w:ascii="Times New Roman" w:cs="Times New Roman" w:eastAsia="Times New Roman" w:hAnsi="Times New Roman"/>
                <w:sz w:val="16"/>
                <w:szCs w:val="16"/>
                <w:color w:val="0000EE"/>
              </w:rPr>
              <w:t>Application of Money Collected</w:t>
            </w:r>
          </w:p>
        </w:tc>
        <w:tc>
          <w:tcPr>
            <w:tcW w:w="5100" w:type="dxa"/>
            <w:vAlign w:val="bottom"/>
            <w:tcBorders>
              <w:top w:val="single" w:sz="8" w:color="EEEEEE"/>
            </w:tcBorders>
            <w:gridSpan w:val="5"/>
          </w:tcPr>
          <w:p>
            <w:pPr>
              <w:spacing w:after="0"/>
              <w:rPr>
                <w:sz w:val="13"/>
                <w:szCs w:val="13"/>
                <w:color w:val="auto"/>
              </w:rPr>
            </w:pPr>
          </w:p>
        </w:tc>
        <w:tc>
          <w:tcPr>
            <w:tcW w:w="160" w:type="dxa"/>
            <w:vAlign w:val="bottom"/>
            <w:tcBorders>
              <w:top w:val="single" w:sz="8" w:color="0000EE"/>
            </w:tcBorders>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tcBorders>
              <w:bottom w:val="single" w:sz="8" w:color="EEEEEE"/>
            </w:tcBorders>
            <w:shd w:val="clear" w:color="auto" w:fill="EEEEEE"/>
          </w:tcPr>
          <w:p>
            <w:pPr>
              <w:spacing w:after="0"/>
              <w:rPr>
                <w:sz w:val="16"/>
                <w:szCs w:val="16"/>
                <w:color w:val="auto"/>
              </w:rPr>
            </w:pPr>
          </w:p>
        </w:tc>
        <w:tc>
          <w:tcPr>
            <w:tcW w:w="980" w:type="dxa"/>
            <w:vAlign w:val="bottom"/>
            <w:tcBorders>
              <w:top w:val="single" w:sz="8" w:color="0000EE"/>
              <w:bottom w:val="single" w:sz="8" w:color="0000EE"/>
            </w:tcBorders>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5.07</w:t>
            </w:r>
          </w:p>
        </w:tc>
        <w:tc>
          <w:tcPr>
            <w:tcW w:w="760" w:type="dxa"/>
            <w:vAlign w:val="bottom"/>
            <w:tcBorders>
              <w:bottom w:val="single" w:sz="8" w:color="EEEEEE"/>
              <w:right w:val="single" w:sz="8" w:color="EEEEEE"/>
            </w:tcBorders>
            <w:shd w:val="clear" w:color="auto" w:fill="EEEEEE"/>
          </w:tcPr>
          <w:p>
            <w:pPr>
              <w:spacing w:after="0"/>
              <w:rPr>
                <w:sz w:val="16"/>
                <w:szCs w:val="16"/>
                <w:color w:val="auto"/>
              </w:rPr>
            </w:pPr>
          </w:p>
        </w:tc>
        <w:tc>
          <w:tcPr>
            <w:tcW w:w="1160" w:type="dxa"/>
            <w:vAlign w:val="bottom"/>
            <w:tcBorders>
              <w:top w:val="single" w:sz="8" w:color="0000EE"/>
              <w:bottom w:val="single" w:sz="8" w:color="0000EE"/>
              <w:right w:val="single" w:sz="8" w:color="EEEEEE"/>
            </w:tcBorders>
            <w:gridSpan w:val="3"/>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0"/>
              </w:rPr>
              <w:t>Limitation on Suits</w:t>
            </w:r>
          </w:p>
        </w:tc>
        <w:tc>
          <w:tcPr>
            <w:tcW w:w="880" w:type="dxa"/>
            <w:vAlign w:val="bottom"/>
            <w:tcBorders>
              <w:top w:val="single" w:sz="8" w:color="0000EE"/>
              <w:left w:val="single" w:sz="8" w:color="EEEEEE"/>
              <w:bottom w:val="single" w:sz="8" w:color="EEEEEE"/>
            </w:tcBorders>
            <w:gridSpan w:val="10"/>
            <w:shd w:val="clear" w:color="auto" w:fill="EEEEEE"/>
          </w:tcPr>
          <w:p>
            <w:pPr>
              <w:spacing w:after="0"/>
              <w:rPr>
                <w:sz w:val="16"/>
                <w:szCs w:val="16"/>
                <w:color w:val="auto"/>
              </w:rPr>
            </w:pPr>
          </w:p>
        </w:tc>
        <w:tc>
          <w:tcPr>
            <w:tcW w:w="7040" w:type="dxa"/>
            <w:vAlign w:val="bottom"/>
            <w:tcBorders>
              <w:bottom w:val="single" w:sz="8" w:color="EEEEEE"/>
            </w:tcBorders>
            <w:gridSpan w:val="22"/>
            <w:shd w:val="clear" w:color="auto" w:fill="EEEEEE"/>
          </w:tcPr>
          <w:p>
            <w:pPr>
              <w:spacing w:after="0"/>
              <w:rPr>
                <w:sz w:val="16"/>
                <w:szCs w:val="16"/>
                <w:color w:val="auto"/>
              </w:rPr>
            </w:pPr>
          </w:p>
        </w:tc>
        <w:tc>
          <w:tcPr>
            <w:tcW w:w="160" w:type="dxa"/>
            <w:vAlign w:val="bottom"/>
            <w:tcBorders>
              <w:top w:val="single" w:sz="8" w:color="0000EE"/>
              <w:bottom w:val="single" w:sz="8" w:color="0000EE"/>
            </w:tcBorders>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5.08</w:t>
            </w:r>
          </w:p>
        </w:tc>
        <w:tc>
          <w:tcPr>
            <w:tcW w:w="760" w:type="dxa"/>
            <w:vAlign w:val="bottom"/>
          </w:tcPr>
          <w:p>
            <w:pPr>
              <w:spacing w:after="0"/>
              <w:rPr>
                <w:sz w:val="13"/>
                <w:szCs w:val="13"/>
                <w:color w:val="auto"/>
              </w:rPr>
            </w:pPr>
          </w:p>
        </w:tc>
        <w:tc>
          <w:tcPr>
            <w:tcW w:w="9080" w:type="dxa"/>
            <w:vAlign w:val="bottom"/>
            <w:gridSpan w:val="35"/>
          </w:tcPr>
          <w:p>
            <w:pPr>
              <w:spacing w:after="0" w:line="154" w:lineRule="exact"/>
              <w:rPr>
                <w:sz w:val="20"/>
                <w:szCs w:val="20"/>
                <w:color w:val="auto"/>
              </w:rPr>
            </w:pPr>
            <w:r>
              <w:rPr>
                <w:rFonts w:ascii="Times New Roman" w:cs="Times New Roman" w:eastAsia="Times New Roman" w:hAnsi="Times New Roman"/>
                <w:sz w:val="16"/>
                <w:szCs w:val="16"/>
                <w:color w:val="0000EE"/>
              </w:rPr>
              <w:t>Unconditional Right of Holders to Receive Principal, Premium and Interest</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tcBorders>
              <w:bottom w:val="single" w:sz="8" w:color="EEEEEE"/>
            </w:tcBorders>
            <w:shd w:val="clear" w:color="auto" w:fill="EEEEEE"/>
          </w:tcPr>
          <w:p>
            <w:pPr>
              <w:spacing w:after="0"/>
              <w:rPr>
                <w:sz w:val="16"/>
                <w:szCs w:val="16"/>
                <w:color w:val="auto"/>
              </w:rPr>
            </w:pPr>
          </w:p>
        </w:tc>
        <w:tc>
          <w:tcPr>
            <w:tcW w:w="980" w:type="dxa"/>
            <w:vAlign w:val="bottom"/>
            <w:tcBorders>
              <w:top w:val="single" w:sz="8" w:color="0000EE"/>
              <w:bottom w:val="single" w:sz="8" w:color="0000EE"/>
            </w:tcBorders>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5.09</w:t>
            </w:r>
          </w:p>
        </w:tc>
        <w:tc>
          <w:tcPr>
            <w:tcW w:w="760" w:type="dxa"/>
            <w:vAlign w:val="bottom"/>
            <w:tcBorders>
              <w:bottom w:val="single" w:sz="8" w:color="EEEEEE"/>
              <w:right w:val="single" w:sz="8" w:color="EEEEEE"/>
            </w:tcBorders>
            <w:shd w:val="clear" w:color="auto" w:fill="EEEEEE"/>
          </w:tcPr>
          <w:p>
            <w:pPr>
              <w:spacing w:after="0"/>
              <w:rPr>
                <w:sz w:val="16"/>
                <w:szCs w:val="16"/>
                <w:color w:val="auto"/>
              </w:rPr>
            </w:pPr>
          </w:p>
        </w:tc>
        <w:tc>
          <w:tcPr>
            <w:tcW w:w="2280" w:type="dxa"/>
            <w:vAlign w:val="bottom"/>
            <w:tcBorders>
              <w:top w:val="single" w:sz="8" w:color="0000EE"/>
              <w:bottom w:val="single" w:sz="8" w:color="0000EE"/>
            </w:tcBorders>
            <w:gridSpan w:val="17"/>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7"/>
              </w:rPr>
              <w:t>Restoration of Rights and Remedies</w:t>
            </w:r>
          </w:p>
        </w:tc>
        <w:tc>
          <w:tcPr>
            <w:tcW w:w="2460" w:type="dxa"/>
            <w:vAlign w:val="bottom"/>
            <w:tcBorders>
              <w:top w:val="single" w:sz="8" w:color="0000EE"/>
              <w:bottom w:val="single" w:sz="8" w:color="EEEEEE"/>
            </w:tcBorders>
            <w:gridSpan w:val="17"/>
            <w:shd w:val="clear" w:color="auto" w:fill="EEEEEE"/>
          </w:tcPr>
          <w:p>
            <w:pPr>
              <w:spacing w:after="0"/>
              <w:rPr>
                <w:sz w:val="16"/>
                <w:szCs w:val="16"/>
                <w:color w:val="auto"/>
              </w:rPr>
            </w:pPr>
          </w:p>
        </w:tc>
        <w:tc>
          <w:tcPr>
            <w:tcW w:w="4340" w:type="dxa"/>
            <w:vAlign w:val="bottom"/>
            <w:tcBorders>
              <w:bottom w:val="single" w:sz="8" w:color="EEEEEE"/>
            </w:tcBorders>
            <w:shd w:val="clear" w:color="auto" w:fill="EEEEEE"/>
          </w:tcPr>
          <w:p>
            <w:pPr>
              <w:spacing w:after="0"/>
              <w:rPr>
                <w:sz w:val="16"/>
                <w:szCs w:val="16"/>
                <w:color w:val="auto"/>
              </w:rPr>
            </w:pPr>
          </w:p>
        </w:tc>
        <w:tc>
          <w:tcPr>
            <w:tcW w:w="160" w:type="dxa"/>
            <w:vAlign w:val="bottom"/>
            <w:tcBorders>
              <w:top w:val="single" w:sz="8" w:color="0000EE"/>
              <w:bottom w:val="single" w:sz="8" w:color="0000EE"/>
            </w:tcBorders>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bottom w:val="single" w:sz="8" w:color="0000EE"/>
            </w:tcBorders>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5.10</w:t>
            </w:r>
          </w:p>
        </w:tc>
        <w:tc>
          <w:tcPr>
            <w:tcW w:w="760" w:type="dxa"/>
            <w:vAlign w:val="bottom"/>
          </w:tcPr>
          <w:p>
            <w:pPr>
              <w:spacing w:after="0"/>
              <w:rPr>
                <w:sz w:val="13"/>
                <w:szCs w:val="13"/>
                <w:color w:val="auto"/>
              </w:rPr>
            </w:pPr>
          </w:p>
        </w:tc>
        <w:tc>
          <w:tcPr>
            <w:tcW w:w="2120" w:type="dxa"/>
            <w:vAlign w:val="bottom"/>
            <w:tcBorders>
              <w:bottom w:val="single" w:sz="8" w:color="0000EE"/>
            </w:tcBorders>
            <w:gridSpan w:val="14"/>
          </w:tcPr>
          <w:p>
            <w:pPr>
              <w:spacing w:after="0" w:line="154" w:lineRule="exact"/>
              <w:rPr>
                <w:sz w:val="20"/>
                <w:szCs w:val="20"/>
                <w:color w:val="auto"/>
              </w:rPr>
            </w:pPr>
            <w:r>
              <w:rPr>
                <w:rFonts w:ascii="Times New Roman" w:cs="Times New Roman" w:eastAsia="Times New Roman" w:hAnsi="Times New Roman"/>
                <w:sz w:val="16"/>
                <w:szCs w:val="16"/>
                <w:color w:val="0000EE"/>
                <w:w w:val="97"/>
              </w:rPr>
              <w:t>Rights and Remedies Cumulative</w:t>
            </w:r>
          </w:p>
        </w:tc>
        <w:tc>
          <w:tcPr>
            <w:tcW w:w="6960" w:type="dxa"/>
            <w:vAlign w:val="bottom"/>
            <w:gridSpan w:val="21"/>
          </w:tcPr>
          <w:p>
            <w:pPr>
              <w:spacing w:after="0"/>
              <w:rPr>
                <w:sz w:val="13"/>
                <w:szCs w:val="13"/>
                <w:color w:val="auto"/>
              </w:rPr>
            </w:pPr>
          </w:p>
        </w:tc>
        <w:tc>
          <w:tcPr>
            <w:tcW w:w="160" w:type="dxa"/>
            <w:vAlign w:val="bottom"/>
            <w:tcBorders>
              <w:bottom w:val="single" w:sz="8" w:color="0000EE"/>
            </w:tcBorders>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980" w:type="dxa"/>
            <w:vAlign w:val="bottom"/>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5.11</w:t>
            </w:r>
          </w:p>
        </w:tc>
        <w:tc>
          <w:tcPr>
            <w:tcW w:w="760" w:type="dxa"/>
            <w:vAlign w:val="bottom"/>
            <w:tcBorders>
              <w:right w:val="single" w:sz="8" w:color="EEEEEE"/>
            </w:tcBorders>
            <w:shd w:val="clear" w:color="auto" w:fill="EEEEEE"/>
          </w:tcPr>
          <w:p>
            <w:pPr>
              <w:spacing w:after="0"/>
              <w:rPr>
                <w:sz w:val="16"/>
                <w:szCs w:val="16"/>
                <w:color w:val="auto"/>
              </w:rPr>
            </w:pPr>
          </w:p>
        </w:tc>
        <w:tc>
          <w:tcPr>
            <w:tcW w:w="9080" w:type="dxa"/>
            <w:vAlign w:val="bottom"/>
            <w:gridSpan w:val="35"/>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Delay or Omission Not Waiver</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Borders>
              <w:top w:val="single" w:sz="8" w:color="EEEEEE"/>
            </w:tcBorders>
          </w:tcPr>
          <w:p>
            <w:pPr>
              <w:spacing w:after="0"/>
              <w:rPr>
                <w:sz w:val="13"/>
                <w:szCs w:val="13"/>
                <w:color w:val="auto"/>
              </w:rPr>
            </w:pPr>
          </w:p>
        </w:tc>
        <w:tc>
          <w:tcPr>
            <w:tcW w:w="980" w:type="dxa"/>
            <w:vAlign w:val="bottom"/>
            <w:tcBorders>
              <w:top w:val="single" w:sz="8" w:color="0000EE"/>
              <w:bottom w:val="single" w:sz="8" w:color="0000EE"/>
            </w:tcBorders>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5.12</w:t>
            </w:r>
          </w:p>
        </w:tc>
        <w:tc>
          <w:tcPr>
            <w:tcW w:w="760" w:type="dxa"/>
            <w:vAlign w:val="bottom"/>
            <w:tcBorders>
              <w:top w:val="single" w:sz="8" w:color="EEEEEE"/>
            </w:tcBorders>
          </w:tcPr>
          <w:p>
            <w:pPr>
              <w:spacing w:after="0"/>
              <w:rPr>
                <w:sz w:val="13"/>
                <w:szCs w:val="13"/>
                <w:color w:val="auto"/>
              </w:rPr>
            </w:pPr>
          </w:p>
        </w:tc>
        <w:tc>
          <w:tcPr>
            <w:tcW w:w="1160" w:type="dxa"/>
            <w:vAlign w:val="bottom"/>
            <w:tcBorders>
              <w:top w:val="single" w:sz="8" w:color="0000EE"/>
              <w:bottom w:val="single" w:sz="8" w:color="0000EE"/>
            </w:tcBorders>
            <w:gridSpan w:val="3"/>
          </w:tcPr>
          <w:p>
            <w:pPr>
              <w:spacing w:after="0" w:line="154" w:lineRule="exact"/>
              <w:rPr>
                <w:sz w:val="20"/>
                <w:szCs w:val="20"/>
                <w:color w:val="auto"/>
              </w:rPr>
            </w:pPr>
            <w:r>
              <w:rPr>
                <w:rFonts w:ascii="Times New Roman" w:cs="Times New Roman" w:eastAsia="Times New Roman" w:hAnsi="Times New Roman"/>
                <w:sz w:val="16"/>
                <w:szCs w:val="16"/>
                <w:color w:val="0000EE"/>
                <w:w w:val="90"/>
              </w:rPr>
              <w:t>Control by Holders</w:t>
            </w:r>
          </w:p>
        </w:tc>
        <w:tc>
          <w:tcPr>
            <w:tcW w:w="780" w:type="dxa"/>
            <w:vAlign w:val="bottom"/>
            <w:tcBorders>
              <w:top w:val="single" w:sz="8" w:color="0000EE"/>
            </w:tcBorders>
            <w:gridSpan w:val="9"/>
          </w:tcPr>
          <w:p>
            <w:pPr>
              <w:spacing w:after="0"/>
              <w:rPr>
                <w:sz w:val="13"/>
                <w:szCs w:val="13"/>
                <w:color w:val="auto"/>
              </w:rPr>
            </w:pPr>
          </w:p>
        </w:tc>
        <w:tc>
          <w:tcPr>
            <w:tcW w:w="7140" w:type="dxa"/>
            <w:vAlign w:val="bottom"/>
            <w:tcBorders>
              <w:top w:val="single" w:sz="8" w:color="EEEEEE"/>
            </w:tcBorders>
            <w:gridSpan w:val="23"/>
          </w:tcPr>
          <w:p>
            <w:pPr>
              <w:spacing w:after="0"/>
              <w:rPr>
                <w:sz w:val="13"/>
                <w:szCs w:val="13"/>
                <w:color w:val="auto"/>
              </w:rPr>
            </w:pPr>
          </w:p>
        </w:tc>
        <w:tc>
          <w:tcPr>
            <w:tcW w:w="160" w:type="dxa"/>
            <w:vAlign w:val="bottom"/>
            <w:tcBorders>
              <w:top w:val="single" w:sz="8" w:color="0000EE"/>
              <w:bottom w:val="single" w:sz="8" w:color="0000EE"/>
            </w:tcBorders>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tcBorders>
              <w:bottom w:val="single" w:sz="8" w:color="EEEEEE"/>
            </w:tcBorders>
            <w:shd w:val="clear" w:color="auto" w:fill="EEEEEE"/>
          </w:tcPr>
          <w:p>
            <w:pPr>
              <w:spacing w:after="0"/>
              <w:rPr>
                <w:sz w:val="16"/>
                <w:szCs w:val="16"/>
                <w:color w:val="auto"/>
              </w:rPr>
            </w:pPr>
          </w:p>
        </w:tc>
        <w:tc>
          <w:tcPr>
            <w:tcW w:w="980" w:type="dxa"/>
            <w:vAlign w:val="bottom"/>
            <w:tcBorders>
              <w:bottom w:val="single" w:sz="8" w:color="0000EE"/>
            </w:tcBorders>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5.13</w:t>
            </w:r>
          </w:p>
        </w:tc>
        <w:tc>
          <w:tcPr>
            <w:tcW w:w="760" w:type="dxa"/>
            <w:vAlign w:val="bottom"/>
            <w:tcBorders>
              <w:bottom w:val="single" w:sz="8" w:color="EEEEEE"/>
              <w:right w:val="single" w:sz="8" w:color="EEEEEE"/>
            </w:tcBorders>
            <w:shd w:val="clear" w:color="auto" w:fill="EEEEEE"/>
          </w:tcPr>
          <w:p>
            <w:pPr>
              <w:spacing w:after="0"/>
              <w:rPr>
                <w:sz w:val="16"/>
                <w:szCs w:val="16"/>
                <w:color w:val="auto"/>
              </w:rPr>
            </w:pPr>
          </w:p>
        </w:tc>
        <w:tc>
          <w:tcPr>
            <w:tcW w:w="1500" w:type="dxa"/>
            <w:vAlign w:val="bottom"/>
            <w:tcBorders>
              <w:bottom w:val="single" w:sz="8" w:color="0000EE"/>
            </w:tcBorders>
            <w:gridSpan w:val="7"/>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Waiver of Past Defaults</w:t>
            </w:r>
          </w:p>
        </w:tc>
        <w:tc>
          <w:tcPr>
            <w:tcW w:w="7580" w:type="dxa"/>
            <w:vAlign w:val="bottom"/>
            <w:tcBorders>
              <w:bottom w:val="single" w:sz="8" w:color="EEEEEE"/>
            </w:tcBorders>
            <w:gridSpan w:val="28"/>
            <w:shd w:val="clear" w:color="auto" w:fill="EEEEEE"/>
          </w:tcPr>
          <w:p>
            <w:pPr>
              <w:spacing w:after="0"/>
              <w:rPr>
                <w:sz w:val="16"/>
                <w:szCs w:val="16"/>
                <w:color w:val="auto"/>
              </w:rPr>
            </w:pPr>
          </w:p>
        </w:tc>
        <w:tc>
          <w:tcPr>
            <w:tcW w:w="160" w:type="dxa"/>
            <w:vAlign w:val="bottom"/>
            <w:tcBorders>
              <w:bottom w:val="single" w:sz="8" w:color="0000EE"/>
            </w:tcBorders>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bottom w:val="single" w:sz="8" w:color="0000EE"/>
            </w:tcBorders>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5.14</w:t>
            </w:r>
          </w:p>
        </w:tc>
        <w:tc>
          <w:tcPr>
            <w:tcW w:w="760" w:type="dxa"/>
            <w:vAlign w:val="bottom"/>
          </w:tcPr>
          <w:p>
            <w:pPr>
              <w:spacing w:after="0"/>
              <w:rPr>
                <w:sz w:val="13"/>
                <w:szCs w:val="13"/>
                <w:color w:val="auto"/>
              </w:rPr>
            </w:pPr>
          </w:p>
        </w:tc>
        <w:tc>
          <w:tcPr>
            <w:tcW w:w="2180" w:type="dxa"/>
            <w:vAlign w:val="bottom"/>
            <w:tcBorders>
              <w:bottom w:val="single" w:sz="8" w:color="0000EE"/>
            </w:tcBorders>
            <w:gridSpan w:val="15"/>
          </w:tcPr>
          <w:p>
            <w:pPr>
              <w:spacing w:after="0" w:line="154" w:lineRule="exact"/>
              <w:rPr>
                <w:sz w:val="20"/>
                <w:szCs w:val="20"/>
                <w:color w:val="auto"/>
              </w:rPr>
            </w:pPr>
            <w:r>
              <w:rPr>
                <w:rFonts w:ascii="Times New Roman" w:cs="Times New Roman" w:eastAsia="Times New Roman" w:hAnsi="Times New Roman"/>
                <w:sz w:val="16"/>
                <w:szCs w:val="16"/>
                <w:color w:val="0000EE"/>
                <w:w w:val="96"/>
              </w:rPr>
              <w:t>Waiver of Stay or Extension Laws</w:t>
            </w:r>
          </w:p>
        </w:tc>
        <w:tc>
          <w:tcPr>
            <w:tcW w:w="6900" w:type="dxa"/>
            <w:vAlign w:val="bottom"/>
            <w:gridSpan w:val="20"/>
          </w:tcPr>
          <w:p>
            <w:pPr>
              <w:spacing w:after="0"/>
              <w:rPr>
                <w:sz w:val="13"/>
                <w:szCs w:val="13"/>
                <w:color w:val="auto"/>
              </w:rPr>
            </w:pPr>
          </w:p>
        </w:tc>
        <w:tc>
          <w:tcPr>
            <w:tcW w:w="160" w:type="dxa"/>
            <w:vAlign w:val="bottom"/>
            <w:tcBorders>
              <w:bottom w:val="single" w:sz="8" w:color="0000EE"/>
            </w:tcBorders>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740" w:type="dxa"/>
            <w:vAlign w:val="bottom"/>
            <w:tcBorders>
              <w:right w:val="single" w:sz="8" w:color="EEEEEE"/>
            </w:tcBorders>
            <w:gridSpan w:val="2"/>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SECTION 5.15</w:t>
            </w:r>
          </w:p>
        </w:tc>
        <w:tc>
          <w:tcPr>
            <w:tcW w:w="9080" w:type="dxa"/>
            <w:vAlign w:val="bottom"/>
            <w:gridSpan w:val="35"/>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Undertaking for Costs</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60" w:type="dxa"/>
            <w:vAlign w:val="bottom"/>
            <w:tcBorders>
              <w:top w:val="single" w:sz="8" w:color="EEEEEE"/>
            </w:tcBorders>
          </w:tcPr>
          <w:p>
            <w:pPr>
              <w:spacing w:after="0"/>
              <w:rPr>
                <w:sz w:val="16"/>
                <w:szCs w:val="16"/>
                <w:color w:val="auto"/>
              </w:rPr>
            </w:pPr>
          </w:p>
        </w:tc>
        <w:tc>
          <w:tcPr>
            <w:tcW w:w="980" w:type="dxa"/>
            <w:vAlign w:val="bottom"/>
            <w:tcBorders>
              <w:top w:val="single" w:sz="8" w:color="0000EE"/>
            </w:tcBorders>
          </w:tcPr>
          <w:p>
            <w:pPr>
              <w:spacing w:after="0"/>
              <w:rPr>
                <w:sz w:val="16"/>
                <w:szCs w:val="16"/>
                <w:color w:val="auto"/>
              </w:rPr>
            </w:pPr>
          </w:p>
        </w:tc>
        <w:tc>
          <w:tcPr>
            <w:tcW w:w="760" w:type="dxa"/>
            <w:vAlign w:val="bottom"/>
            <w:tcBorders>
              <w:top w:val="single" w:sz="8" w:color="EEEE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340" w:type="dxa"/>
            <w:vAlign w:val="bottom"/>
            <w:tcBorders>
              <w:top w:val="single" w:sz="8" w:color="EEEEEE"/>
            </w:tcBorders>
          </w:tcPr>
          <w:p>
            <w:pPr>
              <w:spacing w:after="0"/>
              <w:rPr>
                <w:sz w:val="16"/>
                <w:szCs w:val="16"/>
                <w:color w:val="auto"/>
              </w:rPr>
            </w:pPr>
          </w:p>
        </w:tc>
        <w:tc>
          <w:tcPr>
            <w:tcW w:w="360" w:type="dxa"/>
            <w:vAlign w:val="bottom"/>
            <w:tcBorders>
              <w:top w:val="single" w:sz="8" w:color="EEEE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600" w:type="dxa"/>
            <w:vAlign w:val="bottom"/>
            <w:tcBorders>
              <w:top w:val="single" w:sz="8" w:color="EEEEEE"/>
            </w:tcBorders>
          </w:tcPr>
          <w:p>
            <w:pPr>
              <w:spacing w:after="0"/>
              <w:rPr>
                <w:sz w:val="16"/>
                <w:szCs w:val="16"/>
                <w:color w:val="auto"/>
              </w:rPr>
            </w:pPr>
          </w:p>
        </w:tc>
        <w:tc>
          <w:tcPr>
            <w:tcW w:w="4340" w:type="dxa"/>
            <w:vAlign w:val="bottom"/>
            <w:tcBorders>
              <w:top w:val="single" w:sz="8" w:color="EEEE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11080" w:type="dxa"/>
            <w:vAlign w:val="bottom"/>
            <w:gridSpan w:val="38"/>
            <w:shd w:val="clear" w:color="auto" w:fill="EEEEEE"/>
          </w:tcPr>
          <w:p>
            <w:pPr>
              <w:spacing w:after="0" w:line="154" w:lineRule="exact"/>
              <w:rPr>
                <w:sz w:val="20"/>
                <w:szCs w:val="20"/>
                <w:color w:val="auto"/>
              </w:rPr>
            </w:pPr>
            <w:r>
              <w:rPr>
                <w:rFonts w:ascii="Times New Roman" w:cs="Times New Roman" w:eastAsia="Times New Roman" w:hAnsi="Times New Roman"/>
                <w:sz w:val="16"/>
                <w:szCs w:val="16"/>
                <w:b w:val="1"/>
                <w:bCs w:val="1"/>
                <w:color w:val="0000EE"/>
              </w:rPr>
              <w:t>ARTICLE SIX THE TRUSTEES</w:t>
            </w:r>
          </w:p>
        </w:tc>
        <w:tc>
          <w:tcPr>
            <w:tcW w:w="160" w:type="dxa"/>
            <w:vAlign w:val="bottom"/>
            <w:shd w:val="clear" w:color="auto" w:fill="EEEEEE"/>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43</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76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60" w:type="dxa"/>
            <w:vAlign w:val="bottom"/>
            <w:shd w:val="clear" w:color="auto" w:fill="EEEEEE"/>
          </w:tcPr>
          <w:p>
            <w:pPr>
              <w:spacing w:after="0"/>
              <w:rPr>
                <w:sz w:val="3"/>
                <w:szCs w:val="3"/>
                <w:color w:val="auto"/>
              </w:rPr>
            </w:pPr>
          </w:p>
        </w:tc>
        <w:tc>
          <w:tcPr>
            <w:tcW w:w="280" w:type="dxa"/>
            <w:vAlign w:val="bottom"/>
            <w:tcBorders>
              <w:right w:val="single" w:sz="8" w:color="EEEEEE"/>
            </w:tcBorders>
            <w:shd w:val="clear" w:color="auto" w:fill="EEEEEE"/>
          </w:tcPr>
          <w:p>
            <w:pPr>
              <w:spacing w:after="0"/>
              <w:rPr>
                <w:sz w:val="3"/>
                <w:szCs w:val="3"/>
                <w:color w:val="auto"/>
              </w:rPr>
            </w:pPr>
          </w:p>
        </w:tc>
        <w:tc>
          <w:tcPr>
            <w:tcW w:w="140" w:type="dxa"/>
            <w:vAlign w:val="bottom"/>
            <w:tcBorders>
              <w:left w:val="single" w:sz="8" w:color="EEEEEE"/>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60" w:type="dxa"/>
            <w:vAlign w:val="bottom"/>
            <w:tcBorders>
              <w:right w:val="single" w:sz="8" w:color="EEEEEE"/>
            </w:tcBorders>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340" w:type="dxa"/>
            <w:vAlign w:val="bottom"/>
            <w:tcBorders>
              <w:right w:val="single" w:sz="8" w:color="EEEEEE"/>
            </w:tcBorders>
            <w:shd w:val="clear" w:color="auto" w:fill="EEEEEE"/>
          </w:tcPr>
          <w:p>
            <w:pPr>
              <w:spacing w:after="0"/>
              <w:rPr>
                <w:sz w:val="3"/>
                <w:szCs w:val="3"/>
                <w:color w:val="auto"/>
              </w:rPr>
            </w:pPr>
          </w:p>
        </w:tc>
        <w:tc>
          <w:tcPr>
            <w:tcW w:w="36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600" w:type="dxa"/>
            <w:vAlign w:val="bottom"/>
            <w:shd w:val="clear" w:color="auto" w:fill="EEEEEE"/>
          </w:tcPr>
          <w:p>
            <w:pPr>
              <w:spacing w:after="0"/>
              <w:rPr>
                <w:sz w:val="3"/>
                <w:szCs w:val="3"/>
                <w:color w:val="auto"/>
              </w:rPr>
            </w:pPr>
          </w:p>
        </w:tc>
        <w:tc>
          <w:tcPr>
            <w:tcW w:w="434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6.01</w:t>
            </w:r>
          </w:p>
        </w:tc>
        <w:tc>
          <w:tcPr>
            <w:tcW w:w="760" w:type="dxa"/>
            <w:vAlign w:val="bottom"/>
          </w:tcPr>
          <w:p>
            <w:pPr>
              <w:spacing w:after="0"/>
              <w:rPr>
                <w:sz w:val="13"/>
                <w:szCs w:val="13"/>
                <w:color w:val="auto"/>
              </w:rPr>
            </w:pPr>
          </w:p>
        </w:tc>
        <w:tc>
          <w:tcPr>
            <w:tcW w:w="9080" w:type="dxa"/>
            <w:vAlign w:val="bottom"/>
            <w:gridSpan w:val="35"/>
          </w:tcPr>
          <w:p>
            <w:pPr>
              <w:spacing w:after="0" w:line="154" w:lineRule="exact"/>
              <w:rPr>
                <w:sz w:val="20"/>
                <w:szCs w:val="20"/>
                <w:color w:val="auto"/>
              </w:rPr>
            </w:pPr>
            <w:r>
              <w:rPr>
                <w:rFonts w:ascii="Times New Roman" w:cs="Times New Roman" w:eastAsia="Times New Roman" w:hAnsi="Times New Roman"/>
                <w:sz w:val="16"/>
                <w:szCs w:val="16"/>
                <w:color w:val="0000EE"/>
              </w:rPr>
              <w:t>Notice of Defaults</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980" w:type="dxa"/>
            <w:vAlign w:val="bottom"/>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6.02</w:t>
            </w:r>
          </w:p>
        </w:tc>
        <w:tc>
          <w:tcPr>
            <w:tcW w:w="760" w:type="dxa"/>
            <w:vAlign w:val="bottom"/>
            <w:tcBorders>
              <w:right w:val="single" w:sz="8" w:color="EEEEEE"/>
            </w:tcBorders>
            <w:shd w:val="clear" w:color="auto" w:fill="EEEEEE"/>
          </w:tcPr>
          <w:p>
            <w:pPr>
              <w:spacing w:after="0"/>
              <w:rPr>
                <w:sz w:val="16"/>
                <w:szCs w:val="16"/>
                <w:color w:val="auto"/>
              </w:rPr>
            </w:pPr>
          </w:p>
        </w:tc>
        <w:tc>
          <w:tcPr>
            <w:tcW w:w="9080" w:type="dxa"/>
            <w:vAlign w:val="bottom"/>
            <w:gridSpan w:val="35"/>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Certain Duties and Responsibilities of Trustees</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Borders>
              <w:top w:val="single" w:sz="8" w:color="EEEEEE"/>
            </w:tcBorders>
          </w:tcPr>
          <w:p>
            <w:pPr>
              <w:spacing w:after="0"/>
              <w:rPr>
                <w:sz w:val="13"/>
                <w:szCs w:val="13"/>
                <w:color w:val="auto"/>
              </w:rPr>
            </w:pPr>
          </w:p>
        </w:tc>
        <w:tc>
          <w:tcPr>
            <w:tcW w:w="980" w:type="dxa"/>
            <w:vAlign w:val="bottom"/>
            <w:tcBorders>
              <w:top w:val="single" w:sz="8" w:color="0000EE"/>
            </w:tcBorders>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6.03</w:t>
            </w:r>
          </w:p>
        </w:tc>
        <w:tc>
          <w:tcPr>
            <w:tcW w:w="760" w:type="dxa"/>
            <w:vAlign w:val="bottom"/>
            <w:tcBorders>
              <w:top w:val="single" w:sz="8" w:color="EEEEEE"/>
            </w:tcBorders>
          </w:tcPr>
          <w:p>
            <w:pPr>
              <w:spacing w:after="0"/>
              <w:rPr>
                <w:sz w:val="13"/>
                <w:szCs w:val="13"/>
                <w:color w:val="auto"/>
              </w:rPr>
            </w:pPr>
          </w:p>
        </w:tc>
        <w:tc>
          <w:tcPr>
            <w:tcW w:w="2980" w:type="dxa"/>
            <w:vAlign w:val="bottom"/>
            <w:tcBorders>
              <w:top w:val="single" w:sz="8" w:color="0000EE"/>
            </w:tcBorders>
            <w:gridSpan w:val="22"/>
          </w:tcPr>
          <w:p>
            <w:pPr>
              <w:spacing w:after="0" w:line="154" w:lineRule="exact"/>
              <w:rPr>
                <w:sz w:val="20"/>
                <w:szCs w:val="20"/>
                <w:color w:val="auto"/>
              </w:rPr>
            </w:pPr>
            <w:r>
              <w:rPr>
                <w:rFonts w:ascii="Times New Roman" w:cs="Times New Roman" w:eastAsia="Times New Roman" w:hAnsi="Times New Roman"/>
                <w:sz w:val="16"/>
                <w:szCs w:val="16"/>
                <w:color w:val="0000EE"/>
              </w:rPr>
              <w:t>Certain Rights of Trustees</w:t>
            </w:r>
          </w:p>
        </w:tc>
        <w:tc>
          <w:tcPr>
            <w:tcW w:w="6100" w:type="dxa"/>
            <w:vAlign w:val="bottom"/>
            <w:tcBorders>
              <w:top w:val="single" w:sz="8" w:color="EEEEEE"/>
            </w:tcBorders>
            <w:gridSpan w:val="13"/>
          </w:tcPr>
          <w:p>
            <w:pPr>
              <w:spacing w:after="0"/>
              <w:rPr>
                <w:sz w:val="13"/>
                <w:szCs w:val="13"/>
                <w:color w:val="auto"/>
              </w:rPr>
            </w:pPr>
          </w:p>
        </w:tc>
        <w:tc>
          <w:tcPr>
            <w:tcW w:w="160" w:type="dxa"/>
            <w:vAlign w:val="bottom"/>
            <w:tcBorders>
              <w:top w:val="single" w:sz="8" w:color="0000EE"/>
            </w:tcBorders>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980" w:type="dxa"/>
            <w:vAlign w:val="bottom"/>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6.04</w:t>
            </w:r>
          </w:p>
        </w:tc>
        <w:tc>
          <w:tcPr>
            <w:tcW w:w="760" w:type="dxa"/>
            <w:vAlign w:val="bottom"/>
            <w:tcBorders>
              <w:right w:val="single" w:sz="8" w:color="EEEEEE"/>
            </w:tcBorders>
            <w:shd w:val="clear" w:color="auto" w:fill="EEEEEE"/>
          </w:tcPr>
          <w:p>
            <w:pPr>
              <w:spacing w:after="0"/>
              <w:rPr>
                <w:sz w:val="16"/>
                <w:szCs w:val="16"/>
                <w:color w:val="auto"/>
              </w:rPr>
            </w:pPr>
          </w:p>
        </w:tc>
        <w:tc>
          <w:tcPr>
            <w:tcW w:w="9080" w:type="dxa"/>
            <w:vAlign w:val="bottom"/>
            <w:gridSpan w:val="35"/>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Trustees Not Responsible for Recitals or Issuance of Securities</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Borders>
              <w:top w:val="single" w:sz="8" w:color="EEEEEE"/>
            </w:tcBorders>
          </w:tcPr>
          <w:p>
            <w:pPr>
              <w:spacing w:after="0"/>
              <w:rPr>
                <w:sz w:val="13"/>
                <w:szCs w:val="13"/>
                <w:color w:val="auto"/>
              </w:rPr>
            </w:pPr>
          </w:p>
        </w:tc>
        <w:tc>
          <w:tcPr>
            <w:tcW w:w="980" w:type="dxa"/>
            <w:vAlign w:val="bottom"/>
            <w:tcBorders>
              <w:top w:val="single" w:sz="8" w:color="0000EE"/>
            </w:tcBorders>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6.05</w:t>
            </w:r>
          </w:p>
        </w:tc>
        <w:tc>
          <w:tcPr>
            <w:tcW w:w="760" w:type="dxa"/>
            <w:vAlign w:val="bottom"/>
            <w:tcBorders>
              <w:top w:val="single" w:sz="8" w:color="EEEEEE"/>
            </w:tcBorders>
          </w:tcPr>
          <w:p>
            <w:pPr>
              <w:spacing w:after="0"/>
              <w:rPr>
                <w:sz w:val="13"/>
                <w:szCs w:val="13"/>
                <w:color w:val="auto"/>
              </w:rPr>
            </w:pPr>
          </w:p>
        </w:tc>
        <w:tc>
          <w:tcPr>
            <w:tcW w:w="3960" w:type="dxa"/>
            <w:vAlign w:val="bottom"/>
            <w:tcBorders>
              <w:top w:val="single" w:sz="8" w:color="0000EE"/>
            </w:tcBorders>
            <w:gridSpan w:val="29"/>
          </w:tcPr>
          <w:p>
            <w:pPr>
              <w:spacing w:after="0" w:line="154" w:lineRule="exact"/>
              <w:rPr>
                <w:sz w:val="20"/>
                <w:szCs w:val="20"/>
                <w:color w:val="auto"/>
              </w:rPr>
            </w:pPr>
            <w:r>
              <w:rPr>
                <w:rFonts w:ascii="Times New Roman" w:cs="Times New Roman" w:eastAsia="Times New Roman" w:hAnsi="Times New Roman"/>
                <w:sz w:val="16"/>
                <w:szCs w:val="16"/>
                <w:color w:val="0000EE"/>
              </w:rPr>
              <w:t>May Hold Securities</w:t>
            </w:r>
          </w:p>
        </w:tc>
        <w:tc>
          <w:tcPr>
            <w:tcW w:w="5120" w:type="dxa"/>
            <w:vAlign w:val="bottom"/>
            <w:tcBorders>
              <w:top w:val="single" w:sz="8" w:color="EEEEEE"/>
            </w:tcBorders>
            <w:gridSpan w:val="6"/>
          </w:tcPr>
          <w:p>
            <w:pPr>
              <w:spacing w:after="0"/>
              <w:rPr>
                <w:sz w:val="13"/>
                <w:szCs w:val="13"/>
                <w:color w:val="auto"/>
              </w:rPr>
            </w:pPr>
          </w:p>
        </w:tc>
        <w:tc>
          <w:tcPr>
            <w:tcW w:w="160" w:type="dxa"/>
            <w:vAlign w:val="bottom"/>
            <w:tcBorders>
              <w:top w:val="single" w:sz="8" w:color="0000EE"/>
            </w:tcBorders>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tcBorders>
              <w:bottom w:val="single" w:sz="8" w:color="EEEEEE"/>
            </w:tcBorders>
            <w:shd w:val="clear" w:color="auto" w:fill="EEEEEE"/>
          </w:tcPr>
          <w:p>
            <w:pPr>
              <w:spacing w:after="0"/>
              <w:rPr>
                <w:sz w:val="16"/>
                <w:szCs w:val="16"/>
                <w:color w:val="auto"/>
              </w:rPr>
            </w:pPr>
          </w:p>
        </w:tc>
        <w:tc>
          <w:tcPr>
            <w:tcW w:w="980" w:type="dxa"/>
            <w:vAlign w:val="bottom"/>
            <w:tcBorders>
              <w:bottom w:val="single" w:sz="8" w:color="0000EE"/>
            </w:tcBorders>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6.06</w:t>
            </w:r>
          </w:p>
        </w:tc>
        <w:tc>
          <w:tcPr>
            <w:tcW w:w="760" w:type="dxa"/>
            <w:vAlign w:val="bottom"/>
            <w:tcBorders>
              <w:bottom w:val="single" w:sz="8" w:color="EEEEEE"/>
              <w:right w:val="single" w:sz="8" w:color="EEEEEE"/>
            </w:tcBorders>
            <w:shd w:val="clear" w:color="auto" w:fill="EEEEEE"/>
          </w:tcPr>
          <w:p>
            <w:pPr>
              <w:spacing w:after="0"/>
              <w:rPr>
                <w:sz w:val="16"/>
                <w:szCs w:val="16"/>
                <w:color w:val="auto"/>
              </w:rPr>
            </w:pPr>
          </w:p>
        </w:tc>
        <w:tc>
          <w:tcPr>
            <w:tcW w:w="1320" w:type="dxa"/>
            <w:vAlign w:val="bottom"/>
            <w:tcBorders>
              <w:bottom w:val="single" w:sz="8" w:color="0000EE"/>
            </w:tcBorders>
            <w:gridSpan w:val="5"/>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Money Held in Trust</w:t>
            </w:r>
          </w:p>
        </w:tc>
        <w:tc>
          <w:tcPr>
            <w:tcW w:w="7760" w:type="dxa"/>
            <w:vAlign w:val="bottom"/>
            <w:tcBorders>
              <w:bottom w:val="single" w:sz="8" w:color="EEEEEE"/>
            </w:tcBorders>
            <w:gridSpan w:val="30"/>
            <w:shd w:val="clear" w:color="auto" w:fill="EEEEEE"/>
          </w:tcPr>
          <w:p>
            <w:pPr>
              <w:spacing w:after="0"/>
              <w:rPr>
                <w:sz w:val="16"/>
                <w:szCs w:val="16"/>
                <w:color w:val="auto"/>
              </w:rPr>
            </w:pPr>
          </w:p>
        </w:tc>
        <w:tc>
          <w:tcPr>
            <w:tcW w:w="160" w:type="dxa"/>
            <w:vAlign w:val="bottom"/>
            <w:tcBorders>
              <w:bottom w:val="single" w:sz="8" w:color="0000EE"/>
            </w:tcBorders>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bottom w:val="single" w:sz="8" w:color="0000EE"/>
            </w:tcBorders>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6.07</w:t>
            </w:r>
          </w:p>
        </w:tc>
        <w:tc>
          <w:tcPr>
            <w:tcW w:w="760" w:type="dxa"/>
            <w:vAlign w:val="bottom"/>
          </w:tcPr>
          <w:p>
            <w:pPr>
              <w:spacing w:after="0"/>
              <w:rPr>
                <w:sz w:val="13"/>
                <w:szCs w:val="13"/>
                <w:color w:val="auto"/>
              </w:rPr>
            </w:pPr>
          </w:p>
        </w:tc>
        <w:tc>
          <w:tcPr>
            <w:tcW w:w="2220" w:type="dxa"/>
            <w:vAlign w:val="bottom"/>
            <w:tcBorders>
              <w:bottom w:val="single" w:sz="8" w:color="0000EE"/>
            </w:tcBorders>
            <w:gridSpan w:val="16"/>
          </w:tcPr>
          <w:p>
            <w:pPr>
              <w:spacing w:after="0" w:line="154" w:lineRule="exact"/>
              <w:rPr>
                <w:sz w:val="20"/>
                <w:szCs w:val="20"/>
                <w:color w:val="auto"/>
              </w:rPr>
            </w:pPr>
            <w:r>
              <w:rPr>
                <w:rFonts w:ascii="Times New Roman" w:cs="Times New Roman" w:eastAsia="Times New Roman" w:hAnsi="Times New Roman"/>
                <w:sz w:val="16"/>
                <w:szCs w:val="16"/>
                <w:color w:val="0000EE"/>
                <w:w w:val="97"/>
              </w:rPr>
              <w:t>Compensation and Reimbursement</w:t>
            </w:r>
          </w:p>
        </w:tc>
        <w:tc>
          <w:tcPr>
            <w:tcW w:w="6860" w:type="dxa"/>
            <w:vAlign w:val="bottom"/>
            <w:gridSpan w:val="19"/>
          </w:tcPr>
          <w:p>
            <w:pPr>
              <w:spacing w:after="0"/>
              <w:rPr>
                <w:sz w:val="13"/>
                <w:szCs w:val="13"/>
                <w:color w:val="auto"/>
              </w:rPr>
            </w:pPr>
          </w:p>
        </w:tc>
        <w:tc>
          <w:tcPr>
            <w:tcW w:w="160" w:type="dxa"/>
            <w:vAlign w:val="bottom"/>
            <w:tcBorders>
              <w:bottom w:val="single" w:sz="8" w:color="0000EE"/>
            </w:tcBorders>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tcBorders>
              <w:bottom w:val="single" w:sz="8" w:color="EEEEEE"/>
            </w:tcBorders>
            <w:shd w:val="clear" w:color="auto" w:fill="EEEEEE"/>
          </w:tcPr>
          <w:p>
            <w:pPr>
              <w:spacing w:after="0"/>
              <w:rPr>
                <w:sz w:val="16"/>
                <w:szCs w:val="16"/>
                <w:color w:val="auto"/>
              </w:rPr>
            </w:pPr>
          </w:p>
        </w:tc>
        <w:tc>
          <w:tcPr>
            <w:tcW w:w="980" w:type="dxa"/>
            <w:vAlign w:val="bottom"/>
            <w:tcBorders>
              <w:bottom w:val="single" w:sz="8" w:color="0000EE"/>
            </w:tcBorders>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6.08</w:t>
            </w:r>
          </w:p>
        </w:tc>
        <w:tc>
          <w:tcPr>
            <w:tcW w:w="760" w:type="dxa"/>
            <w:vAlign w:val="bottom"/>
            <w:tcBorders>
              <w:bottom w:val="single" w:sz="8" w:color="EEEEEE"/>
              <w:right w:val="single" w:sz="8" w:color="EEEEEE"/>
            </w:tcBorders>
            <w:shd w:val="clear" w:color="auto" w:fill="EEEEEE"/>
          </w:tcPr>
          <w:p>
            <w:pPr>
              <w:spacing w:after="0"/>
              <w:rPr>
                <w:sz w:val="16"/>
                <w:szCs w:val="16"/>
                <w:color w:val="auto"/>
              </w:rPr>
            </w:pPr>
          </w:p>
        </w:tc>
        <w:tc>
          <w:tcPr>
            <w:tcW w:w="2540" w:type="dxa"/>
            <w:vAlign w:val="bottom"/>
            <w:tcBorders>
              <w:bottom w:val="single" w:sz="8" w:color="0000EE"/>
            </w:tcBorders>
            <w:gridSpan w:val="20"/>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7"/>
              </w:rPr>
              <w:t>Corporate Trustees Required; Eligibility</w:t>
            </w:r>
          </w:p>
        </w:tc>
        <w:tc>
          <w:tcPr>
            <w:tcW w:w="6540" w:type="dxa"/>
            <w:vAlign w:val="bottom"/>
            <w:tcBorders>
              <w:bottom w:val="single" w:sz="8" w:color="EEEEEE"/>
            </w:tcBorders>
            <w:gridSpan w:val="15"/>
            <w:shd w:val="clear" w:color="auto" w:fill="EEEEEE"/>
          </w:tcPr>
          <w:p>
            <w:pPr>
              <w:spacing w:after="0"/>
              <w:rPr>
                <w:sz w:val="16"/>
                <w:szCs w:val="16"/>
                <w:color w:val="auto"/>
              </w:rPr>
            </w:pPr>
          </w:p>
        </w:tc>
        <w:tc>
          <w:tcPr>
            <w:tcW w:w="160" w:type="dxa"/>
            <w:vAlign w:val="bottom"/>
            <w:tcBorders>
              <w:bottom w:val="single" w:sz="8" w:color="0000EE"/>
            </w:tcBorders>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bottom w:val="single" w:sz="8" w:color="0000EE"/>
            </w:tcBorders>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6.09</w:t>
            </w:r>
          </w:p>
        </w:tc>
        <w:tc>
          <w:tcPr>
            <w:tcW w:w="760" w:type="dxa"/>
            <w:vAlign w:val="bottom"/>
          </w:tcPr>
          <w:p>
            <w:pPr>
              <w:spacing w:after="0"/>
              <w:rPr>
                <w:sz w:val="13"/>
                <w:szCs w:val="13"/>
                <w:color w:val="auto"/>
              </w:rPr>
            </w:pPr>
          </w:p>
        </w:tc>
        <w:tc>
          <w:tcPr>
            <w:tcW w:w="3380" w:type="dxa"/>
            <w:vAlign w:val="bottom"/>
            <w:tcBorders>
              <w:bottom w:val="single" w:sz="8" w:color="0000EE"/>
            </w:tcBorders>
            <w:gridSpan w:val="24"/>
          </w:tcPr>
          <w:p>
            <w:pPr>
              <w:spacing w:after="0" w:line="154" w:lineRule="exact"/>
              <w:rPr>
                <w:sz w:val="20"/>
                <w:szCs w:val="20"/>
                <w:color w:val="auto"/>
              </w:rPr>
            </w:pPr>
            <w:r>
              <w:rPr>
                <w:rFonts w:ascii="Times New Roman" w:cs="Times New Roman" w:eastAsia="Times New Roman" w:hAnsi="Times New Roman"/>
                <w:sz w:val="16"/>
                <w:szCs w:val="16"/>
                <w:color w:val="0000EE"/>
                <w:w w:val="97"/>
              </w:rPr>
              <w:t>Resignation and Removal; Appointment of Successor</w:t>
            </w:r>
          </w:p>
        </w:tc>
        <w:tc>
          <w:tcPr>
            <w:tcW w:w="5700" w:type="dxa"/>
            <w:vAlign w:val="bottom"/>
            <w:gridSpan w:val="11"/>
          </w:tcPr>
          <w:p>
            <w:pPr>
              <w:spacing w:after="0"/>
              <w:rPr>
                <w:sz w:val="13"/>
                <w:szCs w:val="13"/>
                <w:color w:val="auto"/>
              </w:rPr>
            </w:pPr>
          </w:p>
        </w:tc>
        <w:tc>
          <w:tcPr>
            <w:tcW w:w="160" w:type="dxa"/>
            <w:vAlign w:val="bottom"/>
            <w:tcBorders>
              <w:bottom w:val="single" w:sz="8" w:color="0000EE"/>
            </w:tcBorders>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tcBorders>
              <w:bottom w:val="single" w:sz="8" w:color="EEEEEE"/>
            </w:tcBorders>
            <w:shd w:val="clear" w:color="auto" w:fill="EEEEEE"/>
          </w:tcPr>
          <w:p>
            <w:pPr>
              <w:spacing w:after="0"/>
              <w:rPr>
                <w:sz w:val="16"/>
                <w:szCs w:val="16"/>
                <w:color w:val="auto"/>
              </w:rPr>
            </w:pPr>
          </w:p>
        </w:tc>
        <w:tc>
          <w:tcPr>
            <w:tcW w:w="980" w:type="dxa"/>
            <w:vAlign w:val="bottom"/>
            <w:tcBorders>
              <w:bottom w:val="single" w:sz="8" w:color="0000EE"/>
            </w:tcBorders>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6.10</w:t>
            </w:r>
          </w:p>
        </w:tc>
        <w:tc>
          <w:tcPr>
            <w:tcW w:w="760" w:type="dxa"/>
            <w:vAlign w:val="bottom"/>
            <w:tcBorders>
              <w:bottom w:val="single" w:sz="8" w:color="EEEEEE"/>
              <w:right w:val="single" w:sz="8" w:color="EEEEEE"/>
            </w:tcBorders>
            <w:shd w:val="clear" w:color="auto" w:fill="EEEEEE"/>
          </w:tcPr>
          <w:p>
            <w:pPr>
              <w:spacing w:after="0"/>
              <w:rPr>
                <w:sz w:val="16"/>
                <w:szCs w:val="16"/>
                <w:color w:val="auto"/>
              </w:rPr>
            </w:pPr>
          </w:p>
        </w:tc>
        <w:tc>
          <w:tcPr>
            <w:tcW w:w="2640" w:type="dxa"/>
            <w:vAlign w:val="bottom"/>
            <w:tcBorders>
              <w:bottom w:val="single" w:sz="8" w:color="0000EE"/>
            </w:tcBorders>
            <w:gridSpan w:val="21"/>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7"/>
              </w:rPr>
              <w:t>Acceptance of Appointment by Successor</w:t>
            </w:r>
          </w:p>
        </w:tc>
        <w:tc>
          <w:tcPr>
            <w:tcW w:w="6440" w:type="dxa"/>
            <w:vAlign w:val="bottom"/>
            <w:tcBorders>
              <w:bottom w:val="single" w:sz="8" w:color="EEEEEE"/>
            </w:tcBorders>
            <w:gridSpan w:val="14"/>
            <w:shd w:val="clear" w:color="auto" w:fill="EEEEEE"/>
          </w:tcPr>
          <w:p>
            <w:pPr>
              <w:spacing w:after="0"/>
              <w:rPr>
                <w:sz w:val="16"/>
                <w:szCs w:val="16"/>
                <w:color w:val="auto"/>
              </w:rPr>
            </w:pPr>
          </w:p>
        </w:tc>
        <w:tc>
          <w:tcPr>
            <w:tcW w:w="160" w:type="dxa"/>
            <w:vAlign w:val="bottom"/>
            <w:tcBorders>
              <w:bottom w:val="single" w:sz="8" w:color="0000EE"/>
            </w:tcBorders>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6.11</w:t>
            </w:r>
          </w:p>
        </w:tc>
        <w:tc>
          <w:tcPr>
            <w:tcW w:w="760" w:type="dxa"/>
            <w:vAlign w:val="bottom"/>
          </w:tcPr>
          <w:p>
            <w:pPr>
              <w:spacing w:after="0"/>
              <w:rPr>
                <w:sz w:val="13"/>
                <w:szCs w:val="13"/>
                <w:color w:val="auto"/>
              </w:rPr>
            </w:pPr>
          </w:p>
        </w:tc>
        <w:tc>
          <w:tcPr>
            <w:tcW w:w="9080" w:type="dxa"/>
            <w:vAlign w:val="bottom"/>
            <w:gridSpan w:val="35"/>
          </w:tcPr>
          <w:p>
            <w:pPr>
              <w:spacing w:after="0" w:line="154" w:lineRule="exact"/>
              <w:rPr>
                <w:sz w:val="20"/>
                <w:szCs w:val="20"/>
                <w:color w:val="auto"/>
              </w:rPr>
            </w:pPr>
            <w:r>
              <w:rPr>
                <w:rFonts w:ascii="Times New Roman" w:cs="Times New Roman" w:eastAsia="Times New Roman" w:hAnsi="Times New Roman"/>
                <w:sz w:val="16"/>
                <w:szCs w:val="16"/>
                <w:color w:val="0000EE"/>
              </w:rPr>
              <w:t>Merger, Conversion, Consolidation or Succession to Business</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tcBorders>
              <w:bottom w:val="single" w:sz="8" w:color="EEEEEE"/>
            </w:tcBorders>
            <w:shd w:val="clear" w:color="auto" w:fill="EEEEEE"/>
          </w:tcPr>
          <w:p>
            <w:pPr>
              <w:spacing w:after="0"/>
              <w:rPr>
                <w:sz w:val="16"/>
                <w:szCs w:val="16"/>
                <w:color w:val="auto"/>
              </w:rPr>
            </w:pPr>
          </w:p>
        </w:tc>
        <w:tc>
          <w:tcPr>
            <w:tcW w:w="980" w:type="dxa"/>
            <w:vAlign w:val="bottom"/>
            <w:tcBorders>
              <w:top w:val="single" w:sz="8" w:color="0000EE"/>
              <w:bottom w:val="single" w:sz="8" w:color="0000EE"/>
            </w:tcBorders>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6.12</w:t>
            </w:r>
          </w:p>
        </w:tc>
        <w:tc>
          <w:tcPr>
            <w:tcW w:w="760" w:type="dxa"/>
            <w:vAlign w:val="bottom"/>
            <w:tcBorders>
              <w:bottom w:val="single" w:sz="8" w:color="EEEEEE"/>
              <w:right w:val="single" w:sz="8" w:color="EEEEEE"/>
            </w:tcBorders>
            <w:shd w:val="clear" w:color="auto" w:fill="EEEEEE"/>
          </w:tcPr>
          <w:p>
            <w:pPr>
              <w:spacing w:after="0"/>
              <w:rPr>
                <w:sz w:val="16"/>
                <w:szCs w:val="16"/>
                <w:color w:val="auto"/>
              </w:rPr>
            </w:pPr>
          </w:p>
        </w:tc>
        <w:tc>
          <w:tcPr>
            <w:tcW w:w="2400" w:type="dxa"/>
            <w:vAlign w:val="bottom"/>
            <w:tcBorders>
              <w:top w:val="single" w:sz="8" w:color="0000EE"/>
              <w:bottom w:val="single" w:sz="8" w:color="0000EE"/>
            </w:tcBorders>
            <w:gridSpan w:val="18"/>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7"/>
              </w:rPr>
              <w:t>Appointment of Authenticating Agent</w:t>
            </w:r>
          </w:p>
        </w:tc>
        <w:tc>
          <w:tcPr>
            <w:tcW w:w="1480" w:type="dxa"/>
            <w:vAlign w:val="bottom"/>
            <w:tcBorders>
              <w:top w:val="single" w:sz="8" w:color="0000EE"/>
              <w:bottom w:val="single" w:sz="8" w:color="EEEEEE"/>
            </w:tcBorders>
            <w:gridSpan w:val="10"/>
            <w:shd w:val="clear" w:color="auto" w:fill="EEEEEE"/>
          </w:tcPr>
          <w:p>
            <w:pPr>
              <w:spacing w:after="0"/>
              <w:rPr>
                <w:sz w:val="16"/>
                <w:szCs w:val="16"/>
                <w:color w:val="auto"/>
              </w:rPr>
            </w:pPr>
          </w:p>
        </w:tc>
        <w:tc>
          <w:tcPr>
            <w:tcW w:w="5200" w:type="dxa"/>
            <w:vAlign w:val="bottom"/>
            <w:tcBorders>
              <w:bottom w:val="single" w:sz="8" w:color="EEEEEE"/>
            </w:tcBorders>
            <w:gridSpan w:val="7"/>
            <w:shd w:val="clear" w:color="auto" w:fill="EEEEEE"/>
          </w:tcPr>
          <w:p>
            <w:pPr>
              <w:spacing w:after="0"/>
              <w:rPr>
                <w:sz w:val="16"/>
                <w:szCs w:val="16"/>
                <w:color w:val="auto"/>
              </w:rPr>
            </w:pPr>
          </w:p>
        </w:tc>
        <w:tc>
          <w:tcPr>
            <w:tcW w:w="160" w:type="dxa"/>
            <w:vAlign w:val="bottom"/>
            <w:tcBorders>
              <w:top w:val="single" w:sz="8" w:color="0000EE"/>
              <w:bottom w:val="single" w:sz="8" w:color="0000EE"/>
            </w:tcBorders>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bottom w:val="single" w:sz="8" w:color="0000EE"/>
            </w:tcBorders>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6.13</w:t>
            </w:r>
          </w:p>
        </w:tc>
        <w:tc>
          <w:tcPr>
            <w:tcW w:w="760" w:type="dxa"/>
            <w:vAlign w:val="bottom"/>
          </w:tcPr>
          <w:p>
            <w:pPr>
              <w:spacing w:after="0"/>
              <w:rPr>
                <w:sz w:val="13"/>
                <w:szCs w:val="13"/>
                <w:color w:val="auto"/>
              </w:rPr>
            </w:pPr>
          </w:p>
        </w:tc>
        <w:tc>
          <w:tcPr>
            <w:tcW w:w="880" w:type="dxa"/>
            <w:vAlign w:val="bottom"/>
            <w:tcBorders>
              <w:bottom w:val="single" w:sz="8" w:color="0000EE"/>
            </w:tcBorders>
            <w:gridSpan w:val="2"/>
          </w:tcPr>
          <w:p>
            <w:pPr>
              <w:spacing w:after="0" w:line="154" w:lineRule="exact"/>
              <w:rPr>
                <w:sz w:val="20"/>
                <w:szCs w:val="20"/>
                <w:color w:val="auto"/>
              </w:rPr>
            </w:pPr>
            <w:r>
              <w:rPr>
                <w:rFonts w:ascii="Times New Roman" w:cs="Times New Roman" w:eastAsia="Times New Roman" w:hAnsi="Times New Roman"/>
                <w:sz w:val="16"/>
                <w:szCs w:val="16"/>
                <w:color w:val="0000EE"/>
                <w:w w:val="96"/>
              </w:rPr>
              <w:t>Joint Trustees</w:t>
            </w:r>
          </w:p>
        </w:tc>
        <w:tc>
          <w:tcPr>
            <w:tcW w:w="8200" w:type="dxa"/>
            <w:vAlign w:val="bottom"/>
            <w:gridSpan w:val="33"/>
          </w:tcPr>
          <w:p>
            <w:pPr>
              <w:spacing w:after="0"/>
              <w:rPr>
                <w:sz w:val="13"/>
                <w:szCs w:val="13"/>
                <w:color w:val="auto"/>
              </w:rPr>
            </w:pPr>
          </w:p>
        </w:tc>
        <w:tc>
          <w:tcPr>
            <w:tcW w:w="160" w:type="dxa"/>
            <w:vAlign w:val="bottom"/>
            <w:tcBorders>
              <w:bottom w:val="single" w:sz="8" w:color="0000EE"/>
            </w:tcBorders>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740" w:type="dxa"/>
            <w:vAlign w:val="bottom"/>
            <w:tcBorders>
              <w:right w:val="single" w:sz="8" w:color="EEEEEE"/>
            </w:tcBorders>
            <w:gridSpan w:val="2"/>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SECTION 6.14</w:t>
            </w:r>
          </w:p>
        </w:tc>
        <w:tc>
          <w:tcPr>
            <w:tcW w:w="9080" w:type="dxa"/>
            <w:vAlign w:val="bottom"/>
            <w:gridSpan w:val="35"/>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Other Rights of Trustees</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60" w:type="dxa"/>
            <w:vAlign w:val="bottom"/>
            <w:tcBorders>
              <w:top w:val="single" w:sz="8" w:color="EEEEEE"/>
            </w:tcBorders>
          </w:tcPr>
          <w:p>
            <w:pPr>
              <w:spacing w:after="0"/>
              <w:rPr>
                <w:sz w:val="16"/>
                <w:szCs w:val="16"/>
                <w:color w:val="auto"/>
              </w:rPr>
            </w:pPr>
          </w:p>
        </w:tc>
        <w:tc>
          <w:tcPr>
            <w:tcW w:w="980" w:type="dxa"/>
            <w:vAlign w:val="bottom"/>
            <w:tcBorders>
              <w:top w:val="single" w:sz="8" w:color="0000EE"/>
            </w:tcBorders>
          </w:tcPr>
          <w:p>
            <w:pPr>
              <w:spacing w:after="0"/>
              <w:rPr>
                <w:sz w:val="16"/>
                <w:szCs w:val="16"/>
                <w:color w:val="auto"/>
              </w:rPr>
            </w:pPr>
          </w:p>
        </w:tc>
        <w:tc>
          <w:tcPr>
            <w:tcW w:w="760" w:type="dxa"/>
            <w:vAlign w:val="bottom"/>
            <w:tcBorders>
              <w:top w:val="single" w:sz="8" w:color="EEEE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340" w:type="dxa"/>
            <w:vAlign w:val="bottom"/>
            <w:tcBorders>
              <w:top w:val="single" w:sz="8" w:color="EEEEEE"/>
            </w:tcBorders>
          </w:tcPr>
          <w:p>
            <w:pPr>
              <w:spacing w:after="0"/>
              <w:rPr>
                <w:sz w:val="16"/>
                <w:szCs w:val="16"/>
                <w:color w:val="auto"/>
              </w:rPr>
            </w:pPr>
          </w:p>
        </w:tc>
        <w:tc>
          <w:tcPr>
            <w:tcW w:w="360" w:type="dxa"/>
            <w:vAlign w:val="bottom"/>
            <w:tcBorders>
              <w:top w:val="single" w:sz="8" w:color="EEEEEE"/>
            </w:tcBorders>
          </w:tcPr>
          <w:p>
            <w:pPr>
              <w:spacing w:after="0"/>
              <w:rPr>
                <w:sz w:val="16"/>
                <w:szCs w:val="16"/>
                <w:color w:val="auto"/>
              </w:rPr>
            </w:pPr>
          </w:p>
        </w:tc>
        <w:tc>
          <w:tcPr>
            <w:tcW w:w="4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600" w:type="dxa"/>
            <w:vAlign w:val="bottom"/>
            <w:tcBorders>
              <w:top w:val="single" w:sz="8" w:color="EEEEEE"/>
            </w:tcBorders>
          </w:tcPr>
          <w:p>
            <w:pPr>
              <w:spacing w:after="0"/>
              <w:rPr>
                <w:sz w:val="16"/>
                <w:szCs w:val="16"/>
                <w:color w:val="auto"/>
              </w:rPr>
            </w:pPr>
          </w:p>
        </w:tc>
        <w:tc>
          <w:tcPr>
            <w:tcW w:w="4340" w:type="dxa"/>
            <w:vAlign w:val="bottom"/>
            <w:tcBorders>
              <w:top w:val="single" w:sz="8" w:color="EEEE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020" w:type="dxa"/>
            <w:vAlign w:val="bottom"/>
            <w:tcBorders>
              <w:bottom w:val="single" w:sz="8" w:color="0000EE"/>
            </w:tcBorders>
            <w:gridSpan w:val="35"/>
            <w:shd w:val="clear" w:color="auto" w:fill="EEEEEE"/>
          </w:tcPr>
          <w:p>
            <w:pPr>
              <w:spacing w:after="0" w:line="154" w:lineRule="exact"/>
              <w:rPr>
                <w:sz w:val="20"/>
                <w:szCs w:val="20"/>
                <w:color w:val="auto"/>
              </w:rPr>
            </w:pPr>
            <w:r>
              <w:rPr>
                <w:rFonts w:ascii="Times New Roman" w:cs="Times New Roman" w:eastAsia="Times New Roman" w:hAnsi="Times New Roman"/>
                <w:sz w:val="16"/>
                <w:szCs w:val="16"/>
                <w:b w:val="1"/>
                <w:bCs w:val="1"/>
                <w:color w:val="0000EE"/>
                <w:w w:val="97"/>
              </w:rPr>
              <w:t>ARTICLE SEVEN HOLDERS' LISTS AND REPORTS BY TRUSTEE AND COMPANY</w:t>
            </w:r>
          </w:p>
        </w:tc>
        <w:tc>
          <w:tcPr>
            <w:tcW w:w="5060" w:type="dxa"/>
            <w:vAlign w:val="bottom"/>
            <w:tcBorders>
              <w:bottom w:val="single" w:sz="8" w:color="EEEEEE"/>
            </w:tcBorders>
            <w:gridSpan w:val="3"/>
            <w:shd w:val="clear" w:color="auto" w:fill="EEEEEE"/>
          </w:tcPr>
          <w:p>
            <w:pPr>
              <w:spacing w:after="0"/>
              <w:rPr>
                <w:sz w:val="14"/>
                <w:szCs w:val="14"/>
                <w:color w:val="auto"/>
              </w:rPr>
            </w:pPr>
          </w:p>
        </w:tc>
        <w:tc>
          <w:tcPr>
            <w:tcW w:w="160" w:type="dxa"/>
            <w:vAlign w:val="bottom"/>
            <w:tcBorders>
              <w:bottom w:val="single" w:sz="8" w:color="0000EE"/>
            </w:tcBorders>
            <w:shd w:val="clear" w:color="auto" w:fill="EEEEEE"/>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54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7.01</w:t>
            </w:r>
          </w:p>
        </w:tc>
        <w:tc>
          <w:tcPr>
            <w:tcW w:w="760" w:type="dxa"/>
            <w:vAlign w:val="bottom"/>
          </w:tcPr>
          <w:p>
            <w:pPr>
              <w:spacing w:after="0"/>
              <w:rPr>
                <w:sz w:val="13"/>
                <w:szCs w:val="13"/>
                <w:color w:val="auto"/>
              </w:rPr>
            </w:pPr>
          </w:p>
        </w:tc>
        <w:tc>
          <w:tcPr>
            <w:tcW w:w="9080" w:type="dxa"/>
            <w:vAlign w:val="bottom"/>
            <w:gridSpan w:val="35"/>
          </w:tcPr>
          <w:p>
            <w:pPr>
              <w:spacing w:after="0" w:line="154" w:lineRule="exact"/>
              <w:rPr>
                <w:sz w:val="20"/>
                <w:szCs w:val="20"/>
                <w:color w:val="auto"/>
              </w:rPr>
            </w:pPr>
            <w:r>
              <w:rPr>
                <w:rFonts w:ascii="Times New Roman" w:cs="Times New Roman" w:eastAsia="Times New Roman" w:hAnsi="Times New Roman"/>
                <w:sz w:val="16"/>
                <w:szCs w:val="16"/>
                <w:color w:val="0000EE"/>
              </w:rPr>
              <w:t>Company to Furnish Trustees Names and Addresses of Holders</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0" w:type="dxa"/>
            <w:vAlign w:val="bottom"/>
            <w:tcBorders>
              <w:bottom w:val="single" w:sz="8" w:color="EEEEEE"/>
            </w:tcBorders>
            <w:shd w:val="clear" w:color="auto" w:fill="EEEEEE"/>
          </w:tcPr>
          <w:p>
            <w:pPr>
              <w:spacing w:after="0"/>
              <w:rPr>
                <w:sz w:val="16"/>
                <w:szCs w:val="16"/>
                <w:color w:val="auto"/>
              </w:rPr>
            </w:pPr>
          </w:p>
        </w:tc>
        <w:tc>
          <w:tcPr>
            <w:tcW w:w="980" w:type="dxa"/>
            <w:vAlign w:val="bottom"/>
            <w:tcBorders>
              <w:top w:val="single" w:sz="8" w:color="0000EE"/>
              <w:bottom w:val="single" w:sz="8" w:color="0000EE"/>
            </w:tcBorders>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6"/>
              </w:rPr>
              <w:t>SECTION 7.02</w:t>
            </w:r>
          </w:p>
        </w:tc>
        <w:tc>
          <w:tcPr>
            <w:tcW w:w="760" w:type="dxa"/>
            <w:vAlign w:val="bottom"/>
            <w:tcBorders>
              <w:bottom w:val="single" w:sz="8" w:color="EEEEEE"/>
              <w:right w:val="single" w:sz="8" w:color="EEEEEE"/>
            </w:tcBorders>
            <w:shd w:val="clear" w:color="auto" w:fill="EEEEEE"/>
          </w:tcPr>
          <w:p>
            <w:pPr>
              <w:spacing w:after="0"/>
              <w:rPr>
                <w:sz w:val="16"/>
                <w:szCs w:val="16"/>
                <w:color w:val="auto"/>
              </w:rPr>
            </w:pPr>
          </w:p>
        </w:tc>
        <w:tc>
          <w:tcPr>
            <w:tcW w:w="3560" w:type="dxa"/>
            <w:vAlign w:val="bottom"/>
            <w:tcBorders>
              <w:top w:val="single" w:sz="8" w:color="0000EE"/>
              <w:bottom w:val="single" w:sz="8" w:color="0000EE"/>
            </w:tcBorders>
            <w:gridSpan w:val="25"/>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w w:val="98"/>
              </w:rPr>
              <w:t>Preservation of List of Names and Addresses of Holders</w:t>
            </w:r>
          </w:p>
        </w:tc>
        <w:tc>
          <w:tcPr>
            <w:tcW w:w="440" w:type="dxa"/>
            <w:vAlign w:val="bottom"/>
            <w:tcBorders>
              <w:top w:val="single" w:sz="8" w:color="0000EE"/>
              <w:bottom w:val="single" w:sz="8" w:color="EEEEEE"/>
            </w:tcBorders>
            <w:gridSpan w:val="6"/>
            <w:shd w:val="clear" w:color="auto" w:fill="EEEEEE"/>
          </w:tcPr>
          <w:p>
            <w:pPr>
              <w:spacing w:after="0"/>
              <w:rPr>
                <w:sz w:val="16"/>
                <w:szCs w:val="16"/>
                <w:color w:val="auto"/>
              </w:rPr>
            </w:pPr>
          </w:p>
        </w:tc>
        <w:tc>
          <w:tcPr>
            <w:tcW w:w="5080" w:type="dxa"/>
            <w:vAlign w:val="bottom"/>
            <w:tcBorders>
              <w:bottom w:val="single" w:sz="8" w:color="EEEEEE"/>
            </w:tcBorders>
            <w:gridSpan w:val="4"/>
            <w:shd w:val="clear" w:color="auto" w:fill="EEEEEE"/>
          </w:tcPr>
          <w:p>
            <w:pPr>
              <w:spacing w:after="0"/>
              <w:rPr>
                <w:sz w:val="16"/>
                <w:szCs w:val="16"/>
                <w:color w:val="auto"/>
              </w:rPr>
            </w:pPr>
          </w:p>
        </w:tc>
        <w:tc>
          <w:tcPr>
            <w:tcW w:w="160" w:type="dxa"/>
            <w:vAlign w:val="bottom"/>
            <w:tcBorders>
              <w:top w:val="single" w:sz="8" w:color="0000EE"/>
              <w:bottom w:val="single" w:sz="8" w:color="0000EE"/>
            </w:tcBorders>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line="154" w:lineRule="exact"/>
              <w:rPr>
                <w:sz w:val="20"/>
                <w:szCs w:val="20"/>
                <w:color w:val="auto"/>
              </w:rPr>
            </w:pPr>
            <w:r>
              <w:rPr>
                <w:rFonts w:ascii="Times New Roman" w:cs="Times New Roman" w:eastAsia="Times New Roman" w:hAnsi="Times New Roman"/>
                <w:sz w:val="16"/>
                <w:szCs w:val="16"/>
                <w:color w:val="0000EE"/>
                <w:w w:val="96"/>
              </w:rPr>
              <w:t>SECTION 7.03</w:t>
            </w:r>
          </w:p>
        </w:tc>
        <w:tc>
          <w:tcPr>
            <w:tcW w:w="760" w:type="dxa"/>
            <w:vAlign w:val="bottom"/>
          </w:tcPr>
          <w:p>
            <w:pPr>
              <w:spacing w:after="0"/>
              <w:rPr>
                <w:sz w:val="13"/>
                <w:szCs w:val="13"/>
                <w:color w:val="auto"/>
              </w:rPr>
            </w:pPr>
          </w:p>
        </w:tc>
        <w:tc>
          <w:tcPr>
            <w:tcW w:w="9080" w:type="dxa"/>
            <w:vAlign w:val="bottom"/>
            <w:gridSpan w:val="35"/>
          </w:tcPr>
          <w:p>
            <w:pPr>
              <w:spacing w:after="0" w:line="154" w:lineRule="exact"/>
              <w:rPr>
                <w:sz w:val="20"/>
                <w:szCs w:val="20"/>
                <w:color w:val="auto"/>
              </w:rPr>
            </w:pPr>
            <w:r>
              <w:rPr>
                <w:rFonts w:ascii="Times New Roman" w:cs="Times New Roman" w:eastAsia="Times New Roman" w:hAnsi="Times New Roman"/>
                <w:sz w:val="16"/>
                <w:szCs w:val="16"/>
                <w:color w:val="0000EE"/>
              </w:rPr>
              <w:t>Disclosure of Names and Addresses of Holders</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320" w:type="dxa"/>
            <w:vAlign w:val="bottom"/>
            <w:gridSpan w:val="3"/>
            <w:shd w:val="clear" w:color="auto" w:fill="EEEEEE"/>
          </w:tcPr>
          <w:p>
            <w:pPr>
              <w:ind w:left="260"/>
              <w:spacing w:after="0"/>
              <w:rPr>
                <w:sz w:val="20"/>
                <w:szCs w:val="20"/>
                <w:color w:val="auto"/>
              </w:rPr>
            </w:pPr>
            <w:r>
              <w:rPr>
                <w:rFonts w:ascii="Times New Roman" w:cs="Times New Roman" w:eastAsia="Times New Roman" w:hAnsi="Times New Roman"/>
                <w:sz w:val="16"/>
                <w:szCs w:val="16"/>
                <w:color w:val="0000EE"/>
              </w:rPr>
              <w:t>SECTION 7.04</w:t>
            </w:r>
          </w:p>
        </w:tc>
        <w:tc>
          <w:tcPr>
            <w:tcW w:w="680" w:type="dxa"/>
            <w:vAlign w:val="bottom"/>
            <w:tcBorders>
              <w:right w:val="single" w:sz="8" w:color="EEEEEE"/>
            </w:tcBorders>
            <w:shd w:val="clear" w:color="auto" w:fill="EEEEEE"/>
          </w:tcPr>
          <w:p>
            <w:pPr>
              <w:spacing w:after="0"/>
              <w:rPr>
                <w:sz w:val="16"/>
                <w:szCs w:val="16"/>
                <w:color w:val="auto"/>
              </w:rPr>
            </w:pPr>
          </w:p>
        </w:tc>
        <w:tc>
          <w:tcPr>
            <w:tcW w:w="9080" w:type="dxa"/>
            <w:vAlign w:val="bottom"/>
            <w:gridSpan w:val="20"/>
            <w:shd w:val="clear" w:color="auto" w:fill="EEEEEE"/>
          </w:tcPr>
          <w:p>
            <w:pPr>
              <w:spacing w:after="0"/>
              <w:rPr>
                <w:sz w:val="20"/>
                <w:szCs w:val="20"/>
                <w:color w:val="auto"/>
              </w:rPr>
            </w:pPr>
            <w:r>
              <w:rPr>
                <w:rFonts w:ascii="Times New Roman" w:cs="Times New Roman" w:eastAsia="Times New Roman" w:hAnsi="Times New Roman"/>
                <w:sz w:val="16"/>
                <w:szCs w:val="16"/>
                <w:color w:val="0000EE"/>
              </w:rPr>
              <w:t>Reports by Trustees</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0000EE"/>
                <w:w w:val="87"/>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68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80" w:type="dxa"/>
            <w:vAlign w:val="bottom"/>
            <w:tcBorders>
              <w:right w:val="single" w:sz="8" w:color="EEEEEE"/>
            </w:tcBorders>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300" w:type="dxa"/>
            <w:vAlign w:val="bottom"/>
            <w:tcBorders>
              <w:left w:val="single" w:sz="8" w:color="EEEEEE"/>
              <w:righ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420" w:type="dxa"/>
            <w:vAlign w:val="bottom"/>
            <w:tcBorders>
              <w:left w:val="single" w:sz="8" w:color="EEEEEE"/>
              <w:right w:val="single" w:sz="8" w:color="EEEEEE"/>
            </w:tcBorders>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7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gridSpan w:val="3"/>
          </w:tcPr>
          <w:p>
            <w:pPr>
              <w:ind w:left="260"/>
              <w:spacing w:after="0" w:line="154" w:lineRule="exact"/>
              <w:rPr>
                <w:sz w:val="20"/>
                <w:szCs w:val="20"/>
                <w:color w:val="auto"/>
              </w:rPr>
            </w:pPr>
            <w:r>
              <w:rPr>
                <w:rFonts w:ascii="Times New Roman" w:cs="Times New Roman" w:eastAsia="Times New Roman" w:hAnsi="Times New Roman"/>
                <w:sz w:val="16"/>
                <w:szCs w:val="16"/>
                <w:color w:val="0000EE"/>
              </w:rPr>
              <w:t>SECTION 7.05</w:t>
            </w:r>
          </w:p>
        </w:tc>
        <w:tc>
          <w:tcPr>
            <w:tcW w:w="680" w:type="dxa"/>
            <w:vAlign w:val="bottom"/>
          </w:tcPr>
          <w:p>
            <w:pPr>
              <w:spacing w:after="0"/>
              <w:rPr>
                <w:sz w:val="14"/>
                <w:szCs w:val="14"/>
                <w:color w:val="auto"/>
              </w:rPr>
            </w:pPr>
          </w:p>
        </w:tc>
        <w:tc>
          <w:tcPr>
            <w:tcW w:w="9080" w:type="dxa"/>
            <w:vAlign w:val="bottom"/>
            <w:gridSpan w:val="20"/>
          </w:tcPr>
          <w:p>
            <w:pPr>
              <w:spacing w:after="0" w:line="154" w:lineRule="exact"/>
              <w:rPr>
                <w:sz w:val="20"/>
                <w:szCs w:val="20"/>
                <w:color w:val="auto"/>
              </w:rPr>
            </w:pPr>
            <w:r>
              <w:rPr>
                <w:rFonts w:ascii="Times New Roman" w:cs="Times New Roman" w:eastAsia="Times New Roman" w:hAnsi="Times New Roman"/>
                <w:sz w:val="16"/>
                <w:szCs w:val="16"/>
                <w:color w:val="0000EE"/>
              </w:rPr>
              <w:t>Reports by the Company</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980" w:type="dxa"/>
            <w:vAlign w:val="bottom"/>
            <w:tcBorders>
              <w:top w:val="single" w:sz="8" w:color="0000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680" w:type="dxa"/>
            <w:vAlign w:val="bottom"/>
            <w:tcBorders>
              <w:right w:val="single" w:sz="8" w:color="EEEEEE"/>
            </w:tcBorders>
            <w:shd w:val="clear" w:color="auto" w:fill="EEEEEE"/>
          </w:tcPr>
          <w:p>
            <w:pPr>
              <w:spacing w:after="0"/>
              <w:rPr>
                <w:sz w:val="17"/>
                <w:szCs w:val="17"/>
                <w:color w:val="auto"/>
              </w:rPr>
            </w:pPr>
          </w:p>
        </w:tc>
        <w:tc>
          <w:tcPr>
            <w:tcW w:w="80" w:type="dxa"/>
            <w:vAlign w:val="bottom"/>
            <w:tcBorders>
              <w:top w:val="single" w:sz="8" w:color="0000EE"/>
            </w:tcBorders>
            <w:shd w:val="clear" w:color="auto" w:fill="EEEEEE"/>
          </w:tcPr>
          <w:p>
            <w:pPr>
              <w:spacing w:after="0"/>
              <w:rPr>
                <w:sz w:val="17"/>
                <w:szCs w:val="17"/>
                <w:color w:val="auto"/>
              </w:rPr>
            </w:pPr>
          </w:p>
        </w:tc>
        <w:tc>
          <w:tcPr>
            <w:tcW w:w="620" w:type="dxa"/>
            <w:vAlign w:val="bottom"/>
            <w:tcBorders>
              <w:top w:val="single" w:sz="8" w:color="0000EE"/>
            </w:tcBorders>
            <w:shd w:val="clear" w:color="auto" w:fill="EEEEEE"/>
          </w:tcPr>
          <w:p>
            <w:pPr>
              <w:spacing w:after="0"/>
              <w:rPr>
                <w:sz w:val="17"/>
                <w:szCs w:val="17"/>
                <w:color w:val="auto"/>
              </w:rPr>
            </w:pPr>
          </w:p>
        </w:tc>
        <w:tc>
          <w:tcPr>
            <w:tcW w:w="480" w:type="dxa"/>
            <w:vAlign w:val="bottom"/>
            <w:tcBorders>
              <w:top w:val="single" w:sz="8" w:color="0000EE"/>
            </w:tcBorders>
            <w:shd w:val="clear" w:color="auto" w:fill="EEEEEE"/>
          </w:tcPr>
          <w:p>
            <w:pPr>
              <w:spacing w:after="0"/>
              <w:rPr>
                <w:sz w:val="17"/>
                <w:szCs w:val="17"/>
                <w:color w:val="auto"/>
              </w:rPr>
            </w:pPr>
          </w:p>
        </w:tc>
        <w:tc>
          <w:tcPr>
            <w:tcW w:w="80" w:type="dxa"/>
            <w:vAlign w:val="bottom"/>
            <w:tcBorders>
              <w:top w:val="single" w:sz="8" w:color="0000EE"/>
            </w:tcBorders>
            <w:shd w:val="clear" w:color="auto" w:fill="EEEEEE"/>
          </w:tcPr>
          <w:p>
            <w:pPr>
              <w:spacing w:after="0"/>
              <w:rPr>
                <w:sz w:val="17"/>
                <w:szCs w:val="17"/>
                <w:color w:val="auto"/>
              </w:rPr>
            </w:pPr>
          </w:p>
        </w:tc>
        <w:tc>
          <w:tcPr>
            <w:tcW w:w="120" w:type="dxa"/>
            <w:vAlign w:val="bottom"/>
            <w:tcBorders>
              <w:top w:val="single" w:sz="8" w:color="0000EE"/>
            </w:tcBorders>
            <w:shd w:val="clear" w:color="auto" w:fill="EEEEEE"/>
          </w:tcPr>
          <w:p>
            <w:pPr>
              <w:spacing w:after="0"/>
              <w:rPr>
                <w:sz w:val="17"/>
                <w:szCs w:val="17"/>
                <w:color w:val="auto"/>
              </w:rPr>
            </w:pPr>
          </w:p>
        </w:tc>
        <w:tc>
          <w:tcPr>
            <w:tcW w:w="80" w:type="dxa"/>
            <w:vAlign w:val="bottom"/>
            <w:tcBorders>
              <w:top w:val="single" w:sz="8" w:color="0000EE"/>
            </w:tcBorders>
            <w:shd w:val="clear" w:color="auto" w:fill="EEEEEE"/>
          </w:tcPr>
          <w:p>
            <w:pPr>
              <w:spacing w:after="0"/>
              <w:rPr>
                <w:sz w:val="17"/>
                <w:szCs w:val="17"/>
                <w:color w:val="auto"/>
              </w:rPr>
            </w:pPr>
          </w:p>
        </w:tc>
        <w:tc>
          <w:tcPr>
            <w:tcW w:w="80" w:type="dxa"/>
            <w:vAlign w:val="bottom"/>
            <w:tcBorders>
              <w:top w:val="single" w:sz="8" w:color="0000EE"/>
              <w:left w:val="single" w:sz="8" w:color="EEEEEE"/>
            </w:tcBorders>
            <w:shd w:val="clear" w:color="auto" w:fill="EEEEEE"/>
          </w:tcPr>
          <w:p>
            <w:pPr>
              <w:spacing w:after="0"/>
              <w:rPr>
                <w:sz w:val="17"/>
                <w:szCs w:val="17"/>
                <w:color w:val="auto"/>
              </w:rPr>
            </w:pPr>
          </w:p>
        </w:tc>
        <w:tc>
          <w:tcPr>
            <w:tcW w:w="20" w:type="dxa"/>
            <w:vAlign w:val="bottom"/>
            <w:tcBorders>
              <w:top w:val="single" w:sz="8" w:color="0000EE"/>
            </w:tcBorders>
            <w:shd w:val="clear" w:color="auto" w:fill="EEEEEE"/>
          </w:tcPr>
          <w:p>
            <w:pPr>
              <w:spacing w:after="0"/>
              <w:rPr>
                <w:sz w:val="17"/>
                <w:szCs w:val="17"/>
                <w:color w:val="auto"/>
              </w:rPr>
            </w:pPr>
          </w:p>
        </w:tc>
        <w:tc>
          <w:tcPr>
            <w:tcW w:w="280" w:type="dxa"/>
            <w:vAlign w:val="bottom"/>
            <w:tcBorders>
              <w:right w:val="single" w:sz="8" w:color="EEEEEE"/>
            </w:tcBorders>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300" w:type="dxa"/>
            <w:vAlign w:val="bottom"/>
            <w:tcBorders>
              <w:left w:val="single" w:sz="8" w:color="EEEEEE"/>
              <w:right w:val="single" w:sz="8" w:color="EEEEEE"/>
            </w:tcBorders>
            <w:shd w:val="clear" w:color="auto" w:fill="EEEEEE"/>
          </w:tcPr>
          <w:p>
            <w:pPr>
              <w:spacing w:after="0"/>
              <w:rPr>
                <w:sz w:val="17"/>
                <w:szCs w:val="17"/>
                <w:color w:val="auto"/>
              </w:rPr>
            </w:pPr>
          </w:p>
        </w:tc>
        <w:tc>
          <w:tcPr>
            <w:tcW w:w="100" w:type="dxa"/>
            <w:vAlign w:val="bottom"/>
            <w:tcBorders>
              <w:left w:val="single" w:sz="8" w:color="EEEEEE"/>
            </w:tcBorders>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420" w:type="dxa"/>
            <w:vAlign w:val="bottom"/>
            <w:tcBorders>
              <w:left w:val="single" w:sz="8" w:color="EEEEEE"/>
              <w:right w:val="single" w:sz="8" w:color="EEEEEE"/>
            </w:tcBorders>
            <w:shd w:val="clear" w:color="auto" w:fill="EEEEEE"/>
          </w:tcPr>
          <w:p>
            <w:pPr>
              <w:spacing w:after="0"/>
              <w:rPr>
                <w:sz w:val="17"/>
                <w:szCs w:val="17"/>
                <w:color w:val="auto"/>
              </w:rPr>
            </w:pPr>
          </w:p>
        </w:tc>
        <w:tc>
          <w:tcPr>
            <w:tcW w:w="80" w:type="dxa"/>
            <w:vAlign w:val="bottom"/>
            <w:tcBorders>
              <w:left w:val="single" w:sz="8" w:color="EEEEEE"/>
            </w:tcBorders>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4700" w:type="dxa"/>
            <w:vAlign w:val="bottom"/>
            <w:shd w:val="clear" w:color="auto" w:fill="EEEEEE"/>
          </w:tcPr>
          <w:p>
            <w:pPr>
              <w:spacing w:after="0"/>
              <w:rPr>
                <w:sz w:val="17"/>
                <w:szCs w:val="17"/>
                <w:color w:val="auto"/>
              </w:rPr>
            </w:pPr>
          </w:p>
        </w:tc>
        <w:tc>
          <w:tcPr>
            <w:tcW w:w="160" w:type="dxa"/>
            <w:vAlign w:val="bottom"/>
            <w:tcBorders>
              <w:top w:val="single" w:sz="8" w:color="0000EE"/>
            </w:tcBorders>
            <w:shd w:val="clear" w:color="auto" w:fill="EEEEEE"/>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6380" w:type="dxa"/>
            <w:vAlign w:val="bottom"/>
            <w:tcBorders>
              <w:bottom w:val="single" w:sz="8" w:color="0000EE"/>
            </w:tcBorders>
            <w:gridSpan w:val="23"/>
          </w:tcPr>
          <w:p>
            <w:pPr>
              <w:spacing w:after="0" w:line="154" w:lineRule="exact"/>
              <w:rPr>
                <w:sz w:val="20"/>
                <w:szCs w:val="20"/>
                <w:color w:val="auto"/>
              </w:rPr>
            </w:pPr>
            <w:r>
              <w:rPr>
                <w:rFonts w:ascii="Times New Roman" w:cs="Times New Roman" w:eastAsia="Times New Roman" w:hAnsi="Times New Roman"/>
                <w:sz w:val="16"/>
                <w:szCs w:val="16"/>
                <w:b w:val="1"/>
                <w:bCs w:val="1"/>
                <w:color w:val="0000EE"/>
                <w:w w:val="97"/>
              </w:rPr>
              <w:t>ARTICLE EIGHT CONSOLIDATION, MERGER, CONVEYANCE, TRANSFER OR LEASE</w:t>
            </w:r>
          </w:p>
        </w:tc>
        <w:tc>
          <w:tcPr>
            <w:tcW w:w="4700" w:type="dxa"/>
            <w:vAlign w:val="bottom"/>
          </w:tcPr>
          <w:p>
            <w:pPr>
              <w:spacing w:after="0"/>
              <w:rPr>
                <w:sz w:val="13"/>
                <w:szCs w:val="13"/>
                <w:color w:val="auto"/>
              </w:rPr>
            </w:pPr>
          </w:p>
        </w:tc>
        <w:tc>
          <w:tcPr>
            <w:tcW w:w="160" w:type="dxa"/>
            <w:vAlign w:val="bottom"/>
            <w:tcBorders>
              <w:bottom w:val="single" w:sz="8" w:color="0000EE"/>
            </w:tcBorders>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56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20" w:type="dxa"/>
            <w:vAlign w:val="bottom"/>
            <w:gridSpan w:val="3"/>
            <w:shd w:val="clear" w:color="auto" w:fill="EEEEEE"/>
          </w:tcPr>
          <w:p>
            <w:pPr>
              <w:ind w:left="260"/>
              <w:spacing w:after="0" w:line="169" w:lineRule="exact"/>
              <w:rPr>
                <w:sz w:val="20"/>
                <w:szCs w:val="20"/>
                <w:color w:val="auto"/>
              </w:rPr>
            </w:pPr>
            <w:r>
              <w:rPr>
                <w:rFonts w:ascii="Times New Roman" w:cs="Times New Roman" w:eastAsia="Times New Roman" w:hAnsi="Times New Roman"/>
                <w:sz w:val="16"/>
                <w:szCs w:val="16"/>
                <w:color w:val="0000EE"/>
              </w:rPr>
              <w:t>SECTION 8.01</w:t>
            </w:r>
          </w:p>
        </w:tc>
        <w:tc>
          <w:tcPr>
            <w:tcW w:w="680" w:type="dxa"/>
            <w:vAlign w:val="bottom"/>
            <w:tcBorders>
              <w:right w:val="single" w:sz="8" w:color="EEEEEE"/>
            </w:tcBorders>
            <w:shd w:val="clear" w:color="auto" w:fill="EEEEEE"/>
          </w:tcPr>
          <w:p>
            <w:pPr>
              <w:spacing w:after="0"/>
              <w:rPr>
                <w:sz w:val="14"/>
                <w:szCs w:val="14"/>
                <w:color w:val="auto"/>
              </w:rPr>
            </w:pPr>
          </w:p>
        </w:tc>
        <w:tc>
          <w:tcPr>
            <w:tcW w:w="9080" w:type="dxa"/>
            <w:vAlign w:val="bottom"/>
            <w:gridSpan w:val="20"/>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Company May Consolidate, Etc., Only on Certain Terms</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68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30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420" w:type="dxa"/>
            <w:vAlign w:val="bottom"/>
            <w:tcBorders>
              <w:left w:val="single" w:sz="8" w:color="0000EE"/>
              <w:righ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7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gridSpan w:val="3"/>
          </w:tcPr>
          <w:p>
            <w:pPr>
              <w:ind w:left="260"/>
              <w:spacing w:after="0" w:line="154" w:lineRule="exact"/>
              <w:rPr>
                <w:sz w:val="20"/>
                <w:szCs w:val="20"/>
                <w:color w:val="auto"/>
              </w:rPr>
            </w:pPr>
            <w:r>
              <w:rPr>
                <w:rFonts w:ascii="Times New Roman" w:cs="Times New Roman" w:eastAsia="Times New Roman" w:hAnsi="Times New Roman"/>
                <w:sz w:val="16"/>
                <w:szCs w:val="16"/>
                <w:color w:val="0000EE"/>
              </w:rPr>
              <w:t>SECTION 8.02</w:t>
            </w:r>
          </w:p>
        </w:tc>
        <w:tc>
          <w:tcPr>
            <w:tcW w:w="680" w:type="dxa"/>
            <w:vAlign w:val="bottom"/>
          </w:tcPr>
          <w:p>
            <w:pPr>
              <w:spacing w:after="0"/>
              <w:rPr>
                <w:sz w:val="14"/>
                <w:szCs w:val="14"/>
                <w:color w:val="auto"/>
              </w:rPr>
            </w:pPr>
          </w:p>
        </w:tc>
        <w:tc>
          <w:tcPr>
            <w:tcW w:w="9080" w:type="dxa"/>
            <w:vAlign w:val="bottom"/>
            <w:gridSpan w:val="20"/>
          </w:tcPr>
          <w:p>
            <w:pPr>
              <w:spacing w:after="0" w:line="154" w:lineRule="exact"/>
              <w:rPr>
                <w:sz w:val="20"/>
                <w:szCs w:val="20"/>
                <w:color w:val="auto"/>
              </w:rPr>
            </w:pPr>
            <w:r>
              <w:rPr>
                <w:rFonts w:ascii="Times New Roman" w:cs="Times New Roman" w:eastAsia="Times New Roman" w:hAnsi="Times New Roman"/>
                <w:sz w:val="16"/>
                <w:szCs w:val="16"/>
                <w:color w:val="0000EE"/>
              </w:rPr>
              <w:t>Successor Person Substituted</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980" w:type="dxa"/>
            <w:vAlign w:val="bottom"/>
            <w:tcBorders>
              <w:top w:val="single" w:sz="8" w:color="0000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680" w:type="dxa"/>
            <w:vAlign w:val="bottom"/>
            <w:tcBorders>
              <w:right w:val="single" w:sz="8" w:color="EEEEEE"/>
            </w:tcBorders>
            <w:shd w:val="clear" w:color="auto" w:fill="EEEEEE"/>
          </w:tcPr>
          <w:p>
            <w:pPr>
              <w:spacing w:after="0"/>
              <w:rPr>
                <w:sz w:val="17"/>
                <w:szCs w:val="17"/>
                <w:color w:val="auto"/>
              </w:rPr>
            </w:pPr>
          </w:p>
        </w:tc>
        <w:tc>
          <w:tcPr>
            <w:tcW w:w="80" w:type="dxa"/>
            <w:vAlign w:val="bottom"/>
            <w:tcBorders>
              <w:top w:val="single" w:sz="8" w:color="0000EE"/>
            </w:tcBorders>
            <w:shd w:val="clear" w:color="auto" w:fill="EEEEEE"/>
          </w:tcPr>
          <w:p>
            <w:pPr>
              <w:spacing w:after="0"/>
              <w:rPr>
                <w:sz w:val="17"/>
                <w:szCs w:val="17"/>
                <w:color w:val="auto"/>
              </w:rPr>
            </w:pPr>
          </w:p>
        </w:tc>
        <w:tc>
          <w:tcPr>
            <w:tcW w:w="620" w:type="dxa"/>
            <w:vAlign w:val="bottom"/>
            <w:tcBorders>
              <w:top w:val="single" w:sz="8" w:color="0000EE"/>
            </w:tcBorders>
            <w:shd w:val="clear" w:color="auto" w:fill="EEEEEE"/>
          </w:tcPr>
          <w:p>
            <w:pPr>
              <w:spacing w:after="0"/>
              <w:rPr>
                <w:sz w:val="17"/>
                <w:szCs w:val="17"/>
                <w:color w:val="auto"/>
              </w:rPr>
            </w:pPr>
          </w:p>
        </w:tc>
        <w:tc>
          <w:tcPr>
            <w:tcW w:w="480" w:type="dxa"/>
            <w:vAlign w:val="bottom"/>
            <w:tcBorders>
              <w:top w:val="single" w:sz="8" w:color="0000EE"/>
            </w:tcBorders>
            <w:shd w:val="clear" w:color="auto" w:fill="EEEEEE"/>
          </w:tcPr>
          <w:p>
            <w:pPr>
              <w:spacing w:after="0"/>
              <w:rPr>
                <w:sz w:val="17"/>
                <w:szCs w:val="17"/>
                <w:color w:val="auto"/>
              </w:rPr>
            </w:pPr>
          </w:p>
        </w:tc>
        <w:tc>
          <w:tcPr>
            <w:tcW w:w="80" w:type="dxa"/>
            <w:vAlign w:val="bottom"/>
            <w:tcBorders>
              <w:top w:val="single" w:sz="8" w:color="0000EE"/>
            </w:tcBorders>
            <w:shd w:val="clear" w:color="auto" w:fill="EEEEEE"/>
          </w:tcPr>
          <w:p>
            <w:pPr>
              <w:spacing w:after="0"/>
              <w:rPr>
                <w:sz w:val="17"/>
                <w:szCs w:val="17"/>
                <w:color w:val="auto"/>
              </w:rPr>
            </w:pPr>
          </w:p>
        </w:tc>
        <w:tc>
          <w:tcPr>
            <w:tcW w:w="120" w:type="dxa"/>
            <w:vAlign w:val="bottom"/>
            <w:tcBorders>
              <w:top w:val="single" w:sz="8" w:color="0000EE"/>
            </w:tcBorders>
            <w:shd w:val="clear" w:color="auto" w:fill="EEEEEE"/>
          </w:tcPr>
          <w:p>
            <w:pPr>
              <w:spacing w:after="0"/>
              <w:rPr>
                <w:sz w:val="17"/>
                <w:szCs w:val="17"/>
                <w:color w:val="auto"/>
              </w:rPr>
            </w:pPr>
          </w:p>
        </w:tc>
        <w:tc>
          <w:tcPr>
            <w:tcW w:w="80" w:type="dxa"/>
            <w:vAlign w:val="bottom"/>
            <w:tcBorders>
              <w:top w:val="single" w:sz="8" w:color="0000EE"/>
            </w:tcBorders>
            <w:shd w:val="clear" w:color="auto" w:fill="EEEEEE"/>
          </w:tcPr>
          <w:p>
            <w:pPr>
              <w:spacing w:after="0"/>
              <w:rPr>
                <w:sz w:val="17"/>
                <w:szCs w:val="17"/>
                <w:color w:val="auto"/>
              </w:rPr>
            </w:pPr>
          </w:p>
        </w:tc>
        <w:tc>
          <w:tcPr>
            <w:tcW w:w="80" w:type="dxa"/>
            <w:vAlign w:val="bottom"/>
            <w:tcBorders>
              <w:top w:val="single" w:sz="8" w:color="0000EE"/>
              <w:left w:val="single" w:sz="8" w:color="EEEEEE"/>
            </w:tcBorders>
            <w:shd w:val="clear" w:color="auto" w:fill="EEEEEE"/>
          </w:tcPr>
          <w:p>
            <w:pPr>
              <w:spacing w:after="0"/>
              <w:rPr>
                <w:sz w:val="17"/>
                <w:szCs w:val="17"/>
                <w:color w:val="auto"/>
              </w:rPr>
            </w:pPr>
          </w:p>
        </w:tc>
        <w:tc>
          <w:tcPr>
            <w:tcW w:w="20" w:type="dxa"/>
            <w:vAlign w:val="bottom"/>
            <w:tcBorders>
              <w:top w:val="single" w:sz="8" w:color="0000EE"/>
            </w:tcBorders>
            <w:shd w:val="clear" w:color="auto" w:fill="EEEEEE"/>
          </w:tcPr>
          <w:p>
            <w:pPr>
              <w:spacing w:after="0"/>
              <w:rPr>
                <w:sz w:val="17"/>
                <w:szCs w:val="17"/>
                <w:color w:val="auto"/>
              </w:rPr>
            </w:pPr>
          </w:p>
        </w:tc>
        <w:tc>
          <w:tcPr>
            <w:tcW w:w="280" w:type="dxa"/>
            <w:vAlign w:val="bottom"/>
            <w:tcBorders>
              <w:top w:val="single" w:sz="8" w:color="0000EE"/>
              <w:right w:val="single" w:sz="8" w:color="EEEEEE"/>
            </w:tcBorders>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300" w:type="dxa"/>
            <w:vAlign w:val="bottom"/>
            <w:tcBorders>
              <w:left w:val="single" w:sz="8" w:color="EEEEEE"/>
              <w:right w:val="single" w:sz="8" w:color="EEEEEE"/>
            </w:tcBorders>
            <w:shd w:val="clear" w:color="auto" w:fill="EEEEEE"/>
          </w:tcPr>
          <w:p>
            <w:pPr>
              <w:spacing w:after="0"/>
              <w:rPr>
                <w:sz w:val="17"/>
                <w:szCs w:val="17"/>
                <w:color w:val="auto"/>
              </w:rPr>
            </w:pPr>
          </w:p>
        </w:tc>
        <w:tc>
          <w:tcPr>
            <w:tcW w:w="100" w:type="dxa"/>
            <w:vAlign w:val="bottom"/>
            <w:tcBorders>
              <w:left w:val="single" w:sz="8" w:color="EEEEEE"/>
            </w:tcBorders>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420" w:type="dxa"/>
            <w:vAlign w:val="bottom"/>
            <w:tcBorders>
              <w:left w:val="single" w:sz="8" w:color="EEEEEE"/>
              <w:right w:val="single" w:sz="8" w:color="EEEEEE"/>
            </w:tcBorders>
            <w:shd w:val="clear" w:color="auto" w:fill="EEEEEE"/>
          </w:tcPr>
          <w:p>
            <w:pPr>
              <w:spacing w:after="0"/>
              <w:rPr>
                <w:sz w:val="17"/>
                <w:szCs w:val="17"/>
                <w:color w:val="auto"/>
              </w:rPr>
            </w:pPr>
          </w:p>
        </w:tc>
        <w:tc>
          <w:tcPr>
            <w:tcW w:w="80" w:type="dxa"/>
            <w:vAlign w:val="bottom"/>
            <w:tcBorders>
              <w:left w:val="single" w:sz="8" w:color="EEEEEE"/>
            </w:tcBorders>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4700" w:type="dxa"/>
            <w:vAlign w:val="bottom"/>
            <w:shd w:val="clear" w:color="auto" w:fill="EEEEEE"/>
          </w:tcPr>
          <w:p>
            <w:pPr>
              <w:spacing w:after="0"/>
              <w:rPr>
                <w:sz w:val="17"/>
                <w:szCs w:val="17"/>
                <w:color w:val="auto"/>
              </w:rPr>
            </w:pPr>
          </w:p>
        </w:tc>
        <w:tc>
          <w:tcPr>
            <w:tcW w:w="160" w:type="dxa"/>
            <w:vAlign w:val="bottom"/>
            <w:tcBorders>
              <w:top w:val="single" w:sz="8" w:color="0000EE"/>
            </w:tcBorders>
            <w:shd w:val="clear" w:color="auto" w:fill="EEEEEE"/>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460" w:type="dxa"/>
            <w:vAlign w:val="bottom"/>
            <w:tcBorders>
              <w:bottom w:val="single" w:sz="8" w:color="0000EE"/>
            </w:tcBorders>
            <w:gridSpan w:val="10"/>
          </w:tcPr>
          <w:p>
            <w:pPr>
              <w:spacing w:after="0" w:line="154" w:lineRule="exact"/>
              <w:rPr>
                <w:sz w:val="20"/>
                <w:szCs w:val="20"/>
                <w:color w:val="auto"/>
              </w:rPr>
            </w:pPr>
            <w:r>
              <w:rPr>
                <w:rFonts w:ascii="Times New Roman" w:cs="Times New Roman" w:eastAsia="Times New Roman" w:hAnsi="Times New Roman"/>
                <w:sz w:val="16"/>
                <w:szCs w:val="16"/>
                <w:b w:val="1"/>
                <w:bCs w:val="1"/>
                <w:color w:val="0000EE"/>
                <w:w w:val="94"/>
              </w:rPr>
              <w:t>ARTICLE NINE SUPPLEMENTAL INDENTURES</w:t>
            </w:r>
          </w:p>
        </w:tc>
        <w:tc>
          <w:tcPr>
            <w:tcW w:w="7620" w:type="dxa"/>
            <w:vAlign w:val="bottom"/>
            <w:gridSpan w:val="14"/>
          </w:tcPr>
          <w:p>
            <w:pPr>
              <w:spacing w:after="0"/>
              <w:rPr>
                <w:sz w:val="13"/>
                <w:szCs w:val="13"/>
                <w:color w:val="auto"/>
              </w:rPr>
            </w:pPr>
          </w:p>
        </w:tc>
        <w:tc>
          <w:tcPr>
            <w:tcW w:w="160" w:type="dxa"/>
            <w:vAlign w:val="bottom"/>
            <w:tcBorders>
              <w:bottom w:val="single" w:sz="8" w:color="0000EE"/>
            </w:tcBorders>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57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20" w:type="dxa"/>
            <w:vAlign w:val="bottom"/>
            <w:gridSpan w:val="3"/>
            <w:shd w:val="clear" w:color="auto" w:fill="EEEEEE"/>
          </w:tcPr>
          <w:p>
            <w:pPr>
              <w:ind w:left="260"/>
              <w:spacing w:after="0" w:line="169" w:lineRule="exact"/>
              <w:rPr>
                <w:sz w:val="20"/>
                <w:szCs w:val="20"/>
                <w:color w:val="auto"/>
              </w:rPr>
            </w:pPr>
            <w:r>
              <w:rPr>
                <w:rFonts w:ascii="Times New Roman" w:cs="Times New Roman" w:eastAsia="Times New Roman" w:hAnsi="Times New Roman"/>
                <w:sz w:val="16"/>
                <w:szCs w:val="16"/>
                <w:color w:val="0000EE"/>
              </w:rPr>
              <w:t>SECTION 9.01</w:t>
            </w:r>
          </w:p>
        </w:tc>
        <w:tc>
          <w:tcPr>
            <w:tcW w:w="680" w:type="dxa"/>
            <w:vAlign w:val="bottom"/>
            <w:tcBorders>
              <w:right w:val="single" w:sz="8" w:color="EEEEEE"/>
            </w:tcBorders>
            <w:shd w:val="clear" w:color="auto" w:fill="EEEEEE"/>
          </w:tcPr>
          <w:p>
            <w:pPr>
              <w:spacing w:after="0"/>
              <w:rPr>
                <w:sz w:val="14"/>
                <w:szCs w:val="14"/>
                <w:color w:val="auto"/>
              </w:rPr>
            </w:pPr>
          </w:p>
        </w:tc>
        <w:tc>
          <w:tcPr>
            <w:tcW w:w="9080" w:type="dxa"/>
            <w:vAlign w:val="bottom"/>
            <w:gridSpan w:val="20"/>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Supplemental Indentures Without Consent of Holders</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68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30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420" w:type="dxa"/>
            <w:vAlign w:val="bottom"/>
            <w:tcBorders>
              <w:left w:val="single" w:sz="8" w:color="0000EE"/>
              <w:righ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EEEEEE"/>
            </w:tcBorders>
            <w:shd w:val="clear" w:color="auto" w:fill="0000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7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1320" w:type="dxa"/>
            <w:vAlign w:val="bottom"/>
            <w:gridSpan w:val="3"/>
          </w:tcPr>
          <w:p>
            <w:pPr>
              <w:ind w:left="260"/>
              <w:spacing w:after="0" w:line="154" w:lineRule="exact"/>
              <w:rPr>
                <w:sz w:val="20"/>
                <w:szCs w:val="20"/>
                <w:color w:val="auto"/>
              </w:rPr>
            </w:pPr>
            <w:r>
              <w:rPr>
                <w:rFonts w:ascii="Times New Roman" w:cs="Times New Roman" w:eastAsia="Times New Roman" w:hAnsi="Times New Roman"/>
                <w:sz w:val="16"/>
                <w:szCs w:val="16"/>
                <w:color w:val="0000EE"/>
              </w:rPr>
              <w:t>SECTION 9.02</w:t>
            </w:r>
          </w:p>
        </w:tc>
        <w:tc>
          <w:tcPr>
            <w:tcW w:w="680" w:type="dxa"/>
            <w:vAlign w:val="bottom"/>
          </w:tcPr>
          <w:p>
            <w:pPr>
              <w:spacing w:after="0"/>
              <w:rPr>
                <w:sz w:val="13"/>
                <w:szCs w:val="13"/>
                <w:color w:val="auto"/>
              </w:rPr>
            </w:pPr>
          </w:p>
        </w:tc>
        <w:tc>
          <w:tcPr>
            <w:tcW w:w="9080" w:type="dxa"/>
            <w:vAlign w:val="bottom"/>
            <w:gridSpan w:val="20"/>
          </w:tcPr>
          <w:p>
            <w:pPr>
              <w:spacing w:after="0" w:line="154" w:lineRule="exact"/>
              <w:rPr>
                <w:sz w:val="20"/>
                <w:szCs w:val="20"/>
                <w:color w:val="auto"/>
              </w:rPr>
            </w:pPr>
            <w:r>
              <w:rPr>
                <w:rFonts w:ascii="Times New Roman" w:cs="Times New Roman" w:eastAsia="Times New Roman" w:hAnsi="Times New Roman"/>
                <w:sz w:val="16"/>
                <w:szCs w:val="16"/>
                <w:color w:val="0000EE"/>
              </w:rPr>
              <w:t>Supplemental Indentures with Consent of Holders</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320" w:type="dxa"/>
            <w:vAlign w:val="bottom"/>
            <w:gridSpan w:val="3"/>
            <w:shd w:val="clear" w:color="auto" w:fill="EEEEEE"/>
          </w:tcPr>
          <w:p>
            <w:pPr>
              <w:ind w:left="260"/>
              <w:spacing w:after="0" w:line="169" w:lineRule="exact"/>
              <w:rPr>
                <w:sz w:val="20"/>
                <w:szCs w:val="20"/>
                <w:color w:val="auto"/>
              </w:rPr>
            </w:pPr>
            <w:r>
              <w:rPr>
                <w:rFonts w:ascii="Times New Roman" w:cs="Times New Roman" w:eastAsia="Times New Roman" w:hAnsi="Times New Roman"/>
                <w:sz w:val="16"/>
                <w:szCs w:val="16"/>
                <w:color w:val="0000EE"/>
              </w:rPr>
              <w:t>SECTION 9.03</w:t>
            </w:r>
          </w:p>
        </w:tc>
        <w:tc>
          <w:tcPr>
            <w:tcW w:w="680" w:type="dxa"/>
            <w:vAlign w:val="bottom"/>
            <w:tcBorders>
              <w:right w:val="single" w:sz="8" w:color="EEEEEE"/>
            </w:tcBorders>
            <w:shd w:val="clear" w:color="auto" w:fill="EEEEEE"/>
          </w:tcPr>
          <w:p>
            <w:pPr>
              <w:spacing w:after="0"/>
              <w:rPr>
                <w:sz w:val="14"/>
                <w:szCs w:val="14"/>
                <w:color w:val="auto"/>
              </w:rPr>
            </w:pPr>
          </w:p>
        </w:tc>
        <w:tc>
          <w:tcPr>
            <w:tcW w:w="9080" w:type="dxa"/>
            <w:vAlign w:val="bottom"/>
            <w:gridSpan w:val="20"/>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Execution of Supplemental Indentures</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68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300" w:type="dxa"/>
            <w:vAlign w:val="bottom"/>
            <w:tcBorders>
              <w:left w:val="single" w:sz="8" w:color="0000EE"/>
              <w:right w:val="single" w:sz="8" w:color="EEEEEE"/>
            </w:tcBorders>
            <w:shd w:val="clear" w:color="auto" w:fill="0000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420" w:type="dxa"/>
            <w:vAlign w:val="bottom"/>
            <w:tcBorders>
              <w:left w:val="single" w:sz="8" w:color="EEEEEE"/>
              <w:right w:val="single" w:sz="8" w:color="EEEEEE"/>
            </w:tcBorders>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7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1320" w:type="dxa"/>
            <w:vAlign w:val="bottom"/>
            <w:gridSpan w:val="3"/>
          </w:tcPr>
          <w:p>
            <w:pPr>
              <w:ind w:left="260"/>
              <w:spacing w:after="0" w:line="154" w:lineRule="exact"/>
              <w:rPr>
                <w:sz w:val="20"/>
                <w:szCs w:val="20"/>
                <w:color w:val="auto"/>
              </w:rPr>
            </w:pPr>
            <w:r>
              <w:rPr>
                <w:rFonts w:ascii="Times New Roman" w:cs="Times New Roman" w:eastAsia="Times New Roman" w:hAnsi="Times New Roman"/>
                <w:sz w:val="16"/>
                <w:szCs w:val="16"/>
                <w:color w:val="0000EE"/>
              </w:rPr>
              <w:t>SECTION 9.04</w:t>
            </w:r>
          </w:p>
        </w:tc>
        <w:tc>
          <w:tcPr>
            <w:tcW w:w="680" w:type="dxa"/>
            <w:vAlign w:val="bottom"/>
          </w:tcPr>
          <w:p>
            <w:pPr>
              <w:spacing w:after="0"/>
              <w:rPr>
                <w:sz w:val="13"/>
                <w:szCs w:val="13"/>
                <w:color w:val="auto"/>
              </w:rPr>
            </w:pPr>
          </w:p>
        </w:tc>
        <w:tc>
          <w:tcPr>
            <w:tcW w:w="9080" w:type="dxa"/>
            <w:vAlign w:val="bottom"/>
            <w:gridSpan w:val="20"/>
          </w:tcPr>
          <w:p>
            <w:pPr>
              <w:spacing w:after="0" w:line="154" w:lineRule="exact"/>
              <w:rPr>
                <w:sz w:val="20"/>
                <w:szCs w:val="20"/>
                <w:color w:val="auto"/>
              </w:rPr>
            </w:pPr>
            <w:r>
              <w:rPr>
                <w:rFonts w:ascii="Times New Roman" w:cs="Times New Roman" w:eastAsia="Times New Roman" w:hAnsi="Times New Roman"/>
                <w:sz w:val="16"/>
                <w:szCs w:val="16"/>
                <w:color w:val="0000EE"/>
              </w:rPr>
              <w:t>Effect of Supplemental Indentures</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320" w:type="dxa"/>
            <w:vAlign w:val="bottom"/>
            <w:gridSpan w:val="3"/>
            <w:shd w:val="clear" w:color="auto" w:fill="EEEEEE"/>
          </w:tcPr>
          <w:p>
            <w:pPr>
              <w:ind w:left="260"/>
              <w:spacing w:after="0" w:line="169" w:lineRule="exact"/>
              <w:rPr>
                <w:sz w:val="20"/>
                <w:szCs w:val="20"/>
                <w:color w:val="auto"/>
              </w:rPr>
            </w:pPr>
            <w:r>
              <w:rPr>
                <w:rFonts w:ascii="Times New Roman" w:cs="Times New Roman" w:eastAsia="Times New Roman" w:hAnsi="Times New Roman"/>
                <w:sz w:val="16"/>
                <w:szCs w:val="16"/>
                <w:color w:val="0000EE"/>
              </w:rPr>
              <w:t>SECTION 9.05</w:t>
            </w:r>
          </w:p>
        </w:tc>
        <w:tc>
          <w:tcPr>
            <w:tcW w:w="680" w:type="dxa"/>
            <w:vAlign w:val="bottom"/>
            <w:tcBorders>
              <w:right w:val="single" w:sz="8" w:color="EEEEEE"/>
            </w:tcBorders>
            <w:shd w:val="clear" w:color="auto" w:fill="EEEEEE"/>
          </w:tcPr>
          <w:p>
            <w:pPr>
              <w:spacing w:after="0"/>
              <w:rPr>
                <w:sz w:val="14"/>
                <w:szCs w:val="14"/>
                <w:color w:val="auto"/>
              </w:rPr>
            </w:pPr>
          </w:p>
        </w:tc>
        <w:tc>
          <w:tcPr>
            <w:tcW w:w="9080" w:type="dxa"/>
            <w:vAlign w:val="bottom"/>
            <w:gridSpan w:val="20"/>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Conformity with Trust Indenture Legislation</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680" w:type="dxa"/>
            <w:vAlign w:val="bottom"/>
            <w:tcBorders>
              <w:right w:val="single" w:sz="8" w:color="EEEE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30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420" w:type="dxa"/>
            <w:vAlign w:val="bottom"/>
            <w:tcBorders>
              <w:left w:val="single" w:sz="8" w:color="0000EE"/>
              <w:right w:val="single" w:sz="8" w:color="EEEEEE"/>
            </w:tcBorders>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7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1320" w:type="dxa"/>
            <w:vAlign w:val="bottom"/>
            <w:gridSpan w:val="3"/>
          </w:tcPr>
          <w:p>
            <w:pPr>
              <w:ind w:left="260"/>
              <w:spacing w:after="0" w:line="154" w:lineRule="exact"/>
              <w:rPr>
                <w:sz w:val="20"/>
                <w:szCs w:val="20"/>
                <w:color w:val="auto"/>
              </w:rPr>
            </w:pPr>
            <w:r>
              <w:rPr>
                <w:rFonts w:ascii="Times New Roman" w:cs="Times New Roman" w:eastAsia="Times New Roman" w:hAnsi="Times New Roman"/>
                <w:sz w:val="16"/>
                <w:szCs w:val="16"/>
                <w:color w:val="0000EE"/>
              </w:rPr>
              <w:t>SECTION 9.06</w:t>
            </w:r>
          </w:p>
        </w:tc>
        <w:tc>
          <w:tcPr>
            <w:tcW w:w="680" w:type="dxa"/>
            <w:vAlign w:val="bottom"/>
          </w:tcPr>
          <w:p>
            <w:pPr>
              <w:spacing w:after="0"/>
              <w:rPr>
                <w:sz w:val="13"/>
                <w:szCs w:val="13"/>
                <w:color w:val="auto"/>
              </w:rPr>
            </w:pPr>
          </w:p>
        </w:tc>
        <w:tc>
          <w:tcPr>
            <w:tcW w:w="9080" w:type="dxa"/>
            <w:vAlign w:val="bottom"/>
            <w:gridSpan w:val="20"/>
          </w:tcPr>
          <w:p>
            <w:pPr>
              <w:spacing w:after="0" w:line="154" w:lineRule="exact"/>
              <w:rPr>
                <w:sz w:val="20"/>
                <w:szCs w:val="20"/>
                <w:color w:val="auto"/>
              </w:rPr>
            </w:pPr>
            <w:r>
              <w:rPr>
                <w:rFonts w:ascii="Times New Roman" w:cs="Times New Roman" w:eastAsia="Times New Roman" w:hAnsi="Times New Roman"/>
                <w:sz w:val="16"/>
                <w:szCs w:val="16"/>
                <w:color w:val="0000EE"/>
              </w:rPr>
              <w:t>Reference in Securities to Supplemental Indentures</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320" w:type="dxa"/>
            <w:vAlign w:val="bottom"/>
            <w:gridSpan w:val="3"/>
            <w:shd w:val="clear" w:color="auto" w:fill="EEEEEE"/>
          </w:tcPr>
          <w:p>
            <w:pPr>
              <w:ind w:left="260"/>
              <w:spacing w:after="0" w:line="169" w:lineRule="exact"/>
              <w:rPr>
                <w:sz w:val="20"/>
                <w:szCs w:val="20"/>
                <w:color w:val="auto"/>
              </w:rPr>
            </w:pPr>
            <w:r>
              <w:rPr>
                <w:rFonts w:ascii="Times New Roman" w:cs="Times New Roman" w:eastAsia="Times New Roman" w:hAnsi="Times New Roman"/>
                <w:sz w:val="16"/>
                <w:szCs w:val="16"/>
                <w:color w:val="0000EE"/>
              </w:rPr>
              <w:t>SECTION 9.07</w:t>
            </w:r>
          </w:p>
        </w:tc>
        <w:tc>
          <w:tcPr>
            <w:tcW w:w="680" w:type="dxa"/>
            <w:vAlign w:val="bottom"/>
            <w:tcBorders>
              <w:right w:val="single" w:sz="8" w:color="EEEEEE"/>
            </w:tcBorders>
            <w:shd w:val="clear" w:color="auto" w:fill="EEEEEE"/>
          </w:tcPr>
          <w:p>
            <w:pPr>
              <w:spacing w:after="0"/>
              <w:rPr>
                <w:sz w:val="16"/>
                <w:szCs w:val="16"/>
                <w:color w:val="auto"/>
              </w:rPr>
            </w:pPr>
          </w:p>
        </w:tc>
        <w:tc>
          <w:tcPr>
            <w:tcW w:w="9080" w:type="dxa"/>
            <w:vAlign w:val="bottom"/>
            <w:gridSpan w:val="20"/>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Notice of Supplemental Indentures</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60" w:type="dxa"/>
            <w:vAlign w:val="bottom"/>
            <w:tcBorders>
              <w:top w:val="single" w:sz="8" w:color="EEEEEE"/>
            </w:tcBorders>
          </w:tcPr>
          <w:p>
            <w:pPr>
              <w:spacing w:after="0"/>
              <w:rPr>
                <w:sz w:val="16"/>
                <w:szCs w:val="16"/>
                <w:color w:val="auto"/>
              </w:rPr>
            </w:pPr>
          </w:p>
        </w:tc>
        <w:tc>
          <w:tcPr>
            <w:tcW w:w="980" w:type="dxa"/>
            <w:vAlign w:val="bottom"/>
            <w:tcBorders>
              <w:top w:val="single" w:sz="8" w:color="0000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68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30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42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160" w:type="dxa"/>
            <w:vAlign w:val="bottom"/>
            <w:tcBorders>
              <w:top w:val="single" w:sz="8" w:color="EEEEEE"/>
            </w:tcBorders>
          </w:tcPr>
          <w:p>
            <w:pPr>
              <w:spacing w:after="0"/>
              <w:rPr>
                <w:sz w:val="16"/>
                <w:szCs w:val="16"/>
                <w:color w:val="auto"/>
              </w:rPr>
            </w:pPr>
          </w:p>
        </w:tc>
        <w:tc>
          <w:tcPr>
            <w:tcW w:w="740" w:type="dxa"/>
            <w:vAlign w:val="bottom"/>
            <w:tcBorders>
              <w:top w:val="single" w:sz="8" w:color="EEEE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4700" w:type="dxa"/>
            <w:vAlign w:val="bottom"/>
            <w:tcBorders>
              <w:top w:val="single" w:sz="8" w:color="EEEE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080" w:type="dxa"/>
            <w:vAlign w:val="bottom"/>
            <w:tcBorders>
              <w:bottom w:val="single" w:sz="8" w:color="0000EE"/>
            </w:tcBorders>
            <w:gridSpan w:val="5"/>
            <w:shd w:val="clear" w:color="auto" w:fill="EEEEEE"/>
          </w:tcPr>
          <w:p>
            <w:pPr>
              <w:spacing w:after="0" w:line="154" w:lineRule="exact"/>
              <w:rPr>
                <w:sz w:val="20"/>
                <w:szCs w:val="20"/>
                <w:color w:val="auto"/>
              </w:rPr>
            </w:pPr>
            <w:r>
              <w:rPr>
                <w:rFonts w:ascii="Times New Roman" w:cs="Times New Roman" w:eastAsia="Times New Roman" w:hAnsi="Times New Roman"/>
                <w:sz w:val="16"/>
                <w:szCs w:val="16"/>
                <w:b w:val="1"/>
                <w:bCs w:val="1"/>
                <w:color w:val="0000EE"/>
                <w:w w:val="96"/>
              </w:rPr>
              <w:t>ARTICLE TEN COVENANTS</w:t>
            </w:r>
          </w:p>
        </w:tc>
        <w:tc>
          <w:tcPr>
            <w:tcW w:w="9000" w:type="dxa"/>
            <w:vAlign w:val="bottom"/>
            <w:tcBorders>
              <w:bottom w:val="single" w:sz="8" w:color="EEEEEE"/>
            </w:tcBorders>
            <w:gridSpan w:val="19"/>
            <w:shd w:val="clear" w:color="auto" w:fill="EEEEEE"/>
          </w:tcPr>
          <w:p>
            <w:pPr>
              <w:spacing w:after="0"/>
              <w:rPr>
                <w:sz w:val="14"/>
                <w:szCs w:val="14"/>
                <w:color w:val="auto"/>
              </w:rPr>
            </w:pPr>
          </w:p>
        </w:tc>
        <w:tc>
          <w:tcPr>
            <w:tcW w:w="160" w:type="dxa"/>
            <w:vAlign w:val="bottom"/>
            <w:tcBorders>
              <w:bottom w:val="single" w:sz="8" w:color="0000EE"/>
            </w:tcBorders>
            <w:shd w:val="clear" w:color="auto" w:fill="EEEEEE"/>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60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320" w:type="dxa"/>
            <w:vAlign w:val="bottom"/>
            <w:gridSpan w:val="3"/>
          </w:tcPr>
          <w:p>
            <w:pPr>
              <w:ind w:left="260"/>
              <w:spacing w:after="0" w:line="154" w:lineRule="exact"/>
              <w:rPr>
                <w:sz w:val="20"/>
                <w:szCs w:val="20"/>
                <w:color w:val="auto"/>
              </w:rPr>
            </w:pPr>
            <w:r>
              <w:rPr>
                <w:rFonts w:ascii="Times New Roman" w:cs="Times New Roman" w:eastAsia="Times New Roman" w:hAnsi="Times New Roman"/>
                <w:sz w:val="16"/>
                <w:szCs w:val="16"/>
                <w:color w:val="0000EE"/>
                <w:w w:val="96"/>
              </w:rPr>
              <w:t>SECTION 10.01</w:t>
            </w:r>
          </w:p>
        </w:tc>
        <w:tc>
          <w:tcPr>
            <w:tcW w:w="680" w:type="dxa"/>
            <w:vAlign w:val="bottom"/>
          </w:tcPr>
          <w:p>
            <w:pPr>
              <w:spacing w:after="0"/>
              <w:rPr>
                <w:sz w:val="13"/>
                <w:szCs w:val="13"/>
                <w:color w:val="auto"/>
              </w:rPr>
            </w:pPr>
          </w:p>
        </w:tc>
        <w:tc>
          <w:tcPr>
            <w:tcW w:w="9080" w:type="dxa"/>
            <w:vAlign w:val="bottom"/>
            <w:gridSpan w:val="20"/>
          </w:tcPr>
          <w:p>
            <w:pPr>
              <w:spacing w:after="0" w:line="154" w:lineRule="exact"/>
              <w:rPr>
                <w:sz w:val="20"/>
                <w:szCs w:val="20"/>
                <w:color w:val="auto"/>
              </w:rPr>
            </w:pPr>
            <w:r>
              <w:rPr>
                <w:rFonts w:ascii="Times New Roman" w:cs="Times New Roman" w:eastAsia="Times New Roman" w:hAnsi="Times New Roman"/>
                <w:sz w:val="16"/>
                <w:szCs w:val="16"/>
                <w:color w:val="0000EE"/>
              </w:rPr>
              <w:t>Payment of Principal, Premium and Interest</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320" w:type="dxa"/>
            <w:vAlign w:val="bottom"/>
            <w:gridSpan w:val="3"/>
            <w:shd w:val="clear" w:color="auto" w:fill="EEEEEE"/>
          </w:tcPr>
          <w:p>
            <w:pPr>
              <w:ind w:left="260"/>
              <w:spacing w:after="0" w:line="169" w:lineRule="exact"/>
              <w:rPr>
                <w:sz w:val="20"/>
                <w:szCs w:val="20"/>
                <w:color w:val="auto"/>
              </w:rPr>
            </w:pPr>
            <w:r>
              <w:rPr>
                <w:rFonts w:ascii="Times New Roman" w:cs="Times New Roman" w:eastAsia="Times New Roman" w:hAnsi="Times New Roman"/>
                <w:sz w:val="16"/>
                <w:szCs w:val="16"/>
                <w:color w:val="0000EE"/>
                <w:w w:val="96"/>
              </w:rPr>
              <w:t>SECTION 10.02</w:t>
            </w:r>
          </w:p>
        </w:tc>
        <w:tc>
          <w:tcPr>
            <w:tcW w:w="680" w:type="dxa"/>
            <w:vAlign w:val="bottom"/>
            <w:tcBorders>
              <w:right w:val="single" w:sz="8" w:color="EEEEEE"/>
            </w:tcBorders>
            <w:shd w:val="clear" w:color="auto" w:fill="EEEEEE"/>
          </w:tcPr>
          <w:p>
            <w:pPr>
              <w:spacing w:after="0"/>
              <w:rPr>
                <w:sz w:val="14"/>
                <w:szCs w:val="14"/>
                <w:color w:val="auto"/>
              </w:rPr>
            </w:pPr>
          </w:p>
        </w:tc>
        <w:tc>
          <w:tcPr>
            <w:tcW w:w="9080" w:type="dxa"/>
            <w:vAlign w:val="bottom"/>
            <w:gridSpan w:val="20"/>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Maintenance of Office or Agency</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80" w:type="dxa"/>
            <w:vAlign w:val="bottom"/>
            <w:tcBorders>
              <w:right w:val="single" w:sz="8" w:color="0000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320" w:type="dxa"/>
            <w:vAlign w:val="bottom"/>
            <w:tcBorders>
              <w:right w:val="single" w:sz="8" w:color="EEEEEE"/>
            </w:tcBorders>
            <w:shd w:val="clear" w:color="auto" w:fill="0000EE"/>
          </w:tcPr>
          <w:p>
            <w:pPr>
              <w:spacing w:after="0"/>
              <w:rPr>
                <w:sz w:val="3"/>
                <w:szCs w:val="3"/>
                <w:color w:val="auto"/>
              </w:rPr>
            </w:pPr>
          </w:p>
        </w:tc>
        <w:tc>
          <w:tcPr>
            <w:tcW w:w="300" w:type="dxa"/>
            <w:vAlign w:val="bottom"/>
            <w:tcBorders>
              <w:left w:val="single" w:sz="8" w:color="EEEEEE"/>
              <w:righ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420" w:type="dxa"/>
            <w:vAlign w:val="bottom"/>
            <w:tcBorders>
              <w:left w:val="single" w:sz="8" w:color="EEEEEE"/>
              <w:right w:val="single" w:sz="8" w:color="EEEEEE"/>
            </w:tcBorders>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7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1320" w:type="dxa"/>
            <w:vAlign w:val="bottom"/>
            <w:gridSpan w:val="3"/>
          </w:tcPr>
          <w:p>
            <w:pPr>
              <w:ind w:left="260"/>
              <w:spacing w:after="0" w:line="154" w:lineRule="exact"/>
              <w:rPr>
                <w:sz w:val="20"/>
                <w:szCs w:val="20"/>
                <w:color w:val="auto"/>
              </w:rPr>
            </w:pPr>
            <w:r>
              <w:rPr>
                <w:rFonts w:ascii="Times New Roman" w:cs="Times New Roman" w:eastAsia="Times New Roman" w:hAnsi="Times New Roman"/>
                <w:sz w:val="16"/>
                <w:szCs w:val="16"/>
                <w:color w:val="0000EE"/>
                <w:w w:val="96"/>
              </w:rPr>
              <w:t>SECTION 10.03</w:t>
            </w:r>
          </w:p>
        </w:tc>
        <w:tc>
          <w:tcPr>
            <w:tcW w:w="680" w:type="dxa"/>
            <w:vAlign w:val="bottom"/>
          </w:tcPr>
          <w:p>
            <w:pPr>
              <w:spacing w:after="0"/>
              <w:rPr>
                <w:sz w:val="13"/>
                <w:szCs w:val="13"/>
                <w:color w:val="auto"/>
              </w:rPr>
            </w:pPr>
          </w:p>
        </w:tc>
        <w:tc>
          <w:tcPr>
            <w:tcW w:w="9080" w:type="dxa"/>
            <w:vAlign w:val="bottom"/>
            <w:gridSpan w:val="20"/>
          </w:tcPr>
          <w:p>
            <w:pPr>
              <w:spacing w:after="0" w:line="154" w:lineRule="exact"/>
              <w:rPr>
                <w:sz w:val="20"/>
                <w:szCs w:val="20"/>
                <w:color w:val="auto"/>
              </w:rPr>
            </w:pPr>
            <w:r>
              <w:rPr>
                <w:rFonts w:ascii="Times New Roman" w:cs="Times New Roman" w:eastAsia="Times New Roman" w:hAnsi="Times New Roman"/>
                <w:sz w:val="16"/>
                <w:szCs w:val="16"/>
                <w:color w:val="0000EE"/>
              </w:rPr>
              <w:t>Money for Securities Payments to Be Held in Trust</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320" w:type="dxa"/>
            <w:vAlign w:val="bottom"/>
            <w:gridSpan w:val="3"/>
            <w:shd w:val="clear" w:color="auto" w:fill="EEEEEE"/>
          </w:tcPr>
          <w:p>
            <w:pPr>
              <w:ind w:left="260"/>
              <w:spacing w:after="0" w:line="169" w:lineRule="exact"/>
              <w:rPr>
                <w:sz w:val="20"/>
                <w:szCs w:val="20"/>
                <w:color w:val="auto"/>
              </w:rPr>
            </w:pPr>
            <w:r>
              <w:rPr>
                <w:rFonts w:ascii="Times New Roman" w:cs="Times New Roman" w:eastAsia="Times New Roman" w:hAnsi="Times New Roman"/>
                <w:sz w:val="16"/>
                <w:szCs w:val="16"/>
                <w:color w:val="0000EE"/>
                <w:w w:val="96"/>
              </w:rPr>
              <w:t>SECTION 10.04</w:t>
            </w:r>
          </w:p>
        </w:tc>
        <w:tc>
          <w:tcPr>
            <w:tcW w:w="680" w:type="dxa"/>
            <w:vAlign w:val="bottom"/>
            <w:tcBorders>
              <w:right w:val="single" w:sz="8" w:color="EEEEEE"/>
            </w:tcBorders>
            <w:shd w:val="clear" w:color="auto" w:fill="EEEEEE"/>
          </w:tcPr>
          <w:p>
            <w:pPr>
              <w:spacing w:after="0"/>
              <w:rPr>
                <w:sz w:val="14"/>
                <w:szCs w:val="14"/>
                <w:color w:val="auto"/>
              </w:rPr>
            </w:pPr>
          </w:p>
        </w:tc>
        <w:tc>
          <w:tcPr>
            <w:tcW w:w="9080" w:type="dxa"/>
            <w:vAlign w:val="bottom"/>
            <w:gridSpan w:val="20"/>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Statement as to Compliance</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80" w:type="dxa"/>
            <w:vAlign w:val="bottom"/>
            <w:tcBorders>
              <w:right w:val="single" w:sz="8" w:color="0000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80" w:type="dxa"/>
            <w:vAlign w:val="bottom"/>
            <w:tcBorders>
              <w:right w:val="single" w:sz="8" w:color="EEEEEE"/>
            </w:tcBorders>
            <w:shd w:val="clear" w:color="auto" w:fill="0000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300" w:type="dxa"/>
            <w:vAlign w:val="bottom"/>
            <w:tcBorders>
              <w:left w:val="single" w:sz="8" w:color="EEEEEE"/>
              <w:righ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420" w:type="dxa"/>
            <w:vAlign w:val="bottom"/>
            <w:tcBorders>
              <w:left w:val="single" w:sz="8" w:color="EEEEEE"/>
              <w:right w:val="single" w:sz="8" w:color="EEEEEE"/>
            </w:tcBorders>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7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gridSpan w:val="3"/>
          </w:tcPr>
          <w:p>
            <w:pPr>
              <w:ind w:left="260"/>
              <w:spacing w:after="0" w:line="154" w:lineRule="exact"/>
              <w:rPr>
                <w:sz w:val="20"/>
                <w:szCs w:val="20"/>
                <w:color w:val="auto"/>
              </w:rPr>
            </w:pPr>
            <w:r>
              <w:rPr>
                <w:rFonts w:ascii="Times New Roman" w:cs="Times New Roman" w:eastAsia="Times New Roman" w:hAnsi="Times New Roman"/>
                <w:sz w:val="16"/>
                <w:szCs w:val="16"/>
                <w:color w:val="0000EE"/>
                <w:w w:val="96"/>
              </w:rPr>
              <w:t>SECTION 10.05</w:t>
            </w:r>
          </w:p>
        </w:tc>
        <w:tc>
          <w:tcPr>
            <w:tcW w:w="680" w:type="dxa"/>
            <w:vAlign w:val="bottom"/>
          </w:tcPr>
          <w:p>
            <w:pPr>
              <w:spacing w:after="0"/>
              <w:rPr>
                <w:sz w:val="14"/>
                <w:szCs w:val="14"/>
                <w:color w:val="auto"/>
              </w:rPr>
            </w:pPr>
          </w:p>
        </w:tc>
        <w:tc>
          <w:tcPr>
            <w:tcW w:w="9080" w:type="dxa"/>
            <w:vAlign w:val="bottom"/>
            <w:gridSpan w:val="20"/>
          </w:tcPr>
          <w:p>
            <w:pPr>
              <w:spacing w:after="0" w:line="154" w:lineRule="exact"/>
              <w:rPr>
                <w:sz w:val="20"/>
                <w:szCs w:val="20"/>
                <w:color w:val="auto"/>
              </w:rPr>
            </w:pPr>
            <w:r>
              <w:rPr>
                <w:rFonts w:ascii="Times New Roman" w:cs="Times New Roman" w:eastAsia="Times New Roman" w:hAnsi="Times New Roman"/>
                <w:sz w:val="16"/>
                <w:szCs w:val="16"/>
                <w:color w:val="0000EE"/>
              </w:rPr>
              <w:t>Waiver of Certain Covenants</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980" w:type="dxa"/>
            <w:vAlign w:val="bottom"/>
            <w:tcBorders>
              <w:top w:val="single" w:sz="8" w:color="0000EE"/>
            </w:tcBorders>
            <w:shd w:val="clear" w:color="auto" w:fill="EEEEEE"/>
          </w:tcPr>
          <w:p>
            <w:pPr>
              <w:spacing w:after="0"/>
              <w:rPr>
                <w:sz w:val="17"/>
                <w:szCs w:val="17"/>
                <w:color w:val="auto"/>
              </w:rPr>
            </w:pPr>
          </w:p>
        </w:tc>
        <w:tc>
          <w:tcPr>
            <w:tcW w:w="80" w:type="dxa"/>
            <w:vAlign w:val="bottom"/>
            <w:tcBorders>
              <w:top w:val="single" w:sz="8" w:color="0000EE"/>
            </w:tcBorders>
            <w:shd w:val="clear" w:color="auto" w:fill="EEEEEE"/>
          </w:tcPr>
          <w:p>
            <w:pPr>
              <w:spacing w:after="0"/>
              <w:rPr>
                <w:sz w:val="17"/>
                <w:szCs w:val="17"/>
                <w:color w:val="auto"/>
              </w:rPr>
            </w:pPr>
          </w:p>
        </w:tc>
        <w:tc>
          <w:tcPr>
            <w:tcW w:w="680" w:type="dxa"/>
            <w:vAlign w:val="bottom"/>
            <w:tcBorders>
              <w:right w:val="single" w:sz="8" w:color="EEEEEE"/>
            </w:tcBorders>
            <w:shd w:val="clear" w:color="auto" w:fill="EEEEEE"/>
          </w:tcPr>
          <w:p>
            <w:pPr>
              <w:spacing w:after="0"/>
              <w:rPr>
                <w:sz w:val="17"/>
                <w:szCs w:val="17"/>
                <w:color w:val="auto"/>
              </w:rPr>
            </w:pPr>
          </w:p>
        </w:tc>
        <w:tc>
          <w:tcPr>
            <w:tcW w:w="80" w:type="dxa"/>
            <w:vAlign w:val="bottom"/>
            <w:tcBorders>
              <w:top w:val="single" w:sz="8" w:color="0000EE"/>
            </w:tcBorders>
            <w:shd w:val="clear" w:color="auto" w:fill="EEEEEE"/>
          </w:tcPr>
          <w:p>
            <w:pPr>
              <w:spacing w:after="0"/>
              <w:rPr>
                <w:sz w:val="17"/>
                <w:szCs w:val="17"/>
                <w:color w:val="auto"/>
              </w:rPr>
            </w:pPr>
          </w:p>
        </w:tc>
        <w:tc>
          <w:tcPr>
            <w:tcW w:w="620" w:type="dxa"/>
            <w:vAlign w:val="bottom"/>
            <w:tcBorders>
              <w:top w:val="single" w:sz="8" w:color="0000EE"/>
            </w:tcBorders>
            <w:shd w:val="clear" w:color="auto" w:fill="EEEEEE"/>
          </w:tcPr>
          <w:p>
            <w:pPr>
              <w:spacing w:after="0"/>
              <w:rPr>
                <w:sz w:val="17"/>
                <w:szCs w:val="17"/>
                <w:color w:val="auto"/>
              </w:rPr>
            </w:pPr>
          </w:p>
        </w:tc>
        <w:tc>
          <w:tcPr>
            <w:tcW w:w="480" w:type="dxa"/>
            <w:vAlign w:val="bottom"/>
            <w:tcBorders>
              <w:top w:val="single" w:sz="8" w:color="0000EE"/>
            </w:tcBorders>
            <w:shd w:val="clear" w:color="auto" w:fill="EEEEEE"/>
          </w:tcPr>
          <w:p>
            <w:pPr>
              <w:spacing w:after="0"/>
              <w:rPr>
                <w:sz w:val="17"/>
                <w:szCs w:val="17"/>
                <w:color w:val="auto"/>
              </w:rPr>
            </w:pPr>
          </w:p>
        </w:tc>
        <w:tc>
          <w:tcPr>
            <w:tcW w:w="80" w:type="dxa"/>
            <w:vAlign w:val="bottom"/>
            <w:tcBorders>
              <w:top w:val="single" w:sz="8" w:color="0000EE"/>
            </w:tcBorders>
            <w:shd w:val="clear" w:color="auto" w:fill="EEEEEE"/>
          </w:tcPr>
          <w:p>
            <w:pPr>
              <w:spacing w:after="0"/>
              <w:rPr>
                <w:sz w:val="17"/>
                <w:szCs w:val="17"/>
                <w:color w:val="auto"/>
              </w:rPr>
            </w:pPr>
          </w:p>
        </w:tc>
        <w:tc>
          <w:tcPr>
            <w:tcW w:w="120" w:type="dxa"/>
            <w:vAlign w:val="bottom"/>
            <w:tcBorders>
              <w:top w:val="single" w:sz="8" w:color="0000EE"/>
            </w:tcBorders>
            <w:shd w:val="clear" w:color="auto" w:fill="EEEEEE"/>
          </w:tcPr>
          <w:p>
            <w:pPr>
              <w:spacing w:after="0"/>
              <w:rPr>
                <w:sz w:val="17"/>
                <w:szCs w:val="17"/>
                <w:color w:val="auto"/>
              </w:rPr>
            </w:pPr>
          </w:p>
        </w:tc>
        <w:tc>
          <w:tcPr>
            <w:tcW w:w="80" w:type="dxa"/>
            <w:vAlign w:val="bottom"/>
            <w:tcBorders>
              <w:top w:val="single" w:sz="8" w:color="0000EE"/>
            </w:tcBorders>
            <w:shd w:val="clear" w:color="auto" w:fill="EEEEEE"/>
          </w:tcPr>
          <w:p>
            <w:pPr>
              <w:spacing w:after="0"/>
              <w:rPr>
                <w:sz w:val="17"/>
                <w:szCs w:val="17"/>
                <w:color w:val="auto"/>
              </w:rPr>
            </w:pPr>
          </w:p>
        </w:tc>
        <w:tc>
          <w:tcPr>
            <w:tcW w:w="80" w:type="dxa"/>
            <w:vAlign w:val="bottom"/>
            <w:tcBorders>
              <w:top w:val="single" w:sz="8" w:color="0000EE"/>
              <w:left w:val="single" w:sz="8" w:color="EEEEEE"/>
            </w:tcBorders>
            <w:shd w:val="clear" w:color="auto" w:fill="EEEEEE"/>
          </w:tcPr>
          <w:p>
            <w:pPr>
              <w:spacing w:after="0"/>
              <w:rPr>
                <w:sz w:val="17"/>
                <w:szCs w:val="17"/>
                <w:color w:val="auto"/>
              </w:rPr>
            </w:pPr>
          </w:p>
        </w:tc>
        <w:tc>
          <w:tcPr>
            <w:tcW w:w="20" w:type="dxa"/>
            <w:vAlign w:val="bottom"/>
            <w:tcBorders>
              <w:top w:val="single" w:sz="8" w:color="0000EE"/>
            </w:tcBorders>
            <w:shd w:val="clear" w:color="auto" w:fill="EEEEEE"/>
          </w:tcPr>
          <w:p>
            <w:pPr>
              <w:spacing w:after="0"/>
              <w:rPr>
                <w:sz w:val="17"/>
                <w:szCs w:val="17"/>
                <w:color w:val="auto"/>
              </w:rPr>
            </w:pPr>
          </w:p>
        </w:tc>
        <w:tc>
          <w:tcPr>
            <w:tcW w:w="280" w:type="dxa"/>
            <w:vAlign w:val="bottom"/>
            <w:tcBorders>
              <w:top w:val="single" w:sz="8" w:color="0000EE"/>
              <w:right w:val="single" w:sz="8" w:color="EEEEEE"/>
            </w:tcBorders>
            <w:shd w:val="clear" w:color="auto" w:fill="EEEEEE"/>
          </w:tcPr>
          <w:p>
            <w:pPr>
              <w:spacing w:after="0"/>
              <w:rPr>
                <w:sz w:val="17"/>
                <w:szCs w:val="17"/>
                <w:color w:val="auto"/>
              </w:rPr>
            </w:pPr>
          </w:p>
        </w:tc>
        <w:tc>
          <w:tcPr>
            <w:tcW w:w="320" w:type="dxa"/>
            <w:vAlign w:val="bottom"/>
            <w:tcBorders>
              <w:right w:val="single" w:sz="8" w:color="EEEEEE"/>
            </w:tcBorders>
            <w:shd w:val="clear" w:color="auto" w:fill="EEEEEE"/>
          </w:tcPr>
          <w:p>
            <w:pPr>
              <w:spacing w:after="0"/>
              <w:rPr>
                <w:sz w:val="17"/>
                <w:szCs w:val="17"/>
                <w:color w:val="auto"/>
              </w:rPr>
            </w:pPr>
          </w:p>
        </w:tc>
        <w:tc>
          <w:tcPr>
            <w:tcW w:w="300" w:type="dxa"/>
            <w:vAlign w:val="bottom"/>
            <w:tcBorders>
              <w:left w:val="single" w:sz="8" w:color="EEEEEE"/>
              <w:right w:val="single" w:sz="8" w:color="EEEEEE"/>
            </w:tcBorders>
            <w:shd w:val="clear" w:color="auto" w:fill="EEEEEE"/>
          </w:tcPr>
          <w:p>
            <w:pPr>
              <w:spacing w:after="0"/>
              <w:rPr>
                <w:sz w:val="17"/>
                <w:szCs w:val="17"/>
                <w:color w:val="auto"/>
              </w:rPr>
            </w:pPr>
          </w:p>
        </w:tc>
        <w:tc>
          <w:tcPr>
            <w:tcW w:w="100" w:type="dxa"/>
            <w:vAlign w:val="bottom"/>
            <w:tcBorders>
              <w:left w:val="single" w:sz="8" w:color="EEEEEE"/>
            </w:tcBorders>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420" w:type="dxa"/>
            <w:vAlign w:val="bottom"/>
            <w:tcBorders>
              <w:left w:val="single" w:sz="8" w:color="EEEEEE"/>
              <w:right w:val="single" w:sz="8" w:color="EEEEEE"/>
            </w:tcBorders>
            <w:shd w:val="clear" w:color="auto" w:fill="EEEEEE"/>
          </w:tcPr>
          <w:p>
            <w:pPr>
              <w:spacing w:after="0"/>
              <w:rPr>
                <w:sz w:val="17"/>
                <w:szCs w:val="17"/>
                <w:color w:val="auto"/>
              </w:rPr>
            </w:pPr>
          </w:p>
        </w:tc>
        <w:tc>
          <w:tcPr>
            <w:tcW w:w="80" w:type="dxa"/>
            <w:vAlign w:val="bottom"/>
            <w:tcBorders>
              <w:left w:val="single" w:sz="8" w:color="EEEEEE"/>
            </w:tcBorders>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4700" w:type="dxa"/>
            <w:vAlign w:val="bottom"/>
            <w:shd w:val="clear" w:color="auto" w:fill="EEEEEE"/>
          </w:tcPr>
          <w:p>
            <w:pPr>
              <w:spacing w:after="0"/>
              <w:rPr>
                <w:sz w:val="17"/>
                <w:szCs w:val="17"/>
                <w:color w:val="auto"/>
              </w:rPr>
            </w:pPr>
          </w:p>
        </w:tc>
        <w:tc>
          <w:tcPr>
            <w:tcW w:w="160" w:type="dxa"/>
            <w:vAlign w:val="bottom"/>
            <w:tcBorders>
              <w:top w:val="single" w:sz="8" w:color="0000EE"/>
            </w:tcBorders>
            <w:shd w:val="clear" w:color="auto" w:fill="EEEEEE"/>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840" w:type="dxa"/>
            <w:vAlign w:val="bottom"/>
            <w:tcBorders>
              <w:bottom w:val="single" w:sz="8" w:color="0000EE"/>
            </w:tcBorders>
            <w:gridSpan w:val="13"/>
          </w:tcPr>
          <w:p>
            <w:pPr>
              <w:spacing w:after="0" w:line="154" w:lineRule="exact"/>
              <w:rPr>
                <w:sz w:val="20"/>
                <w:szCs w:val="20"/>
                <w:color w:val="auto"/>
              </w:rPr>
            </w:pPr>
            <w:r>
              <w:rPr>
                <w:rFonts w:ascii="Times New Roman" w:cs="Times New Roman" w:eastAsia="Times New Roman" w:hAnsi="Times New Roman"/>
                <w:sz w:val="16"/>
                <w:szCs w:val="16"/>
                <w:b w:val="1"/>
                <w:bCs w:val="1"/>
                <w:color w:val="0000EE"/>
                <w:w w:val="98"/>
              </w:rPr>
              <w:t>ARTICLE ELEVEN REDEMPTION OF SECURITIES</w:t>
            </w:r>
          </w:p>
        </w:tc>
        <w:tc>
          <w:tcPr>
            <w:tcW w:w="7240" w:type="dxa"/>
            <w:vAlign w:val="bottom"/>
            <w:gridSpan w:val="11"/>
          </w:tcPr>
          <w:p>
            <w:pPr>
              <w:spacing w:after="0"/>
              <w:rPr>
                <w:sz w:val="13"/>
                <w:szCs w:val="13"/>
                <w:color w:val="auto"/>
              </w:rPr>
            </w:pPr>
          </w:p>
        </w:tc>
        <w:tc>
          <w:tcPr>
            <w:tcW w:w="160" w:type="dxa"/>
            <w:vAlign w:val="bottom"/>
            <w:tcBorders>
              <w:bottom w:val="single" w:sz="8" w:color="0000EE"/>
            </w:tcBorders>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62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20" w:type="dxa"/>
            <w:vAlign w:val="bottom"/>
            <w:gridSpan w:val="3"/>
            <w:shd w:val="clear" w:color="auto" w:fill="EEEEEE"/>
          </w:tcPr>
          <w:p>
            <w:pPr>
              <w:ind w:left="260"/>
              <w:spacing w:after="0" w:line="169" w:lineRule="exact"/>
              <w:rPr>
                <w:sz w:val="20"/>
                <w:szCs w:val="20"/>
                <w:color w:val="auto"/>
              </w:rPr>
            </w:pPr>
            <w:r>
              <w:rPr>
                <w:rFonts w:ascii="Times New Roman" w:cs="Times New Roman" w:eastAsia="Times New Roman" w:hAnsi="Times New Roman"/>
                <w:sz w:val="16"/>
                <w:szCs w:val="16"/>
                <w:color w:val="0000EE"/>
                <w:w w:val="96"/>
              </w:rPr>
              <w:t>SECTION 11.01</w:t>
            </w:r>
          </w:p>
        </w:tc>
        <w:tc>
          <w:tcPr>
            <w:tcW w:w="680" w:type="dxa"/>
            <w:vAlign w:val="bottom"/>
            <w:tcBorders>
              <w:right w:val="single" w:sz="8" w:color="EEEEEE"/>
            </w:tcBorders>
            <w:shd w:val="clear" w:color="auto" w:fill="EEEEEE"/>
          </w:tcPr>
          <w:p>
            <w:pPr>
              <w:spacing w:after="0"/>
              <w:rPr>
                <w:sz w:val="14"/>
                <w:szCs w:val="14"/>
                <w:color w:val="auto"/>
              </w:rPr>
            </w:pPr>
          </w:p>
        </w:tc>
        <w:tc>
          <w:tcPr>
            <w:tcW w:w="9080" w:type="dxa"/>
            <w:vAlign w:val="bottom"/>
            <w:gridSpan w:val="20"/>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Applicability of Article</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80" w:type="dxa"/>
            <w:vAlign w:val="bottom"/>
            <w:tcBorders>
              <w:right w:val="single" w:sz="8" w:color="0000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80" w:type="dxa"/>
            <w:vAlign w:val="bottom"/>
            <w:tcBorders>
              <w:right w:val="single" w:sz="8" w:color="EEEEEE"/>
            </w:tcBorders>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300" w:type="dxa"/>
            <w:vAlign w:val="bottom"/>
            <w:tcBorders>
              <w:left w:val="single" w:sz="8" w:color="EEEEEE"/>
              <w:righ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420" w:type="dxa"/>
            <w:vAlign w:val="bottom"/>
            <w:tcBorders>
              <w:left w:val="single" w:sz="8" w:color="EEEEEE"/>
              <w:right w:val="single" w:sz="8" w:color="EEEEEE"/>
            </w:tcBorders>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7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1320" w:type="dxa"/>
            <w:vAlign w:val="bottom"/>
            <w:gridSpan w:val="3"/>
          </w:tcPr>
          <w:p>
            <w:pPr>
              <w:ind w:left="260"/>
              <w:spacing w:after="0" w:line="154" w:lineRule="exact"/>
              <w:rPr>
                <w:sz w:val="20"/>
                <w:szCs w:val="20"/>
                <w:color w:val="auto"/>
              </w:rPr>
            </w:pPr>
            <w:r>
              <w:rPr>
                <w:rFonts w:ascii="Times New Roman" w:cs="Times New Roman" w:eastAsia="Times New Roman" w:hAnsi="Times New Roman"/>
                <w:sz w:val="16"/>
                <w:szCs w:val="16"/>
                <w:color w:val="0000EE"/>
                <w:w w:val="96"/>
              </w:rPr>
              <w:t>SECTION 11.02</w:t>
            </w:r>
          </w:p>
        </w:tc>
        <w:tc>
          <w:tcPr>
            <w:tcW w:w="680" w:type="dxa"/>
            <w:vAlign w:val="bottom"/>
          </w:tcPr>
          <w:p>
            <w:pPr>
              <w:spacing w:after="0"/>
              <w:rPr>
                <w:sz w:val="13"/>
                <w:szCs w:val="13"/>
                <w:color w:val="auto"/>
              </w:rPr>
            </w:pPr>
          </w:p>
        </w:tc>
        <w:tc>
          <w:tcPr>
            <w:tcW w:w="9080" w:type="dxa"/>
            <w:vAlign w:val="bottom"/>
            <w:gridSpan w:val="20"/>
          </w:tcPr>
          <w:p>
            <w:pPr>
              <w:spacing w:after="0" w:line="154" w:lineRule="exact"/>
              <w:rPr>
                <w:sz w:val="20"/>
                <w:szCs w:val="20"/>
                <w:color w:val="auto"/>
              </w:rPr>
            </w:pPr>
            <w:r>
              <w:rPr>
                <w:rFonts w:ascii="Times New Roman" w:cs="Times New Roman" w:eastAsia="Times New Roman" w:hAnsi="Times New Roman"/>
                <w:sz w:val="16"/>
                <w:szCs w:val="16"/>
                <w:color w:val="0000EE"/>
              </w:rPr>
              <w:t>Election to Redeem; Notice to Trustees</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320" w:type="dxa"/>
            <w:vAlign w:val="bottom"/>
            <w:gridSpan w:val="3"/>
            <w:shd w:val="clear" w:color="auto" w:fill="EEEEEE"/>
          </w:tcPr>
          <w:p>
            <w:pPr>
              <w:ind w:left="260"/>
              <w:spacing w:after="0" w:line="169" w:lineRule="exact"/>
              <w:rPr>
                <w:sz w:val="20"/>
                <w:szCs w:val="20"/>
                <w:color w:val="auto"/>
              </w:rPr>
            </w:pPr>
            <w:r>
              <w:rPr>
                <w:rFonts w:ascii="Times New Roman" w:cs="Times New Roman" w:eastAsia="Times New Roman" w:hAnsi="Times New Roman"/>
                <w:sz w:val="16"/>
                <w:szCs w:val="16"/>
                <w:color w:val="0000EE"/>
                <w:w w:val="96"/>
              </w:rPr>
              <w:t>SECTION 11.03</w:t>
            </w:r>
          </w:p>
        </w:tc>
        <w:tc>
          <w:tcPr>
            <w:tcW w:w="680" w:type="dxa"/>
            <w:vAlign w:val="bottom"/>
            <w:tcBorders>
              <w:right w:val="single" w:sz="8" w:color="EEEEEE"/>
            </w:tcBorders>
            <w:shd w:val="clear" w:color="auto" w:fill="EEEEEE"/>
          </w:tcPr>
          <w:p>
            <w:pPr>
              <w:spacing w:after="0"/>
              <w:rPr>
                <w:sz w:val="14"/>
                <w:szCs w:val="14"/>
                <w:color w:val="auto"/>
              </w:rPr>
            </w:pPr>
          </w:p>
        </w:tc>
        <w:tc>
          <w:tcPr>
            <w:tcW w:w="9080" w:type="dxa"/>
            <w:vAlign w:val="bottom"/>
            <w:gridSpan w:val="20"/>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Selection by Trustees of Securities to Be Redeemed</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80" w:type="dxa"/>
            <w:vAlign w:val="bottom"/>
            <w:tcBorders>
              <w:right w:val="single" w:sz="8" w:color="0000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30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420" w:type="dxa"/>
            <w:vAlign w:val="bottom"/>
            <w:tcBorders>
              <w:left w:val="single" w:sz="8" w:color="0000EE"/>
              <w:righ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7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1320" w:type="dxa"/>
            <w:vAlign w:val="bottom"/>
            <w:gridSpan w:val="3"/>
          </w:tcPr>
          <w:p>
            <w:pPr>
              <w:ind w:left="260"/>
              <w:spacing w:after="0" w:line="154" w:lineRule="exact"/>
              <w:rPr>
                <w:sz w:val="20"/>
                <w:szCs w:val="20"/>
                <w:color w:val="auto"/>
              </w:rPr>
            </w:pPr>
            <w:r>
              <w:rPr>
                <w:rFonts w:ascii="Times New Roman" w:cs="Times New Roman" w:eastAsia="Times New Roman" w:hAnsi="Times New Roman"/>
                <w:sz w:val="16"/>
                <w:szCs w:val="16"/>
                <w:color w:val="0000EE"/>
                <w:w w:val="96"/>
              </w:rPr>
              <w:t>SECTION 11.04</w:t>
            </w:r>
          </w:p>
        </w:tc>
        <w:tc>
          <w:tcPr>
            <w:tcW w:w="680" w:type="dxa"/>
            <w:vAlign w:val="bottom"/>
          </w:tcPr>
          <w:p>
            <w:pPr>
              <w:spacing w:after="0"/>
              <w:rPr>
                <w:sz w:val="13"/>
                <w:szCs w:val="13"/>
                <w:color w:val="auto"/>
              </w:rPr>
            </w:pPr>
          </w:p>
        </w:tc>
        <w:tc>
          <w:tcPr>
            <w:tcW w:w="9080" w:type="dxa"/>
            <w:vAlign w:val="bottom"/>
            <w:gridSpan w:val="20"/>
          </w:tcPr>
          <w:p>
            <w:pPr>
              <w:spacing w:after="0" w:line="154" w:lineRule="exact"/>
              <w:rPr>
                <w:sz w:val="20"/>
                <w:szCs w:val="20"/>
                <w:color w:val="auto"/>
              </w:rPr>
            </w:pPr>
            <w:r>
              <w:rPr>
                <w:rFonts w:ascii="Times New Roman" w:cs="Times New Roman" w:eastAsia="Times New Roman" w:hAnsi="Times New Roman"/>
                <w:sz w:val="16"/>
                <w:szCs w:val="16"/>
                <w:color w:val="0000EE"/>
              </w:rPr>
              <w:t>Notice of Redemption</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320" w:type="dxa"/>
            <w:vAlign w:val="bottom"/>
            <w:gridSpan w:val="3"/>
            <w:shd w:val="clear" w:color="auto" w:fill="EEEEEE"/>
          </w:tcPr>
          <w:p>
            <w:pPr>
              <w:ind w:left="260"/>
              <w:spacing w:after="0" w:line="169" w:lineRule="exact"/>
              <w:rPr>
                <w:sz w:val="20"/>
                <w:szCs w:val="20"/>
                <w:color w:val="auto"/>
              </w:rPr>
            </w:pPr>
            <w:r>
              <w:rPr>
                <w:rFonts w:ascii="Times New Roman" w:cs="Times New Roman" w:eastAsia="Times New Roman" w:hAnsi="Times New Roman"/>
                <w:sz w:val="16"/>
                <w:szCs w:val="16"/>
                <w:color w:val="0000EE"/>
                <w:w w:val="96"/>
              </w:rPr>
              <w:t>SECTION 11.05</w:t>
            </w:r>
          </w:p>
        </w:tc>
        <w:tc>
          <w:tcPr>
            <w:tcW w:w="680" w:type="dxa"/>
            <w:vAlign w:val="bottom"/>
            <w:tcBorders>
              <w:right w:val="single" w:sz="8" w:color="EEEEEE"/>
            </w:tcBorders>
            <w:shd w:val="clear" w:color="auto" w:fill="EEEEEE"/>
          </w:tcPr>
          <w:p>
            <w:pPr>
              <w:spacing w:after="0"/>
              <w:rPr>
                <w:sz w:val="14"/>
                <w:szCs w:val="14"/>
                <w:color w:val="auto"/>
              </w:rPr>
            </w:pPr>
          </w:p>
        </w:tc>
        <w:tc>
          <w:tcPr>
            <w:tcW w:w="9080" w:type="dxa"/>
            <w:vAlign w:val="bottom"/>
            <w:gridSpan w:val="20"/>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Deposit of Redemption Price</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80" w:type="dxa"/>
            <w:vAlign w:val="bottom"/>
            <w:tcBorders>
              <w:right w:val="single" w:sz="8" w:color="0000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300" w:type="dxa"/>
            <w:vAlign w:val="bottom"/>
            <w:tcBorders>
              <w:left w:val="single" w:sz="8" w:color="EEEEEE"/>
              <w:righ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420" w:type="dxa"/>
            <w:vAlign w:val="bottom"/>
            <w:tcBorders>
              <w:left w:val="single" w:sz="8" w:color="EEEEEE"/>
              <w:right w:val="single" w:sz="8" w:color="EEEEEE"/>
            </w:tcBorders>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7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1320" w:type="dxa"/>
            <w:vAlign w:val="bottom"/>
            <w:gridSpan w:val="3"/>
          </w:tcPr>
          <w:p>
            <w:pPr>
              <w:ind w:left="260"/>
              <w:spacing w:after="0" w:line="154" w:lineRule="exact"/>
              <w:rPr>
                <w:sz w:val="20"/>
                <w:szCs w:val="20"/>
                <w:color w:val="auto"/>
              </w:rPr>
            </w:pPr>
            <w:r>
              <w:rPr>
                <w:rFonts w:ascii="Times New Roman" w:cs="Times New Roman" w:eastAsia="Times New Roman" w:hAnsi="Times New Roman"/>
                <w:sz w:val="16"/>
                <w:szCs w:val="16"/>
                <w:color w:val="0000EE"/>
                <w:w w:val="96"/>
              </w:rPr>
              <w:t>SECTION 11.06</w:t>
            </w:r>
          </w:p>
        </w:tc>
        <w:tc>
          <w:tcPr>
            <w:tcW w:w="680" w:type="dxa"/>
            <w:vAlign w:val="bottom"/>
          </w:tcPr>
          <w:p>
            <w:pPr>
              <w:spacing w:after="0"/>
              <w:rPr>
                <w:sz w:val="13"/>
                <w:szCs w:val="13"/>
                <w:color w:val="auto"/>
              </w:rPr>
            </w:pPr>
          </w:p>
        </w:tc>
        <w:tc>
          <w:tcPr>
            <w:tcW w:w="9080" w:type="dxa"/>
            <w:vAlign w:val="bottom"/>
            <w:gridSpan w:val="20"/>
          </w:tcPr>
          <w:p>
            <w:pPr>
              <w:spacing w:after="0" w:line="154" w:lineRule="exact"/>
              <w:rPr>
                <w:sz w:val="20"/>
                <w:szCs w:val="20"/>
                <w:color w:val="auto"/>
              </w:rPr>
            </w:pPr>
            <w:r>
              <w:rPr>
                <w:rFonts w:ascii="Times New Roman" w:cs="Times New Roman" w:eastAsia="Times New Roman" w:hAnsi="Times New Roman"/>
                <w:sz w:val="16"/>
                <w:szCs w:val="16"/>
                <w:color w:val="0000EE"/>
              </w:rPr>
              <w:t>Securities Payable on Redemption Date</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320" w:type="dxa"/>
            <w:vAlign w:val="bottom"/>
            <w:gridSpan w:val="3"/>
            <w:shd w:val="clear" w:color="auto" w:fill="EEEEEE"/>
          </w:tcPr>
          <w:p>
            <w:pPr>
              <w:ind w:left="260"/>
              <w:spacing w:after="0" w:line="169" w:lineRule="exact"/>
              <w:rPr>
                <w:sz w:val="20"/>
                <w:szCs w:val="20"/>
                <w:color w:val="auto"/>
              </w:rPr>
            </w:pPr>
            <w:r>
              <w:rPr>
                <w:rFonts w:ascii="Times New Roman" w:cs="Times New Roman" w:eastAsia="Times New Roman" w:hAnsi="Times New Roman"/>
                <w:sz w:val="16"/>
                <w:szCs w:val="16"/>
                <w:color w:val="0000EE"/>
                <w:w w:val="96"/>
              </w:rPr>
              <w:t>SECTION 11.07</w:t>
            </w:r>
          </w:p>
        </w:tc>
        <w:tc>
          <w:tcPr>
            <w:tcW w:w="680" w:type="dxa"/>
            <w:vAlign w:val="bottom"/>
            <w:tcBorders>
              <w:right w:val="single" w:sz="8" w:color="EEEEEE"/>
            </w:tcBorders>
            <w:shd w:val="clear" w:color="auto" w:fill="EEEEEE"/>
          </w:tcPr>
          <w:p>
            <w:pPr>
              <w:spacing w:after="0"/>
              <w:rPr>
                <w:sz w:val="16"/>
                <w:szCs w:val="16"/>
                <w:color w:val="auto"/>
              </w:rPr>
            </w:pPr>
          </w:p>
        </w:tc>
        <w:tc>
          <w:tcPr>
            <w:tcW w:w="9080" w:type="dxa"/>
            <w:vAlign w:val="bottom"/>
            <w:gridSpan w:val="20"/>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Securities Redeemed in Part</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60" w:type="dxa"/>
            <w:vAlign w:val="bottom"/>
            <w:tcBorders>
              <w:top w:val="single" w:sz="8" w:color="EEEEEE"/>
            </w:tcBorders>
          </w:tcPr>
          <w:p>
            <w:pPr>
              <w:spacing w:after="0"/>
              <w:rPr>
                <w:sz w:val="16"/>
                <w:szCs w:val="16"/>
                <w:color w:val="auto"/>
              </w:rPr>
            </w:pPr>
          </w:p>
        </w:tc>
        <w:tc>
          <w:tcPr>
            <w:tcW w:w="9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8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30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42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160" w:type="dxa"/>
            <w:vAlign w:val="bottom"/>
            <w:tcBorders>
              <w:top w:val="single" w:sz="8" w:color="EEEEEE"/>
            </w:tcBorders>
          </w:tcPr>
          <w:p>
            <w:pPr>
              <w:spacing w:after="0"/>
              <w:rPr>
                <w:sz w:val="16"/>
                <w:szCs w:val="16"/>
                <w:color w:val="auto"/>
              </w:rPr>
            </w:pPr>
          </w:p>
        </w:tc>
        <w:tc>
          <w:tcPr>
            <w:tcW w:w="740" w:type="dxa"/>
            <w:vAlign w:val="bottom"/>
            <w:tcBorders>
              <w:top w:val="single" w:sz="8" w:color="EEEE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4700" w:type="dxa"/>
            <w:vAlign w:val="bottom"/>
            <w:tcBorders>
              <w:top w:val="single" w:sz="8" w:color="EEEE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700" w:type="dxa"/>
            <w:vAlign w:val="bottom"/>
            <w:tcBorders>
              <w:bottom w:val="single" w:sz="8" w:color="0000EE"/>
            </w:tcBorders>
            <w:gridSpan w:val="6"/>
            <w:shd w:val="clear" w:color="auto" w:fill="EEEEEE"/>
          </w:tcPr>
          <w:p>
            <w:pPr>
              <w:spacing w:after="0" w:line="154" w:lineRule="exact"/>
              <w:rPr>
                <w:sz w:val="20"/>
                <w:szCs w:val="20"/>
                <w:color w:val="auto"/>
              </w:rPr>
            </w:pPr>
            <w:r>
              <w:rPr>
                <w:rFonts w:ascii="Times New Roman" w:cs="Times New Roman" w:eastAsia="Times New Roman" w:hAnsi="Times New Roman"/>
                <w:sz w:val="16"/>
                <w:szCs w:val="16"/>
                <w:b w:val="1"/>
                <w:bCs w:val="1"/>
                <w:color w:val="0000EE"/>
                <w:w w:val="96"/>
              </w:rPr>
              <w:t>ARTICLE TWELVE SINKING FUNDS</w:t>
            </w:r>
          </w:p>
        </w:tc>
        <w:tc>
          <w:tcPr>
            <w:tcW w:w="8380" w:type="dxa"/>
            <w:vAlign w:val="bottom"/>
            <w:tcBorders>
              <w:bottom w:val="single" w:sz="8" w:color="EEEEEE"/>
            </w:tcBorders>
            <w:gridSpan w:val="18"/>
            <w:shd w:val="clear" w:color="auto" w:fill="EEEEEE"/>
          </w:tcPr>
          <w:p>
            <w:pPr>
              <w:spacing w:after="0"/>
              <w:rPr>
                <w:sz w:val="14"/>
                <w:szCs w:val="14"/>
                <w:color w:val="auto"/>
              </w:rPr>
            </w:pPr>
          </w:p>
        </w:tc>
        <w:tc>
          <w:tcPr>
            <w:tcW w:w="160" w:type="dxa"/>
            <w:vAlign w:val="bottom"/>
            <w:tcBorders>
              <w:bottom w:val="single" w:sz="8" w:color="0000EE"/>
            </w:tcBorders>
            <w:shd w:val="clear" w:color="auto" w:fill="EEEEEE"/>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65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320" w:type="dxa"/>
            <w:vAlign w:val="bottom"/>
            <w:gridSpan w:val="3"/>
          </w:tcPr>
          <w:p>
            <w:pPr>
              <w:ind w:left="260"/>
              <w:spacing w:after="0" w:line="154" w:lineRule="exact"/>
              <w:rPr>
                <w:sz w:val="20"/>
                <w:szCs w:val="20"/>
                <w:color w:val="auto"/>
              </w:rPr>
            </w:pPr>
            <w:r>
              <w:rPr>
                <w:rFonts w:ascii="Times New Roman" w:cs="Times New Roman" w:eastAsia="Times New Roman" w:hAnsi="Times New Roman"/>
                <w:sz w:val="16"/>
                <w:szCs w:val="16"/>
                <w:color w:val="0000EE"/>
                <w:w w:val="96"/>
              </w:rPr>
              <w:t>SECTION 12.01</w:t>
            </w:r>
          </w:p>
        </w:tc>
        <w:tc>
          <w:tcPr>
            <w:tcW w:w="680" w:type="dxa"/>
            <w:vAlign w:val="bottom"/>
          </w:tcPr>
          <w:p>
            <w:pPr>
              <w:spacing w:after="0"/>
              <w:rPr>
                <w:sz w:val="13"/>
                <w:szCs w:val="13"/>
                <w:color w:val="auto"/>
              </w:rPr>
            </w:pPr>
          </w:p>
        </w:tc>
        <w:tc>
          <w:tcPr>
            <w:tcW w:w="9080" w:type="dxa"/>
            <w:vAlign w:val="bottom"/>
            <w:gridSpan w:val="20"/>
          </w:tcPr>
          <w:p>
            <w:pPr>
              <w:spacing w:after="0" w:line="154" w:lineRule="exact"/>
              <w:rPr>
                <w:sz w:val="20"/>
                <w:szCs w:val="20"/>
                <w:color w:val="auto"/>
              </w:rPr>
            </w:pPr>
            <w:r>
              <w:rPr>
                <w:rFonts w:ascii="Times New Roman" w:cs="Times New Roman" w:eastAsia="Times New Roman" w:hAnsi="Times New Roman"/>
                <w:sz w:val="16"/>
                <w:szCs w:val="16"/>
                <w:color w:val="0000EE"/>
              </w:rPr>
              <w:t>Applicability of Article</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320" w:type="dxa"/>
            <w:vAlign w:val="bottom"/>
            <w:gridSpan w:val="3"/>
            <w:shd w:val="clear" w:color="auto" w:fill="EEEEEE"/>
          </w:tcPr>
          <w:p>
            <w:pPr>
              <w:ind w:left="260"/>
              <w:spacing w:after="0" w:line="169" w:lineRule="exact"/>
              <w:rPr>
                <w:sz w:val="20"/>
                <w:szCs w:val="20"/>
                <w:color w:val="auto"/>
              </w:rPr>
            </w:pPr>
            <w:r>
              <w:rPr>
                <w:rFonts w:ascii="Times New Roman" w:cs="Times New Roman" w:eastAsia="Times New Roman" w:hAnsi="Times New Roman"/>
                <w:sz w:val="16"/>
                <w:szCs w:val="16"/>
                <w:color w:val="0000EE"/>
                <w:w w:val="96"/>
              </w:rPr>
              <w:t>SECTION 12.02</w:t>
            </w:r>
          </w:p>
        </w:tc>
        <w:tc>
          <w:tcPr>
            <w:tcW w:w="680" w:type="dxa"/>
            <w:vAlign w:val="bottom"/>
            <w:tcBorders>
              <w:right w:val="single" w:sz="8" w:color="EEEEEE"/>
            </w:tcBorders>
            <w:shd w:val="clear" w:color="auto" w:fill="EEEEEE"/>
          </w:tcPr>
          <w:p>
            <w:pPr>
              <w:spacing w:after="0"/>
              <w:rPr>
                <w:sz w:val="14"/>
                <w:szCs w:val="14"/>
                <w:color w:val="auto"/>
              </w:rPr>
            </w:pPr>
          </w:p>
        </w:tc>
        <w:tc>
          <w:tcPr>
            <w:tcW w:w="9080" w:type="dxa"/>
            <w:vAlign w:val="bottom"/>
            <w:gridSpan w:val="20"/>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Satisfaction of Sinking Fund Payments with Securities</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80" w:type="dxa"/>
            <w:vAlign w:val="bottom"/>
            <w:tcBorders>
              <w:right w:val="single" w:sz="8" w:color="0000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30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420" w:type="dxa"/>
            <w:vAlign w:val="bottom"/>
            <w:tcBorders>
              <w:left w:val="single" w:sz="8" w:color="0000EE"/>
              <w:righ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7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gridSpan w:val="3"/>
          </w:tcPr>
          <w:p>
            <w:pPr>
              <w:ind w:left="260"/>
              <w:spacing w:after="0" w:line="154" w:lineRule="exact"/>
              <w:rPr>
                <w:sz w:val="20"/>
                <w:szCs w:val="20"/>
                <w:color w:val="auto"/>
              </w:rPr>
            </w:pPr>
            <w:r>
              <w:rPr>
                <w:rFonts w:ascii="Times New Roman" w:cs="Times New Roman" w:eastAsia="Times New Roman" w:hAnsi="Times New Roman"/>
                <w:sz w:val="16"/>
                <w:szCs w:val="16"/>
                <w:color w:val="0000EE"/>
                <w:w w:val="96"/>
              </w:rPr>
              <w:t>SECTION 12.03</w:t>
            </w:r>
          </w:p>
        </w:tc>
        <w:tc>
          <w:tcPr>
            <w:tcW w:w="680" w:type="dxa"/>
            <w:vAlign w:val="bottom"/>
          </w:tcPr>
          <w:p>
            <w:pPr>
              <w:spacing w:after="0"/>
              <w:rPr>
                <w:sz w:val="14"/>
                <w:szCs w:val="14"/>
                <w:color w:val="auto"/>
              </w:rPr>
            </w:pPr>
          </w:p>
        </w:tc>
        <w:tc>
          <w:tcPr>
            <w:tcW w:w="9080" w:type="dxa"/>
            <w:vAlign w:val="bottom"/>
            <w:gridSpan w:val="20"/>
          </w:tcPr>
          <w:p>
            <w:pPr>
              <w:spacing w:after="0" w:line="154" w:lineRule="exact"/>
              <w:rPr>
                <w:sz w:val="20"/>
                <w:szCs w:val="20"/>
                <w:color w:val="auto"/>
              </w:rPr>
            </w:pPr>
            <w:r>
              <w:rPr>
                <w:rFonts w:ascii="Times New Roman" w:cs="Times New Roman" w:eastAsia="Times New Roman" w:hAnsi="Times New Roman"/>
                <w:sz w:val="16"/>
                <w:szCs w:val="16"/>
                <w:color w:val="0000EE"/>
              </w:rPr>
              <w:t>Redemption of Securities for Sinking Fund</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980" w:type="dxa"/>
            <w:vAlign w:val="bottom"/>
            <w:tcBorders>
              <w:top w:val="single" w:sz="8" w:color="0000EE"/>
            </w:tcBorders>
            <w:shd w:val="clear" w:color="auto" w:fill="EEEEEE"/>
          </w:tcPr>
          <w:p>
            <w:pPr>
              <w:spacing w:after="0"/>
              <w:rPr>
                <w:sz w:val="17"/>
                <w:szCs w:val="17"/>
                <w:color w:val="auto"/>
              </w:rPr>
            </w:pPr>
          </w:p>
        </w:tc>
        <w:tc>
          <w:tcPr>
            <w:tcW w:w="80" w:type="dxa"/>
            <w:vAlign w:val="bottom"/>
            <w:tcBorders>
              <w:top w:val="single" w:sz="8" w:color="0000EE"/>
            </w:tcBorders>
            <w:shd w:val="clear" w:color="auto" w:fill="EEEEEE"/>
          </w:tcPr>
          <w:p>
            <w:pPr>
              <w:spacing w:after="0"/>
              <w:rPr>
                <w:sz w:val="17"/>
                <w:szCs w:val="17"/>
                <w:color w:val="auto"/>
              </w:rPr>
            </w:pPr>
          </w:p>
        </w:tc>
        <w:tc>
          <w:tcPr>
            <w:tcW w:w="680" w:type="dxa"/>
            <w:vAlign w:val="bottom"/>
            <w:tcBorders>
              <w:right w:val="single" w:sz="8" w:color="EEEEEE"/>
            </w:tcBorders>
            <w:shd w:val="clear" w:color="auto" w:fill="EEEEEE"/>
          </w:tcPr>
          <w:p>
            <w:pPr>
              <w:spacing w:after="0"/>
              <w:rPr>
                <w:sz w:val="17"/>
                <w:szCs w:val="17"/>
                <w:color w:val="auto"/>
              </w:rPr>
            </w:pPr>
          </w:p>
        </w:tc>
        <w:tc>
          <w:tcPr>
            <w:tcW w:w="80" w:type="dxa"/>
            <w:vAlign w:val="bottom"/>
            <w:tcBorders>
              <w:top w:val="single" w:sz="8" w:color="0000EE"/>
            </w:tcBorders>
            <w:shd w:val="clear" w:color="auto" w:fill="EEEEEE"/>
          </w:tcPr>
          <w:p>
            <w:pPr>
              <w:spacing w:after="0"/>
              <w:rPr>
                <w:sz w:val="17"/>
                <w:szCs w:val="17"/>
                <w:color w:val="auto"/>
              </w:rPr>
            </w:pPr>
          </w:p>
        </w:tc>
        <w:tc>
          <w:tcPr>
            <w:tcW w:w="620" w:type="dxa"/>
            <w:vAlign w:val="bottom"/>
            <w:tcBorders>
              <w:top w:val="single" w:sz="8" w:color="0000EE"/>
            </w:tcBorders>
            <w:shd w:val="clear" w:color="auto" w:fill="EEEEEE"/>
          </w:tcPr>
          <w:p>
            <w:pPr>
              <w:spacing w:after="0"/>
              <w:rPr>
                <w:sz w:val="17"/>
                <w:szCs w:val="17"/>
                <w:color w:val="auto"/>
              </w:rPr>
            </w:pPr>
          </w:p>
        </w:tc>
        <w:tc>
          <w:tcPr>
            <w:tcW w:w="480" w:type="dxa"/>
            <w:vAlign w:val="bottom"/>
            <w:tcBorders>
              <w:top w:val="single" w:sz="8" w:color="0000EE"/>
            </w:tcBorders>
            <w:shd w:val="clear" w:color="auto" w:fill="EEEEEE"/>
          </w:tcPr>
          <w:p>
            <w:pPr>
              <w:spacing w:after="0"/>
              <w:rPr>
                <w:sz w:val="17"/>
                <w:szCs w:val="17"/>
                <w:color w:val="auto"/>
              </w:rPr>
            </w:pPr>
          </w:p>
        </w:tc>
        <w:tc>
          <w:tcPr>
            <w:tcW w:w="80" w:type="dxa"/>
            <w:vAlign w:val="bottom"/>
            <w:tcBorders>
              <w:top w:val="single" w:sz="8" w:color="0000EE"/>
            </w:tcBorders>
            <w:shd w:val="clear" w:color="auto" w:fill="EEEEEE"/>
          </w:tcPr>
          <w:p>
            <w:pPr>
              <w:spacing w:after="0"/>
              <w:rPr>
                <w:sz w:val="17"/>
                <w:szCs w:val="17"/>
                <w:color w:val="auto"/>
              </w:rPr>
            </w:pPr>
          </w:p>
        </w:tc>
        <w:tc>
          <w:tcPr>
            <w:tcW w:w="120" w:type="dxa"/>
            <w:vAlign w:val="bottom"/>
            <w:tcBorders>
              <w:top w:val="single" w:sz="8" w:color="0000EE"/>
            </w:tcBorders>
            <w:shd w:val="clear" w:color="auto" w:fill="EEEEEE"/>
          </w:tcPr>
          <w:p>
            <w:pPr>
              <w:spacing w:after="0"/>
              <w:rPr>
                <w:sz w:val="17"/>
                <w:szCs w:val="17"/>
                <w:color w:val="auto"/>
              </w:rPr>
            </w:pPr>
          </w:p>
        </w:tc>
        <w:tc>
          <w:tcPr>
            <w:tcW w:w="80" w:type="dxa"/>
            <w:vAlign w:val="bottom"/>
            <w:tcBorders>
              <w:top w:val="single" w:sz="8" w:color="0000EE"/>
            </w:tcBorders>
            <w:shd w:val="clear" w:color="auto" w:fill="EEEEEE"/>
          </w:tcPr>
          <w:p>
            <w:pPr>
              <w:spacing w:after="0"/>
              <w:rPr>
                <w:sz w:val="17"/>
                <w:szCs w:val="17"/>
                <w:color w:val="auto"/>
              </w:rPr>
            </w:pPr>
          </w:p>
        </w:tc>
        <w:tc>
          <w:tcPr>
            <w:tcW w:w="80" w:type="dxa"/>
            <w:vAlign w:val="bottom"/>
            <w:tcBorders>
              <w:top w:val="single" w:sz="8" w:color="0000EE"/>
              <w:left w:val="single" w:sz="8" w:color="EEEEEE"/>
            </w:tcBorders>
            <w:shd w:val="clear" w:color="auto" w:fill="EEEEEE"/>
          </w:tcPr>
          <w:p>
            <w:pPr>
              <w:spacing w:after="0"/>
              <w:rPr>
                <w:sz w:val="17"/>
                <w:szCs w:val="17"/>
                <w:color w:val="auto"/>
              </w:rPr>
            </w:pPr>
          </w:p>
        </w:tc>
        <w:tc>
          <w:tcPr>
            <w:tcW w:w="20" w:type="dxa"/>
            <w:vAlign w:val="bottom"/>
            <w:tcBorders>
              <w:top w:val="single" w:sz="8" w:color="0000EE"/>
            </w:tcBorders>
            <w:shd w:val="clear" w:color="auto" w:fill="EEEEEE"/>
          </w:tcPr>
          <w:p>
            <w:pPr>
              <w:spacing w:after="0"/>
              <w:rPr>
                <w:sz w:val="17"/>
                <w:szCs w:val="17"/>
                <w:color w:val="auto"/>
              </w:rPr>
            </w:pPr>
          </w:p>
        </w:tc>
        <w:tc>
          <w:tcPr>
            <w:tcW w:w="280" w:type="dxa"/>
            <w:vAlign w:val="bottom"/>
            <w:tcBorders>
              <w:top w:val="single" w:sz="8" w:color="0000EE"/>
              <w:right w:val="single" w:sz="8" w:color="EEEEEE"/>
            </w:tcBorders>
            <w:shd w:val="clear" w:color="auto" w:fill="EEEEEE"/>
          </w:tcPr>
          <w:p>
            <w:pPr>
              <w:spacing w:after="0"/>
              <w:rPr>
                <w:sz w:val="17"/>
                <w:szCs w:val="17"/>
                <w:color w:val="auto"/>
              </w:rPr>
            </w:pPr>
          </w:p>
        </w:tc>
        <w:tc>
          <w:tcPr>
            <w:tcW w:w="320" w:type="dxa"/>
            <w:vAlign w:val="bottom"/>
            <w:tcBorders>
              <w:top w:val="single" w:sz="8" w:color="0000EE"/>
              <w:right w:val="single" w:sz="8" w:color="EEEEEE"/>
            </w:tcBorders>
            <w:shd w:val="clear" w:color="auto" w:fill="EEEEEE"/>
          </w:tcPr>
          <w:p>
            <w:pPr>
              <w:spacing w:after="0"/>
              <w:rPr>
                <w:sz w:val="17"/>
                <w:szCs w:val="17"/>
                <w:color w:val="auto"/>
              </w:rPr>
            </w:pPr>
          </w:p>
        </w:tc>
        <w:tc>
          <w:tcPr>
            <w:tcW w:w="300" w:type="dxa"/>
            <w:vAlign w:val="bottom"/>
            <w:tcBorders>
              <w:top w:val="single" w:sz="8" w:color="0000EE"/>
              <w:left w:val="single" w:sz="8" w:color="EEEEEE"/>
              <w:right w:val="single" w:sz="8" w:color="EEEEEE"/>
            </w:tcBorders>
            <w:shd w:val="clear" w:color="auto" w:fill="EEEEEE"/>
          </w:tcPr>
          <w:p>
            <w:pPr>
              <w:spacing w:after="0"/>
              <w:rPr>
                <w:sz w:val="17"/>
                <w:szCs w:val="17"/>
                <w:color w:val="auto"/>
              </w:rPr>
            </w:pPr>
          </w:p>
        </w:tc>
        <w:tc>
          <w:tcPr>
            <w:tcW w:w="100" w:type="dxa"/>
            <w:vAlign w:val="bottom"/>
            <w:tcBorders>
              <w:top w:val="single" w:sz="8" w:color="0000EE"/>
              <w:left w:val="single" w:sz="8" w:color="EEEEEE"/>
            </w:tcBorders>
            <w:shd w:val="clear" w:color="auto" w:fill="EEEEEE"/>
          </w:tcPr>
          <w:p>
            <w:pPr>
              <w:spacing w:after="0"/>
              <w:rPr>
                <w:sz w:val="17"/>
                <w:szCs w:val="17"/>
                <w:color w:val="auto"/>
              </w:rPr>
            </w:pPr>
          </w:p>
        </w:tc>
        <w:tc>
          <w:tcPr>
            <w:tcW w:w="180" w:type="dxa"/>
            <w:vAlign w:val="bottom"/>
            <w:tcBorders>
              <w:top w:val="single" w:sz="8" w:color="0000EE"/>
              <w:right w:val="single" w:sz="8" w:color="EEEEEE"/>
            </w:tcBorders>
            <w:shd w:val="clear" w:color="auto" w:fill="EEEEEE"/>
          </w:tcPr>
          <w:p>
            <w:pPr>
              <w:spacing w:after="0"/>
              <w:rPr>
                <w:sz w:val="17"/>
                <w:szCs w:val="17"/>
                <w:color w:val="auto"/>
              </w:rPr>
            </w:pPr>
          </w:p>
        </w:tc>
        <w:tc>
          <w:tcPr>
            <w:tcW w:w="420" w:type="dxa"/>
            <w:vAlign w:val="bottom"/>
            <w:tcBorders>
              <w:left w:val="single" w:sz="8" w:color="EEEEEE"/>
              <w:right w:val="single" w:sz="8" w:color="EEEEEE"/>
            </w:tcBorders>
            <w:shd w:val="clear" w:color="auto" w:fill="EEEEEE"/>
          </w:tcPr>
          <w:p>
            <w:pPr>
              <w:spacing w:after="0"/>
              <w:rPr>
                <w:sz w:val="17"/>
                <w:szCs w:val="17"/>
                <w:color w:val="auto"/>
              </w:rPr>
            </w:pPr>
          </w:p>
        </w:tc>
        <w:tc>
          <w:tcPr>
            <w:tcW w:w="80" w:type="dxa"/>
            <w:vAlign w:val="bottom"/>
            <w:tcBorders>
              <w:left w:val="single" w:sz="8" w:color="EEEEEE"/>
            </w:tcBorders>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4700" w:type="dxa"/>
            <w:vAlign w:val="bottom"/>
            <w:shd w:val="clear" w:color="auto" w:fill="EEEEEE"/>
          </w:tcPr>
          <w:p>
            <w:pPr>
              <w:spacing w:after="0"/>
              <w:rPr>
                <w:sz w:val="17"/>
                <w:szCs w:val="17"/>
                <w:color w:val="auto"/>
              </w:rPr>
            </w:pPr>
          </w:p>
        </w:tc>
        <w:tc>
          <w:tcPr>
            <w:tcW w:w="160" w:type="dxa"/>
            <w:vAlign w:val="bottom"/>
            <w:tcBorders>
              <w:top w:val="single" w:sz="8" w:color="0000EE"/>
            </w:tcBorders>
            <w:shd w:val="clear" w:color="auto" w:fill="EEEEEE"/>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560" w:type="dxa"/>
            <w:vAlign w:val="bottom"/>
            <w:tcBorders>
              <w:bottom w:val="single" w:sz="8" w:color="0000EE"/>
            </w:tcBorders>
            <w:gridSpan w:val="16"/>
          </w:tcPr>
          <w:p>
            <w:pPr>
              <w:spacing w:after="0" w:line="154" w:lineRule="exact"/>
              <w:rPr>
                <w:sz w:val="20"/>
                <w:szCs w:val="20"/>
                <w:color w:val="auto"/>
              </w:rPr>
            </w:pPr>
            <w:r>
              <w:rPr>
                <w:rFonts w:ascii="Times New Roman" w:cs="Times New Roman" w:eastAsia="Times New Roman" w:hAnsi="Times New Roman"/>
                <w:sz w:val="16"/>
                <w:szCs w:val="16"/>
                <w:b w:val="1"/>
                <w:bCs w:val="1"/>
                <w:color w:val="0000EE"/>
                <w:w w:val="96"/>
              </w:rPr>
              <w:t>ARTICLE THIRTEEN REPAYMENT AT OPTION OF HOLDERS</w:t>
            </w:r>
          </w:p>
        </w:tc>
        <w:tc>
          <w:tcPr>
            <w:tcW w:w="6520" w:type="dxa"/>
            <w:vAlign w:val="bottom"/>
            <w:gridSpan w:val="8"/>
          </w:tcPr>
          <w:p>
            <w:pPr>
              <w:spacing w:after="0"/>
              <w:rPr>
                <w:sz w:val="13"/>
                <w:szCs w:val="13"/>
                <w:color w:val="auto"/>
              </w:rPr>
            </w:pPr>
          </w:p>
        </w:tc>
        <w:tc>
          <w:tcPr>
            <w:tcW w:w="160" w:type="dxa"/>
            <w:vAlign w:val="bottom"/>
            <w:tcBorders>
              <w:bottom w:val="single" w:sz="8" w:color="0000EE"/>
            </w:tcBorders>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66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320" w:type="dxa"/>
            <w:vAlign w:val="bottom"/>
            <w:gridSpan w:val="3"/>
            <w:shd w:val="clear" w:color="auto" w:fill="EEEEEE"/>
          </w:tcPr>
          <w:p>
            <w:pPr>
              <w:ind w:left="260"/>
              <w:spacing w:after="0" w:line="169" w:lineRule="exact"/>
              <w:rPr>
                <w:sz w:val="20"/>
                <w:szCs w:val="20"/>
                <w:color w:val="auto"/>
              </w:rPr>
            </w:pPr>
            <w:r>
              <w:rPr>
                <w:rFonts w:ascii="Times New Roman" w:cs="Times New Roman" w:eastAsia="Times New Roman" w:hAnsi="Times New Roman"/>
                <w:sz w:val="16"/>
                <w:szCs w:val="16"/>
                <w:color w:val="0000EE"/>
                <w:w w:val="96"/>
              </w:rPr>
              <w:t>SECTION 13.01</w:t>
            </w:r>
          </w:p>
        </w:tc>
        <w:tc>
          <w:tcPr>
            <w:tcW w:w="680" w:type="dxa"/>
            <w:vAlign w:val="bottom"/>
            <w:tcBorders>
              <w:right w:val="single" w:sz="8" w:color="EEEEEE"/>
            </w:tcBorders>
            <w:shd w:val="clear" w:color="auto" w:fill="EEEEEE"/>
          </w:tcPr>
          <w:p>
            <w:pPr>
              <w:spacing w:after="0"/>
              <w:rPr>
                <w:sz w:val="14"/>
                <w:szCs w:val="14"/>
                <w:color w:val="auto"/>
              </w:rPr>
            </w:pPr>
          </w:p>
        </w:tc>
        <w:tc>
          <w:tcPr>
            <w:tcW w:w="9080" w:type="dxa"/>
            <w:vAlign w:val="bottom"/>
            <w:gridSpan w:val="20"/>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Applicability of Article</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80" w:type="dxa"/>
            <w:vAlign w:val="bottom"/>
            <w:tcBorders>
              <w:right w:val="single" w:sz="8" w:color="0000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80" w:type="dxa"/>
            <w:vAlign w:val="bottom"/>
            <w:tcBorders>
              <w:right w:val="single" w:sz="8" w:color="EEEEEE"/>
            </w:tcBorders>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300" w:type="dxa"/>
            <w:vAlign w:val="bottom"/>
            <w:tcBorders>
              <w:left w:val="single" w:sz="8" w:color="EEEEEE"/>
              <w:righ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420" w:type="dxa"/>
            <w:vAlign w:val="bottom"/>
            <w:tcBorders>
              <w:left w:val="single" w:sz="8" w:color="EEEEEE"/>
              <w:right w:val="single" w:sz="8" w:color="EEEEEE"/>
            </w:tcBorders>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7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1320" w:type="dxa"/>
            <w:vAlign w:val="bottom"/>
            <w:gridSpan w:val="3"/>
          </w:tcPr>
          <w:p>
            <w:pPr>
              <w:ind w:left="260"/>
              <w:spacing w:after="0" w:line="154" w:lineRule="exact"/>
              <w:rPr>
                <w:sz w:val="20"/>
                <w:szCs w:val="20"/>
                <w:color w:val="auto"/>
              </w:rPr>
            </w:pPr>
            <w:r>
              <w:rPr>
                <w:rFonts w:ascii="Times New Roman" w:cs="Times New Roman" w:eastAsia="Times New Roman" w:hAnsi="Times New Roman"/>
                <w:sz w:val="16"/>
                <w:szCs w:val="16"/>
                <w:color w:val="0000EE"/>
                <w:w w:val="96"/>
              </w:rPr>
              <w:t>SECTION 13.02</w:t>
            </w:r>
          </w:p>
        </w:tc>
        <w:tc>
          <w:tcPr>
            <w:tcW w:w="680" w:type="dxa"/>
            <w:vAlign w:val="bottom"/>
          </w:tcPr>
          <w:p>
            <w:pPr>
              <w:spacing w:after="0"/>
              <w:rPr>
                <w:sz w:val="13"/>
                <w:szCs w:val="13"/>
                <w:color w:val="auto"/>
              </w:rPr>
            </w:pPr>
          </w:p>
        </w:tc>
        <w:tc>
          <w:tcPr>
            <w:tcW w:w="9080" w:type="dxa"/>
            <w:vAlign w:val="bottom"/>
            <w:gridSpan w:val="20"/>
          </w:tcPr>
          <w:p>
            <w:pPr>
              <w:spacing w:after="0" w:line="154" w:lineRule="exact"/>
              <w:rPr>
                <w:sz w:val="20"/>
                <w:szCs w:val="20"/>
                <w:color w:val="auto"/>
              </w:rPr>
            </w:pPr>
            <w:r>
              <w:rPr>
                <w:rFonts w:ascii="Times New Roman" w:cs="Times New Roman" w:eastAsia="Times New Roman" w:hAnsi="Times New Roman"/>
                <w:sz w:val="16"/>
                <w:szCs w:val="16"/>
                <w:color w:val="0000EE"/>
              </w:rPr>
              <w:t>Repayment of Securities</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320" w:type="dxa"/>
            <w:vAlign w:val="bottom"/>
            <w:gridSpan w:val="3"/>
            <w:shd w:val="clear" w:color="auto" w:fill="EEEEEE"/>
          </w:tcPr>
          <w:p>
            <w:pPr>
              <w:ind w:left="260"/>
              <w:spacing w:after="0" w:line="169" w:lineRule="exact"/>
              <w:rPr>
                <w:sz w:val="20"/>
                <w:szCs w:val="20"/>
                <w:color w:val="auto"/>
              </w:rPr>
            </w:pPr>
            <w:r>
              <w:rPr>
                <w:rFonts w:ascii="Times New Roman" w:cs="Times New Roman" w:eastAsia="Times New Roman" w:hAnsi="Times New Roman"/>
                <w:sz w:val="16"/>
                <w:szCs w:val="16"/>
                <w:color w:val="0000EE"/>
                <w:w w:val="96"/>
              </w:rPr>
              <w:t>SECTION 13.03</w:t>
            </w:r>
          </w:p>
        </w:tc>
        <w:tc>
          <w:tcPr>
            <w:tcW w:w="680" w:type="dxa"/>
            <w:vAlign w:val="bottom"/>
            <w:tcBorders>
              <w:right w:val="single" w:sz="8" w:color="EEEEEE"/>
            </w:tcBorders>
            <w:shd w:val="clear" w:color="auto" w:fill="EEEEEE"/>
          </w:tcPr>
          <w:p>
            <w:pPr>
              <w:spacing w:after="0"/>
              <w:rPr>
                <w:sz w:val="14"/>
                <w:szCs w:val="14"/>
                <w:color w:val="auto"/>
              </w:rPr>
            </w:pPr>
          </w:p>
        </w:tc>
        <w:tc>
          <w:tcPr>
            <w:tcW w:w="9080" w:type="dxa"/>
            <w:vAlign w:val="bottom"/>
            <w:gridSpan w:val="20"/>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Exercise of Option</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80" w:type="dxa"/>
            <w:vAlign w:val="bottom"/>
            <w:tcBorders>
              <w:right w:val="single" w:sz="8" w:color="0000EE"/>
            </w:tcBorders>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80" w:type="dxa"/>
            <w:vAlign w:val="bottom"/>
            <w:tcBorders>
              <w:right w:val="single" w:sz="8" w:color="EEEEEE"/>
            </w:tcBorders>
            <w:shd w:val="clear" w:color="auto" w:fill="EEEEEE"/>
          </w:tcPr>
          <w:p>
            <w:pPr>
              <w:spacing w:after="0"/>
              <w:rPr>
                <w:sz w:val="3"/>
                <w:szCs w:val="3"/>
                <w:color w:val="auto"/>
              </w:rPr>
            </w:pPr>
          </w:p>
        </w:tc>
        <w:tc>
          <w:tcPr>
            <w:tcW w:w="320" w:type="dxa"/>
            <w:vAlign w:val="bottom"/>
            <w:tcBorders>
              <w:right w:val="single" w:sz="8" w:color="EEEEEE"/>
            </w:tcBorders>
            <w:shd w:val="clear" w:color="auto" w:fill="EEEEEE"/>
          </w:tcPr>
          <w:p>
            <w:pPr>
              <w:spacing w:after="0"/>
              <w:rPr>
                <w:sz w:val="3"/>
                <w:szCs w:val="3"/>
                <w:color w:val="auto"/>
              </w:rPr>
            </w:pPr>
          </w:p>
        </w:tc>
        <w:tc>
          <w:tcPr>
            <w:tcW w:w="300" w:type="dxa"/>
            <w:vAlign w:val="bottom"/>
            <w:tcBorders>
              <w:left w:val="single" w:sz="8" w:color="EEEEEE"/>
              <w:right w:val="single" w:sz="8" w:color="EEEEEE"/>
            </w:tcBorders>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420" w:type="dxa"/>
            <w:vAlign w:val="bottom"/>
            <w:tcBorders>
              <w:left w:val="single" w:sz="8" w:color="EEEEEE"/>
              <w:right w:val="single" w:sz="8" w:color="EEEEEE"/>
            </w:tcBorders>
            <w:shd w:val="clear" w:color="auto" w:fill="EEEEEE"/>
          </w:tcPr>
          <w:p>
            <w:pPr>
              <w:spacing w:after="0"/>
              <w:rPr>
                <w:sz w:val="3"/>
                <w:szCs w:val="3"/>
                <w:color w:val="auto"/>
              </w:rPr>
            </w:pPr>
          </w:p>
        </w:tc>
        <w:tc>
          <w:tcPr>
            <w:tcW w:w="80" w:type="dxa"/>
            <w:vAlign w:val="bottom"/>
            <w:tcBorders>
              <w:left w:val="single" w:sz="8" w:color="EEEEEE"/>
            </w:tcBorders>
            <w:shd w:val="clear" w:color="auto" w:fill="EEEEEE"/>
          </w:tcPr>
          <w:p>
            <w:pPr>
              <w:spacing w:after="0"/>
              <w:rPr>
                <w:sz w:val="3"/>
                <w:szCs w:val="3"/>
                <w:color w:val="auto"/>
              </w:rPr>
            </w:pPr>
          </w:p>
        </w:tc>
        <w:tc>
          <w:tcPr>
            <w:tcW w:w="180" w:type="dxa"/>
            <w:vAlign w:val="bottom"/>
            <w:tcBorders>
              <w:right w:val="single" w:sz="8" w:color="EEEEEE"/>
            </w:tcBorders>
            <w:shd w:val="clear" w:color="auto" w:fill="EEEEEE"/>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74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470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1320" w:type="dxa"/>
            <w:vAlign w:val="bottom"/>
            <w:gridSpan w:val="3"/>
          </w:tcPr>
          <w:p>
            <w:pPr>
              <w:ind w:left="260"/>
              <w:spacing w:after="0" w:line="154" w:lineRule="exact"/>
              <w:rPr>
                <w:sz w:val="20"/>
                <w:szCs w:val="20"/>
                <w:color w:val="auto"/>
              </w:rPr>
            </w:pPr>
            <w:r>
              <w:rPr>
                <w:rFonts w:ascii="Times New Roman" w:cs="Times New Roman" w:eastAsia="Times New Roman" w:hAnsi="Times New Roman"/>
                <w:sz w:val="16"/>
                <w:szCs w:val="16"/>
                <w:color w:val="0000EE"/>
                <w:w w:val="96"/>
              </w:rPr>
              <w:t>SECTION 13.04</w:t>
            </w:r>
          </w:p>
        </w:tc>
        <w:tc>
          <w:tcPr>
            <w:tcW w:w="680" w:type="dxa"/>
            <w:vAlign w:val="bottom"/>
          </w:tcPr>
          <w:p>
            <w:pPr>
              <w:spacing w:after="0"/>
              <w:rPr>
                <w:sz w:val="13"/>
                <w:szCs w:val="13"/>
                <w:color w:val="auto"/>
              </w:rPr>
            </w:pPr>
          </w:p>
        </w:tc>
        <w:tc>
          <w:tcPr>
            <w:tcW w:w="9080" w:type="dxa"/>
            <w:vAlign w:val="bottom"/>
            <w:gridSpan w:val="20"/>
          </w:tcPr>
          <w:p>
            <w:pPr>
              <w:spacing w:after="0" w:line="154" w:lineRule="exact"/>
              <w:rPr>
                <w:sz w:val="20"/>
                <w:szCs w:val="20"/>
                <w:color w:val="auto"/>
              </w:rPr>
            </w:pPr>
            <w:r>
              <w:rPr>
                <w:rFonts w:ascii="Times New Roman" w:cs="Times New Roman" w:eastAsia="Times New Roman" w:hAnsi="Times New Roman"/>
                <w:sz w:val="16"/>
                <w:szCs w:val="16"/>
                <w:color w:val="0000EE"/>
              </w:rPr>
              <w:t>When Securities Presented for Repayment Become Due and Payable</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320" w:type="dxa"/>
            <w:vAlign w:val="bottom"/>
            <w:gridSpan w:val="3"/>
            <w:shd w:val="clear" w:color="auto" w:fill="EEEEEE"/>
          </w:tcPr>
          <w:p>
            <w:pPr>
              <w:ind w:left="260"/>
              <w:spacing w:after="0" w:line="169" w:lineRule="exact"/>
              <w:rPr>
                <w:sz w:val="20"/>
                <w:szCs w:val="20"/>
                <w:color w:val="auto"/>
              </w:rPr>
            </w:pPr>
            <w:r>
              <w:rPr>
                <w:rFonts w:ascii="Times New Roman" w:cs="Times New Roman" w:eastAsia="Times New Roman" w:hAnsi="Times New Roman"/>
                <w:sz w:val="16"/>
                <w:szCs w:val="16"/>
                <w:color w:val="0000EE"/>
                <w:w w:val="96"/>
              </w:rPr>
              <w:t>SECTION 13.05</w:t>
            </w:r>
          </w:p>
        </w:tc>
        <w:tc>
          <w:tcPr>
            <w:tcW w:w="680" w:type="dxa"/>
            <w:vAlign w:val="bottom"/>
            <w:tcBorders>
              <w:right w:val="single" w:sz="8" w:color="EEEEEE"/>
            </w:tcBorders>
            <w:shd w:val="clear" w:color="auto" w:fill="EEEEEE"/>
          </w:tcPr>
          <w:p>
            <w:pPr>
              <w:spacing w:after="0"/>
              <w:rPr>
                <w:sz w:val="16"/>
                <w:szCs w:val="16"/>
                <w:color w:val="auto"/>
              </w:rPr>
            </w:pPr>
          </w:p>
        </w:tc>
        <w:tc>
          <w:tcPr>
            <w:tcW w:w="9080" w:type="dxa"/>
            <w:vAlign w:val="bottom"/>
            <w:gridSpan w:val="20"/>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Securities Repaid in Part</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60" w:type="dxa"/>
            <w:vAlign w:val="bottom"/>
            <w:tcBorders>
              <w:top w:val="single" w:sz="8" w:color="EEEEEE"/>
            </w:tcBorders>
          </w:tcPr>
          <w:p>
            <w:pPr>
              <w:spacing w:after="0"/>
              <w:rPr>
                <w:sz w:val="16"/>
                <w:szCs w:val="16"/>
                <w:color w:val="auto"/>
              </w:rPr>
            </w:pPr>
          </w:p>
        </w:tc>
        <w:tc>
          <w:tcPr>
            <w:tcW w:w="9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80" w:type="dxa"/>
            <w:vAlign w:val="bottom"/>
            <w:tcBorders>
              <w:top w:val="single" w:sz="8" w:color="EEEE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EEEEEE"/>
            </w:tcBorders>
          </w:tcPr>
          <w:p>
            <w:pPr>
              <w:spacing w:after="0"/>
              <w:rPr>
                <w:sz w:val="16"/>
                <w:szCs w:val="16"/>
                <w:color w:val="auto"/>
              </w:rPr>
            </w:pPr>
          </w:p>
        </w:tc>
        <w:tc>
          <w:tcPr>
            <w:tcW w:w="280" w:type="dxa"/>
            <w:vAlign w:val="bottom"/>
            <w:tcBorders>
              <w:top w:val="single" w:sz="8" w:color="EEEEEE"/>
            </w:tcBorders>
          </w:tcPr>
          <w:p>
            <w:pPr>
              <w:spacing w:after="0"/>
              <w:rPr>
                <w:sz w:val="16"/>
                <w:szCs w:val="16"/>
                <w:color w:val="auto"/>
              </w:rPr>
            </w:pPr>
          </w:p>
        </w:tc>
        <w:tc>
          <w:tcPr>
            <w:tcW w:w="320" w:type="dxa"/>
            <w:vAlign w:val="bottom"/>
            <w:tcBorders>
              <w:top w:val="single" w:sz="8" w:color="EEEEEE"/>
            </w:tcBorders>
          </w:tcPr>
          <w:p>
            <w:pPr>
              <w:spacing w:after="0"/>
              <w:rPr>
                <w:sz w:val="16"/>
                <w:szCs w:val="16"/>
                <w:color w:val="auto"/>
              </w:rPr>
            </w:pPr>
          </w:p>
        </w:tc>
        <w:tc>
          <w:tcPr>
            <w:tcW w:w="300" w:type="dxa"/>
            <w:vAlign w:val="bottom"/>
            <w:tcBorders>
              <w:top w:val="single" w:sz="8" w:color="EEEEEE"/>
            </w:tcBorders>
          </w:tcPr>
          <w:p>
            <w:pPr>
              <w:spacing w:after="0"/>
              <w:rPr>
                <w:sz w:val="16"/>
                <w:szCs w:val="16"/>
                <w:color w:val="auto"/>
              </w:rPr>
            </w:pPr>
          </w:p>
        </w:tc>
        <w:tc>
          <w:tcPr>
            <w:tcW w:w="10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42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180" w:type="dxa"/>
            <w:vAlign w:val="bottom"/>
            <w:tcBorders>
              <w:top w:val="single" w:sz="8" w:color="EEEEEE"/>
            </w:tcBorders>
          </w:tcPr>
          <w:p>
            <w:pPr>
              <w:spacing w:after="0"/>
              <w:rPr>
                <w:sz w:val="16"/>
                <w:szCs w:val="16"/>
                <w:color w:val="auto"/>
              </w:rPr>
            </w:pPr>
          </w:p>
        </w:tc>
        <w:tc>
          <w:tcPr>
            <w:tcW w:w="160" w:type="dxa"/>
            <w:vAlign w:val="bottom"/>
            <w:tcBorders>
              <w:top w:val="single" w:sz="8" w:color="EEEEEE"/>
            </w:tcBorders>
          </w:tcPr>
          <w:p>
            <w:pPr>
              <w:spacing w:after="0"/>
              <w:rPr>
                <w:sz w:val="16"/>
                <w:szCs w:val="16"/>
                <w:color w:val="auto"/>
              </w:rPr>
            </w:pPr>
          </w:p>
        </w:tc>
        <w:tc>
          <w:tcPr>
            <w:tcW w:w="740" w:type="dxa"/>
            <w:vAlign w:val="bottom"/>
            <w:tcBorders>
              <w:top w:val="single" w:sz="8" w:color="EEEEEE"/>
            </w:tcBorders>
          </w:tcPr>
          <w:p>
            <w:pPr>
              <w:spacing w:after="0"/>
              <w:rPr>
                <w:sz w:val="16"/>
                <w:szCs w:val="16"/>
                <w:color w:val="auto"/>
              </w:rPr>
            </w:pPr>
          </w:p>
        </w:tc>
        <w:tc>
          <w:tcPr>
            <w:tcW w:w="60" w:type="dxa"/>
            <w:vAlign w:val="bottom"/>
            <w:tcBorders>
              <w:top w:val="single" w:sz="8" w:color="EEEEEE"/>
            </w:tcBorders>
          </w:tcPr>
          <w:p>
            <w:pPr>
              <w:spacing w:after="0"/>
              <w:rPr>
                <w:sz w:val="16"/>
                <w:szCs w:val="16"/>
                <w:color w:val="auto"/>
              </w:rPr>
            </w:pPr>
          </w:p>
        </w:tc>
        <w:tc>
          <w:tcPr>
            <w:tcW w:w="4700" w:type="dxa"/>
            <w:vAlign w:val="bottom"/>
            <w:tcBorders>
              <w:top w:val="single" w:sz="8" w:color="EEEE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5160" w:type="dxa"/>
            <w:vAlign w:val="bottom"/>
            <w:tcBorders>
              <w:bottom w:val="single" w:sz="8" w:color="0000EE"/>
              <w:right w:val="single" w:sz="8" w:color="EEEEEE"/>
            </w:tcBorders>
            <w:gridSpan w:val="18"/>
            <w:shd w:val="clear" w:color="auto" w:fill="EEEEEE"/>
          </w:tcPr>
          <w:p>
            <w:pPr>
              <w:spacing w:after="0" w:line="154" w:lineRule="exact"/>
              <w:rPr>
                <w:sz w:val="20"/>
                <w:szCs w:val="20"/>
                <w:color w:val="auto"/>
              </w:rPr>
            </w:pPr>
            <w:r>
              <w:rPr>
                <w:rFonts w:ascii="Times New Roman" w:cs="Times New Roman" w:eastAsia="Times New Roman" w:hAnsi="Times New Roman"/>
                <w:sz w:val="16"/>
                <w:szCs w:val="16"/>
                <w:b w:val="1"/>
                <w:bCs w:val="1"/>
                <w:color w:val="0000EE"/>
                <w:w w:val="97"/>
              </w:rPr>
              <w:t>ARTICLE FOURTEEN DEFEASANCE AND COVENANT DEFEASANCE</w:t>
            </w:r>
          </w:p>
        </w:tc>
        <w:tc>
          <w:tcPr>
            <w:tcW w:w="5920" w:type="dxa"/>
            <w:vAlign w:val="bottom"/>
            <w:tcBorders>
              <w:left w:val="single" w:sz="8" w:color="EEEEEE"/>
              <w:bottom w:val="single" w:sz="8" w:color="EEEEEE"/>
            </w:tcBorders>
            <w:gridSpan w:val="6"/>
            <w:shd w:val="clear" w:color="auto" w:fill="EEEEEE"/>
          </w:tcPr>
          <w:p>
            <w:pPr>
              <w:spacing w:after="0"/>
              <w:rPr>
                <w:sz w:val="14"/>
                <w:szCs w:val="14"/>
                <w:color w:val="auto"/>
              </w:rPr>
            </w:pPr>
          </w:p>
        </w:tc>
        <w:tc>
          <w:tcPr>
            <w:tcW w:w="160" w:type="dxa"/>
            <w:vAlign w:val="bottom"/>
            <w:tcBorders>
              <w:bottom w:val="single" w:sz="8" w:color="0000EE"/>
            </w:tcBorders>
            <w:shd w:val="clear" w:color="auto" w:fill="EEEEEE"/>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68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322" w:right="3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4"/>
        </w:trPr>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0000EE"/>
                <w:w w:val="96"/>
              </w:rPr>
              <w:t>SECTION 14.01</w:t>
            </w:r>
          </w:p>
        </w:tc>
        <w:tc>
          <w:tcPr>
            <w:tcW w:w="660" w:type="dxa"/>
            <w:vAlign w:val="bottom"/>
          </w:tcPr>
          <w:p>
            <w:pPr>
              <w:spacing w:after="0"/>
              <w:rPr>
                <w:sz w:val="16"/>
                <w:szCs w:val="16"/>
                <w:color w:val="auto"/>
              </w:rPr>
            </w:pPr>
          </w:p>
        </w:tc>
        <w:tc>
          <w:tcPr>
            <w:tcW w:w="910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Company's Option to Effect Defeasance or Covenant Defeasance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0000EE"/>
                <w:w w:val="87"/>
              </w:rPr>
              <w:t>68</w:t>
            </w:r>
          </w:p>
        </w:tc>
      </w:tr>
      <w:tr>
        <w:trPr>
          <w:trHeight w:val="20"/>
        </w:trPr>
        <w:tc>
          <w:tcPr>
            <w:tcW w:w="2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69"/>
        </w:trPr>
        <w:tc>
          <w:tcPr>
            <w:tcW w:w="1340" w:type="dxa"/>
            <w:vAlign w:val="bottom"/>
            <w:gridSpan w:val="2"/>
            <w:shd w:val="clear" w:color="auto" w:fill="EEEEEE"/>
          </w:tcPr>
          <w:p>
            <w:pPr>
              <w:ind w:left="280"/>
              <w:spacing w:after="0" w:line="169" w:lineRule="exact"/>
              <w:rPr>
                <w:sz w:val="20"/>
                <w:szCs w:val="20"/>
                <w:color w:val="auto"/>
              </w:rPr>
            </w:pPr>
            <w:r>
              <w:rPr>
                <w:rFonts w:ascii="Times New Roman" w:cs="Times New Roman" w:eastAsia="Times New Roman" w:hAnsi="Times New Roman"/>
                <w:sz w:val="16"/>
                <w:szCs w:val="16"/>
                <w:color w:val="0000EE"/>
                <w:w w:val="96"/>
              </w:rPr>
              <w:t>SECTION 14.02</w:t>
            </w:r>
          </w:p>
        </w:tc>
        <w:tc>
          <w:tcPr>
            <w:tcW w:w="660" w:type="dxa"/>
            <w:vAlign w:val="bottom"/>
            <w:shd w:val="clear" w:color="auto" w:fill="EEEEEE"/>
          </w:tcPr>
          <w:p>
            <w:pPr>
              <w:spacing w:after="0"/>
              <w:rPr>
                <w:sz w:val="14"/>
                <w:szCs w:val="14"/>
                <w:color w:val="auto"/>
              </w:rPr>
            </w:pPr>
          </w:p>
        </w:tc>
        <w:tc>
          <w:tcPr>
            <w:tcW w:w="9100" w:type="dxa"/>
            <w:vAlign w:val="bottom"/>
            <w:gridSpan w:val="7"/>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Defeasance and Discharge</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68</w:t>
            </w:r>
          </w:p>
        </w:tc>
      </w:tr>
      <w:tr>
        <w:trPr>
          <w:trHeight w:val="35"/>
        </w:trPr>
        <w:tc>
          <w:tcPr>
            <w:tcW w:w="280" w:type="dxa"/>
            <w:vAlign w:val="bottom"/>
            <w:shd w:val="clear" w:color="auto" w:fill="EEEE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660" w:type="dxa"/>
            <w:vAlign w:val="bottom"/>
            <w:shd w:val="clear" w:color="auto" w:fill="EEEE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540" w:type="dxa"/>
            <w:vAlign w:val="bottom"/>
            <w:shd w:val="clear" w:color="auto" w:fill="EEEEEE"/>
          </w:tcPr>
          <w:p>
            <w:pPr>
              <w:spacing w:after="0"/>
              <w:rPr>
                <w:sz w:val="3"/>
                <w:szCs w:val="3"/>
                <w:color w:val="auto"/>
              </w:rPr>
            </w:pPr>
          </w:p>
        </w:tc>
        <w:tc>
          <w:tcPr>
            <w:tcW w:w="900" w:type="dxa"/>
            <w:vAlign w:val="bottom"/>
            <w:shd w:val="clear" w:color="auto" w:fill="EEEEEE"/>
          </w:tcPr>
          <w:p>
            <w:pPr>
              <w:spacing w:after="0"/>
              <w:rPr>
                <w:sz w:val="3"/>
                <w:szCs w:val="3"/>
                <w:color w:val="auto"/>
              </w:rPr>
            </w:pPr>
          </w:p>
        </w:tc>
        <w:tc>
          <w:tcPr>
            <w:tcW w:w="2240" w:type="dxa"/>
            <w:vAlign w:val="bottom"/>
            <w:shd w:val="clear" w:color="auto" w:fill="EEEEEE"/>
          </w:tcPr>
          <w:p>
            <w:pPr>
              <w:spacing w:after="0"/>
              <w:rPr>
                <w:sz w:val="3"/>
                <w:szCs w:val="3"/>
                <w:color w:val="auto"/>
              </w:rPr>
            </w:pPr>
          </w:p>
        </w:tc>
        <w:tc>
          <w:tcPr>
            <w:tcW w:w="276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4"/>
        </w:trPr>
        <w:tc>
          <w:tcPr>
            <w:tcW w:w="1340" w:type="dxa"/>
            <w:vAlign w:val="bottom"/>
            <w:gridSpan w:val="2"/>
          </w:tcPr>
          <w:p>
            <w:pPr>
              <w:ind w:left="280"/>
              <w:spacing w:after="0" w:line="154" w:lineRule="exact"/>
              <w:rPr>
                <w:sz w:val="20"/>
                <w:szCs w:val="20"/>
                <w:color w:val="auto"/>
              </w:rPr>
            </w:pPr>
            <w:r>
              <w:rPr>
                <w:rFonts w:ascii="Times New Roman" w:cs="Times New Roman" w:eastAsia="Times New Roman" w:hAnsi="Times New Roman"/>
                <w:sz w:val="16"/>
                <w:szCs w:val="16"/>
                <w:color w:val="0000EE"/>
                <w:w w:val="96"/>
              </w:rPr>
              <w:t>SECTION 14.03</w:t>
            </w:r>
          </w:p>
        </w:tc>
        <w:tc>
          <w:tcPr>
            <w:tcW w:w="660" w:type="dxa"/>
            <w:vAlign w:val="bottom"/>
          </w:tcPr>
          <w:p>
            <w:pPr>
              <w:spacing w:after="0"/>
              <w:rPr>
                <w:sz w:val="13"/>
                <w:szCs w:val="13"/>
                <w:color w:val="auto"/>
              </w:rPr>
            </w:pPr>
          </w:p>
        </w:tc>
        <w:tc>
          <w:tcPr>
            <w:tcW w:w="9100" w:type="dxa"/>
            <w:vAlign w:val="bottom"/>
            <w:gridSpan w:val="7"/>
          </w:tcPr>
          <w:p>
            <w:pPr>
              <w:spacing w:after="0" w:line="154" w:lineRule="exact"/>
              <w:rPr>
                <w:sz w:val="20"/>
                <w:szCs w:val="20"/>
                <w:color w:val="auto"/>
              </w:rPr>
            </w:pPr>
            <w:r>
              <w:rPr>
                <w:rFonts w:ascii="Times New Roman" w:cs="Times New Roman" w:eastAsia="Times New Roman" w:hAnsi="Times New Roman"/>
                <w:sz w:val="16"/>
                <w:szCs w:val="16"/>
                <w:color w:val="0000EE"/>
              </w:rPr>
              <w:t>Covenant Defeasance</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68</w:t>
            </w:r>
          </w:p>
        </w:tc>
      </w:tr>
      <w:tr>
        <w:trPr>
          <w:trHeight w:val="20"/>
        </w:trPr>
        <w:tc>
          <w:tcPr>
            <w:tcW w:w="2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69"/>
        </w:trPr>
        <w:tc>
          <w:tcPr>
            <w:tcW w:w="1340" w:type="dxa"/>
            <w:vAlign w:val="bottom"/>
            <w:gridSpan w:val="2"/>
            <w:shd w:val="clear" w:color="auto" w:fill="EEEEEE"/>
          </w:tcPr>
          <w:p>
            <w:pPr>
              <w:ind w:left="280"/>
              <w:spacing w:after="0" w:line="169" w:lineRule="exact"/>
              <w:rPr>
                <w:sz w:val="20"/>
                <w:szCs w:val="20"/>
                <w:color w:val="auto"/>
              </w:rPr>
            </w:pPr>
            <w:r>
              <w:rPr>
                <w:rFonts w:ascii="Times New Roman" w:cs="Times New Roman" w:eastAsia="Times New Roman" w:hAnsi="Times New Roman"/>
                <w:sz w:val="16"/>
                <w:szCs w:val="16"/>
                <w:color w:val="0000EE"/>
                <w:w w:val="96"/>
              </w:rPr>
              <w:t>SECTION 14.04</w:t>
            </w:r>
          </w:p>
        </w:tc>
        <w:tc>
          <w:tcPr>
            <w:tcW w:w="660" w:type="dxa"/>
            <w:vAlign w:val="bottom"/>
            <w:shd w:val="clear" w:color="auto" w:fill="EEEEEE"/>
          </w:tcPr>
          <w:p>
            <w:pPr>
              <w:spacing w:after="0"/>
              <w:rPr>
                <w:sz w:val="14"/>
                <w:szCs w:val="14"/>
                <w:color w:val="auto"/>
              </w:rPr>
            </w:pPr>
          </w:p>
        </w:tc>
        <w:tc>
          <w:tcPr>
            <w:tcW w:w="9100" w:type="dxa"/>
            <w:vAlign w:val="bottom"/>
            <w:gridSpan w:val="7"/>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Conditions to Defeasance or Covenant Defeasance</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69</w:t>
            </w:r>
          </w:p>
        </w:tc>
      </w:tr>
      <w:tr>
        <w:trPr>
          <w:trHeight w:val="35"/>
        </w:trPr>
        <w:tc>
          <w:tcPr>
            <w:tcW w:w="280" w:type="dxa"/>
            <w:vAlign w:val="bottom"/>
            <w:shd w:val="clear" w:color="auto" w:fill="EEEE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660" w:type="dxa"/>
            <w:vAlign w:val="bottom"/>
            <w:shd w:val="clear" w:color="auto" w:fill="EEEE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540" w:type="dxa"/>
            <w:vAlign w:val="bottom"/>
            <w:shd w:val="clear" w:color="auto" w:fill="0000EE"/>
          </w:tcPr>
          <w:p>
            <w:pPr>
              <w:spacing w:after="0"/>
              <w:rPr>
                <w:sz w:val="3"/>
                <w:szCs w:val="3"/>
                <w:color w:val="auto"/>
              </w:rPr>
            </w:pPr>
          </w:p>
        </w:tc>
        <w:tc>
          <w:tcPr>
            <w:tcW w:w="900" w:type="dxa"/>
            <w:vAlign w:val="bottom"/>
            <w:shd w:val="clear" w:color="auto" w:fill="EEEEEE"/>
          </w:tcPr>
          <w:p>
            <w:pPr>
              <w:spacing w:after="0"/>
              <w:rPr>
                <w:sz w:val="3"/>
                <w:szCs w:val="3"/>
                <w:color w:val="auto"/>
              </w:rPr>
            </w:pPr>
          </w:p>
        </w:tc>
        <w:tc>
          <w:tcPr>
            <w:tcW w:w="2240" w:type="dxa"/>
            <w:vAlign w:val="bottom"/>
            <w:shd w:val="clear" w:color="auto" w:fill="EEEEEE"/>
          </w:tcPr>
          <w:p>
            <w:pPr>
              <w:spacing w:after="0"/>
              <w:rPr>
                <w:sz w:val="3"/>
                <w:szCs w:val="3"/>
                <w:color w:val="auto"/>
              </w:rPr>
            </w:pPr>
          </w:p>
        </w:tc>
        <w:tc>
          <w:tcPr>
            <w:tcW w:w="276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r>
        <w:trPr>
          <w:trHeight w:val="154"/>
        </w:trPr>
        <w:tc>
          <w:tcPr>
            <w:tcW w:w="1340" w:type="dxa"/>
            <w:vAlign w:val="bottom"/>
            <w:gridSpan w:val="2"/>
          </w:tcPr>
          <w:p>
            <w:pPr>
              <w:ind w:left="280"/>
              <w:spacing w:after="0" w:line="154" w:lineRule="exact"/>
              <w:rPr>
                <w:sz w:val="20"/>
                <w:szCs w:val="20"/>
                <w:color w:val="auto"/>
              </w:rPr>
            </w:pPr>
            <w:r>
              <w:rPr>
                <w:rFonts w:ascii="Times New Roman" w:cs="Times New Roman" w:eastAsia="Times New Roman" w:hAnsi="Times New Roman"/>
                <w:sz w:val="16"/>
                <w:szCs w:val="16"/>
                <w:color w:val="0000EE"/>
                <w:w w:val="96"/>
              </w:rPr>
              <w:t>SECTION 14.05</w:t>
            </w:r>
          </w:p>
        </w:tc>
        <w:tc>
          <w:tcPr>
            <w:tcW w:w="660" w:type="dxa"/>
            <w:vAlign w:val="bottom"/>
          </w:tcPr>
          <w:p>
            <w:pPr>
              <w:spacing w:after="0"/>
              <w:rPr>
                <w:sz w:val="13"/>
                <w:szCs w:val="13"/>
                <w:color w:val="auto"/>
              </w:rPr>
            </w:pPr>
          </w:p>
        </w:tc>
        <w:tc>
          <w:tcPr>
            <w:tcW w:w="9100" w:type="dxa"/>
            <w:vAlign w:val="bottom"/>
            <w:gridSpan w:val="7"/>
          </w:tcPr>
          <w:p>
            <w:pPr>
              <w:spacing w:after="0" w:line="154" w:lineRule="exact"/>
              <w:rPr>
                <w:sz w:val="20"/>
                <w:szCs w:val="20"/>
                <w:color w:val="auto"/>
              </w:rPr>
            </w:pPr>
            <w:r>
              <w:rPr>
                <w:rFonts w:ascii="Times New Roman" w:cs="Times New Roman" w:eastAsia="Times New Roman" w:hAnsi="Times New Roman"/>
                <w:sz w:val="16"/>
                <w:szCs w:val="16"/>
                <w:color w:val="0000EE"/>
              </w:rPr>
              <w:t>Deposited Money and Government Obligations to Be Held in Trust; Other Miscellaneous Provisions</w:t>
            </w:r>
          </w:p>
        </w:tc>
        <w:tc>
          <w:tcPr>
            <w:tcW w:w="16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color w:val="0000EE"/>
                <w:w w:val="87"/>
              </w:rPr>
              <w:t>70</w:t>
            </w:r>
          </w:p>
        </w:tc>
      </w:tr>
      <w:tr>
        <w:trPr>
          <w:trHeight w:val="20"/>
        </w:trPr>
        <w:tc>
          <w:tcPr>
            <w:tcW w:w="2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69"/>
        </w:trPr>
        <w:tc>
          <w:tcPr>
            <w:tcW w:w="1340" w:type="dxa"/>
            <w:vAlign w:val="bottom"/>
            <w:gridSpan w:val="2"/>
            <w:shd w:val="clear" w:color="auto" w:fill="EEEEEE"/>
          </w:tcPr>
          <w:p>
            <w:pPr>
              <w:ind w:left="280"/>
              <w:spacing w:after="0" w:line="169" w:lineRule="exact"/>
              <w:rPr>
                <w:sz w:val="20"/>
                <w:szCs w:val="20"/>
                <w:color w:val="auto"/>
              </w:rPr>
            </w:pPr>
            <w:r>
              <w:rPr>
                <w:rFonts w:ascii="Times New Roman" w:cs="Times New Roman" w:eastAsia="Times New Roman" w:hAnsi="Times New Roman"/>
                <w:sz w:val="16"/>
                <w:szCs w:val="16"/>
                <w:color w:val="0000EE"/>
                <w:w w:val="96"/>
              </w:rPr>
              <w:t>SECTION 14.06</w:t>
            </w:r>
          </w:p>
        </w:tc>
        <w:tc>
          <w:tcPr>
            <w:tcW w:w="660" w:type="dxa"/>
            <w:vAlign w:val="bottom"/>
            <w:shd w:val="clear" w:color="auto" w:fill="EEEEEE"/>
          </w:tcPr>
          <w:p>
            <w:pPr>
              <w:spacing w:after="0"/>
              <w:rPr>
                <w:sz w:val="14"/>
                <w:szCs w:val="14"/>
                <w:color w:val="auto"/>
              </w:rPr>
            </w:pPr>
          </w:p>
        </w:tc>
        <w:tc>
          <w:tcPr>
            <w:tcW w:w="9100" w:type="dxa"/>
            <w:vAlign w:val="bottom"/>
            <w:gridSpan w:val="7"/>
            <w:shd w:val="clear" w:color="auto" w:fill="EEEEEE"/>
          </w:tcPr>
          <w:p>
            <w:pPr>
              <w:spacing w:after="0" w:line="169" w:lineRule="exact"/>
              <w:rPr>
                <w:sz w:val="20"/>
                <w:szCs w:val="20"/>
                <w:color w:val="auto"/>
              </w:rPr>
            </w:pPr>
            <w:r>
              <w:rPr>
                <w:rFonts w:ascii="Times New Roman" w:cs="Times New Roman" w:eastAsia="Times New Roman" w:hAnsi="Times New Roman"/>
                <w:sz w:val="16"/>
                <w:szCs w:val="16"/>
                <w:color w:val="0000EE"/>
              </w:rPr>
              <w:t>Reinstatement</w:t>
            </w:r>
          </w:p>
        </w:tc>
        <w:tc>
          <w:tcPr>
            <w:tcW w:w="160" w:type="dxa"/>
            <w:vAlign w:val="bottom"/>
            <w:shd w:val="clear" w:color="auto" w:fill="EEEEEE"/>
          </w:tcPr>
          <w:p>
            <w:pPr>
              <w:jc w:val="right"/>
              <w:spacing w:after="0" w:line="169" w:lineRule="exact"/>
              <w:rPr>
                <w:sz w:val="20"/>
                <w:szCs w:val="20"/>
                <w:color w:val="auto"/>
              </w:rPr>
            </w:pPr>
            <w:r>
              <w:rPr>
                <w:rFonts w:ascii="Times New Roman" w:cs="Times New Roman" w:eastAsia="Times New Roman" w:hAnsi="Times New Roman"/>
                <w:sz w:val="16"/>
                <w:szCs w:val="16"/>
                <w:color w:val="0000EE"/>
                <w:w w:val="87"/>
              </w:rPr>
              <w:t>71</w:t>
            </w:r>
          </w:p>
        </w:tc>
      </w:tr>
      <w:tr>
        <w:trPr>
          <w:trHeight w:val="35"/>
        </w:trPr>
        <w:tc>
          <w:tcPr>
            <w:tcW w:w="280" w:type="dxa"/>
            <w:vAlign w:val="bottom"/>
            <w:shd w:val="clear" w:color="auto" w:fill="EEEE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660" w:type="dxa"/>
            <w:vAlign w:val="bottom"/>
            <w:shd w:val="clear" w:color="auto" w:fill="EEEEEE"/>
          </w:tcPr>
          <w:p>
            <w:pPr>
              <w:spacing w:after="0"/>
              <w:rPr>
                <w:sz w:val="3"/>
                <w:szCs w:val="3"/>
                <w:color w:val="auto"/>
              </w:rPr>
            </w:pPr>
          </w:p>
        </w:tc>
        <w:tc>
          <w:tcPr>
            <w:tcW w:w="900" w:type="dxa"/>
            <w:vAlign w:val="bottom"/>
            <w:shd w:val="clear" w:color="auto" w:fill="0000EE"/>
          </w:tcPr>
          <w:p>
            <w:pPr>
              <w:spacing w:after="0"/>
              <w:rPr>
                <w:sz w:val="3"/>
                <w:szCs w:val="3"/>
                <w:color w:val="auto"/>
              </w:rPr>
            </w:pPr>
          </w:p>
        </w:tc>
        <w:tc>
          <w:tcPr>
            <w:tcW w:w="46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1540" w:type="dxa"/>
            <w:vAlign w:val="bottom"/>
            <w:shd w:val="clear" w:color="auto" w:fill="EEEEEE"/>
          </w:tcPr>
          <w:p>
            <w:pPr>
              <w:spacing w:after="0"/>
              <w:rPr>
                <w:sz w:val="3"/>
                <w:szCs w:val="3"/>
                <w:color w:val="auto"/>
              </w:rPr>
            </w:pPr>
          </w:p>
        </w:tc>
        <w:tc>
          <w:tcPr>
            <w:tcW w:w="900" w:type="dxa"/>
            <w:vAlign w:val="bottom"/>
            <w:shd w:val="clear" w:color="auto" w:fill="EEEEEE"/>
          </w:tcPr>
          <w:p>
            <w:pPr>
              <w:spacing w:after="0"/>
              <w:rPr>
                <w:sz w:val="3"/>
                <w:szCs w:val="3"/>
                <w:color w:val="auto"/>
              </w:rPr>
            </w:pPr>
          </w:p>
        </w:tc>
        <w:tc>
          <w:tcPr>
            <w:tcW w:w="2240" w:type="dxa"/>
            <w:vAlign w:val="bottom"/>
            <w:shd w:val="clear" w:color="auto" w:fill="EEEEEE"/>
          </w:tcPr>
          <w:p>
            <w:pPr>
              <w:spacing w:after="0"/>
              <w:rPr>
                <w:sz w:val="3"/>
                <w:szCs w:val="3"/>
                <w:color w:val="auto"/>
              </w:rPr>
            </w:pPr>
          </w:p>
        </w:tc>
        <w:tc>
          <w:tcPr>
            <w:tcW w:w="2760" w:type="dxa"/>
            <w:vAlign w:val="bottom"/>
            <w:shd w:val="clear" w:color="auto" w:fill="EEEEEE"/>
          </w:tcPr>
          <w:p>
            <w:pPr>
              <w:spacing w:after="0"/>
              <w:rPr>
                <w:sz w:val="3"/>
                <w:szCs w:val="3"/>
                <w:color w:val="auto"/>
              </w:rPr>
            </w:pPr>
          </w:p>
        </w:tc>
        <w:tc>
          <w:tcPr>
            <w:tcW w:w="160" w:type="dxa"/>
            <w:vAlign w:val="bottom"/>
            <w:shd w:val="clear" w:color="auto" w:fill="0000EE"/>
          </w:tcPr>
          <w:p>
            <w:pPr>
              <w:spacing w:after="0"/>
              <w:rPr>
                <w:sz w:val="3"/>
                <w:szCs w:val="3"/>
                <w:color w:val="auto"/>
              </w:rPr>
            </w:pPr>
          </w:p>
        </w:tc>
      </w:tr>
    </w:tbl>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322" w:right="319" w:bottom="1440" w:gutter="0" w:footer="0" w:header="0"/>
        </w:sectPr>
      </w:pPr>
    </w:p>
    <w:bookmarkStart w:id="65" w:name="page66"/>
    <w:bookmarkEnd w:id="65"/>
    <w:tbl>
      <w:tblPr>
        <w:tblLayout w:type="fixed"/>
        <w:tblInd w:w="1120" w:type="dxa"/>
        <w:tblCellMar>
          <w:top w:w="0" w:type="dxa"/>
          <w:left w:w="0" w:type="dxa"/>
          <w:bottom w:w="0" w:type="dxa"/>
          <w:right w:w="0" w:type="dxa"/>
        </w:tblCellMar>
      </w:tblPr>
      <w:tr>
        <w:trPr>
          <w:trHeight w:val="246"/>
        </w:trPr>
        <w:tc>
          <w:tcPr>
            <w:tcW w:w="2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80" w:type="dxa"/>
            <w:vAlign w:val="bottom"/>
          </w:tcPr>
          <w:p>
            <w:pPr>
              <w:ind w:left="640"/>
              <w:spacing w:after="0"/>
              <w:rPr>
                <w:sz w:val="20"/>
                <w:szCs w:val="20"/>
                <w:color w:val="auto"/>
              </w:rPr>
            </w:pPr>
            <w:r>
              <w:rPr>
                <w:rFonts w:ascii="Times New Roman" w:cs="Times New Roman" w:eastAsia="Times New Roman" w:hAnsi="Times New Roman"/>
                <w:sz w:val="19"/>
                <w:szCs w:val="19"/>
                <w:color w:val="auto"/>
              </w:rPr>
              <w:t>CROSS-REFERENCE TABLE</w:t>
            </w: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318"/>
        </w:trPr>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TIA</w:t>
            </w:r>
          </w:p>
        </w:tc>
        <w:tc>
          <w:tcPr>
            <w:tcW w:w="284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Indenture</w:t>
            </w:r>
          </w:p>
        </w:tc>
      </w:tr>
      <w:tr>
        <w:trPr>
          <w:trHeight w:val="170"/>
        </w:trPr>
        <w:tc>
          <w:tcPr>
            <w:tcW w:w="2200" w:type="dxa"/>
            <w:vAlign w:val="bottom"/>
          </w:tcPr>
          <w:p>
            <w:pPr>
              <w:spacing w:after="0"/>
              <w:rPr>
                <w:sz w:val="14"/>
                <w:szCs w:val="14"/>
                <w:color w:val="auto"/>
              </w:rPr>
            </w:pPr>
          </w:p>
        </w:tc>
        <w:tc>
          <w:tcPr>
            <w:tcW w:w="3960" w:type="dxa"/>
            <w:vAlign w:val="bottom"/>
            <w:gridSpan w:val="3"/>
          </w:tcPr>
          <w:p>
            <w:pPr>
              <w:spacing w:after="0" w:line="171" w:lineRule="exact"/>
              <w:rPr>
                <w:sz w:val="20"/>
                <w:szCs w:val="20"/>
                <w:color w:val="auto"/>
              </w:rPr>
            </w:pPr>
            <w:r>
              <w:rPr>
                <w:rFonts w:ascii="Times New Roman" w:cs="Times New Roman" w:eastAsia="Times New Roman" w:hAnsi="Times New Roman"/>
                <w:sz w:val="16"/>
                <w:szCs w:val="16"/>
                <w:color w:val="auto"/>
              </w:rPr>
              <w:t>Section</w:t>
            </w:r>
          </w:p>
        </w:tc>
        <w:tc>
          <w:tcPr>
            <w:tcW w:w="2840" w:type="dxa"/>
            <w:vAlign w:val="bottom"/>
            <w:gridSpan w:val="3"/>
          </w:tcPr>
          <w:p>
            <w:pPr>
              <w:ind w:left="540"/>
              <w:spacing w:after="0" w:line="171" w:lineRule="exact"/>
              <w:rPr>
                <w:sz w:val="20"/>
                <w:szCs w:val="20"/>
                <w:color w:val="auto"/>
              </w:rPr>
            </w:pPr>
            <w:r>
              <w:rPr>
                <w:rFonts w:ascii="Times New Roman" w:cs="Times New Roman" w:eastAsia="Times New Roman" w:hAnsi="Times New Roman"/>
                <w:sz w:val="16"/>
                <w:szCs w:val="16"/>
                <w:color w:val="auto"/>
              </w:rPr>
              <w:t>Section</w:t>
            </w:r>
          </w:p>
        </w:tc>
      </w:tr>
      <w:tr>
        <w:trPr>
          <w:trHeight w:val="28"/>
        </w:trPr>
        <w:tc>
          <w:tcPr>
            <w:tcW w:w="2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20" w:type="dxa"/>
            <w:vAlign w:val="bottom"/>
          </w:tcPr>
          <w:p>
            <w:pPr>
              <w:spacing w:after="0"/>
              <w:rPr>
                <w:sz w:val="2"/>
                <w:szCs w:val="2"/>
                <w:color w:val="auto"/>
              </w:rPr>
            </w:pPr>
          </w:p>
        </w:tc>
      </w:tr>
      <w:tr>
        <w:trPr>
          <w:trHeight w:val="197"/>
        </w:trPr>
        <w:tc>
          <w:tcPr>
            <w:tcW w:w="2280" w:type="dxa"/>
            <w:vAlign w:val="bottom"/>
            <w:gridSpan w:val="2"/>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388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6"/>
                <w:szCs w:val="16"/>
                <w:color w:val="auto"/>
              </w:rPr>
              <w:t>(a)</w:t>
            </w:r>
          </w:p>
        </w:tc>
        <w:tc>
          <w:tcPr>
            <w:tcW w:w="1020" w:type="dxa"/>
            <w:vAlign w:val="bottom"/>
            <w:gridSpan w:val="2"/>
            <w:shd w:val="clear" w:color="auto" w:fill="E6EFFF"/>
          </w:tcPr>
          <w:p>
            <w:pPr>
              <w:ind w:left="520"/>
              <w:spacing w:after="0"/>
              <w:rPr>
                <w:sz w:val="20"/>
                <w:szCs w:val="20"/>
                <w:color w:val="auto"/>
              </w:rPr>
            </w:pPr>
            <w:r>
              <w:rPr>
                <w:rFonts w:ascii="Times New Roman" w:cs="Times New Roman" w:eastAsia="Times New Roman" w:hAnsi="Times New Roman"/>
                <w:sz w:val="16"/>
                <w:szCs w:val="16"/>
                <w:color w:val="auto"/>
              </w:rPr>
              <w:t>6.08(1)</w:t>
            </w:r>
          </w:p>
        </w:tc>
        <w:tc>
          <w:tcPr>
            <w:tcW w:w="1820" w:type="dxa"/>
            <w:vAlign w:val="bottom"/>
            <w:shd w:val="clear" w:color="auto" w:fill="E6EFFF"/>
          </w:tcPr>
          <w:p>
            <w:pPr>
              <w:spacing w:after="0"/>
              <w:rPr>
                <w:sz w:val="17"/>
                <w:szCs w:val="17"/>
                <w:color w:val="auto"/>
              </w:rPr>
            </w:pPr>
          </w:p>
        </w:tc>
      </w:tr>
      <w:tr>
        <w:trPr>
          <w:trHeight w:val="189"/>
        </w:trPr>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(b)</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6.09</w:t>
            </w:r>
          </w:p>
        </w:tc>
        <w:tc>
          <w:tcPr>
            <w:tcW w:w="1820" w:type="dxa"/>
            <w:vAlign w:val="bottom"/>
          </w:tcPr>
          <w:p>
            <w:pPr>
              <w:spacing w:after="0"/>
              <w:rPr>
                <w:sz w:val="16"/>
                <w:szCs w:val="16"/>
                <w:color w:val="auto"/>
              </w:rPr>
            </w:pPr>
          </w:p>
        </w:tc>
      </w:tr>
      <w:tr>
        <w:trPr>
          <w:trHeight w:val="189"/>
        </w:trPr>
        <w:tc>
          <w:tcPr>
            <w:tcW w:w="220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388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6"/>
                <w:szCs w:val="16"/>
                <w:color w:val="auto"/>
              </w:rPr>
              <w:t>(c)</w:t>
            </w:r>
          </w:p>
        </w:tc>
        <w:tc>
          <w:tcPr>
            <w:tcW w:w="2840" w:type="dxa"/>
            <w:vAlign w:val="bottom"/>
            <w:gridSpan w:val="3"/>
            <w:shd w:val="clear" w:color="auto" w:fill="E6EFFF"/>
          </w:tcPr>
          <w:p>
            <w:pPr>
              <w:ind w:left="520"/>
              <w:spacing w:after="0"/>
              <w:rPr>
                <w:sz w:val="20"/>
                <w:szCs w:val="20"/>
                <w:color w:val="auto"/>
              </w:rPr>
            </w:pPr>
            <w:r>
              <w:rPr>
                <w:rFonts w:ascii="Times New Roman" w:cs="Times New Roman" w:eastAsia="Times New Roman" w:hAnsi="Times New Roman"/>
                <w:sz w:val="16"/>
                <w:szCs w:val="16"/>
                <w:color w:val="auto"/>
              </w:rPr>
              <w:t>Not Applicable</w:t>
            </w:r>
          </w:p>
        </w:tc>
      </w:tr>
      <w:tr>
        <w:trPr>
          <w:trHeight w:val="189"/>
        </w:trPr>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6.05</w:t>
            </w:r>
          </w:p>
        </w:tc>
        <w:tc>
          <w:tcPr>
            <w:tcW w:w="1820" w:type="dxa"/>
            <w:vAlign w:val="bottom"/>
          </w:tcPr>
          <w:p>
            <w:pPr>
              <w:spacing w:after="0"/>
              <w:rPr>
                <w:sz w:val="16"/>
                <w:szCs w:val="16"/>
                <w:color w:val="auto"/>
              </w:rPr>
            </w:pPr>
          </w:p>
        </w:tc>
      </w:tr>
      <w:tr>
        <w:trPr>
          <w:trHeight w:val="189"/>
        </w:trPr>
        <w:tc>
          <w:tcPr>
            <w:tcW w:w="220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388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6"/>
                <w:szCs w:val="16"/>
                <w:color w:val="auto"/>
              </w:rPr>
              <w:t>(b)</w:t>
            </w:r>
          </w:p>
        </w:tc>
        <w:tc>
          <w:tcPr>
            <w:tcW w:w="1020" w:type="dxa"/>
            <w:vAlign w:val="bottom"/>
            <w:gridSpan w:val="2"/>
            <w:shd w:val="clear" w:color="auto" w:fill="E6EFFF"/>
          </w:tcPr>
          <w:p>
            <w:pPr>
              <w:ind w:left="520"/>
              <w:spacing w:after="0"/>
              <w:rPr>
                <w:sz w:val="20"/>
                <w:szCs w:val="20"/>
                <w:color w:val="auto"/>
              </w:rPr>
            </w:pPr>
            <w:r>
              <w:rPr>
                <w:rFonts w:ascii="Times New Roman" w:cs="Times New Roman" w:eastAsia="Times New Roman" w:hAnsi="Times New Roman"/>
                <w:sz w:val="16"/>
                <w:szCs w:val="16"/>
                <w:color w:val="auto"/>
              </w:rPr>
              <w:t>6.05</w:t>
            </w:r>
          </w:p>
        </w:tc>
        <w:tc>
          <w:tcPr>
            <w:tcW w:w="1820" w:type="dxa"/>
            <w:vAlign w:val="bottom"/>
            <w:shd w:val="clear" w:color="auto" w:fill="E6EFFF"/>
          </w:tcPr>
          <w:p>
            <w:pPr>
              <w:spacing w:after="0"/>
              <w:rPr>
                <w:sz w:val="16"/>
                <w:szCs w:val="16"/>
                <w:color w:val="auto"/>
              </w:rPr>
            </w:pPr>
          </w:p>
        </w:tc>
      </w:tr>
      <w:tr>
        <w:trPr>
          <w:trHeight w:val="189"/>
        </w:trPr>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w:t>
            </w:r>
          </w:p>
        </w:tc>
        <w:tc>
          <w:tcPr>
            <w:tcW w:w="284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Not Applicable</w:t>
            </w:r>
          </w:p>
        </w:tc>
      </w:tr>
      <w:tr>
        <w:trPr>
          <w:trHeight w:val="189"/>
        </w:trPr>
        <w:tc>
          <w:tcPr>
            <w:tcW w:w="2280" w:type="dxa"/>
            <w:vAlign w:val="bottom"/>
            <w:gridSpan w:val="2"/>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388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6"/>
                <w:szCs w:val="16"/>
                <w:color w:val="auto"/>
              </w:rPr>
              <w:t>(a)</w:t>
            </w:r>
          </w:p>
        </w:tc>
        <w:tc>
          <w:tcPr>
            <w:tcW w:w="1020" w:type="dxa"/>
            <w:vAlign w:val="bottom"/>
            <w:gridSpan w:val="2"/>
            <w:shd w:val="clear" w:color="auto" w:fill="E6EFFF"/>
          </w:tcPr>
          <w:p>
            <w:pPr>
              <w:ind w:left="520"/>
              <w:spacing w:after="0"/>
              <w:rPr>
                <w:sz w:val="20"/>
                <w:szCs w:val="20"/>
                <w:color w:val="auto"/>
              </w:rPr>
            </w:pPr>
            <w:r>
              <w:rPr>
                <w:rFonts w:ascii="Times New Roman" w:cs="Times New Roman" w:eastAsia="Times New Roman" w:hAnsi="Times New Roman"/>
                <w:sz w:val="16"/>
                <w:szCs w:val="16"/>
                <w:color w:val="auto"/>
              </w:rPr>
              <w:t>7.05</w:t>
            </w:r>
          </w:p>
        </w:tc>
        <w:tc>
          <w:tcPr>
            <w:tcW w:w="1820" w:type="dxa"/>
            <w:vAlign w:val="bottom"/>
            <w:shd w:val="clear" w:color="auto" w:fill="E6EFFF"/>
          </w:tcPr>
          <w:p>
            <w:pPr>
              <w:spacing w:after="0"/>
              <w:rPr>
                <w:sz w:val="16"/>
                <w:szCs w:val="16"/>
                <w:color w:val="auto"/>
              </w:rPr>
            </w:pPr>
          </w:p>
        </w:tc>
      </w:tr>
      <w:tr>
        <w:trPr>
          <w:trHeight w:val="189"/>
        </w:trPr>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(b)</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7.03</w:t>
            </w:r>
          </w:p>
        </w:tc>
        <w:tc>
          <w:tcPr>
            <w:tcW w:w="1820" w:type="dxa"/>
            <w:vAlign w:val="bottom"/>
          </w:tcPr>
          <w:p>
            <w:pPr>
              <w:spacing w:after="0"/>
              <w:rPr>
                <w:sz w:val="16"/>
                <w:szCs w:val="16"/>
                <w:color w:val="auto"/>
              </w:rPr>
            </w:pPr>
          </w:p>
        </w:tc>
      </w:tr>
      <w:tr>
        <w:trPr>
          <w:trHeight w:val="189"/>
        </w:trPr>
        <w:tc>
          <w:tcPr>
            <w:tcW w:w="220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388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6"/>
                <w:szCs w:val="16"/>
                <w:color w:val="auto"/>
              </w:rPr>
              <w:t>(c)</w:t>
            </w:r>
          </w:p>
        </w:tc>
        <w:tc>
          <w:tcPr>
            <w:tcW w:w="1020" w:type="dxa"/>
            <w:vAlign w:val="bottom"/>
            <w:gridSpan w:val="2"/>
            <w:shd w:val="clear" w:color="auto" w:fill="E6EFFF"/>
          </w:tcPr>
          <w:p>
            <w:pPr>
              <w:ind w:left="520"/>
              <w:spacing w:after="0"/>
              <w:rPr>
                <w:sz w:val="20"/>
                <w:szCs w:val="20"/>
                <w:color w:val="auto"/>
              </w:rPr>
            </w:pPr>
            <w:r>
              <w:rPr>
                <w:rFonts w:ascii="Times New Roman" w:cs="Times New Roman" w:eastAsia="Times New Roman" w:hAnsi="Times New Roman"/>
                <w:sz w:val="16"/>
                <w:szCs w:val="16"/>
                <w:color w:val="auto"/>
              </w:rPr>
              <w:t>7.03</w:t>
            </w:r>
          </w:p>
        </w:tc>
        <w:tc>
          <w:tcPr>
            <w:tcW w:w="1820" w:type="dxa"/>
            <w:vAlign w:val="bottom"/>
            <w:shd w:val="clear" w:color="auto" w:fill="E6EFFF"/>
          </w:tcPr>
          <w:p>
            <w:pPr>
              <w:spacing w:after="0"/>
              <w:rPr>
                <w:sz w:val="16"/>
                <w:szCs w:val="16"/>
                <w:color w:val="auto"/>
              </w:rPr>
            </w:pPr>
          </w:p>
        </w:tc>
      </w:tr>
      <w:tr>
        <w:trPr>
          <w:trHeight w:val="189"/>
        </w:trPr>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7.04</w:t>
            </w:r>
          </w:p>
        </w:tc>
        <w:tc>
          <w:tcPr>
            <w:tcW w:w="1820" w:type="dxa"/>
            <w:vAlign w:val="bottom"/>
          </w:tcPr>
          <w:p>
            <w:pPr>
              <w:spacing w:after="0"/>
              <w:rPr>
                <w:sz w:val="16"/>
                <w:szCs w:val="16"/>
                <w:color w:val="auto"/>
              </w:rPr>
            </w:pPr>
          </w:p>
        </w:tc>
      </w:tr>
      <w:tr>
        <w:trPr>
          <w:trHeight w:val="189"/>
        </w:trPr>
        <w:tc>
          <w:tcPr>
            <w:tcW w:w="220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388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6"/>
                <w:szCs w:val="16"/>
                <w:color w:val="auto"/>
              </w:rPr>
              <w:t>(b)</w:t>
            </w:r>
          </w:p>
        </w:tc>
        <w:tc>
          <w:tcPr>
            <w:tcW w:w="1020" w:type="dxa"/>
            <w:vAlign w:val="bottom"/>
            <w:gridSpan w:val="2"/>
            <w:shd w:val="clear" w:color="auto" w:fill="E6EFFF"/>
          </w:tcPr>
          <w:p>
            <w:pPr>
              <w:ind w:left="520"/>
              <w:spacing w:after="0"/>
              <w:rPr>
                <w:sz w:val="20"/>
                <w:szCs w:val="20"/>
                <w:color w:val="auto"/>
              </w:rPr>
            </w:pPr>
            <w:r>
              <w:rPr>
                <w:rFonts w:ascii="Times New Roman" w:cs="Times New Roman" w:eastAsia="Times New Roman" w:hAnsi="Times New Roman"/>
                <w:sz w:val="16"/>
                <w:szCs w:val="16"/>
                <w:color w:val="auto"/>
              </w:rPr>
              <w:t>7.04</w:t>
            </w:r>
          </w:p>
        </w:tc>
        <w:tc>
          <w:tcPr>
            <w:tcW w:w="1820" w:type="dxa"/>
            <w:vAlign w:val="bottom"/>
            <w:shd w:val="clear" w:color="auto" w:fill="E6EFFF"/>
          </w:tcPr>
          <w:p>
            <w:pPr>
              <w:spacing w:after="0"/>
              <w:rPr>
                <w:sz w:val="16"/>
                <w:szCs w:val="16"/>
                <w:color w:val="auto"/>
              </w:rPr>
            </w:pPr>
          </w:p>
        </w:tc>
      </w:tr>
      <w:tr>
        <w:trPr>
          <w:trHeight w:val="189"/>
        </w:trPr>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7.04</w:t>
            </w:r>
          </w:p>
        </w:tc>
        <w:tc>
          <w:tcPr>
            <w:tcW w:w="1820" w:type="dxa"/>
            <w:vAlign w:val="bottom"/>
          </w:tcPr>
          <w:p>
            <w:pPr>
              <w:spacing w:after="0"/>
              <w:rPr>
                <w:sz w:val="16"/>
                <w:szCs w:val="16"/>
                <w:color w:val="auto"/>
              </w:rPr>
            </w:pPr>
          </w:p>
        </w:tc>
      </w:tr>
      <w:tr>
        <w:trPr>
          <w:trHeight w:val="189"/>
        </w:trPr>
        <w:tc>
          <w:tcPr>
            <w:tcW w:w="220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388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6"/>
                <w:szCs w:val="16"/>
                <w:color w:val="auto"/>
              </w:rPr>
              <w:t>(d)</w:t>
            </w:r>
          </w:p>
        </w:tc>
        <w:tc>
          <w:tcPr>
            <w:tcW w:w="1020" w:type="dxa"/>
            <w:vAlign w:val="bottom"/>
            <w:gridSpan w:val="2"/>
            <w:shd w:val="clear" w:color="auto" w:fill="E6EFFF"/>
          </w:tcPr>
          <w:p>
            <w:pPr>
              <w:ind w:left="520"/>
              <w:spacing w:after="0"/>
              <w:rPr>
                <w:sz w:val="20"/>
                <w:szCs w:val="20"/>
                <w:color w:val="auto"/>
              </w:rPr>
            </w:pPr>
            <w:r>
              <w:rPr>
                <w:rFonts w:ascii="Times New Roman" w:cs="Times New Roman" w:eastAsia="Times New Roman" w:hAnsi="Times New Roman"/>
                <w:sz w:val="16"/>
                <w:szCs w:val="16"/>
                <w:color w:val="auto"/>
              </w:rPr>
              <w:t>7.05</w:t>
            </w:r>
          </w:p>
        </w:tc>
        <w:tc>
          <w:tcPr>
            <w:tcW w:w="1820" w:type="dxa"/>
            <w:vAlign w:val="bottom"/>
            <w:shd w:val="clear" w:color="auto" w:fill="E6EFFF"/>
          </w:tcPr>
          <w:p>
            <w:pPr>
              <w:spacing w:after="0"/>
              <w:rPr>
                <w:sz w:val="16"/>
                <w:szCs w:val="16"/>
                <w:color w:val="auto"/>
              </w:rPr>
            </w:pPr>
          </w:p>
        </w:tc>
      </w:tr>
      <w:tr>
        <w:trPr>
          <w:trHeight w:val="189"/>
        </w:trPr>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7.05</w:t>
            </w:r>
          </w:p>
        </w:tc>
        <w:tc>
          <w:tcPr>
            <w:tcW w:w="1820" w:type="dxa"/>
            <w:vAlign w:val="bottom"/>
          </w:tcPr>
          <w:p>
            <w:pPr>
              <w:spacing w:after="0"/>
              <w:rPr>
                <w:sz w:val="16"/>
                <w:szCs w:val="16"/>
                <w:color w:val="auto"/>
              </w:rPr>
            </w:pPr>
          </w:p>
        </w:tc>
      </w:tr>
      <w:tr>
        <w:trPr>
          <w:trHeight w:val="189"/>
        </w:trPr>
        <w:tc>
          <w:tcPr>
            <w:tcW w:w="220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388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6"/>
                <w:szCs w:val="16"/>
                <w:color w:val="auto"/>
              </w:rPr>
              <w:t>(a)(4)</w:t>
            </w:r>
          </w:p>
        </w:tc>
        <w:tc>
          <w:tcPr>
            <w:tcW w:w="1020" w:type="dxa"/>
            <w:vAlign w:val="bottom"/>
            <w:gridSpan w:val="2"/>
            <w:shd w:val="clear" w:color="auto" w:fill="E6EFFF"/>
          </w:tcPr>
          <w:p>
            <w:pPr>
              <w:ind w:left="520"/>
              <w:spacing w:after="0"/>
              <w:rPr>
                <w:sz w:val="20"/>
                <w:szCs w:val="20"/>
                <w:color w:val="auto"/>
              </w:rPr>
            </w:pPr>
            <w:r>
              <w:rPr>
                <w:rFonts w:ascii="Times New Roman" w:cs="Times New Roman" w:eastAsia="Times New Roman" w:hAnsi="Times New Roman"/>
                <w:sz w:val="16"/>
                <w:szCs w:val="16"/>
                <w:color w:val="auto"/>
              </w:rPr>
              <w:t>10.04</w:t>
            </w:r>
          </w:p>
        </w:tc>
        <w:tc>
          <w:tcPr>
            <w:tcW w:w="1820" w:type="dxa"/>
            <w:vAlign w:val="bottom"/>
            <w:shd w:val="clear" w:color="auto" w:fill="E6EFFF"/>
          </w:tcPr>
          <w:p>
            <w:pPr>
              <w:spacing w:after="0"/>
              <w:rPr>
                <w:sz w:val="16"/>
                <w:szCs w:val="16"/>
                <w:color w:val="auto"/>
              </w:rPr>
            </w:pPr>
          </w:p>
        </w:tc>
      </w:tr>
      <w:tr>
        <w:trPr>
          <w:trHeight w:val="189"/>
        </w:trPr>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(b)</w:t>
            </w:r>
          </w:p>
        </w:tc>
        <w:tc>
          <w:tcPr>
            <w:tcW w:w="284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Not Applicable</w:t>
            </w:r>
          </w:p>
        </w:tc>
      </w:tr>
      <w:tr>
        <w:trPr>
          <w:trHeight w:val="189"/>
        </w:trPr>
        <w:tc>
          <w:tcPr>
            <w:tcW w:w="220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388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6"/>
                <w:szCs w:val="16"/>
                <w:color w:val="auto"/>
              </w:rPr>
              <w:t>(c)(1)</w:t>
            </w:r>
          </w:p>
        </w:tc>
        <w:tc>
          <w:tcPr>
            <w:tcW w:w="1020" w:type="dxa"/>
            <w:vAlign w:val="bottom"/>
            <w:gridSpan w:val="2"/>
            <w:shd w:val="clear" w:color="auto" w:fill="E6EFFF"/>
          </w:tcPr>
          <w:p>
            <w:pPr>
              <w:ind w:left="520"/>
              <w:spacing w:after="0"/>
              <w:rPr>
                <w:sz w:val="20"/>
                <w:szCs w:val="20"/>
                <w:color w:val="auto"/>
              </w:rPr>
            </w:pPr>
            <w:r>
              <w:rPr>
                <w:rFonts w:ascii="Times New Roman" w:cs="Times New Roman" w:eastAsia="Times New Roman" w:hAnsi="Times New Roman"/>
                <w:sz w:val="16"/>
                <w:szCs w:val="16"/>
                <w:color w:val="auto"/>
              </w:rPr>
              <w:t>1.03</w:t>
            </w:r>
          </w:p>
        </w:tc>
        <w:tc>
          <w:tcPr>
            <w:tcW w:w="1820" w:type="dxa"/>
            <w:vAlign w:val="bottom"/>
            <w:shd w:val="clear" w:color="auto" w:fill="E6EFFF"/>
          </w:tcPr>
          <w:p>
            <w:pPr>
              <w:spacing w:after="0"/>
              <w:rPr>
                <w:sz w:val="16"/>
                <w:szCs w:val="16"/>
                <w:color w:val="auto"/>
              </w:rPr>
            </w:pPr>
          </w:p>
        </w:tc>
      </w:tr>
      <w:tr>
        <w:trPr>
          <w:trHeight w:val="189"/>
        </w:trPr>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(c)(2)</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1.03</w:t>
            </w:r>
          </w:p>
        </w:tc>
        <w:tc>
          <w:tcPr>
            <w:tcW w:w="1820" w:type="dxa"/>
            <w:vAlign w:val="bottom"/>
          </w:tcPr>
          <w:p>
            <w:pPr>
              <w:spacing w:after="0"/>
              <w:rPr>
                <w:sz w:val="16"/>
                <w:szCs w:val="16"/>
                <w:color w:val="auto"/>
              </w:rPr>
            </w:pPr>
          </w:p>
        </w:tc>
      </w:tr>
      <w:tr>
        <w:trPr>
          <w:trHeight w:val="189"/>
        </w:trPr>
        <w:tc>
          <w:tcPr>
            <w:tcW w:w="220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388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6"/>
                <w:szCs w:val="16"/>
                <w:color w:val="auto"/>
              </w:rPr>
              <w:t>(d)</w:t>
            </w:r>
          </w:p>
        </w:tc>
        <w:tc>
          <w:tcPr>
            <w:tcW w:w="2840" w:type="dxa"/>
            <w:vAlign w:val="bottom"/>
            <w:gridSpan w:val="3"/>
            <w:shd w:val="clear" w:color="auto" w:fill="E6EFFF"/>
          </w:tcPr>
          <w:p>
            <w:pPr>
              <w:ind w:left="520"/>
              <w:spacing w:after="0"/>
              <w:rPr>
                <w:sz w:val="20"/>
                <w:szCs w:val="20"/>
                <w:color w:val="auto"/>
              </w:rPr>
            </w:pPr>
            <w:r>
              <w:rPr>
                <w:rFonts w:ascii="Times New Roman" w:cs="Times New Roman" w:eastAsia="Times New Roman" w:hAnsi="Times New Roman"/>
                <w:sz w:val="16"/>
                <w:szCs w:val="16"/>
                <w:color w:val="auto"/>
              </w:rPr>
              <w:t>Not Applicable</w:t>
            </w:r>
          </w:p>
        </w:tc>
      </w:tr>
      <w:tr>
        <w:trPr>
          <w:trHeight w:val="189"/>
        </w:trPr>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(e)</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1.03</w:t>
            </w:r>
          </w:p>
        </w:tc>
        <w:tc>
          <w:tcPr>
            <w:tcW w:w="1820" w:type="dxa"/>
            <w:vAlign w:val="bottom"/>
          </w:tcPr>
          <w:p>
            <w:pPr>
              <w:spacing w:after="0"/>
              <w:rPr>
                <w:sz w:val="16"/>
                <w:szCs w:val="16"/>
                <w:color w:val="auto"/>
              </w:rPr>
            </w:pPr>
          </w:p>
        </w:tc>
      </w:tr>
      <w:tr>
        <w:trPr>
          <w:trHeight w:val="189"/>
        </w:trPr>
        <w:tc>
          <w:tcPr>
            <w:tcW w:w="220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388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6"/>
                <w:szCs w:val="16"/>
                <w:color w:val="auto"/>
              </w:rPr>
              <w:t>(f)</w:t>
            </w:r>
          </w:p>
        </w:tc>
        <w:tc>
          <w:tcPr>
            <w:tcW w:w="2840" w:type="dxa"/>
            <w:vAlign w:val="bottom"/>
            <w:gridSpan w:val="3"/>
            <w:shd w:val="clear" w:color="auto" w:fill="E6EFFF"/>
          </w:tcPr>
          <w:p>
            <w:pPr>
              <w:ind w:left="520"/>
              <w:spacing w:after="0"/>
              <w:rPr>
                <w:sz w:val="20"/>
                <w:szCs w:val="20"/>
                <w:color w:val="auto"/>
              </w:rPr>
            </w:pPr>
            <w:r>
              <w:rPr>
                <w:rFonts w:ascii="Times New Roman" w:cs="Times New Roman" w:eastAsia="Times New Roman" w:hAnsi="Times New Roman"/>
                <w:sz w:val="16"/>
                <w:szCs w:val="16"/>
                <w:color w:val="auto"/>
              </w:rPr>
              <w:t>Not Applicable</w:t>
            </w:r>
          </w:p>
        </w:tc>
      </w:tr>
      <w:tr>
        <w:trPr>
          <w:trHeight w:val="189"/>
        </w:trPr>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6.02</w:t>
            </w:r>
          </w:p>
        </w:tc>
        <w:tc>
          <w:tcPr>
            <w:tcW w:w="1820" w:type="dxa"/>
            <w:vAlign w:val="bottom"/>
          </w:tcPr>
          <w:p>
            <w:pPr>
              <w:spacing w:after="0"/>
              <w:rPr>
                <w:sz w:val="16"/>
                <w:szCs w:val="16"/>
                <w:color w:val="auto"/>
              </w:rPr>
            </w:pPr>
          </w:p>
        </w:tc>
      </w:tr>
      <w:tr>
        <w:trPr>
          <w:trHeight w:val="189"/>
        </w:trPr>
        <w:tc>
          <w:tcPr>
            <w:tcW w:w="220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388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6"/>
                <w:szCs w:val="16"/>
                <w:color w:val="auto"/>
              </w:rPr>
              <w:t>(b)</w:t>
            </w:r>
          </w:p>
        </w:tc>
        <w:tc>
          <w:tcPr>
            <w:tcW w:w="1020" w:type="dxa"/>
            <w:vAlign w:val="bottom"/>
            <w:gridSpan w:val="2"/>
            <w:shd w:val="clear" w:color="auto" w:fill="E6EFFF"/>
          </w:tcPr>
          <w:p>
            <w:pPr>
              <w:ind w:left="520"/>
              <w:spacing w:after="0"/>
              <w:rPr>
                <w:sz w:val="20"/>
                <w:szCs w:val="20"/>
                <w:color w:val="auto"/>
              </w:rPr>
            </w:pPr>
            <w:r>
              <w:rPr>
                <w:rFonts w:ascii="Times New Roman" w:cs="Times New Roman" w:eastAsia="Times New Roman" w:hAnsi="Times New Roman"/>
                <w:sz w:val="16"/>
                <w:szCs w:val="16"/>
                <w:color w:val="auto"/>
              </w:rPr>
              <w:t>6.01</w:t>
            </w:r>
          </w:p>
        </w:tc>
        <w:tc>
          <w:tcPr>
            <w:tcW w:w="1820" w:type="dxa"/>
            <w:vAlign w:val="bottom"/>
            <w:shd w:val="clear" w:color="auto" w:fill="E6EFFF"/>
          </w:tcPr>
          <w:p>
            <w:pPr>
              <w:spacing w:after="0"/>
              <w:rPr>
                <w:sz w:val="16"/>
                <w:szCs w:val="16"/>
                <w:color w:val="auto"/>
              </w:rPr>
            </w:pPr>
          </w:p>
        </w:tc>
      </w:tr>
      <w:tr>
        <w:trPr>
          <w:trHeight w:val="189"/>
        </w:trPr>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6.02</w:t>
            </w:r>
          </w:p>
        </w:tc>
        <w:tc>
          <w:tcPr>
            <w:tcW w:w="1820" w:type="dxa"/>
            <w:vAlign w:val="bottom"/>
          </w:tcPr>
          <w:p>
            <w:pPr>
              <w:spacing w:after="0"/>
              <w:rPr>
                <w:sz w:val="16"/>
                <w:szCs w:val="16"/>
                <w:color w:val="auto"/>
              </w:rPr>
            </w:pPr>
          </w:p>
        </w:tc>
      </w:tr>
      <w:tr>
        <w:trPr>
          <w:trHeight w:val="189"/>
        </w:trPr>
        <w:tc>
          <w:tcPr>
            <w:tcW w:w="220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388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6"/>
                <w:szCs w:val="16"/>
                <w:color w:val="auto"/>
              </w:rPr>
              <w:t>(d)</w:t>
            </w:r>
          </w:p>
        </w:tc>
        <w:tc>
          <w:tcPr>
            <w:tcW w:w="1020" w:type="dxa"/>
            <w:vAlign w:val="bottom"/>
            <w:gridSpan w:val="2"/>
            <w:shd w:val="clear" w:color="auto" w:fill="E6EFFF"/>
          </w:tcPr>
          <w:p>
            <w:pPr>
              <w:ind w:left="520"/>
              <w:spacing w:after="0"/>
              <w:rPr>
                <w:sz w:val="20"/>
                <w:szCs w:val="20"/>
                <w:color w:val="auto"/>
              </w:rPr>
            </w:pPr>
            <w:r>
              <w:rPr>
                <w:rFonts w:ascii="Times New Roman" w:cs="Times New Roman" w:eastAsia="Times New Roman" w:hAnsi="Times New Roman"/>
                <w:sz w:val="16"/>
                <w:szCs w:val="16"/>
                <w:color w:val="auto"/>
              </w:rPr>
              <w:t>6.02</w:t>
            </w:r>
          </w:p>
        </w:tc>
        <w:tc>
          <w:tcPr>
            <w:tcW w:w="1820" w:type="dxa"/>
            <w:vAlign w:val="bottom"/>
            <w:shd w:val="clear" w:color="auto" w:fill="E6EFFF"/>
          </w:tcPr>
          <w:p>
            <w:pPr>
              <w:spacing w:after="0"/>
              <w:rPr>
                <w:sz w:val="16"/>
                <w:szCs w:val="16"/>
                <w:color w:val="auto"/>
              </w:rPr>
            </w:pPr>
          </w:p>
        </w:tc>
      </w:tr>
      <w:tr>
        <w:trPr>
          <w:trHeight w:val="189"/>
        </w:trPr>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(e)</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5.15</w:t>
            </w:r>
          </w:p>
        </w:tc>
        <w:tc>
          <w:tcPr>
            <w:tcW w:w="1820" w:type="dxa"/>
            <w:vAlign w:val="bottom"/>
          </w:tcPr>
          <w:p>
            <w:pPr>
              <w:spacing w:after="0"/>
              <w:rPr>
                <w:sz w:val="16"/>
                <w:szCs w:val="16"/>
                <w:color w:val="auto"/>
              </w:rPr>
            </w:pPr>
          </w:p>
        </w:tc>
      </w:tr>
      <w:tr>
        <w:trPr>
          <w:trHeight w:val="189"/>
        </w:trPr>
        <w:tc>
          <w:tcPr>
            <w:tcW w:w="2280" w:type="dxa"/>
            <w:vAlign w:val="bottom"/>
            <w:gridSpan w:val="2"/>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388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6"/>
                <w:szCs w:val="16"/>
                <w:color w:val="auto"/>
              </w:rPr>
              <w:t>(a)(last sentence)</w:t>
            </w:r>
          </w:p>
        </w:tc>
        <w:tc>
          <w:tcPr>
            <w:tcW w:w="2840" w:type="dxa"/>
            <w:vAlign w:val="bottom"/>
            <w:gridSpan w:val="3"/>
            <w:shd w:val="clear" w:color="auto" w:fill="E6EFFF"/>
          </w:tcPr>
          <w:p>
            <w:pPr>
              <w:ind w:left="520"/>
              <w:spacing w:after="0"/>
              <w:rPr>
                <w:sz w:val="20"/>
                <w:szCs w:val="20"/>
                <w:color w:val="auto"/>
              </w:rPr>
            </w:pPr>
            <w:r>
              <w:rPr>
                <w:rFonts w:ascii="Times New Roman" w:cs="Times New Roman" w:eastAsia="Times New Roman" w:hAnsi="Times New Roman"/>
                <w:sz w:val="16"/>
                <w:szCs w:val="16"/>
                <w:color w:val="auto"/>
              </w:rPr>
              <w:t>1.01 ("Outstanding")</w:t>
            </w:r>
          </w:p>
        </w:tc>
      </w:tr>
      <w:tr>
        <w:trPr>
          <w:trHeight w:val="189"/>
        </w:trPr>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(a)(1)(A)</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5.12</w:t>
            </w:r>
          </w:p>
        </w:tc>
        <w:tc>
          <w:tcPr>
            <w:tcW w:w="1820" w:type="dxa"/>
            <w:vAlign w:val="bottom"/>
          </w:tcPr>
          <w:p>
            <w:pPr>
              <w:spacing w:after="0"/>
              <w:rPr>
                <w:sz w:val="16"/>
                <w:szCs w:val="16"/>
                <w:color w:val="auto"/>
              </w:rPr>
            </w:pPr>
          </w:p>
        </w:tc>
      </w:tr>
      <w:tr>
        <w:trPr>
          <w:trHeight w:val="189"/>
        </w:trPr>
        <w:tc>
          <w:tcPr>
            <w:tcW w:w="220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388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6"/>
                <w:szCs w:val="16"/>
                <w:color w:val="auto"/>
              </w:rPr>
              <w:t>(a)(1)(B)</w:t>
            </w:r>
          </w:p>
        </w:tc>
        <w:tc>
          <w:tcPr>
            <w:tcW w:w="2840" w:type="dxa"/>
            <w:vAlign w:val="bottom"/>
            <w:gridSpan w:val="3"/>
            <w:shd w:val="clear" w:color="auto" w:fill="E6EFFF"/>
          </w:tcPr>
          <w:p>
            <w:pPr>
              <w:ind w:left="520"/>
              <w:spacing w:after="0"/>
              <w:rPr>
                <w:sz w:val="20"/>
                <w:szCs w:val="20"/>
                <w:color w:val="auto"/>
              </w:rPr>
            </w:pPr>
            <w:r>
              <w:rPr>
                <w:rFonts w:ascii="Times New Roman" w:cs="Times New Roman" w:eastAsia="Times New Roman" w:hAnsi="Times New Roman"/>
                <w:sz w:val="16"/>
                <w:szCs w:val="16"/>
                <w:color w:val="auto"/>
              </w:rPr>
              <w:t>5.02, 5.13</w:t>
            </w:r>
          </w:p>
        </w:tc>
      </w:tr>
      <w:tr>
        <w:trPr>
          <w:trHeight w:val="189"/>
        </w:trPr>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(a)(2)</w:t>
            </w:r>
          </w:p>
        </w:tc>
        <w:tc>
          <w:tcPr>
            <w:tcW w:w="284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Not Applicable</w:t>
            </w:r>
          </w:p>
        </w:tc>
      </w:tr>
      <w:tr>
        <w:trPr>
          <w:trHeight w:val="189"/>
        </w:trPr>
        <w:tc>
          <w:tcPr>
            <w:tcW w:w="220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388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6"/>
                <w:szCs w:val="16"/>
                <w:color w:val="auto"/>
              </w:rPr>
              <w:t>(b)</w:t>
            </w:r>
          </w:p>
        </w:tc>
        <w:tc>
          <w:tcPr>
            <w:tcW w:w="1020" w:type="dxa"/>
            <w:vAlign w:val="bottom"/>
            <w:gridSpan w:val="2"/>
            <w:shd w:val="clear" w:color="auto" w:fill="E6EFFF"/>
          </w:tcPr>
          <w:p>
            <w:pPr>
              <w:ind w:left="520"/>
              <w:spacing w:after="0"/>
              <w:rPr>
                <w:sz w:val="20"/>
                <w:szCs w:val="20"/>
                <w:color w:val="auto"/>
              </w:rPr>
            </w:pPr>
            <w:r>
              <w:rPr>
                <w:rFonts w:ascii="Times New Roman" w:cs="Times New Roman" w:eastAsia="Times New Roman" w:hAnsi="Times New Roman"/>
                <w:sz w:val="16"/>
                <w:szCs w:val="16"/>
                <w:color w:val="auto"/>
              </w:rPr>
              <w:t>5.08</w:t>
            </w:r>
          </w:p>
        </w:tc>
        <w:tc>
          <w:tcPr>
            <w:tcW w:w="1820" w:type="dxa"/>
            <w:vAlign w:val="bottom"/>
            <w:shd w:val="clear" w:color="auto" w:fill="E6EFFF"/>
          </w:tcPr>
          <w:p>
            <w:pPr>
              <w:spacing w:after="0"/>
              <w:rPr>
                <w:sz w:val="16"/>
                <w:szCs w:val="16"/>
                <w:color w:val="auto"/>
              </w:rPr>
            </w:pPr>
          </w:p>
        </w:tc>
      </w:tr>
      <w:tr>
        <w:trPr>
          <w:trHeight w:val="189"/>
        </w:trPr>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w:t>
            </w:r>
          </w:p>
        </w:tc>
        <w:tc>
          <w:tcPr>
            <w:tcW w:w="284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1.04(e)</w:t>
            </w:r>
          </w:p>
        </w:tc>
      </w:tr>
      <w:tr>
        <w:trPr>
          <w:trHeight w:val="189"/>
        </w:trPr>
        <w:tc>
          <w:tcPr>
            <w:tcW w:w="2280" w:type="dxa"/>
            <w:vAlign w:val="bottom"/>
            <w:gridSpan w:val="2"/>
            <w:shd w:val="clear" w:color="auto" w:fill="E6EF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388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6"/>
                <w:szCs w:val="16"/>
                <w:color w:val="auto"/>
              </w:rPr>
              <w:t>(a)(1)</w:t>
            </w:r>
          </w:p>
        </w:tc>
        <w:tc>
          <w:tcPr>
            <w:tcW w:w="1020" w:type="dxa"/>
            <w:vAlign w:val="bottom"/>
            <w:gridSpan w:val="2"/>
            <w:shd w:val="clear" w:color="auto" w:fill="E6EFFF"/>
          </w:tcPr>
          <w:p>
            <w:pPr>
              <w:ind w:left="520"/>
              <w:spacing w:after="0"/>
              <w:rPr>
                <w:sz w:val="20"/>
                <w:szCs w:val="20"/>
                <w:color w:val="auto"/>
              </w:rPr>
            </w:pPr>
            <w:r>
              <w:rPr>
                <w:rFonts w:ascii="Times New Roman" w:cs="Times New Roman" w:eastAsia="Times New Roman" w:hAnsi="Times New Roman"/>
                <w:sz w:val="16"/>
                <w:szCs w:val="16"/>
                <w:color w:val="auto"/>
              </w:rPr>
              <w:t>5.03</w:t>
            </w:r>
          </w:p>
        </w:tc>
        <w:tc>
          <w:tcPr>
            <w:tcW w:w="1820" w:type="dxa"/>
            <w:vAlign w:val="bottom"/>
            <w:shd w:val="clear" w:color="auto" w:fill="E6EFFF"/>
          </w:tcPr>
          <w:p>
            <w:pPr>
              <w:spacing w:after="0"/>
              <w:rPr>
                <w:sz w:val="16"/>
                <w:szCs w:val="16"/>
                <w:color w:val="auto"/>
              </w:rPr>
            </w:pPr>
          </w:p>
        </w:tc>
      </w:tr>
      <w:tr>
        <w:trPr>
          <w:trHeight w:val="189"/>
        </w:trPr>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(a)(2)</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5.04</w:t>
            </w:r>
          </w:p>
        </w:tc>
        <w:tc>
          <w:tcPr>
            <w:tcW w:w="1820" w:type="dxa"/>
            <w:vAlign w:val="bottom"/>
          </w:tcPr>
          <w:p>
            <w:pPr>
              <w:spacing w:after="0"/>
              <w:rPr>
                <w:sz w:val="16"/>
                <w:szCs w:val="16"/>
                <w:color w:val="auto"/>
              </w:rPr>
            </w:pPr>
          </w:p>
        </w:tc>
      </w:tr>
      <w:tr>
        <w:trPr>
          <w:trHeight w:val="189"/>
        </w:trPr>
        <w:tc>
          <w:tcPr>
            <w:tcW w:w="2200" w:type="dxa"/>
            <w:vAlign w:val="bottom"/>
            <w:shd w:val="clear" w:color="auto" w:fill="E6EFFF"/>
          </w:tcPr>
          <w:p>
            <w:pPr>
              <w:spacing w:after="0"/>
              <w:rPr>
                <w:sz w:val="16"/>
                <w:szCs w:val="16"/>
                <w:color w:val="auto"/>
              </w:rPr>
            </w:pPr>
          </w:p>
        </w:tc>
        <w:tc>
          <w:tcPr>
            <w:tcW w:w="80" w:type="dxa"/>
            <w:vAlign w:val="bottom"/>
            <w:shd w:val="clear" w:color="auto" w:fill="E6EFFF"/>
          </w:tcPr>
          <w:p>
            <w:pPr>
              <w:spacing w:after="0"/>
              <w:rPr>
                <w:sz w:val="16"/>
                <w:szCs w:val="16"/>
                <w:color w:val="auto"/>
              </w:rPr>
            </w:pPr>
          </w:p>
        </w:tc>
        <w:tc>
          <w:tcPr>
            <w:tcW w:w="388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6"/>
                <w:szCs w:val="16"/>
                <w:color w:val="auto"/>
              </w:rPr>
              <w:t>(b)</w:t>
            </w:r>
          </w:p>
        </w:tc>
        <w:tc>
          <w:tcPr>
            <w:tcW w:w="1020" w:type="dxa"/>
            <w:vAlign w:val="bottom"/>
            <w:gridSpan w:val="2"/>
            <w:shd w:val="clear" w:color="auto" w:fill="E6EFFF"/>
          </w:tcPr>
          <w:p>
            <w:pPr>
              <w:ind w:left="520"/>
              <w:spacing w:after="0"/>
              <w:rPr>
                <w:sz w:val="20"/>
                <w:szCs w:val="20"/>
                <w:color w:val="auto"/>
              </w:rPr>
            </w:pPr>
            <w:r>
              <w:rPr>
                <w:rFonts w:ascii="Times New Roman" w:cs="Times New Roman" w:eastAsia="Times New Roman" w:hAnsi="Times New Roman"/>
                <w:sz w:val="16"/>
                <w:szCs w:val="16"/>
                <w:color w:val="auto"/>
              </w:rPr>
              <w:t>10.03</w:t>
            </w:r>
          </w:p>
        </w:tc>
        <w:tc>
          <w:tcPr>
            <w:tcW w:w="1820" w:type="dxa"/>
            <w:vAlign w:val="bottom"/>
            <w:shd w:val="clear" w:color="auto" w:fill="E6EFFF"/>
          </w:tcPr>
          <w:p>
            <w:pPr>
              <w:spacing w:after="0"/>
              <w:rPr>
                <w:sz w:val="16"/>
                <w:szCs w:val="16"/>
                <w:color w:val="auto"/>
              </w:rPr>
            </w:pPr>
          </w:p>
        </w:tc>
      </w:tr>
      <w:tr>
        <w:trPr>
          <w:trHeight w:val="206"/>
        </w:trPr>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(a)</w:t>
            </w: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1.16</w:t>
            </w:r>
          </w:p>
        </w:tc>
        <w:tc>
          <w:tcPr>
            <w:tcW w:w="1820" w:type="dxa"/>
            <w:vAlign w:val="bottom"/>
          </w:tcPr>
          <w:p>
            <w:pPr>
              <w:spacing w:after="0"/>
              <w:rPr>
                <w:sz w:val="17"/>
                <w:szCs w:val="17"/>
                <w:color w:val="auto"/>
              </w:rPr>
            </w:pP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Note: This Cross-Reference Table shall not, for any purpose, be deemed to be part of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66" w:name="page67"/>
    <w:bookmarkEnd w:id="66"/>
    <w:p>
      <w:pPr>
        <w:ind w:left="560"/>
        <w:spacing w:after="0"/>
        <w:rPr>
          <w:sz w:val="20"/>
          <w:szCs w:val="20"/>
          <w:color w:val="auto"/>
        </w:rPr>
      </w:pPr>
      <w:r>
        <w:rPr>
          <w:rFonts w:ascii="Times New Roman" w:cs="Times New Roman" w:eastAsia="Times New Roman" w:hAnsi="Times New Roman"/>
          <w:sz w:val="19"/>
          <w:szCs w:val="19"/>
          <w:color w:val="auto"/>
        </w:rPr>
        <w:t>This INDENTURE, dated as of ____________________, is entered into by and among Cybin Inc., a corporation duly continued and</w:t>
      </w:r>
    </w:p>
    <w:p>
      <w:pPr>
        <w:spacing w:after="0" w:line="1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existing under the laws of the Province of Ontario, Canada (herein called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having its principal office at 100 King Street West, Suite 5600, Toronto, Ontario, Canada, M5X 1C9, and ______________________, a ______________________, organized under the laws of</w:t>
      </w:r>
    </w:p>
    <w:p>
      <w:pPr>
        <w:spacing w:after="0" w:line="235" w:lineRule="auto"/>
        <w:rPr>
          <w:sz w:val="20"/>
          <w:szCs w:val="20"/>
          <w:color w:val="auto"/>
        </w:rPr>
      </w:pPr>
      <w:r>
        <w:rPr>
          <w:rFonts w:ascii="Times New Roman" w:cs="Times New Roman" w:eastAsia="Times New Roman" w:hAnsi="Times New Roman"/>
          <w:sz w:val="19"/>
          <w:szCs w:val="19"/>
          <w:color w:val="auto"/>
        </w:rPr>
        <w:t>______________________, as U.S. trustee (herein called the "</w:t>
      </w:r>
      <w:r>
        <w:rPr>
          <w:rFonts w:ascii="Times New Roman" w:cs="Times New Roman" w:eastAsia="Times New Roman" w:hAnsi="Times New Roman"/>
          <w:sz w:val="19"/>
          <w:szCs w:val="19"/>
          <w:b w:val="1"/>
          <w:bCs w:val="1"/>
          <w:color w:val="auto"/>
        </w:rPr>
        <w:t>U.S. Trustee</w:t>
      </w:r>
      <w:r>
        <w:rPr>
          <w:rFonts w:ascii="Times New Roman" w:cs="Times New Roman" w:eastAsia="Times New Roman" w:hAnsi="Times New Roman"/>
          <w:sz w:val="19"/>
          <w:szCs w:val="19"/>
          <w:color w:val="auto"/>
        </w:rPr>
        <w:t>"), and ______________________, a ______________________,</w:t>
      </w:r>
    </w:p>
    <w:p>
      <w:pPr>
        <w:spacing w:after="0" w:line="234" w:lineRule="auto"/>
        <w:rPr>
          <w:sz w:val="20"/>
          <w:szCs w:val="20"/>
          <w:color w:val="auto"/>
        </w:rPr>
      </w:pPr>
      <w:r>
        <w:rPr>
          <w:rFonts w:ascii="Times New Roman" w:cs="Times New Roman" w:eastAsia="Times New Roman" w:hAnsi="Times New Roman"/>
          <w:sz w:val="19"/>
          <w:szCs w:val="19"/>
          <w:color w:val="auto"/>
        </w:rPr>
        <w:t>organized under the laws of ______________________, as Canadian trustee (the "</w:t>
      </w:r>
      <w:r>
        <w:rPr>
          <w:rFonts w:ascii="Times New Roman" w:cs="Times New Roman" w:eastAsia="Times New Roman" w:hAnsi="Times New Roman"/>
          <w:sz w:val="19"/>
          <w:szCs w:val="19"/>
          <w:b w:val="1"/>
          <w:bCs w:val="1"/>
          <w:color w:val="auto"/>
        </w:rPr>
        <w:t>Canadian Trustee</w:t>
      </w:r>
      <w:r>
        <w:rPr>
          <w:rFonts w:ascii="Times New Roman" w:cs="Times New Roman" w:eastAsia="Times New Roman" w:hAnsi="Times New Roman"/>
          <w:sz w:val="19"/>
          <w:szCs w:val="19"/>
          <w:color w:val="auto"/>
        </w:rPr>
        <w:t>" and, together with the U.S. Trustee, the</w:t>
      </w: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Trustees</w:t>
      </w:r>
      <w:r>
        <w:rPr>
          <w:rFonts w:ascii="Times New Roman" w:cs="Times New Roman" w:eastAsia="Times New Roman" w:hAnsi="Times New Roman"/>
          <w:sz w:val="19"/>
          <w:szCs w:val="19"/>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164" w:lineRule="exact"/>
        <w:rPr>
          <w:sz w:val="20"/>
          <w:szCs w:val="20"/>
          <w:color w:val="auto"/>
        </w:rPr>
      </w:pPr>
    </w:p>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The Company has duly authorized the execution and delivery of this Indenture to provide for the issuance from time to time of its debentures, notes, bonds or other evidences of indebtedness (herein called the "</w:t>
      </w:r>
      <w:r>
        <w:rPr>
          <w:rFonts w:ascii="Times New Roman" w:cs="Times New Roman" w:eastAsia="Times New Roman" w:hAnsi="Times New Roman"/>
          <w:sz w:val="19"/>
          <w:szCs w:val="19"/>
          <w:b w:val="1"/>
          <w:bCs w:val="1"/>
          <w:color w:val="auto"/>
        </w:rPr>
        <w:t>Securities</w:t>
      </w:r>
      <w:r>
        <w:rPr>
          <w:rFonts w:ascii="Times New Roman" w:cs="Times New Roman" w:eastAsia="Times New Roman" w:hAnsi="Times New Roman"/>
          <w:sz w:val="19"/>
          <w:szCs w:val="19"/>
          <w:color w:val="auto"/>
        </w:rPr>
        <w:t>"), which may be convertible into or exchangeable for any securities of any Person (including the Company), to be issued in one or more series as in this Indenture provided.</w:t>
      </w:r>
    </w:p>
    <w:p>
      <w:pPr>
        <w:spacing w:after="0" w:line="115" w:lineRule="exact"/>
        <w:rPr>
          <w:sz w:val="20"/>
          <w:szCs w:val="20"/>
          <w:color w:val="auto"/>
        </w:rPr>
      </w:pPr>
    </w:p>
    <w:p>
      <w:pPr>
        <w:jc w:val="both"/>
        <w:ind w:right="20" w:firstLine="568"/>
        <w:spacing w:after="0" w:line="262" w:lineRule="auto"/>
        <w:rPr>
          <w:sz w:val="20"/>
          <w:szCs w:val="20"/>
          <w:color w:val="auto"/>
        </w:rPr>
      </w:pPr>
      <w:r>
        <w:rPr>
          <w:rFonts w:ascii="Times New Roman" w:cs="Times New Roman" w:eastAsia="Times New Roman" w:hAnsi="Times New Roman"/>
          <w:sz w:val="19"/>
          <w:szCs w:val="19"/>
          <w:color w:val="auto"/>
        </w:rPr>
        <w:t>This Indenture is subject to the provisions of Trust Indenture Legislation that are required to be part of this Indenture and shall, to the extent applicable, be governed by such provisions.</w:t>
      </w:r>
    </w:p>
    <w:p>
      <w:pPr>
        <w:spacing w:after="0" w:line="1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All things necessary to make this Indenture a valid agreement of the Company, in accordance with its terms, have been done.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NOW, THEREFORE, THIS INDENTURE WITNESSETH:</w:t>
      </w:r>
    </w:p>
    <w:p>
      <w:pPr>
        <w:spacing w:after="0" w:line="148" w:lineRule="exact"/>
        <w:rPr>
          <w:sz w:val="20"/>
          <w:szCs w:val="20"/>
          <w:color w:val="auto"/>
        </w:rPr>
      </w:pPr>
    </w:p>
    <w:p>
      <w:pPr>
        <w:jc w:val="both"/>
        <w:ind w:right="20" w:firstLine="568"/>
        <w:spacing w:after="0" w:line="262" w:lineRule="auto"/>
        <w:rPr>
          <w:sz w:val="20"/>
          <w:szCs w:val="20"/>
          <w:color w:val="auto"/>
        </w:rPr>
      </w:pPr>
      <w:r>
        <w:rPr>
          <w:rFonts w:ascii="Times New Roman" w:cs="Times New Roman" w:eastAsia="Times New Roman" w:hAnsi="Times New Roman"/>
          <w:sz w:val="19"/>
          <w:szCs w:val="19"/>
          <w:color w:val="auto"/>
        </w:rPr>
        <w:t>For and in consideration of the premises and the purchase of the Securities by the Holders thereof, it is mutually covenanted and agreed, for the equal and proportionate benefit of all Holders of the Securities or of series thereof, as follows: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ONE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DEFINITIONS AND OTHER PROVISIONS OF GENERAL APPLICATION</w:t>
      </w:r>
    </w:p>
    <w:p>
      <w:pPr>
        <w:spacing w:after="0" w:line="136"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1.01</w:t>
      </w:r>
      <w:r>
        <w:rPr>
          <w:sz w:val="20"/>
          <w:szCs w:val="20"/>
          <w:color w:val="auto"/>
        </w:rPr>
        <w:tab/>
      </w:r>
      <w:r>
        <w:rPr>
          <w:rFonts w:ascii="Times New Roman" w:cs="Times New Roman" w:eastAsia="Times New Roman" w:hAnsi="Times New Roman"/>
          <w:sz w:val="19"/>
          <w:szCs w:val="19"/>
          <w:b w:val="1"/>
          <w:bCs w:val="1"/>
          <w:color w:val="auto"/>
        </w:rPr>
        <w:t>Definitions</w:t>
      </w:r>
      <w:r>
        <w:rPr>
          <w:rFonts w:ascii="Times New Roman" w:cs="Times New Roman" w:eastAsia="Times New Roman" w:hAnsi="Times New Roman"/>
          <w:sz w:val="19"/>
          <w:szCs w:val="19"/>
          <w:color w:val="auto"/>
        </w:rPr>
        <w:t>.</w:t>
      </w:r>
    </w:p>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Act</w:t>
      </w:r>
      <w:r>
        <w:rPr>
          <w:rFonts w:ascii="Times New Roman" w:cs="Times New Roman" w:eastAsia="Times New Roman" w:hAnsi="Times New Roman"/>
          <w:sz w:val="19"/>
          <w:szCs w:val="19"/>
          <w:color w:val="auto"/>
        </w:rPr>
        <w:t>," when used with respect to any Holder, has the meaning specified in Section 1.04.</w:t>
      </w:r>
    </w:p>
    <w:p>
      <w:pPr>
        <w:spacing w:after="0" w:line="148" w:lineRule="exact"/>
        <w:rPr>
          <w:sz w:val="20"/>
          <w:szCs w:val="20"/>
          <w:color w:val="auto"/>
        </w:rPr>
      </w:pPr>
    </w:p>
    <w:p>
      <w:pPr>
        <w:jc w:val="both"/>
        <w:ind w:right="20" w:firstLine="568"/>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29" w:lineRule="exact"/>
        <w:rPr>
          <w:sz w:val="20"/>
          <w:szCs w:val="20"/>
          <w:color w:val="auto"/>
        </w:rPr>
      </w:pPr>
    </w:p>
    <w:p>
      <w:pPr>
        <w:jc w:val="both"/>
        <w:ind w:right="20" w:firstLine="56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Authenticating Agent</w:t>
      </w:r>
      <w:r>
        <w:rPr>
          <w:rFonts w:ascii="Times New Roman" w:cs="Times New Roman" w:eastAsia="Times New Roman" w:hAnsi="Times New Roman"/>
          <w:sz w:val="19"/>
          <w:szCs w:val="19"/>
          <w:color w:val="auto"/>
        </w:rPr>
        <w:t>" means any Person authorized by the applicable Trustee pursuant to Section 6.12 to act on behalf of such Trustee to authenticate Securities.</w:t>
      </w:r>
    </w:p>
    <w:p>
      <w:pPr>
        <w:spacing w:after="0" w:line="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Base Currency</w:t>
      </w:r>
      <w:r>
        <w:rPr>
          <w:rFonts w:ascii="Times New Roman" w:cs="Times New Roman" w:eastAsia="Times New Roman" w:hAnsi="Times New Roman"/>
          <w:sz w:val="19"/>
          <w:szCs w:val="19"/>
          <w:color w:val="auto"/>
        </w:rPr>
        <w:t>" has the meaning specified in Section 1.14.</w:t>
      </w:r>
    </w:p>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Board of Directors</w:t>
      </w:r>
      <w:r>
        <w:rPr>
          <w:rFonts w:ascii="Times New Roman" w:cs="Times New Roman" w:eastAsia="Times New Roman" w:hAnsi="Times New Roman"/>
          <w:sz w:val="19"/>
          <w:szCs w:val="19"/>
          <w:color w:val="auto"/>
        </w:rPr>
        <w:t>" means the board of directors of the Company or any duly authorized committee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6978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67" w:name="page68"/>
    <w:bookmarkEnd w:id="67"/>
    <w:p>
      <w:pPr>
        <w:jc w:val="both"/>
        <w:ind w:right="20" w:firstLine="56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Board Resolution</w:t>
      </w:r>
      <w:r>
        <w:rPr>
          <w:rFonts w:ascii="Times New Roman" w:cs="Times New Roman" w:eastAsia="Times New Roman" w:hAnsi="Times New Roman"/>
          <w:sz w:val="19"/>
          <w:szCs w:val="19"/>
          <w:color w:val="auto"/>
        </w:rPr>
        <w:t>" means a copy of a resolution certified by the Corporate Secretary or an Assistant Secretary of the Company to have been duly adopted by the Board of Directors and to be in full force and effect on the date of such certification, and delivered to the Trustees.</w:t>
      </w:r>
    </w:p>
    <w:p>
      <w:pPr>
        <w:spacing w:after="0" w:line="93" w:lineRule="exact"/>
        <w:rPr>
          <w:sz w:val="20"/>
          <w:szCs w:val="20"/>
          <w:color w:val="auto"/>
        </w:rPr>
      </w:pPr>
    </w:p>
    <w:p>
      <w:pPr>
        <w:jc w:val="both"/>
        <w:ind w:firstLine="568"/>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Business Day</w:t>
      </w:r>
      <w:r>
        <w:rPr>
          <w:rFonts w:ascii="Times New Roman" w:cs="Times New Roman" w:eastAsia="Times New Roman" w:hAnsi="Times New Roman"/>
          <w:sz w:val="19"/>
          <w:szCs w:val="19"/>
          <w:color w:val="auto"/>
        </w:rPr>
        <w:t>," when used with respect to any Place of Payment or any other particular location referred to in this Indenture or in the Securities, means, unless otherwise specified with respect to any Securities pursuant to Section 3.01, any day other than Saturday, Sunday or any other day on which commercial banking institutions in that Place of Payment or other location are permitted or required by any applicable law, regulation or executive order to close.</w:t>
      </w:r>
    </w:p>
    <w:p>
      <w:pPr>
        <w:spacing w:after="0" w:line="1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calculation period</w:t>
      </w:r>
      <w:r>
        <w:rPr>
          <w:rFonts w:ascii="Times New Roman" w:cs="Times New Roman" w:eastAsia="Times New Roman" w:hAnsi="Times New Roman"/>
          <w:sz w:val="19"/>
          <w:szCs w:val="19"/>
          <w:color w:val="auto"/>
        </w:rPr>
        <w:t>" has the meaning specified in Section 3.11.</w:t>
      </w:r>
    </w:p>
    <w:p>
      <w:pPr>
        <w:spacing w:after="0" w:line="148" w:lineRule="exact"/>
        <w:rPr>
          <w:sz w:val="20"/>
          <w:szCs w:val="20"/>
          <w:color w:val="auto"/>
        </w:rPr>
      </w:pPr>
    </w:p>
    <w:p>
      <w:pPr>
        <w:jc w:val="both"/>
        <w:ind w:firstLine="568"/>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Canadian Trustee</w:t>
      </w:r>
      <w:r>
        <w:rPr>
          <w:rFonts w:ascii="Times New Roman" w:cs="Times New Roman" w:eastAsia="Times New Roman" w:hAnsi="Times New Roman"/>
          <w:sz w:val="19"/>
          <w:szCs w:val="19"/>
          <w:color w:val="auto"/>
        </w:rPr>
        <w:t xml:space="preserve">" means the Person named as the "Canadian Trustee" in the first paragraph of this Indenture until a successor Canadian Trustee shall have become such pursuant to the applicable provisions of this Indenture, and thereafter "Canadian Trustee" shall mean or include each Person who is then a Canadian Trustee hereunder;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if at any time there is more than one such Person, "Canadian Trustee" as used with respect to the Securities of any series shall mean only the Canadian Trustee with respect to Securities of that series.</w:t>
      </w:r>
    </w:p>
    <w:p>
      <w:pPr>
        <w:spacing w:after="0" w:line="117" w:lineRule="exact"/>
        <w:rPr>
          <w:sz w:val="20"/>
          <w:szCs w:val="20"/>
          <w:color w:val="auto"/>
        </w:rPr>
      </w:pPr>
    </w:p>
    <w:p>
      <w:pPr>
        <w:jc w:val="both"/>
        <w:ind w:right="20" w:firstLine="568"/>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Commission</w:t>
      </w:r>
      <w:r>
        <w:rPr>
          <w:rFonts w:ascii="Times New Roman" w:cs="Times New Roman" w:eastAsia="Times New Roman" w:hAnsi="Times New Roman"/>
          <w:sz w:val="19"/>
          <w:szCs w:val="19"/>
          <w:color w:val="auto"/>
        </w:rPr>
        <w:t>" means the U.S. Securities and Exchange Commission, as from time to time constituted, created under the Exchange Act, or, if at any time after the execution of this Indenture such Commission is not existing and performing the duties now assigned to it under the Trust Indenture Act, then the body performing such duties at such time.</w:t>
      </w:r>
    </w:p>
    <w:p>
      <w:pPr>
        <w:spacing w:after="0" w:line="121" w:lineRule="exact"/>
        <w:rPr>
          <w:sz w:val="20"/>
          <w:szCs w:val="20"/>
          <w:color w:val="auto"/>
        </w:rPr>
      </w:pPr>
    </w:p>
    <w:p>
      <w:pPr>
        <w:jc w:val="both"/>
        <w:ind w:right="20" w:firstLine="56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means the Person named as the "Company" in the first paragraph of this Indenture until a successor Person shall have become such pursuant to the applicable provisions of this Indenture, and thereafter "Company" shall mean such successor Person.</w:t>
      </w:r>
    </w:p>
    <w:p>
      <w:pPr>
        <w:spacing w:after="0" w:line="95" w:lineRule="exact"/>
        <w:rPr>
          <w:sz w:val="20"/>
          <w:szCs w:val="20"/>
          <w:color w:val="auto"/>
        </w:rPr>
      </w:pPr>
    </w:p>
    <w:p>
      <w:pPr>
        <w:jc w:val="both"/>
        <w:ind w:firstLine="56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Company Request</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Company Order</w:t>
      </w:r>
      <w:r>
        <w:rPr>
          <w:rFonts w:ascii="Times New Roman" w:cs="Times New Roman" w:eastAsia="Times New Roman" w:hAnsi="Times New Roman"/>
          <w:sz w:val="19"/>
          <w:szCs w:val="19"/>
          <w:color w:val="auto"/>
        </w:rPr>
        <w:t>" means a written request or order signed in the name of the Company by an Officer and delivered to the Trustees.</w:t>
      </w:r>
    </w:p>
    <w:p>
      <w:pPr>
        <w:spacing w:after="0" w:line="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Component Currency</w:t>
      </w:r>
      <w:r>
        <w:rPr>
          <w:rFonts w:ascii="Times New Roman" w:cs="Times New Roman" w:eastAsia="Times New Roman" w:hAnsi="Times New Roman"/>
          <w:sz w:val="19"/>
          <w:szCs w:val="19"/>
          <w:color w:val="auto"/>
        </w:rPr>
        <w:t>" has the meaning specified in Section 3.12(h).</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Conversion Date</w:t>
      </w:r>
      <w:r>
        <w:rPr>
          <w:rFonts w:ascii="Times New Roman" w:cs="Times New Roman" w:eastAsia="Times New Roman" w:hAnsi="Times New Roman"/>
          <w:sz w:val="19"/>
          <w:szCs w:val="19"/>
          <w:color w:val="auto"/>
        </w:rPr>
        <w:t>" has the meaning specified in Section 3.12(d).</w:t>
      </w:r>
    </w:p>
    <w:p>
      <w:pPr>
        <w:spacing w:after="0" w:line="148" w:lineRule="exact"/>
        <w:rPr>
          <w:sz w:val="20"/>
          <w:szCs w:val="20"/>
          <w:color w:val="auto"/>
        </w:rPr>
      </w:pPr>
    </w:p>
    <w:p>
      <w:pPr>
        <w:jc w:val="both"/>
        <w:ind w:right="20" w:firstLine="568"/>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Conversion Event</w:t>
      </w:r>
      <w:r>
        <w:rPr>
          <w:rFonts w:ascii="Times New Roman" w:cs="Times New Roman" w:eastAsia="Times New Roman" w:hAnsi="Times New Roman"/>
          <w:sz w:val="19"/>
          <w:szCs w:val="19"/>
          <w:color w:val="auto"/>
        </w:rPr>
        <w:t>" means the cessation of use of (i) a Foreign Currency (other than the Euro or other Currency unit) both by the government of the country which issued such Currency and by a central bank or other public institution of or within the international banking community for the settlement of transactions, (ii) the Euro or (iii) any Currency unit (or composite currency) other than the Euro for the purposes for which it was established.</w:t>
      </w:r>
    </w:p>
    <w:p>
      <w:pPr>
        <w:spacing w:after="0" w:line="117" w:lineRule="exact"/>
        <w:rPr>
          <w:sz w:val="20"/>
          <w:szCs w:val="20"/>
          <w:color w:val="auto"/>
        </w:rPr>
      </w:pPr>
    </w:p>
    <w:p>
      <w:pPr>
        <w:jc w:val="both"/>
        <w:ind w:firstLine="568"/>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Corporate Trust Office</w:t>
      </w:r>
      <w:r>
        <w:rPr>
          <w:rFonts w:ascii="Times New Roman" w:cs="Times New Roman" w:eastAsia="Times New Roman" w:hAnsi="Times New Roman"/>
          <w:sz w:val="19"/>
          <w:szCs w:val="19"/>
          <w:color w:val="auto"/>
        </w:rPr>
        <w:t>" means the principal corporate trust office of the U.S. Trustee or the Canadian Trustee, as applicable, at which at any particular time its corporate trust business may be administered, such an office on the date of execution of this Indenture of the U.S. Trustee is located at _________________________, Attention: _______________________, and of the Canadian Trustee is located at</w:t>
      </w:r>
    </w:p>
    <w:p>
      <w:pPr>
        <w:spacing w:after="0" w:line="235" w:lineRule="auto"/>
        <w:rPr>
          <w:sz w:val="20"/>
          <w:szCs w:val="20"/>
          <w:color w:val="auto"/>
        </w:rPr>
      </w:pPr>
      <w:r>
        <w:rPr>
          <w:rFonts w:ascii="Times New Roman" w:cs="Times New Roman" w:eastAsia="Times New Roman" w:hAnsi="Times New Roman"/>
          <w:sz w:val="19"/>
          <w:szCs w:val="19"/>
          <w:color w:val="auto"/>
        </w:rPr>
        <w:t>______________________, Attention: ____________________________, except that with respect to presentation of Securities for payment or for</w:t>
      </w:r>
    </w:p>
    <w:p>
      <w:pPr>
        <w:spacing w:after="0" w:line="1"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9"/>
          <w:szCs w:val="19"/>
          <w:color w:val="auto"/>
        </w:rPr>
        <w:t>registration of transfer or exchange, such term shall mean the office or agency of the U.S. Trustee or the Canadian Trustee, as applicable, designated in writing to the Company at which, at any particular time, its corporate agency business shall be conducted.</w:t>
      </w:r>
    </w:p>
    <w:p>
      <w:pPr>
        <w:spacing w:after="0" w:line="130" w:lineRule="exact"/>
        <w:rPr>
          <w:sz w:val="20"/>
          <w:szCs w:val="20"/>
          <w:color w:val="auto"/>
        </w:rPr>
      </w:pPr>
    </w:p>
    <w:p>
      <w:pPr>
        <w:jc w:val="right"/>
        <w:ind w:right="5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covenant defeasance</w:t>
      </w:r>
      <w:r>
        <w:rPr>
          <w:rFonts w:ascii="Times New Roman" w:cs="Times New Roman" w:eastAsia="Times New Roman" w:hAnsi="Times New Roman"/>
          <w:sz w:val="19"/>
          <w:szCs w:val="19"/>
          <w:color w:val="auto"/>
        </w:rPr>
        <w:t>" has the meaning specified in Section 14.03.</w:t>
      </w:r>
    </w:p>
    <w:p>
      <w:pPr>
        <w:spacing w:after="0" w:line="152" w:lineRule="exact"/>
        <w:rPr>
          <w:sz w:val="20"/>
          <w:szCs w:val="20"/>
          <w:color w:val="auto"/>
        </w:rPr>
      </w:pPr>
    </w:p>
    <w:p>
      <w:pPr>
        <w:jc w:val="right"/>
        <w:ind w:right="558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68" w:name="page69"/>
    <w:bookmarkEnd w:id="68"/>
    <w:p>
      <w:pPr>
        <w:jc w:val="both"/>
        <w:ind w:right="20" w:firstLine="56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Currency</w:t>
      </w:r>
      <w:r>
        <w:rPr>
          <w:rFonts w:ascii="Times New Roman" w:cs="Times New Roman" w:eastAsia="Times New Roman" w:hAnsi="Times New Roman"/>
          <w:sz w:val="19"/>
          <w:szCs w:val="19"/>
          <w:color w:val="auto"/>
        </w:rPr>
        <w:t>" means any currency or currencies, composite currency or Currency unit or Currency units, including, without limitation, the Euro, issued by the government of one or more countries or by any recognized confederation or association of such governments.</w:t>
      </w:r>
    </w:p>
    <w:p>
      <w:pPr>
        <w:spacing w:after="0" w:line="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Default</w:t>
      </w:r>
      <w:r>
        <w:rPr>
          <w:rFonts w:ascii="Times New Roman" w:cs="Times New Roman" w:eastAsia="Times New Roman" w:hAnsi="Times New Roman"/>
          <w:sz w:val="19"/>
          <w:szCs w:val="19"/>
          <w:color w:val="auto"/>
        </w:rPr>
        <w:t>" means any event which is, or after notice or passage of time or both would be, an Event of Default.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Defaulted Interest</w:t>
      </w:r>
      <w:r>
        <w:rPr>
          <w:rFonts w:ascii="Times New Roman" w:cs="Times New Roman" w:eastAsia="Times New Roman" w:hAnsi="Times New Roman"/>
          <w:sz w:val="19"/>
          <w:szCs w:val="19"/>
          <w:color w:val="auto"/>
        </w:rPr>
        <w:t>" has the meaning specified in Section 3.07.</w:t>
      </w:r>
    </w:p>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defeasance</w:t>
      </w:r>
      <w:r>
        <w:rPr>
          <w:rFonts w:ascii="Times New Roman" w:cs="Times New Roman" w:eastAsia="Times New Roman" w:hAnsi="Times New Roman"/>
          <w:sz w:val="19"/>
          <w:szCs w:val="19"/>
          <w:color w:val="auto"/>
        </w:rPr>
        <w:t>" has the meaning specified in Section 14.02.</w:t>
      </w:r>
    </w:p>
    <w:p>
      <w:pPr>
        <w:spacing w:after="0" w:line="148" w:lineRule="exact"/>
        <w:rPr>
          <w:sz w:val="20"/>
          <w:szCs w:val="20"/>
          <w:color w:val="auto"/>
        </w:rPr>
      </w:pPr>
    </w:p>
    <w:p>
      <w:pPr>
        <w:jc w:val="both"/>
        <w:ind w:firstLine="568"/>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Depositary</w:t>
      </w:r>
      <w:r>
        <w:rPr>
          <w:rFonts w:ascii="Times New Roman" w:cs="Times New Roman" w:eastAsia="Times New Roman" w:hAnsi="Times New Roman"/>
          <w:sz w:val="19"/>
          <w:szCs w:val="19"/>
          <w:color w:val="auto"/>
        </w:rPr>
        <w:t>" means, with respect to the Securities of any series issuable or issued in global form, the Person designated as Depositary by the Company pursuant to Section 3.05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129" w:lineRule="exact"/>
        <w:rPr>
          <w:sz w:val="20"/>
          <w:szCs w:val="20"/>
          <w:color w:val="auto"/>
        </w:rPr>
      </w:pPr>
    </w:p>
    <w:p>
      <w:pPr>
        <w:jc w:val="both"/>
        <w:ind w:firstLine="56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Dollar</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means a dollar or other equivalent unit in such coin or currency of the United States of America as at the time shall be legal tender for the payment of public and private debts.</w:t>
      </w:r>
    </w:p>
    <w:p>
      <w:pPr>
        <w:spacing w:after="0" w:line="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Dollar Equivalent of the Currency Unit</w:t>
      </w:r>
      <w:r>
        <w:rPr>
          <w:rFonts w:ascii="Times New Roman" w:cs="Times New Roman" w:eastAsia="Times New Roman" w:hAnsi="Times New Roman"/>
          <w:sz w:val="19"/>
          <w:szCs w:val="19"/>
          <w:color w:val="auto"/>
        </w:rPr>
        <w:t>" has the meaning specified in Section 3.12(g).</w:t>
      </w:r>
    </w:p>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Dollar Equivalent of the Foreign Currency</w:t>
      </w:r>
      <w:r>
        <w:rPr>
          <w:rFonts w:ascii="Times New Roman" w:cs="Times New Roman" w:eastAsia="Times New Roman" w:hAnsi="Times New Roman"/>
          <w:sz w:val="19"/>
          <w:szCs w:val="19"/>
          <w:color w:val="auto"/>
        </w:rPr>
        <w:t>" has the meaning specified in Section 3.12(f).</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Election Date</w:t>
      </w:r>
      <w:r>
        <w:rPr>
          <w:rFonts w:ascii="Times New Roman" w:cs="Times New Roman" w:eastAsia="Times New Roman" w:hAnsi="Times New Roman"/>
          <w:sz w:val="19"/>
          <w:szCs w:val="19"/>
          <w:color w:val="auto"/>
        </w:rPr>
        <w:t>" has the meaning specified in Section 3.12(h).</w:t>
      </w:r>
    </w:p>
    <w:p>
      <w:pPr>
        <w:spacing w:after="0" w:line="148" w:lineRule="exact"/>
        <w:rPr>
          <w:sz w:val="20"/>
          <w:szCs w:val="20"/>
          <w:color w:val="auto"/>
        </w:rPr>
      </w:pPr>
    </w:p>
    <w:p>
      <w:pPr>
        <w:jc w:val="both"/>
        <w:ind w:right="20" w:firstLine="56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Euro</w:t>
      </w:r>
      <w:r>
        <w:rPr>
          <w:rFonts w:ascii="Times New Roman" w:cs="Times New Roman" w:eastAsia="Times New Roman" w:hAnsi="Times New Roman"/>
          <w:sz w:val="19"/>
          <w:szCs w:val="19"/>
          <w:color w:val="auto"/>
        </w:rPr>
        <w:t>" means the single currency of the participating member states from time to time of the European Union described in legislation of the European Counsel for the operation of a single unified European currency (whether known as the Euro or otherwise).</w:t>
      </w:r>
    </w:p>
    <w:p>
      <w:pPr>
        <w:spacing w:after="0" w:line="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Event of Default</w:t>
      </w:r>
      <w:r>
        <w:rPr>
          <w:rFonts w:ascii="Times New Roman" w:cs="Times New Roman" w:eastAsia="Times New Roman" w:hAnsi="Times New Roman"/>
          <w:sz w:val="19"/>
          <w:szCs w:val="19"/>
          <w:color w:val="auto"/>
        </w:rPr>
        <w:t>" has the meaning specified in Section 5.01.</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means the United States Securities Exchange Act of 1934, as amended.</w:t>
      </w:r>
    </w:p>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Exchange Date</w:t>
      </w:r>
      <w:r>
        <w:rPr>
          <w:rFonts w:ascii="Times New Roman" w:cs="Times New Roman" w:eastAsia="Times New Roman" w:hAnsi="Times New Roman"/>
          <w:sz w:val="19"/>
          <w:szCs w:val="19"/>
          <w:color w:val="auto"/>
        </w:rPr>
        <w:t>" has the meaning specified in Section 3.04.</w:t>
      </w:r>
    </w:p>
    <w:p>
      <w:pPr>
        <w:spacing w:after="0" w:line="148" w:lineRule="exact"/>
        <w:rPr>
          <w:sz w:val="20"/>
          <w:szCs w:val="20"/>
          <w:color w:val="auto"/>
        </w:rPr>
      </w:pPr>
    </w:p>
    <w:p>
      <w:pPr>
        <w:jc w:val="both"/>
        <w:ind w:right="20" w:firstLine="56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Exchange Rate Agent</w:t>
      </w:r>
      <w:r>
        <w:rPr>
          <w:rFonts w:ascii="Times New Roman" w:cs="Times New Roman" w:eastAsia="Times New Roman" w:hAnsi="Times New Roman"/>
          <w:sz w:val="19"/>
          <w:szCs w:val="19"/>
          <w:color w:val="auto"/>
        </w:rPr>
        <w:t>" means, with respect to Securities of or within any series, unless otherwise specified with respect to any Securities pursuant to Section 3.01, a New York clearing house bank, designated pursuant to Section 3.01 or Section 3.13.</w:t>
      </w:r>
    </w:p>
    <w:p>
      <w:pPr>
        <w:spacing w:after="0" w:line="107" w:lineRule="exact"/>
        <w:rPr>
          <w:sz w:val="20"/>
          <w:szCs w:val="20"/>
          <w:color w:val="auto"/>
        </w:rPr>
      </w:pPr>
    </w:p>
    <w:p>
      <w:pPr>
        <w:jc w:val="both"/>
        <w:ind w:firstLine="568"/>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Exchange Rate Officer's Certificate</w:t>
      </w:r>
      <w:r>
        <w:rPr>
          <w:rFonts w:ascii="Times New Roman" w:cs="Times New Roman" w:eastAsia="Times New Roman" w:hAnsi="Times New Roman"/>
          <w:sz w:val="19"/>
          <w:szCs w:val="19"/>
          <w:color w:val="auto"/>
        </w:rPr>
        <w:t>" means a tested telex or a certificate setting forth (i) the applicable Market Exchange Rate and (ii) the Dollar or Foreign Currency amounts of principal,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sent (in the case of a telex) or signed (in the case of a certificate) by the Chief Executive Officer, President or Chief Financial Officer of the Company.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Extension Notice</w:t>
      </w:r>
      <w:r>
        <w:rPr>
          <w:rFonts w:ascii="Times New Roman" w:cs="Times New Roman" w:eastAsia="Times New Roman" w:hAnsi="Times New Roman"/>
          <w:sz w:val="19"/>
          <w:szCs w:val="19"/>
          <w:color w:val="auto"/>
        </w:rPr>
        <w:t>" has the meaning specified in Section 3.08.</w:t>
      </w:r>
    </w:p>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Extension Period</w:t>
      </w:r>
      <w:r>
        <w:rPr>
          <w:rFonts w:ascii="Times New Roman" w:cs="Times New Roman" w:eastAsia="Times New Roman" w:hAnsi="Times New Roman"/>
          <w:sz w:val="19"/>
          <w:szCs w:val="19"/>
          <w:color w:val="auto"/>
        </w:rPr>
        <w:t>" has the meaning specified in Section 3.08.</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69" w:name="page70"/>
    <w:bookmarkEnd w:id="69"/>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Final Maturity</w:t>
      </w:r>
      <w:r>
        <w:rPr>
          <w:rFonts w:ascii="Times New Roman" w:cs="Times New Roman" w:eastAsia="Times New Roman" w:hAnsi="Times New Roman"/>
          <w:sz w:val="19"/>
          <w:szCs w:val="19"/>
          <w:color w:val="auto"/>
        </w:rPr>
        <w:t>" has the meaning specified in Section 3.08.</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First Currency</w:t>
      </w:r>
      <w:r>
        <w:rPr>
          <w:rFonts w:ascii="Times New Roman" w:cs="Times New Roman" w:eastAsia="Times New Roman" w:hAnsi="Times New Roman"/>
          <w:sz w:val="19"/>
          <w:szCs w:val="19"/>
          <w:color w:val="auto"/>
        </w:rPr>
        <w:t>" has the meaning specified in Section 1.15.</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Foreign Currency</w:t>
      </w:r>
      <w:r>
        <w:rPr>
          <w:rFonts w:ascii="Times New Roman" w:cs="Times New Roman" w:eastAsia="Times New Roman" w:hAnsi="Times New Roman"/>
          <w:sz w:val="19"/>
          <w:szCs w:val="19"/>
          <w:color w:val="auto"/>
        </w:rPr>
        <w:t>" means any Currency other than Currency of the United States.</w:t>
      </w:r>
    </w:p>
    <w:p>
      <w:pPr>
        <w:spacing w:after="0" w:line="148" w:lineRule="exact"/>
        <w:rPr>
          <w:sz w:val="20"/>
          <w:szCs w:val="20"/>
          <w:color w:val="auto"/>
        </w:rPr>
      </w:pPr>
    </w:p>
    <w:p>
      <w:pPr>
        <w:jc w:val="both"/>
        <w:ind w:firstLine="568"/>
        <w:spacing w:after="0" w:line="23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Government Obligations</w:t>
      </w:r>
      <w:r>
        <w:rPr>
          <w:rFonts w:ascii="Times New Roman" w:cs="Times New Roman" w:eastAsia="Times New Roman" w:hAnsi="Times New Roman"/>
          <w:sz w:val="19"/>
          <w:szCs w:val="19"/>
          <w:color w:val="auto"/>
        </w:rPr>
        <w:t xml:space="preserve">" means, unless otherwise specified with respect to any series of Securities pursuant to Section 3.01, securities which are (i) direct obligations of the government which issued the Currency in which the Securities of a particular series are payable or (ii) obligations of a Person controlled or supervised by and acting as an agency or instrumentality of the government which issued the Currency in which the Securities of such series are payable, the payment of which is unconditionally guaranteed by such government, which, in either case, are full faith and credit obligations of such government payable in such Currency and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or principal of the Government Obligation evidenced by such depository receipt.</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Holder</w:t>
      </w:r>
      <w:r>
        <w:rPr>
          <w:rFonts w:ascii="Times New Roman" w:cs="Times New Roman" w:eastAsia="Times New Roman" w:hAnsi="Times New Roman"/>
          <w:sz w:val="19"/>
          <w:szCs w:val="19"/>
          <w:color w:val="auto"/>
        </w:rPr>
        <w:t>" means the Person in whose name a Security is registered in the Security Register.</w:t>
      </w:r>
    </w:p>
    <w:p>
      <w:pPr>
        <w:spacing w:after="0" w:line="160" w:lineRule="exact"/>
        <w:rPr>
          <w:sz w:val="20"/>
          <w:szCs w:val="20"/>
          <w:color w:val="auto"/>
        </w:rPr>
      </w:pPr>
    </w:p>
    <w:p>
      <w:pPr>
        <w:jc w:val="both"/>
        <w:ind w:firstLine="56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xml:space="preserve">" means this instrument as originally executed and as it may from time to time be supplemented or amended by one or more indentures supplemental hereto entered into pursuant to the applicable provisions hereof, and shall include the terms of particular series of Securities established as contemplated by Section 3.01;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the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14" w:lineRule="exact"/>
        <w:rPr>
          <w:sz w:val="20"/>
          <w:szCs w:val="20"/>
          <w:color w:val="auto"/>
        </w:rPr>
      </w:pPr>
    </w:p>
    <w:p>
      <w:pPr>
        <w:jc w:val="both"/>
        <w:ind w:right="20" w:firstLine="56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Indexed Security</w:t>
      </w:r>
      <w:r>
        <w:rPr>
          <w:rFonts w:ascii="Times New Roman" w:cs="Times New Roman" w:eastAsia="Times New Roman" w:hAnsi="Times New Roman"/>
          <w:sz w:val="19"/>
          <w:szCs w:val="19"/>
          <w:color w:val="auto"/>
        </w:rPr>
        <w:t>" means a Security the terms of which provide that the principal amount thereof payable at Stated Maturity may be more or less than the principal face amount thereof at original issuance.</w:t>
      </w:r>
    </w:p>
    <w:p>
      <w:pPr>
        <w:spacing w:after="0" w:line="95" w:lineRule="exact"/>
        <w:rPr>
          <w:sz w:val="20"/>
          <w:szCs w:val="20"/>
          <w:color w:val="auto"/>
        </w:rPr>
      </w:pPr>
    </w:p>
    <w:p>
      <w:pPr>
        <w:jc w:val="both"/>
        <w:ind w:right="20" w:firstLine="56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interest</w:t>
      </w:r>
      <w:r>
        <w:rPr>
          <w:rFonts w:ascii="Times New Roman" w:cs="Times New Roman" w:eastAsia="Times New Roman" w:hAnsi="Times New Roman"/>
          <w:sz w:val="19"/>
          <w:szCs w:val="19"/>
          <w:color w:val="auto"/>
        </w:rPr>
        <w:t>," when used with respect to an Original Issue Discount Security which by its terms bears interest only after Maturity, means interest payable after Maturity at the rate prescribed in such Original Issue Discount Security.</w:t>
      </w:r>
    </w:p>
    <w:p>
      <w:pPr>
        <w:spacing w:after="0" w:line="1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Interest Payment Date</w:t>
      </w:r>
      <w:r>
        <w:rPr>
          <w:rFonts w:ascii="Times New Roman" w:cs="Times New Roman" w:eastAsia="Times New Roman" w:hAnsi="Times New Roman"/>
          <w:sz w:val="19"/>
          <w:szCs w:val="19"/>
          <w:color w:val="auto"/>
        </w:rPr>
        <w:t>," when used with respect to any Security, means the Stated Maturity of an installment of interest on such Security.</w:t>
      </w:r>
    </w:p>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Judgment Currency</w:t>
      </w:r>
      <w:r>
        <w:rPr>
          <w:rFonts w:ascii="Times New Roman" w:cs="Times New Roman" w:eastAsia="Times New Roman" w:hAnsi="Times New Roman"/>
          <w:sz w:val="19"/>
          <w:szCs w:val="19"/>
          <w:color w:val="auto"/>
        </w:rPr>
        <w:t>" has the meaning specified in Section 1.14.</w:t>
      </w:r>
    </w:p>
    <w:p>
      <w:pPr>
        <w:spacing w:after="0" w:line="1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70" w:name="page71"/>
    <w:bookmarkEnd w:id="70"/>
    <w:p>
      <w:pPr>
        <w:jc w:val="both"/>
        <w:ind w:firstLine="568"/>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Lien</w:t>
      </w:r>
      <w:r>
        <w:rPr>
          <w:rFonts w:ascii="Times New Roman" w:cs="Times New Roman" w:eastAsia="Times New Roman" w:hAnsi="Times New Roman"/>
          <w:sz w:val="19"/>
          <w:szCs w:val="19"/>
          <w:color w:val="auto"/>
        </w:rPr>
        <w:t>" means any mortgage, pledge, hypothecation, charge, assignment, deposit arrangement, encumbrance, security interest, lien (statutory or other), or preference, priority or other security or similar agreement or preferential arrangement of any kind or nature whatsoever (including, without limitation, any agreement to give or grant a Lien or any lease, conditional sale or other title retention agreement having substantially the same economic effect as any of the foregoing).</w:t>
      </w:r>
    </w:p>
    <w:p>
      <w:pPr>
        <w:spacing w:after="0" w:line="1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mandatory sinking fund payment</w:t>
      </w:r>
      <w:r>
        <w:rPr>
          <w:rFonts w:ascii="Times New Roman" w:cs="Times New Roman" w:eastAsia="Times New Roman" w:hAnsi="Times New Roman"/>
          <w:sz w:val="19"/>
          <w:szCs w:val="19"/>
          <w:color w:val="auto"/>
        </w:rPr>
        <w:t>" has the meaning specified in Section 12.01.</w:t>
      </w:r>
    </w:p>
    <w:p>
      <w:pPr>
        <w:spacing w:after="0" w:line="160" w:lineRule="exact"/>
        <w:rPr>
          <w:sz w:val="20"/>
          <w:szCs w:val="20"/>
          <w:color w:val="auto"/>
        </w:rPr>
      </w:pPr>
    </w:p>
    <w:p>
      <w:pPr>
        <w:jc w:val="both"/>
        <w:ind w:firstLine="56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Market Exchange Rate</w:t>
      </w:r>
      <w:r>
        <w:rPr>
          <w:rFonts w:ascii="Times New Roman" w:cs="Times New Roman" w:eastAsia="Times New Roman" w:hAnsi="Times New Roman"/>
          <w:sz w:val="19"/>
          <w:szCs w:val="19"/>
          <w:color w:val="auto"/>
        </w:rPr>
        <w:t>" means, unless otherwise specified with respect to any Securities pursuant to Section 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(New York City time)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New York City, Toronto,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 (ii) and (iii), the Exchange Rate Agent shall use, in its sole discretion and without liability on its part, such quotation of the Federal Reserve Bank of New York as of the most recent available date, or quotations from one or more major banks in New York City, Toronto, London or another principal market for the Currency in question, or such other quotations as the Exchange Rate Agent shall deem appropriate. Unless otherwise specified by the Exchange Rate Agent, if there is more than one market for dealing in any Currency by reason of foreign exchange regulations or otherwise, the market to be used in respect of such Currency shall be that upon which a non-resident issuer of securities designated in such Currency would purchase such Currency in order to make payments in respect of such securities.</w:t>
      </w:r>
    </w:p>
    <w:p>
      <w:pPr>
        <w:spacing w:after="0" w:line="122" w:lineRule="exact"/>
        <w:rPr>
          <w:sz w:val="20"/>
          <w:szCs w:val="20"/>
          <w:color w:val="auto"/>
        </w:rPr>
      </w:pPr>
    </w:p>
    <w:p>
      <w:pPr>
        <w:jc w:val="both"/>
        <w:ind w:firstLine="568"/>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Maturity</w:t>
      </w:r>
      <w:r>
        <w:rPr>
          <w:rFonts w:ascii="Times New Roman" w:cs="Times New Roman" w:eastAsia="Times New Roman" w:hAnsi="Times New Roman"/>
          <w:sz w:val="19"/>
          <w:szCs w:val="19"/>
          <w:color w:val="auto"/>
        </w:rPr>
        <w:t>," when used with respect to any Security, means the date on which the principal of such Security or an installment of principal becomes due and payable as therein or herein provided, whether at the Stated Maturity or by declaration of acceleration, notice of redemption, notice of option to elect repayment or otherwise.</w:t>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Notice of Default</w:t>
      </w:r>
      <w:r>
        <w:rPr>
          <w:rFonts w:ascii="Times New Roman" w:cs="Times New Roman" w:eastAsia="Times New Roman" w:hAnsi="Times New Roman"/>
          <w:sz w:val="19"/>
          <w:szCs w:val="19"/>
          <w:color w:val="auto"/>
        </w:rPr>
        <w:t>" has the meaning specified in Section 5.01.</w:t>
      </w:r>
    </w:p>
    <w:p>
      <w:pPr>
        <w:spacing w:after="0" w:line="160" w:lineRule="exact"/>
        <w:rPr>
          <w:sz w:val="20"/>
          <w:szCs w:val="20"/>
          <w:color w:val="auto"/>
        </w:rPr>
      </w:pPr>
    </w:p>
    <w:p>
      <w:pPr>
        <w:jc w:val="both"/>
        <w:ind w:firstLine="568"/>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Officer</w:t>
      </w:r>
      <w:r>
        <w:rPr>
          <w:rFonts w:ascii="Times New Roman" w:cs="Times New Roman" w:eastAsia="Times New Roman" w:hAnsi="Times New Roman"/>
          <w:sz w:val="19"/>
          <w:szCs w:val="19"/>
          <w:color w:val="auto"/>
        </w:rPr>
        <w:t>" means the Chair of the Board of Directors, the Chief Executive Officer, the President, the Chief Financial Officer, the Chief Operating Officer, any Executive Vice President, any Vice President, the Treasurer or the Corporate Secretary of the Company or, in the event that the Company is a partnership or a limited liability company that has no such officers, a person duly authorized under applicable law by the general partner, managers, members or a similar body to act on behalf of the Company.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Officer's Certificate</w:t>
      </w:r>
      <w:r>
        <w:rPr>
          <w:rFonts w:ascii="Times New Roman" w:cs="Times New Roman" w:eastAsia="Times New Roman" w:hAnsi="Times New Roman"/>
          <w:sz w:val="19"/>
          <w:szCs w:val="19"/>
          <w:color w:val="auto"/>
        </w:rPr>
        <w:t>" means a certificate, which shall comply with this Indenture, signed by an Officer and delivered to the Trustees.</w:t>
      </w:r>
    </w:p>
    <w:p>
      <w:pPr>
        <w:spacing w:after="0" w:line="148" w:lineRule="exact"/>
        <w:rPr>
          <w:sz w:val="20"/>
          <w:szCs w:val="20"/>
          <w:color w:val="auto"/>
        </w:rPr>
      </w:pPr>
    </w:p>
    <w:p>
      <w:pPr>
        <w:jc w:val="both"/>
        <w:ind w:right="20" w:firstLine="56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Opinion of Counsel</w:t>
      </w:r>
      <w:r>
        <w:rPr>
          <w:rFonts w:ascii="Times New Roman" w:cs="Times New Roman" w:eastAsia="Times New Roman" w:hAnsi="Times New Roman"/>
          <w:sz w:val="19"/>
          <w:szCs w:val="19"/>
          <w:color w:val="auto"/>
        </w:rPr>
        <w:t>" means a written opinion of counsel, who may be counsel for the Company, including an employee of the Company, which opinion may contain customary exceptions and qualifications as to the matters set forth therein.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71" w:name="page72"/>
    <w:bookmarkEnd w:id="71"/>
    <w:p>
      <w:pPr>
        <w:ind w:left="565"/>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Optional Reset Date</w:t>
      </w:r>
      <w:r>
        <w:rPr>
          <w:rFonts w:ascii="Times New Roman" w:cs="Times New Roman" w:eastAsia="Times New Roman" w:hAnsi="Times New Roman"/>
          <w:sz w:val="19"/>
          <w:szCs w:val="19"/>
          <w:color w:val="auto"/>
        </w:rPr>
        <w:t>" has the meaning specified in Section 3.07.</w:t>
      </w:r>
    </w:p>
    <w:p>
      <w:pPr>
        <w:spacing w:after="0" w:line="149"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optional sinking fund payment</w:t>
      </w:r>
      <w:r>
        <w:rPr>
          <w:rFonts w:ascii="Times New Roman" w:cs="Times New Roman" w:eastAsia="Times New Roman" w:hAnsi="Times New Roman"/>
          <w:sz w:val="19"/>
          <w:szCs w:val="19"/>
          <w:color w:val="auto"/>
        </w:rPr>
        <w:t>" has the meaning specified in Section 12.01.</w:t>
      </w:r>
    </w:p>
    <w:p>
      <w:pPr>
        <w:spacing w:after="0" w:line="160" w:lineRule="exact"/>
        <w:rPr>
          <w:sz w:val="20"/>
          <w:szCs w:val="20"/>
          <w:color w:val="auto"/>
        </w:rPr>
      </w:pPr>
    </w:p>
    <w:p>
      <w:pPr>
        <w:ind w:left="5" w:right="20" w:firstLine="56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Original Issue Discount Security</w:t>
      </w:r>
      <w:r>
        <w:rPr>
          <w:rFonts w:ascii="Times New Roman" w:cs="Times New Roman" w:eastAsia="Times New Roman" w:hAnsi="Times New Roman"/>
          <w:sz w:val="19"/>
          <w:szCs w:val="19"/>
          <w:color w:val="auto"/>
        </w:rPr>
        <w:t>" means any Security which provides for an amount less than the principal amount thereof to be due and payable upon a declaration of acceleration of the Maturity thereof pursuant to Section 5.02.</w:t>
      </w:r>
    </w:p>
    <w:p>
      <w:pPr>
        <w:spacing w:after="0" w:line="95"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Original Stated Maturity</w:t>
      </w:r>
      <w:r>
        <w:rPr>
          <w:rFonts w:ascii="Times New Roman" w:cs="Times New Roman" w:eastAsia="Times New Roman" w:hAnsi="Times New Roman"/>
          <w:sz w:val="19"/>
          <w:szCs w:val="19"/>
          <w:color w:val="auto"/>
        </w:rPr>
        <w:t>" has the meaning specified in Section 3.08.</w:t>
      </w:r>
    </w:p>
    <w:p>
      <w:pPr>
        <w:spacing w:after="0" w:line="148" w:lineRule="exact"/>
        <w:rPr>
          <w:sz w:val="20"/>
          <w:szCs w:val="20"/>
          <w:color w:val="auto"/>
        </w:rPr>
      </w:pPr>
    </w:p>
    <w:p>
      <w:pPr>
        <w:ind w:left="5" w:right="20" w:firstLine="56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Outstanding</w:t>
      </w:r>
      <w:r>
        <w:rPr>
          <w:rFonts w:ascii="Times New Roman" w:cs="Times New Roman" w:eastAsia="Times New Roman" w:hAnsi="Times New Roman"/>
          <w:sz w:val="19"/>
          <w:szCs w:val="19"/>
          <w:color w:val="auto"/>
        </w:rPr>
        <w:t>," when used with respect to Securities, means, as of the date of determination, all Securities theretofore authenticated and delivered under this Indenture, except:</w:t>
      </w:r>
    </w:p>
    <w:p>
      <w:pPr>
        <w:spacing w:after="0" w:line="111" w:lineRule="exact"/>
        <w:rPr>
          <w:sz w:val="20"/>
          <w:szCs w:val="20"/>
          <w:color w:val="auto"/>
        </w:rPr>
      </w:pPr>
    </w:p>
    <w:p>
      <w:pPr>
        <w:ind w:left="1165" w:hanging="598"/>
        <w:spacing w:after="0"/>
        <w:tabs>
          <w:tab w:leader="none" w:pos="1165"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 theretofore cancelled by either Trustee or delivered to either Trustee for cancellation;</w:t>
      </w:r>
    </w:p>
    <w:p>
      <w:pPr>
        <w:spacing w:after="0" w:line="148" w:lineRule="exact"/>
        <w:rPr>
          <w:rFonts w:ascii="Times New Roman" w:cs="Times New Roman" w:eastAsia="Times New Roman" w:hAnsi="Times New Roman"/>
          <w:sz w:val="19"/>
          <w:szCs w:val="19"/>
          <w:color w:val="auto"/>
        </w:rPr>
      </w:pPr>
    </w:p>
    <w:p>
      <w:pPr>
        <w:jc w:val="both"/>
        <w:ind w:left="1145" w:hanging="578"/>
        <w:spacing w:after="0" w:line="241" w:lineRule="auto"/>
        <w:tabs>
          <w:tab w:leader="none" w:pos="1177"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Securities, or portions thereof, for whose payment or redemption or repayment at the option of the Holder, money in the necessary amount has been theretofore deposited with either Trustee or any Paying Agent (other than the Company) in trust or set aside and segregated in trust by the Company (if the Company shall act as its own Paying Agent) for the Holders of such Securities;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such Securities are to be redeemed, notice of such redemption has been duly given pursuant to this Indenture or provision therefor satisfactory to the Trustees has been made;</w:t>
      </w:r>
    </w:p>
    <w:p>
      <w:pPr>
        <w:spacing w:after="0" w:line="121" w:lineRule="exact"/>
        <w:rPr>
          <w:rFonts w:ascii="Times New Roman" w:cs="Times New Roman" w:eastAsia="Times New Roman" w:hAnsi="Times New Roman"/>
          <w:sz w:val="19"/>
          <w:szCs w:val="19"/>
          <w:color w:val="auto"/>
        </w:rPr>
      </w:pPr>
    </w:p>
    <w:p>
      <w:pPr>
        <w:ind w:left="1145" w:right="20" w:hanging="578"/>
        <w:spacing w:after="0" w:line="262" w:lineRule="auto"/>
        <w:tabs>
          <w:tab w:leader="none" w:pos="1185"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 except to the extent provided in Section 14.02 and Section 14.03, with respect to which the Company has effected defeasance and/or covenant defeasance as provided in Article Fourteen; and</w:t>
      </w:r>
    </w:p>
    <w:p>
      <w:pPr>
        <w:spacing w:after="0" w:line="114" w:lineRule="exact"/>
        <w:rPr>
          <w:rFonts w:ascii="Times New Roman" w:cs="Times New Roman" w:eastAsia="Times New Roman" w:hAnsi="Times New Roman"/>
          <w:sz w:val="19"/>
          <w:szCs w:val="19"/>
          <w:color w:val="auto"/>
        </w:rPr>
      </w:pPr>
    </w:p>
    <w:p>
      <w:pPr>
        <w:jc w:val="both"/>
        <w:ind w:left="1145" w:right="20" w:hanging="578"/>
        <w:spacing w:after="0" w:line="243" w:lineRule="auto"/>
        <w:tabs>
          <w:tab w:leader="none" w:pos="1185"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Trustees proof satisfactory to them that such Securities are held by a bona fide purchaser in whose hands such Securities are valid obligations of the Company;</w:t>
      </w:r>
    </w:p>
    <w:p>
      <w:pPr>
        <w:spacing w:after="0" w:line="116" w:lineRule="exact"/>
        <w:rPr>
          <w:sz w:val="20"/>
          <w:szCs w:val="20"/>
          <w:color w:val="auto"/>
        </w:rPr>
      </w:pPr>
    </w:p>
    <w:p>
      <w:pPr>
        <w:jc w:val="both"/>
        <w:ind w:left="5" w:right="20"/>
        <w:spacing w:after="0" w:line="247" w:lineRule="auto"/>
        <w:rPr>
          <w:sz w:val="20"/>
          <w:szCs w:val="20"/>
          <w:color w:val="auto"/>
        </w:rPr>
      </w:pP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in determining whether the Holders of the requisite principal amount of the Outstanding Securities have given any request,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demand, authorization, direction, notice, consent or waiver hereunder, and for the purpose of making the calculations required by TIA Section 313,</w:t>
      </w:r>
    </w:p>
    <w:p>
      <w:pPr>
        <w:jc w:val="both"/>
        <w:ind w:left="5" w:hanging="5"/>
        <w:spacing w:after="0" w:line="248" w:lineRule="auto"/>
        <w:tabs>
          <w:tab w:leader="none" w:pos="24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Trustees,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Trustees shall be protected in making such calculation or in relying upon any such request, demand, authorization, direction, notice, consent or waiver, only Securities which the Trustees know to be so owned shall be so disregarded. Securities so owned which have been pledged in good faith may be regarded as Outstanding if the pledgee establishes to the satisfaction of the Trustees the pledgee's right so to act with respect to such Securities and that the pledgee is not the Company or any other obligor upon the Securities or any Affiliate of the Company or such other obligor.</w:t>
      </w:r>
    </w:p>
    <w:p>
      <w:pPr>
        <w:spacing w:after="0" w:line="11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16978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5"/>
          </w:cols>
          <w:pgMar w:left="315" w:top="112" w:right="319" w:bottom="1440" w:gutter="0" w:footer="0" w:header="0"/>
        </w:sectPr>
      </w:pPr>
    </w:p>
    <w:bookmarkStart w:id="72" w:name="page73"/>
    <w:bookmarkEnd w:id="72"/>
    <w:p>
      <w:pPr>
        <w:jc w:val="both"/>
        <w:ind w:firstLine="568"/>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Paying Agent</w:t>
      </w:r>
      <w:r>
        <w:rPr>
          <w:rFonts w:ascii="Times New Roman" w:cs="Times New Roman" w:eastAsia="Times New Roman" w:hAnsi="Times New Roman"/>
          <w:sz w:val="19"/>
          <w:szCs w:val="19"/>
          <w:color w:val="auto"/>
        </w:rPr>
        <w:t>" means any Person (including the Company acting as Paying Agent) authorized by the Company to pay the principal of, premium (if any) or interest (if any) on any Securities on behalf of the Company. Such Person must be capable of making payment in the Currency of the issued Security.</w:t>
      </w:r>
    </w:p>
    <w:p>
      <w:pPr>
        <w:spacing w:after="0" w:line="111" w:lineRule="exact"/>
        <w:rPr>
          <w:sz w:val="20"/>
          <w:szCs w:val="20"/>
          <w:color w:val="auto"/>
        </w:rPr>
      </w:pPr>
    </w:p>
    <w:p>
      <w:pPr>
        <w:jc w:val="both"/>
        <w:ind w:firstLine="568"/>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means any individual, corporation, body corporate, partnership, limited partnership, limited liability partnership, joint venture, limited liability company, unlimited liability company, association, joint-stock company, trust, unincorporated organization or government or any agency or political subdivision thereof.</w:t>
      </w:r>
    </w:p>
    <w:p>
      <w:pPr>
        <w:spacing w:after="0" w:line="121" w:lineRule="exact"/>
        <w:rPr>
          <w:sz w:val="20"/>
          <w:szCs w:val="20"/>
          <w:color w:val="auto"/>
        </w:rPr>
      </w:pPr>
    </w:p>
    <w:p>
      <w:pPr>
        <w:jc w:val="both"/>
        <w:ind w:firstLine="56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Place of Payment</w:t>
      </w:r>
      <w:r>
        <w:rPr>
          <w:rFonts w:ascii="Times New Roman" w:cs="Times New Roman" w:eastAsia="Times New Roman" w:hAnsi="Times New Roman"/>
          <w:sz w:val="19"/>
          <w:szCs w:val="19"/>
          <w:color w:val="auto"/>
        </w:rPr>
        <w:t>" means, when used with respect to the Securities of or within any series, each place where the principal of, premium (if any) and interest (if any) on such Securities are payable as specified as contemplated by Sections 3.01 and 10.02.</w:t>
      </w:r>
    </w:p>
    <w:p>
      <w:pPr>
        <w:spacing w:after="0" w:line="95" w:lineRule="exact"/>
        <w:rPr>
          <w:sz w:val="20"/>
          <w:szCs w:val="20"/>
          <w:color w:val="auto"/>
        </w:rPr>
      </w:pPr>
    </w:p>
    <w:p>
      <w:pPr>
        <w:jc w:val="both"/>
        <w:ind w:firstLine="568"/>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Predecessor Security</w:t>
      </w:r>
      <w:r>
        <w:rPr>
          <w:rFonts w:ascii="Times New Roman" w:cs="Times New Roman" w:eastAsia="Times New Roman" w:hAnsi="Times New Roman"/>
          <w:sz w:val="19"/>
          <w:szCs w:val="19"/>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Privacy Laws</w:t>
      </w:r>
      <w:r>
        <w:rPr>
          <w:rFonts w:ascii="Times New Roman" w:cs="Times New Roman" w:eastAsia="Times New Roman" w:hAnsi="Times New Roman"/>
          <w:sz w:val="19"/>
          <w:szCs w:val="19"/>
          <w:color w:val="auto"/>
        </w:rPr>
        <w:t>" has the meaning specified in Section 6.14.</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rate(s) of exchange</w:t>
      </w:r>
      <w:r>
        <w:rPr>
          <w:rFonts w:ascii="Times New Roman" w:cs="Times New Roman" w:eastAsia="Times New Roman" w:hAnsi="Times New Roman"/>
          <w:sz w:val="19"/>
          <w:szCs w:val="19"/>
          <w:color w:val="auto"/>
        </w:rPr>
        <w:t>" has the meaning specified in Section 1.14.</w:t>
      </w:r>
    </w:p>
    <w:p>
      <w:pPr>
        <w:spacing w:after="0" w:line="148" w:lineRule="exact"/>
        <w:rPr>
          <w:sz w:val="20"/>
          <w:szCs w:val="20"/>
          <w:color w:val="auto"/>
        </w:rPr>
      </w:pPr>
    </w:p>
    <w:p>
      <w:pPr>
        <w:jc w:val="both"/>
        <w:ind w:firstLine="56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Redemption Date</w:t>
      </w:r>
      <w:r>
        <w:rPr>
          <w:rFonts w:ascii="Times New Roman" w:cs="Times New Roman" w:eastAsia="Times New Roman" w:hAnsi="Times New Roman"/>
          <w:sz w:val="19"/>
          <w:szCs w:val="19"/>
          <w:color w:val="auto"/>
        </w:rPr>
        <w:t>," when used with respect to any Security to be redeemed, in whole or in part, means the date fixed for such redemption by or pursuant to this Indenture.</w:t>
      </w:r>
    </w:p>
    <w:p>
      <w:pPr>
        <w:spacing w:after="0" w:line="95" w:lineRule="exact"/>
        <w:rPr>
          <w:sz w:val="20"/>
          <w:szCs w:val="20"/>
          <w:color w:val="auto"/>
        </w:rPr>
      </w:pPr>
    </w:p>
    <w:p>
      <w:pPr>
        <w:jc w:val="both"/>
        <w:ind w:firstLine="56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Redemption Price</w:t>
      </w:r>
      <w:r>
        <w:rPr>
          <w:rFonts w:ascii="Times New Roman" w:cs="Times New Roman" w:eastAsia="Times New Roman" w:hAnsi="Times New Roman"/>
          <w:sz w:val="19"/>
          <w:szCs w:val="19"/>
          <w:color w:val="auto"/>
        </w:rPr>
        <w:t>," when used with respect to any Security to be redeemed, in whole or in part, means the price at which it is to be redeemed pursuant to this Indenture, plus accrued and unpaid interest thereon to the Redemption Date.</w:t>
      </w:r>
    </w:p>
    <w:p>
      <w:pPr>
        <w:spacing w:after="0" w:line="107" w:lineRule="exact"/>
        <w:rPr>
          <w:sz w:val="20"/>
          <w:szCs w:val="20"/>
          <w:color w:val="auto"/>
        </w:rPr>
      </w:pPr>
    </w:p>
    <w:p>
      <w:pPr>
        <w:jc w:val="both"/>
        <w:ind w:right="20" w:firstLine="56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Regular Record Date</w:t>
      </w:r>
      <w:r>
        <w:rPr>
          <w:rFonts w:ascii="Times New Roman" w:cs="Times New Roman" w:eastAsia="Times New Roman" w:hAnsi="Times New Roman"/>
          <w:sz w:val="19"/>
          <w:szCs w:val="19"/>
          <w:color w:val="auto"/>
        </w:rPr>
        <w:t>" for the interest payable on any Interest Payment Date on the Securities of or within any series means the date specified for that purpose as contemplated by Section 3.01.</w:t>
      </w:r>
    </w:p>
    <w:p>
      <w:pPr>
        <w:spacing w:after="0" w:line="95" w:lineRule="exact"/>
        <w:rPr>
          <w:sz w:val="20"/>
          <w:szCs w:val="20"/>
          <w:color w:val="auto"/>
        </w:rPr>
      </w:pPr>
    </w:p>
    <w:p>
      <w:pPr>
        <w:jc w:val="both"/>
        <w:ind w:firstLine="56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Repayment Date</w:t>
      </w:r>
      <w:r>
        <w:rPr>
          <w:rFonts w:ascii="Times New Roman" w:cs="Times New Roman" w:eastAsia="Times New Roman" w:hAnsi="Times New Roman"/>
          <w:sz w:val="19"/>
          <w:szCs w:val="19"/>
          <w:color w:val="auto"/>
        </w:rPr>
        <w:t>" means, when used with respect to any Security to be repaid at the option of the Holder, the date fixed for such repayment pursuant to this Indenture.</w:t>
      </w:r>
    </w:p>
    <w:p>
      <w:pPr>
        <w:spacing w:after="0" w:line="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Reset Notice</w:t>
      </w:r>
      <w:r>
        <w:rPr>
          <w:rFonts w:ascii="Times New Roman" w:cs="Times New Roman" w:eastAsia="Times New Roman" w:hAnsi="Times New Roman"/>
          <w:sz w:val="19"/>
          <w:szCs w:val="19"/>
          <w:color w:val="auto"/>
        </w:rPr>
        <w:t>" has the meaning specified in Section 3.07.</w:t>
      </w:r>
    </w:p>
    <w:p>
      <w:pPr>
        <w:spacing w:after="0" w:line="160" w:lineRule="exact"/>
        <w:rPr>
          <w:sz w:val="20"/>
          <w:szCs w:val="20"/>
          <w:color w:val="auto"/>
        </w:rPr>
      </w:pPr>
    </w:p>
    <w:p>
      <w:pPr>
        <w:jc w:val="both"/>
        <w:ind w:firstLine="568"/>
        <w:spacing w:after="0" w:line="242" w:lineRule="auto"/>
        <w:rPr>
          <w:sz w:val="20"/>
          <w:szCs w:val="20"/>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Responsible Officer</w:t>
      </w:r>
      <w:r>
        <w:rPr>
          <w:rFonts w:ascii="Times New Roman" w:cs="Times New Roman" w:eastAsia="Times New Roman" w:hAnsi="Times New Roman"/>
          <w:sz w:val="19"/>
          <w:szCs w:val="19"/>
          <w:color w:val="auto"/>
        </w:rPr>
        <w:t>," when used with respect to a Trustee, means any vice president, secretary, any assistant secretary, treasurer, any assistant treasurer, any senior trust officer, any trust officer, the controller within the corporate trust administration division of a Trustee or any other officer of a Trustee customarily performing functions similar to those performed by any of the above-designated officers, and also means, with respect to a particular corporate trust matter, any other officer to whom such matter is referred because of his knowledge of and familiarity with the particular subject.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73" w:name="page74"/>
    <w:bookmarkEnd w:id="73"/>
    <w:p>
      <w:pPr>
        <w:jc w:val="both"/>
        <w:ind w:firstLine="568"/>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Securities</w:t>
      </w:r>
      <w:r>
        <w:rPr>
          <w:rFonts w:ascii="Times New Roman" w:cs="Times New Roman" w:eastAsia="Times New Roman" w:hAnsi="Times New Roman"/>
          <w:sz w:val="19"/>
          <w:szCs w:val="19"/>
          <w:color w:val="auto"/>
        </w:rPr>
        <w:t xml:space="preserve">" has the meaning stated in the first recital of this Indenture and more particularly means any Securities authenticated and delivered under this Indenture;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Security Register</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Security Registrar</w:t>
      </w:r>
      <w:r>
        <w:rPr>
          <w:rFonts w:ascii="Times New Roman" w:cs="Times New Roman" w:eastAsia="Times New Roman" w:hAnsi="Times New Roman"/>
          <w:sz w:val="19"/>
          <w:szCs w:val="19"/>
          <w:color w:val="auto"/>
        </w:rPr>
        <w:t>" have the respective meanings specified in Section 3.05.</w:t>
      </w:r>
    </w:p>
    <w:p>
      <w:pPr>
        <w:spacing w:after="0" w:line="160" w:lineRule="exact"/>
        <w:rPr>
          <w:sz w:val="20"/>
          <w:szCs w:val="20"/>
          <w:color w:val="auto"/>
        </w:rPr>
      </w:pPr>
    </w:p>
    <w:p>
      <w:pPr>
        <w:jc w:val="both"/>
        <w:ind w:firstLine="56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Special Record Date</w:t>
      </w:r>
      <w:r>
        <w:rPr>
          <w:rFonts w:ascii="Times New Roman" w:cs="Times New Roman" w:eastAsia="Times New Roman" w:hAnsi="Times New Roman"/>
          <w:sz w:val="19"/>
          <w:szCs w:val="19"/>
          <w:color w:val="auto"/>
        </w:rPr>
        <w:t>" for the payment of any Defaulted Interest on the Securities of or within any series means a date fixed by the Trustees pursuant to Section 3.07.</w:t>
      </w:r>
    </w:p>
    <w:p>
      <w:pPr>
        <w:spacing w:after="0" w:line="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Specified Amount</w:t>
      </w:r>
      <w:r>
        <w:rPr>
          <w:rFonts w:ascii="Times New Roman" w:cs="Times New Roman" w:eastAsia="Times New Roman" w:hAnsi="Times New Roman"/>
          <w:sz w:val="19"/>
          <w:szCs w:val="19"/>
          <w:color w:val="auto"/>
        </w:rPr>
        <w:t>" has the meaning specified in Section 3.12(h).</w:t>
      </w:r>
    </w:p>
    <w:p>
      <w:pPr>
        <w:spacing w:after="0" w:line="148" w:lineRule="exact"/>
        <w:rPr>
          <w:sz w:val="20"/>
          <w:szCs w:val="20"/>
          <w:color w:val="auto"/>
        </w:rPr>
      </w:pPr>
    </w:p>
    <w:p>
      <w:pPr>
        <w:jc w:val="both"/>
        <w:ind w:firstLine="568"/>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Stated Maturity</w:t>
      </w:r>
      <w:r>
        <w:rPr>
          <w:rFonts w:ascii="Times New Roman" w:cs="Times New Roman" w:eastAsia="Times New Roman" w:hAnsi="Times New Roman"/>
          <w:sz w:val="19"/>
          <w:szCs w:val="19"/>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 as such date may be extended pursuant to the provisions of Section 3.08 (if applicable).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Subsequent Interest Period</w:t>
      </w:r>
      <w:r>
        <w:rPr>
          <w:rFonts w:ascii="Times New Roman" w:cs="Times New Roman" w:eastAsia="Times New Roman" w:hAnsi="Times New Roman"/>
          <w:sz w:val="19"/>
          <w:szCs w:val="19"/>
          <w:color w:val="auto"/>
        </w:rPr>
        <w:t>" has the meaning specified in Section 3.07.</w:t>
      </w:r>
    </w:p>
    <w:p>
      <w:pPr>
        <w:spacing w:after="0" w:line="148" w:lineRule="exact"/>
        <w:rPr>
          <w:sz w:val="20"/>
          <w:szCs w:val="20"/>
          <w:color w:val="auto"/>
        </w:rPr>
      </w:pPr>
    </w:p>
    <w:p>
      <w:pPr>
        <w:jc w:val="both"/>
        <w:ind w:right="20" w:firstLine="56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Trust Indenture Act</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TIA</w:t>
      </w:r>
      <w:r>
        <w:rPr>
          <w:rFonts w:ascii="Times New Roman" w:cs="Times New Roman" w:eastAsia="Times New Roman" w:hAnsi="Times New Roman"/>
          <w:sz w:val="19"/>
          <w:szCs w:val="19"/>
          <w:color w:val="auto"/>
        </w:rPr>
        <w:t>" means the United States Trust Indenture Act of 1939, as amended, as in force at the date as of which this Indenture was executed, except as provided in Section 9.05.</w:t>
      </w:r>
    </w:p>
    <w:p>
      <w:pPr>
        <w:spacing w:after="0" w:line="95" w:lineRule="exact"/>
        <w:rPr>
          <w:sz w:val="20"/>
          <w:szCs w:val="20"/>
          <w:color w:val="auto"/>
        </w:rPr>
      </w:pPr>
    </w:p>
    <w:p>
      <w:pPr>
        <w:jc w:val="both"/>
        <w:ind w:firstLine="568"/>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Trust Indenture Legislation</w:t>
      </w:r>
      <w:r>
        <w:rPr>
          <w:rFonts w:ascii="Times New Roman" w:cs="Times New Roman" w:eastAsia="Times New Roman" w:hAnsi="Times New Roman"/>
          <w:sz w:val="19"/>
          <w:szCs w:val="19"/>
          <w:color w:val="auto"/>
        </w:rPr>
        <w:t>" means, at any time, the provisions of (i) any applicable statute of Canada or any province or territory thereof and the regulations thereunder as amended or re-enacted from time to time, but only to the extent applicable, or (ii) the Trust Indenture Act and regulations thereunder, but only to the extent applicable, in each case relating to trust indentures and to the rights, duties and obligations of trustees under trust indentures and of corporations issuing debt obligations under trust indentures, to the extent that such provisions are at such time in force and applicable to this Indenture or the Company or the Trustees.</w:t>
      </w:r>
    </w:p>
    <w:p>
      <w:pPr>
        <w:spacing w:after="0" w:line="128" w:lineRule="exact"/>
        <w:rPr>
          <w:sz w:val="20"/>
          <w:szCs w:val="20"/>
          <w:color w:val="auto"/>
        </w:rPr>
      </w:pPr>
    </w:p>
    <w:p>
      <w:pPr>
        <w:jc w:val="both"/>
        <w:ind w:firstLine="568"/>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Trustee</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Trustees</w:t>
      </w:r>
      <w:r>
        <w:rPr>
          <w:rFonts w:ascii="Times New Roman" w:cs="Times New Roman" w:eastAsia="Times New Roman" w:hAnsi="Times New Roman"/>
          <w:sz w:val="19"/>
          <w:szCs w:val="19"/>
          <w:color w:val="auto"/>
        </w:rPr>
        <w:t>" means the U.S. Trustee and the Canadian Trustee. If a Canadian Trustee is not appointed under this Indenture, or resigns or is removed and, pursuant to Section 6.09, the Company is not required to appoint a successor Trustee to the Canadian Trustee, "Trustee," "Trustees" and any reference to "either Trustee," "both of the Trustees" or such similar references shall mean the Person named as the U.S. Trustee or any successor thereto appointed pursuant to the applicable provisions of this Indenture. Except to the extent otherwise indicated, "Trustees" shall refer to the Canadian Trustee (if appointed and still serving) and the U.S. Trustee, both jointly and individually.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U.S. Federal Bankruptcy Code</w:t>
      </w:r>
      <w:r>
        <w:rPr>
          <w:rFonts w:ascii="Times New Roman" w:cs="Times New Roman" w:eastAsia="Times New Roman" w:hAnsi="Times New Roman"/>
          <w:sz w:val="19"/>
          <w:szCs w:val="19"/>
          <w:color w:val="auto"/>
        </w:rPr>
        <w:t>" means the Bankruptcy Act of Title 11 of the United States Code, as amended from time to time.</w:t>
      </w:r>
    </w:p>
    <w:p>
      <w:pPr>
        <w:spacing w:after="0" w:line="148" w:lineRule="exact"/>
        <w:rPr>
          <w:sz w:val="20"/>
          <w:szCs w:val="20"/>
          <w:color w:val="auto"/>
        </w:rPr>
      </w:pPr>
    </w:p>
    <w:p>
      <w:pPr>
        <w:jc w:val="both"/>
        <w:ind w:firstLine="568"/>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U.S. Trustee</w:t>
      </w:r>
      <w:r>
        <w:rPr>
          <w:rFonts w:ascii="Times New Roman" w:cs="Times New Roman" w:eastAsia="Times New Roman" w:hAnsi="Times New Roman"/>
          <w:sz w:val="19"/>
          <w:szCs w:val="19"/>
          <w:color w:val="auto"/>
        </w:rPr>
        <w:t xml:space="preserve">" means the Person named as the "U.S. Trustee" in the first paragraph of this Indenture until a successor U.S. Trustee shall have become such pursuant to the applicable provisions of this Indenture, and thereafter "U.S. Trustee" shall mean or include each Person who is then a U.S. Trustee hereunder;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if at any time there is more than one such Person, "U.S. Trustee" as used with respect to the Securities of any series shall mean only the U.S. Trustee with respect to Securities of that series.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74" w:name="page75"/>
    <w:bookmarkEnd w:id="74"/>
    <w:p>
      <w:pPr>
        <w:jc w:val="both"/>
        <w:ind w:right="20" w:firstLine="568"/>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United States</w:t>
      </w:r>
      <w:r>
        <w:rPr>
          <w:rFonts w:ascii="Times New Roman" w:cs="Times New Roman" w:eastAsia="Times New Roman" w:hAnsi="Times New Roman"/>
          <w:sz w:val="19"/>
          <w:szCs w:val="19"/>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94" w:lineRule="exact"/>
        <w:rPr>
          <w:sz w:val="20"/>
          <w:szCs w:val="20"/>
          <w:color w:val="auto"/>
        </w:rPr>
      </w:pPr>
    </w:p>
    <w:p>
      <w:pPr>
        <w:jc w:val="both"/>
        <w:ind w:firstLine="568"/>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United States person</w:t>
      </w:r>
      <w:r>
        <w:rPr>
          <w:rFonts w:ascii="Times New Roman" w:cs="Times New Roman" w:eastAsia="Times New Roman" w:hAnsi="Times New Roman"/>
          <w:sz w:val="19"/>
          <w:szCs w:val="19"/>
          <w:color w:val="auto"/>
        </w:rPr>
        <w:t>" means, unless otherwise specified with respect to any Securities pursuant to Section 3.01, an individual who is a citizen or resident of the United States, a corporation, partnership (including any entity treated as a corporation or as a partnership for United States federal income tax purposes) or other entity created or organized in or under the laws of the United States, any state thereof or the District of Columbia, an estate the income of which is subject to United States federal income taxation regardless of its source, or a trust if (A) it is subject to the primary supervision of a court within the United States and one or more United States persons have the authority to control all substantial decisions of the trust or (B) it has a valid election in effect under applicable United States Treasury Regulations to be treated as a United States person.</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Valuation Date</w:t>
      </w:r>
      <w:r>
        <w:rPr>
          <w:rFonts w:ascii="Times New Roman" w:cs="Times New Roman" w:eastAsia="Times New Roman" w:hAnsi="Times New Roman"/>
          <w:sz w:val="19"/>
          <w:szCs w:val="19"/>
          <w:color w:val="auto"/>
        </w:rPr>
        <w:t>" has the meaning specified in Section 3.12(c).</w:t>
      </w:r>
    </w:p>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Writing</w:t>
      </w:r>
      <w:r>
        <w:rPr>
          <w:rFonts w:ascii="Times New Roman" w:cs="Times New Roman" w:eastAsia="Times New Roman" w:hAnsi="Times New Roman"/>
          <w:sz w:val="19"/>
          <w:szCs w:val="19"/>
          <w:color w:val="auto"/>
        </w:rPr>
        <w:t>" has the meaning specified in Section 6.13.</w:t>
      </w:r>
    </w:p>
    <w:p>
      <w:pPr>
        <w:spacing w:after="0" w:line="148" w:lineRule="exact"/>
        <w:rPr>
          <w:sz w:val="20"/>
          <w:szCs w:val="20"/>
          <w:color w:val="auto"/>
        </w:rPr>
      </w:pPr>
    </w:p>
    <w:p>
      <w:pPr>
        <w:jc w:val="both"/>
        <w:ind w:right="20" w:firstLine="568"/>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Yield to Maturity</w:t>
      </w:r>
      <w:r>
        <w:rPr>
          <w:rFonts w:ascii="Times New Roman" w:cs="Times New Roman" w:eastAsia="Times New Roman" w:hAnsi="Times New Roman"/>
          <w:sz w:val="19"/>
          <w:szCs w:val="19"/>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21"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1.02</w:t>
      </w:r>
      <w:r>
        <w:rPr>
          <w:sz w:val="20"/>
          <w:szCs w:val="20"/>
          <w:color w:val="auto"/>
        </w:rPr>
        <w:tab/>
      </w:r>
      <w:r>
        <w:rPr>
          <w:rFonts w:ascii="Times New Roman" w:cs="Times New Roman" w:eastAsia="Times New Roman" w:hAnsi="Times New Roman"/>
          <w:sz w:val="18"/>
          <w:szCs w:val="18"/>
          <w:b w:val="1"/>
          <w:bCs w:val="1"/>
          <w:color w:val="auto"/>
        </w:rPr>
        <w:t>Rules of Construction</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For all purposes of this Indenture, except as otherwise expressly provided or unless the context otherwise requires:</w:t>
      </w:r>
    </w:p>
    <w:p>
      <w:pPr>
        <w:spacing w:after="0" w:line="148" w:lineRule="exact"/>
        <w:rPr>
          <w:sz w:val="20"/>
          <w:szCs w:val="20"/>
          <w:color w:val="auto"/>
        </w:rPr>
      </w:pPr>
    </w:p>
    <w:p>
      <w:pPr>
        <w:ind w:left="1180" w:hanging="618"/>
        <w:spacing w:after="0"/>
        <w:tabs>
          <w:tab w:leader="none" w:pos="118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terms defined in this Indenture have the meanings assigned to them herein and include the plural as well as the singular;</w:t>
      </w:r>
    </w:p>
    <w:p>
      <w:pPr>
        <w:spacing w:after="0" w:line="159" w:lineRule="exact"/>
        <w:rPr>
          <w:rFonts w:ascii="Times New Roman" w:cs="Times New Roman" w:eastAsia="Times New Roman" w:hAnsi="Times New Roman"/>
          <w:sz w:val="19"/>
          <w:szCs w:val="19"/>
          <w:color w:val="auto"/>
        </w:rPr>
      </w:pPr>
    </w:p>
    <w:p>
      <w:pPr>
        <w:jc w:val="both"/>
        <w:ind w:left="1140" w:right="20" w:hanging="578"/>
        <w:spacing w:after="0" w:line="248" w:lineRule="auto"/>
        <w:tabs>
          <w:tab w:leader="none" w:pos="1182"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terms used herein which are defined in the Trust Indenture Act, either directly or by reference therein, have the meanings assigned to them therein, and the terms "cash transaction" and "self-liquidating paper," as used in TIA Section 319, shall have the meanings assigned to them in the rules of the Commission adopted under the Trust Indenture Act;</w:t>
      </w:r>
    </w:p>
    <w:p>
      <w:pPr>
        <w:spacing w:after="0" w:line="115" w:lineRule="exact"/>
        <w:rPr>
          <w:rFonts w:ascii="Times New Roman" w:cs="Times New Roman" w:eastAsia="Times New Roman" w:hAnsi="Times New Roman"/>
          <w:sz w:val="19"/>
          <w:szCs w:val="19"/>
          <w:color w:val="auto"/>
        </w:rPr>
      </w:pPr>
    </w:p>
    <w:p>
      <w:pPr>
        <w:ind w:left="1140" w:right="20" w:hanging="578"/>
        <w:spacing w:after="0" w:line="262" w:lineRule="auto"/>
        <w:tabs>
          <w:tab w:leader="none" w:pos="1182"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words "herein," "hereof" and "hereunder" and other words of similar import refer to this Indenture as a whole and not to any particular Article, Section or other subdivision;</w:t>
      </w:r>
    </w:p>
    <w:p>
      <w:pPr>
        <w:spacing w:after="0" w:line="102" w:lineRule="exact"/>
        <w:rPr>
          <w:rFonts w:ascii="Times New Roman" w:cs="Times New Roman" w:eastAsia="Times New Roman" w:hAnsi="Times New Roman"/>
          <w:sz w:val="19"/>
          <w:szCs w:val="19"/>
          <w:color w:val="auto"/>
        </w:rPr>
      </w:pPr>
    </w:p>
    <w:p>
      <w:pPr>
        <w:ind w:left="1180" w:hanging="618"/>
        <w:spacing w:after="0"/>
        <w:tabs>
          <w:tab w:leader="none" w:pos="118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is not exclusive;</w:t>
      </w:r>
    </w:p>
    <w:p>
      <w:pPr>
        <w:spacing w:after="0" w:line="159" w:lineRule="exact"/>
        <w:rPr>
          <w:rFonts w:ascii="Times New Roman" w:cs="Times New Roman" w:eastAsia="Times New Roman" w:hAnsi="Times New Roman"/>
          <w:sz w:val="19"/>
          <w:szCs w:val="19"/>
          <w:color w:val="auto"/>
        </w:rPr>
      </w:pPr>
    </w:p>
    <w:p>
      <w:pPr>
        <w:ind w:left="1180" w:hanging="618"/>
        <w:spacing w:after="0"/>
        <w:tabs>
          <w:tab w:leader="none" w:pos="118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words implying any gender shall apply to all genders;</w:t>
      </w:r>
    </w:p>
    <w:p>
      <w:pPr>
        <w:spacing w:after="0" w:line="148" w:lineRule="exact"/>
        <w:rPr>
          <w:rFonts w:ascii="Times New Roman" w:cs="Times New Roman" w:eastAsia="Times New Roman" w:hAnsi="Times New Roman"/>
          <w:sz w:val="19"/>
          <w:szCs w:val="19"/>
          <w:color w:val="auto"/>
        </w:rPr>
      </w:pPr>
    </w:p>
    <w:p>
      <w:pPr>
        <w:ind w:left="1140" w:right="20" w:hanging="578"/>
        <w:spacing w:after="0" w:line="262" w:lineRule="auto"/>
        <w:tabs>
          <w:tab w:leader="none" w:pos="1182"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words Subsection, Section and Article refer to the Subsections, Sections and Articles, respectively, of this Indenture unless otherwise noted; and</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75" w:name="page76"/>
    <w:bookmarkEnd w:id="75"/>
    <w:p>
      <w:pPr>
        <w:ind w:left="1180" w:hanging="618"/>
        <w:spacing w:after="0"/>
        <w:tabs>
          <w:tab w:leader="none" w:pos="118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 "includes" or "including" means include, includes or including, in each case, without limitation.</w:t>
      </w:r>
    </w:p>
    <w:p>
      <w:pPr>
        <w:spacing w:after="0" w:line="145"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1.03</w:t>
      </w:r>
      <w:r>
        <w:rPr>
          <w:sz w:val="20"/>
          <w:szCs w:val="20"/>
          <w:color w:val="auto"/>
        </w:rPr>
        <w:tab/>
      </w:r>
      <w:r>
        <w:rPr>
          <w:rFonts w:ascii="Times New Roman" w:cs="Times New Roman" w:eastAsia="Times New Roman" w:hAnsi="Times New Roman"/>
          <w:sz w:val="18"/>
          <w:szCs w:val="18"/>
          <w:b w:val="1"/>
          <w:bCs w:val="1"/>
          <w:color w:val="auto"/>
        </w:rPr>
        <w:t>Compliance Certificates and Opinions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568"/>
        <w:spacing w:after="0" w:line="239" w:lineRule="auto"/>
        <w:rPr>
          <w:sz w:val="20"/>
          <w:szCs w:val="20"/>
          <w:color w:val="auto"/>
        </w:rPr>
      </w:pPr>
      <w:r>
        <w:rPr>
          <w:rFonts w:ascii="Times New Roman" w:cs="Times New Roman" w:eastAsia="Times New Roman" w:hAnsi="Times New Roman"/>
          <w:sz w:val="19"/>
          <w:szCs w:val="19"/>
          <w:color w:val="auto"/>
        </w:rPr>
        <w:t>Upon any application or request by the Company to the Trustees to take any action under any provision of this Indenture, the Company shall furnish to the Trustees an Officer's Certificate stating that all conditions precedent, if any, provided for in this Indenture (including any covenant compliance with which constitutes a condition precedent)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Every certificate or opinion with respect to compliance with a covenant or condition provided for in this Indenture (other than pursuant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10.04) shall include:</w:t>
      </w:r>
    </w:p>
    <w:p>
      <w:pPr>
        <w:spacing w:after="0" w:line="128" w:lineRule="exact"/>
        <w:rPr>
          <w:sz w:val="20"/>
          <w:szCs w:val="20"/>
          <w:color w:val="auto"/>
        </w:rPr>
      </w:pPr>
    </w:p>
    <w:p>
      <w:pPr>
        <w:ind w:left="1140" w:right="20" w:hanging="578"/>
        <w:spacing w:after="0" w:line="262" w:lineRule="auto"/>
        <w:tabs>
          <w:tab w:leader="none" w:pos="1182"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statement that each individual signing such certificate or opinion has read such covenant or condition and the definitions herein relating thereto;</w:t>
      </w:r>
    </w:p>
    <w:p>
      <w:pPr>
        <w:spacing w:after="0" w:line="114" w:lineRule="exact"/>
        <w:rPr>
          <w:rFonts w:ascii="Times New Roman" w:cs="Times New Roman" w:eastAsia="Times New Roman" w:hAnsi="Times New Roman"/>
          <w:sz w:val="19"/>
          <w:szCs w:val="19"/>
          <w:color w:val="auto"/>
        </w:rPr>
      </w:pPr>
    </w:p>
    <w:p>
      <w:pPr>
        <w:ind w:left="1140" w:right="20" w:hanging="578"/>
        <w:spacing w:after="0" w:line="262" w:lineRule="auto"/>
        <w:tabs>
          <w:tab w:leader="none" w:pos="1182"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brief statement as to the nature and scope of the examination or investigation upon which the statements or opinions contained in such certificate or opinion are based;</w:t>
      </w:r>
    </w:p>
    <w:p>
      <w:pPr>
        <w:spacing w:after="0" w:line="102" w:lineRule="exact"/>
        <w:rPr>
          <w:rFonts w:ascii="Times New Roman" w:cs="Times New Roman" w:eastAsia="Times New Roman" w:hAnsi="Times New Roman"/>
          <w:sz w:val="19"/>
          <w:szCs w:val="19"/>
          <w:color w:val="auto"/>
        </w:rPr>
      </w:pPr>
    </w:p>
    <w:p>
      <w:pPr>
        <w:ind w:left="1140" w:right="20" w:hanging="578"/>
        <w:spacing w:after="0" w:line="262" w:lineRule="auto"/>
        <w:tabs>
          <w:tab w:leader="none" w:pos="1182"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02" w:lineRule="exact"/>
        <w:rPr>
          <w:rFonts w:ascii="Times New Roman" w:cs="Times New Roman" w:eastAsia="Times New Roman" w:hAnsi="Times New Roman"/>
          <w:sz w:val="19"/>
          <w:szCs w:val="19"/>
          <w:color w:val="auto"/>
        </w:rPr>
      </w:pPr>
    </w:p>
    <w:p>
      <w:pPr>
        <w:ind w:left="1180" w:hanging="618"/>
        <w:spacing w:after="0"/>
        <w:tabs>
          <w:tab w:leader="none" w:pos="118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statement as to whether, in the opinion of each such individual, such covenant or condition has been complied with.</w:t>
      </w:r>
    </w:p>
    <w:p>
      <w:pPr>
        <w:spacing w:after="0" w:line="156"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1.04</w:t>
      </w:r>
      <w:r>
        <w:rPr>
          <w:sz w:val="20"/>
          <w:szCs w:val="20"/>
          <w:color w:val="auto"/>
        </w:rPr>
        <w:tab/>
      </w:r>
      <w:r>
        <w:rPr>
          <w:rFonts w:ascii="Times New Roman" w:cs="Times New Roman" w:eastAsia="Times New Roman" w:hAnsi="Times New Roman"/>
          <w:sz w:val="18"/>
          <w:szCs w:val="18"/>
          <w:b w:val="1"/>
          <w:bCs w:val="1"/>
          <w:color w:val="auto"/>
        </w:rPr>
        <w:t>Form of Documents Delivered to Trustees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43" w:lineRule="auto"/>
        <w:rPr>
          <w:sz w:val="20"/>
          <w:szCs w:val="20"/>
          <w:color w:val="auto"/>
        </w:rPr>
      </w:pPr>
      <w:r>
        <w:rPr>
          <w:rFonts w:ascii="Times New Roman" w:cs="Times New Roman" w:eastAsia="Times New Roman" w:hAnsi="Times New Roman"/>
          <w:sz w:val="19"/>
          <w:szCs w:val="19"/>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may certify or give an opinion with respect to other matters, and any such Person may certify or give an opinion as to such matters in one or several documents.</w:t>
      </w:r>
    </w:p>
    <w:p>
      <w:pPr>
        <w:spacing w:after="0" w:line="120" w:lineRule="exact"/>
        <w:rPr>
          <w:sz w:val="20"/>
          <w:szCs w:val="20"/>
          <w:color w:val="auto"/>
        </w:rPr>
      </w:pPr>
    </w:p>
    <w:p>
      <w:pPr>
        <w:jc w:val="both"/>
        <w:ind w:firstLine="568"/>
        <w:spacing w:after="0" w:line="239" w:lineRule="auto"/>
        <w:rPr>
          <w:sz w:val="20"/>
          <w:szCs w:val="20"/>
          <w:color w:val="auto"/>
        </w:rPr>
      </w:pPr>
      <w:r>
        <w:rPr>
          <w:rFonts w:ascii="Times New Roman" w:cs="Times New Roman" w:eastAsia="Times New Roman" w:hAnsi="Times New Roman"/>
          <w:sz w:val="19"/>
          <w:szCs w:val="19"/>
          <w:color w:val="auto"/>
        </w:rPr>
        <w:t>Any certificate or opinion of an officer of the Company may be based, insofar as it relates to legal matters, upon an Opinion of Counsel, a certificate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37" w:lineRule="exact"/>
        <w:rPr>
          <w:sz w:val="20"/>
          <w:szCs w:val="20"/>
          <w:color w:val="auto"/>
        </w:rPr>
      </w:pPr>
    </w:p>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Any certificate or opinion of an officer of the Company or counsel may be based, insofar as it relates to accounting matters, upon a certificate or opinion of, or representations by, an accountant or firm of accountants in the employ of the Company, unless such officer or counsel, as the case may be, knows, or in the exercise of reasonable care should know, that the certificate or opinion or representations with respect to the accounting matters upon which such certificate or opinion may be based are erroneous. Any certificate or opinion of any independent firm of public accountants filed with the Trustees shall contain a statement that such firm is independent.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76" w:name="page77"/>
    <w:bookmarkEnd w:id="76"/>
    <w:p>
      <w:pPr>
        <w:ind w:right="20" w:firstLine="568"/>
        <w:spacing w:after="0" w:line="263" w:lineRule="auto"/>
        <w:rPr>
          <w:sz w:val="20"/>
          <w:szCs w:val="20"/>
          <w:color w:val="auto"/>
        </w:rPr>
      </w:pPr>
      <w:r>
        <w:rPr>
          <w:rFonts w:ascii="Times New Roman" w:cs="Times New Roman" w:eastAsia="Times New Roman" w:hAnsi="Times New Roman"/>
          <w:sz w:val="19"/>
          <w:szCs w:val="19"/>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98"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1.05</w:t>
      </w:r>
      <w:r>
        <w:rPr>
          <w:sz w:val="20"/>
          <w:szCs w:val="20"/>
          <w:color w:val="auto"/>
        </w:rPr>
        <w:tab/>
      </w:r>
      <w:r>
        <w:rPr>
          <w:rFonts w:ascii="Times New Roman" w:cs="Times New Roman" w:eastAsia="Times New Roman" w:hAnsi="Times New Roman"/>
          <w:sz w:val="18"/>
          <w:szCs w:val="18"/>
          <w:b w:val="1"/>
          <w:bCs w:val="1"/>
          <w:color w:val="auto"/>
        </w:rPr>
        <w:t>Acts of Holders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562"/>
        <w:spacing w:after="0" w:line="237" w:lineRule="auto"/>
        <w:tabs>
          <w:tab w:leader="none" w:pos="1153"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Except as herein otherwise expressly provided, such action shall become effective when such instrument or instruments or record or both are delivered to the Trustees and, where it is hereby expressly required, to the Company. Such instrument or instruments and any such record (and the action embodied therein and evidenced thereby) are herein sometimes referred to as the "</w:t>
      </w:r>
      <w:r>
        <w:rPr>
          <w:rFonts w:ascii="Times New Roman" w:cs="Times New Roman" w:eastAsia="Times New Roman" w:hAnsi="Times New Roman"/>
          <w:sz w:val="19"/>
          <w:szCs w:val="19"/>
          <w:b w:val="1"/>
          <w:bCs w:val="1"/>
          <w:color w:val="auto"/>
        </w:rPr>
        <w:t>Act</w:t>
      </w:r>
      <w:r>
        <w:rPr>
          <w:rFonts w:ascii="Times New Roman" w:cs="Times New Roman" w:eastAsia="Times New Roman" w:hAnsi="Times New Roman"/>
          <w:sz w:val="19"/>
          <w:szCs w:val="19"/>
          <w:color w:val="auto"/>
        </w:rPr>
        <w: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Trustees and the Company, if made in the manner provided in this Section 1.05. The Trustees may make reasonable rules for action by or at a meeting of Holders.</w:t>
      </w:r>
    </w:p>
    <w:p>
      <w:pPr>
        <w:spacing w:after="0" w:line="127" w:lineRule="exact"/>
        <w:rPr>
          <w:rFonts w:ascii="Times New Roman" w:cs="Times New Roman" w:eastAsia="Times New Roman" w:hAnsi="Times New Roman"/>
          <w:sz w:val="19"/>
          <w:szCs w:val="19"/>
          <w:color w:val="auto"/>
        </w:rPr>
      </w:pPr>
    </w:p>
    <w:p>
      <w:pPr>
        <w:jc w:val="both"/>
        <w:ind w:firstLine="562"/>
        <w:spacing w:after="0" w:line="239" w:lineRule="auto"/>
        <w:tabs>
          <w:tab w:leader="none" w:pos="1154"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manner which the Trustees deem sufficient.</w:t>
      </w:r>
    </w:p>
    <w:p>
      <w:pPr>
        <w:spacing w:after="0" w:line="125" w:lineRule="exact"/>
        <w:rPr>
          <w:rFonts w:ascii="Times New Roman" w:cs="Times New Roman" w:eastAsia="Times New Roman" w:hAnsi="Times New Roman"/>
          <w:sz w:val="19"/>
          <w:szCs w:val="19"/>
          <w:color w:val="auto"/>
        </w:rPr>
      </w:pPr>
    </w:p>
    <w:p>
      <w:pPr>
        <w:ind w:left="1140" w:hanging="578"/>
        <w:spacing w:after="0"/>
        <w:tabs>
          <w:tab w:leader="none" w:pos="114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ownership of the Securities, including the principal amount and the date of holding the same, shall be proved by the Security</w:t>
      </w:r>
    </w:p>
    <w:p>
      <w:pPr>
        <w:spacing w:after="0" w:line="1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Register.</w:t>
      </w:r>
    </w:p>
    <w:p>
      <w:pPr>
        <w:spacing w:after="0" w:line="139" w:lineRule="exact"/>
        <w:rPr>
          <w:rFonts w:ascii="Times New Roman" w:cs="Times New Roman" w:eastAsia="Times New Roman" w:hAnsi="Times New Roman"/>
          <w:sz w:val="19"/>
          <w:szCs w:val="19"/>
          <w:color w:val="auto"/>
        </w:rPr>
      </w:pPr>
    </w:p>
    <w:p>
      <w:pPr>
        <w:jc w:val="both"/>
        <w:ind w:firstLine="562"/>
        <w:spacing w:after="0" w:line="236" w:lineRule="auto"/>
        <w:tabs>
          <w:tab w:leader="none" w:pos="1154"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Company shall solicit from the Holders of Securities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Notwithstanding Trust Indenture Legislation, including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77" w:name="page78"/>
    <w:bookmarkEnd w:id="77"/>
    <w:p>
      <w:pPr>
        <w:jc w:val="both"/>
        <w:ind w:firstLine="562"/>
        <w:spacing w:after="0" w:line="243" w:lineRule="auto"/>
        <w:tabs>
          <w:tab w:leader="none" w:pos="1153"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Trustees or the Company in reliance thereon, whether or not notation of such action is made upon such Security.</w:t>
      </w:r>
    </w:p>
    <w:p>
      <w:pPr>
        <w:spacing w:after="0" w:line="117"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1.06</w:t>
      </w:r>
      <w:r>
        <w:rPr>
          <w:sz w:val="20"/>
          <w:szCs w:val="20"/>
          <w:color w:val="auto"/>
        </w:rPr>
        <w:tab/>
      </w:r>
      <w:r>
        <w:rPr>
          <w:rFonts w:ascii="Times New Roman" w:cs="Times New Roman" w:eastAsia="Times New Roman" w:hAnsi="Times New Roman"/>
          <w:sz w:val="19"/>
          <w:szCs w:val="19"/>
          <w:b w:val="1"/>
          <w:bCs w:val="1"/>
          <w:color w:val="auto"/>
        </w:rPr>
        <w:t>Notices</w:t>
      </w:r>
      <w:r>
        <w:rPr>
          <w:rFonts w:ascii="Times New Roman" w:cs="Times New Roman" w:eastAsia="Times New Roman" w:hAnsi="Times New Roman"/>
          <w:sz w:val="19"/>
          <w:szCs w:val="19"/>
          <w:color w:val="auto"/>
        </w:rPr>
        <w:t>.</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Any request, demand, authorization, direction, notice, consent, waiver or Act of Holders or other documents provided or permitted by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Indenture to be made upon, given or furnished to, or filed with:</w:t>
      </w:r>
    </w:p>
    <w:p>
      <w:pPr>
        <w:spacing w:after="0" w:line="128" w:lineRule="exact"/>
        <w:rPr>
          <w:sz w:val="20"/>
          <w:szCs w:val="20"/>
          <w:color w:val="auto"/>
        </w:rPr>
      </w:pPr>
    </w:p>
    <w:p>
      <w:pPr>
        <w:ind w:left="1140" w:right="20" w:hanging="578"/>
        <w:spacing w:after="0" w:line="262" w:lineRule="auto"/>
        <w:tabs>
          <w:tab w:leader="none" w:pos="1182"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U.S. Trustee, by the Canadian Trustee, any Holder or by the Company shall be sufficient for every purpose hereunder if made, given, furnished or filed in writing to or with the U.S. Trustee at its Corporate Trust Office, Attention: ________________, or</w:t>
      </w:r>
    </w:p>
    <w:p>
      <w:pPr>
        <w:spacing w:after="0" w:line="102" w:lineRule="exact"/>
        <w:rPr>
          <w:rFonts w:ascii="Times New Roman" w:cs="Times New Roman" w:eastAsia="Times New Roman" w:hAnsi="Times New Roman"/>
          <w:sz w:val="19"/>
          <w:szCs w:val="19"/>
          <w:color w:val="auto"/>
        </w:rPr>
      </w:pPr>
    </w:p>
    <w:p>
      <w:pPr>
        <w:ind w:left="1140" w:right="20" w:hanging="578"/>
        <w:spacing w:after="0" w:line="262" w:lineRule="auto"/>
        <w:tabs>
          <w:tab w:leader="none" w:pos="1182"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Canadian Trustee, by the U.S. Trustee, any Holder or by the Company shall be sufficient for every purpose hereunder if made, given, furnished or filed in writing to or with the Canadian Trustee at its Corporate Trust Office, Attention: ________________, or</w:t>
      </w:r>
    </w:p>
    <w:p>
      <w:pPr>
        <w:spacing w:after="0" w:line="114" w:lineRule="exact"/>
        <w:rPr>
          <w:rFonts w:ascii="Times New Roman" w:cs="Times New Roman" w:eastAsia="Times New Roman" w:hAnsi="Times New Roman"/>
          <w:sz w:val="19"/>
          <w:szCs w:val="19"/>
          <w:color w:val="auto"/>
        </w:rPr>
      </w:pPr>
    </w:p>
    <w:p>
      <w:pPr>
        <w:jc w:val="both"/>
        <w:ind w:left="1140" w:hanging="578"/>
        <w:spacing w:after="0" w:line="243" w:lineRule="auto"/>
        <w:tabs>
          <w:tab w:leader="none" w:pos="1182"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by either Trustee or any Holder shall be sufficient for every purpose hereunder (unless otherwise herein expressly provided) if in writing and mailed, first-class postage prepaid, or sent by overnight courier, to the Company at 100 King Street West, Suite 5600, Toronto, Ontario, Canada M5X 1C9, Attention: Corporate Secretary or such other address and/or officer as the Company may designate on written notice to the Trustees.</w:t>
      </w:r>
    </w:p>
    <w:p>
      <w:pPr>
        <w:spacing w:after="0" w:line="116"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1.07</w:t>
      </w:r>
      <w:r>
        <w:rPr>
          <w:sz w:val="20"/>
          <w:szCs w:val="20"/>
          <w:color w:val="auto"/>
        </w:rPr>
        <w:tab/>
      </w:r>
      <w:r>
        <w:rPr>
          <w:rFonts w:ascii="Times New Roman" w:cs="Times New Roman" w:eastAsia="Times New Roman" w:hAnsi="Times New Roman"/>
          <w:sz w:val="18"/>
          <w:szCs w:val="18"/>
          <w:b w:val="1"/>
          <w:bCs w:val="1"/>
          <w:color w:val="auto"/>
        </w:rPr>
        <w:t>Notice to Holders; Waiver</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39" w:lineRule="auto"/>
        <w:rPr>
          <w:sz w:val="20"/>
          <w:szCs w:val="20"/>
          <w:color w:val="auto"/>
        </w:rPr>
      </w:pPr>
      <w:r>
        <w:rPr>
          <w:rFonts w:ascii="Times New Roman" w:cs="Times New Roman" w:eastAsia="Times New Roman" w:hAnsi="Times New Roman"/>
          <w:sz w:val="19"/>
          <w:szCs w:val="19"/>
          <w:color w:val="auto"/>
        </w:rPr>
        <w:t>Where this Indenture provides for notice of any event to Holders of Securities by the Company or the Trustees, such notice shall be sufficiently given (unless otherwise herein expressly provided) if in writing and mailed, first-class postage prepaid, to each such Holder affected by such event, at his address as it appears in the Security Register. In any case where notice to Holders of Securities is given by mail, neither the failure to mail such notice, nor any defect in any notice so mailed, to any particular Holder shall affect the sufficiency of such notice with respect to other Holders of Securities. Any notice mailed to a Holder in the manner herein prescribed shall be conclusively deemed to have been received by such Holder, whether or not such Holder actually receives such notice.</w:t>
      </w:r>
    </w:p>
    <w:p>
      <w:pPr>
        <w:spacing w:after="0" w:line="137" w:lineRule="exact"/>
        <w:rPr>
          <w:sz w:val="20"/>
          <w:szCs w:val="20"/>
          <w:color w:val="auto"/>
        </w:rPr>
      </w:pPr>
    </w:p>
    <w:p>
      <w:pPr>
        <w:jc w:val="both"/>
        <w:ind w:right="20" w:firstLine="568"/>
        <w:spacing w:after="0" w:line="248" w:lineRule="auto"/>
        <w:rPr>
          <w:sz w:val="20"/>
          <w:szCs w:val="20"/>
          <w:color w:val="auto"/>
        </w:rPr>
      </w:pPr>
      <w:r>
        <w:rPr>
          <w:rFonts w:ascii="Times New Roman" w:cs="Times New Roman" w:eastAsia="Times New Roman" w:hAnsi="Times New Roman"/>
          <w:sz w:val="19"/>
          <w:szCs w:val="19"/>
          <w:color w:val="auto"/>
        </w:rPr>
        <w:t>In case, by reason of the suspension of or irregularities in regular mail service or by reason of any other cause, it shall be impractical to mail notice of any event to Holders of Securities when such notice is required to be given pursuant to any provision of this Indenture, then any manner of giving such notice as shall be satisfactory to the Trustees shall be deemed to be sufficient giving of such notice for every purpose hereunder.</w:t>
      </w:r>
    </w:p>
    <w:p>
      <w:pPr>
        <w:spacing w:after="0" w:line="115" w:lineRule="exact"/>
        <w:rPr>
          <w:sz w:val="20"/>
          <w:szCs w:val="20"/>
          <w:color w:val="auto"/>
        </w:rPr>
      </w:pPr>
    </w:p>
    <w:p>
      <w:pPr>
        <w:jc w:val="both"/>
        <w:ind w:right="20" w:firstLine="568"/>
        <w:spacing w:after="0" w:line="262" w:lineRule="auto"/>
        <w:rPr>
          <w:sz w:val="20"/>
          <w:szCs w:val="20"/>
          <w:color w:val="auto"/>
        </w:rPr>
      </w:pPr>
      <w:r>
        <w:rPr>
          <w:rFonts w:ascii="Times New Roman" w:cs="Times New Roman" w:eastAsia="Times New Roman" w:hAnsi="Times New Roman"/>
          <w:sz w:val="19"/>
          <w:szCs w:val="19"/>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78" w:name="page79"/>
    <w:bookmarkEnd w:id="78"/>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Trustees, but such filing shall not be a condition precedent to the validity of any action taken in reliance upon such waiver.</w:t>
      </w:r>
    </w:p>
    <w:p>
      <w:pPr>
        <w:spacing w:after="0" w:line="112"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1.08</w:t>
      </w:r>
      <w:r>
        <w:rPr>
          <w:sz w:val="20"/>
          <w:szCs w:val="20"/>
          <w:color w:val="auto"/>
        </w:rPr>
        <w:tab/>
      </w:r>
      <w:r>
        <w:rPr>
          <w:rFonts w:ascii="Times New Roman" w:cs="Times New Roman" w:eastAsia="Times New Roman" w:hAnsi="Times New Roman"/>
          <w:sz w:val="18"/>
          <w:szCs w:val="18"/>
          <w:b w:val="1"/>
          <w:bCs w:val="1"/>
          <w:color w:val="auto"/>
        </w:rPr>
        <w:t>Effect of Headings and Table of Contents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The Article and Section headings herein and the Table of Contents are for convenience only and shall not affect the construction hereof.</w:t>
      </w:r>
    </w:p>
    <w:p>
      <w:pPr>
        <w:spacing w:after="0" w:line="144"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1.09</w:t>
      </w:r>
      <w:r>
        <w:rPr>
          <w:sz w:val="20"/>
          <w:szCs w:val="20"/>
          <w:color w:val="auto"/>
        </w:rPr>
        <w:tab/>
      </w: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62" w:lineRule="auto"/>
        <w:rPr>
          <w:sz w:val="20"/>
          <w:szCs w:val="20"/>
          <w:color w:val="auto"/>
        </w:rPr>
      </w:pPr>
      <w:r>
        <w:rPr>
          <w:rFonts w:ascii="Times New Roman" w:cs="Times New Roman" w:eastAsia="Times New Roman" w:hAnsi="Times New Roman"/>
          <w:sz w:val="19"/>
          <w:szCs w:val="19"/>
          <w:color w:val="auto"/>
        </w:rPr>
        <w:t>All covenants and agreements in this Indenture by the Company and the Trustees shall bind their successors and assigns, whether so expressed or not.</w:t>
      </w:r>
    </w:p>
    <w:p>
      <w:pPr>
        <w:spacing w:after="0" w:line="110"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1.10</w:t>
      </w:r>
      <w:r>
        <w:rPr>
          <w:sz w:val="20"/>
          <w:szCs w:val="20"/>
          <w:color w:val="auto"/>
        </w:rPr>
        <w:tab/>
      </w:r>
      <w:r>
        <w:rPr>
          <w:rFonts w:ascii="Times New Roman" w:cs="Times New Roman" w:eastAsia="Times New Roman" w:hAnsi="Times New Roman"/>
          <w:sz w:val="18"/>
          <w:szCs w:val="18"/>
          <w:b w:val="1"/>
          <w:bCs w:val="1"/>
          <w:color w:val="auto"/>
        </w:rPr>
        <w:t>Severability Clause</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62" w:lineRule="auto"/>
        <w:rPr>
          <w:sz w:val="20"/>
          <w:szCs w:val="20"/>
          <w:color w:val="auto"/>
        </w:rPr>
      </w:pPr>
      <w:r>
        <w:rPr>
          <w:rFonts w:ascii="Times New Roman" w:cs="Times New Roman" w:eastAsia="Times New Roman" w:hAnsi="Times New Roman"/>
          <w:sz w:val="19"/>
          <w:szCs w:val="19"/>
          <w:color w:val="auto"/>
        </w:rPr>
        <w:t>In case any provision in this Indenture or in any Security shall be invalid, illegal or unenforceable, the validity, legality and enforceability of the remaining provisions shall not in any way be affected or impaired thereby.</w:t>
      </w:r>
    </w:p>
    <w:p>
      <w:pPr>
        <w:spacing w:after="0" w:line="98"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1.11</w:t>
      </w:r>
      <w:r>
        <w:rPr>
          <w:sz w:val="20"/>
          <w:szCs w:val="20"/>
          <w:color w:val="auto"/>
        </w:rPr>
        <w:tab/>
      </w:r>
      <w:r>
        <w:rPr>
          <w:rFonts w:ascii="Times New Roman" w:cs="Times New Roman" w:eastAsia="Times New Roman" w:hAnsi="Times New Roman"/>
          <w:sz w:val="18"/>
          <w:szCs w:val="18"/>
          <w:b w:val="1"/>
          <w:bCs w:val="1"/>
          <w:color w:val="auto"/>
        </w:rPr>
        <w:t>Benefits of Indenture</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right="20" w:firstLine="568"/>
        <w:spacing w:after="0" w:line="241" w:lineRule="auto"/>
        <w:rPr>
          <w:sz w:val="20"/>
          <w:szCs w:val="20"/>
          <w:color w:val="auto"/>
        </w:rPr>
      </w:pPr>
      <w:r>
        <w:rPr>
          <w:rFonts w:ascii="Times New Roman" w:cs="Times New Roman" w:eastAsia="Times New Roman" w:hAnsi="Times New Roman"/>
          <w:sz w:val="19"/>
          <w:szCs w:val="19"/>
          <w:color w:val="auto"/>
        </w:rPr>
        <w:t>Nothing in this Indenture or in the Securities, express or implied, shall give to any Person, other than the parties hereto, any Authenticating Agent, any Paying Agent, any Securities Registrar and their successors hereunder and the Holders of Securities, any benefit or any legal or equitable right, remedy or claim under this Indenture. Subject to Section 1.16, at all times in relation to this Indenture and any action to be taken hereunder, the Company and the Trustees each shall observe and comply with Trust Indenture Legislation and the Company, the Trustees and each Holder of a Security shall be entitled to the benefits of Trust Indenture Legislation.</w:t>
      </w:r>
    </w:p>
    <w:p>
      <w:pPr>
        <w:spacing w:after="0" w:line="117"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1.12</w:t>
      </w:r>
      <w:r>
        <w:rPr>
          <w:sz w:val="20"/>
          <w:szCs w:val="20"/>
          <w:color w:val="auto"/>
        </w:rPr>
        <w:tab/>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38" w:lineRule="auto"/>
        <w:rPr>
          <w:sz w:val="20"/>
          <w:szCs w:val="20"/>
          <w:color w:val="auto"/>
        </w:rPr>
      </w:pPr>
      <w:r>
        <w:rPr>
          <w:rFonts w:ascii="Times New Roman" w:cs="Times New Roman" w:eastAsia="Times New Roman" w:hAnsi="Times New Roman"/>
          <w:sz w:val="19"/>
          <w:szCs w:val="19"/>
          <w:color w:val="auto"/>
        </w:rPr>
        <w:t>This Indenture and the Securities shall be governed by and construed in accordance with the law of the State of New York, but without giving effect to applicable principles of conflicts of law to the extent that the application of the law of another jurisdiction would be required thereby. Notwithstanding the preceding sentence, the exercise, performance or discharge by the Canadian Trustee of any of its rights, powers, duties or responsibilities hereunder shall be construed in accordance with the laws of the Province of Ontario and the federal laws of Canada applicable thereto. This Indenture is subject to the provisions of Trust Indenture Legislation that are required to be part of this Indenture and shall, to the extent applicable, be governed by such provisions. Each Trustee and the Company agrees to comply with all provisions of Trust Indenture Legislation applicable to or binding upon it in connection with this Indenture and any action to be taken hereunder.</w:t>
      </w:r>
    </w:p>
    <w:p>
      <w:pPr>
        <w:spacing w:after="0" w:line="135"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1.13</w:t>
      </w:r>
      <w:r>
        <w:rPr>
          <w:sz w:val="20"/>
          <w:szCs w:val="20"/>
          <w:color w:val="auto"/>
        </w:rPr>
        <w:tab/>
      </w:r>
      <w:r>
        <w:rPr>
          <w:rFonts w:ascii="Times New Roman" w:cs="Times New Roman" w:eastAsia="Times New Roman" w:hAnsi="Times New Roman"/>
          <w:sz w:val="18"/>
          <w:szCs w:val="18"/>
          <w:b w:val="1"/>
          <w:bCs w:val="1"/>
          <w:color w:val="auto"/>
        </w:rPr>
        <w:t>Legal Holidays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38" w:lineRule="auto"/>
        <w:rPr>
          <w:sz w:val="20"/>
          <w:szCs w:val="20"/>
          <w:color w:val="auto"/>
        </w:rPr>
      </w:pPr>
      <w:r>
        <w:rPr>
          <w:rFonts w:ascii="Times New Roman" w:cs="Times New Roman" w:eastAsia="Times New Roman" w:hAnsi="Times New Roman"/>
          <w:sz w:val="19"/>
          <w:szCs w:val="19"/>
          <w:color w:val="auto"/>
        </w:rPr>
        <w:t xml:space="preserve">In any case where any Interest Payment Date, Redemption Date, sinking fund payment date or Stated Maturity or Maturity of any Security shall not be a Business Day at any Place of Payment or other location contemplated hereunder, then (notwithstanding any other provision of this Indenture or of any Security other than a provision in the Securities of any series which specifically states that such provision shall apply in lieu of this Section 1.13), payment of principal, premium (if any) or interest (if any), need not be made at such Place of Payment or other location contemplated hereunder on such date, but may be made on the next succeeding Business Day at such Place of Payment or other location contemplated hereunder with the same force and effect as if made on the Interest Payment Date or Redemption Date or sinking fund payment date, or at the Stated Maturity or Maturity;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interest shall accrue for the period from and after such Interest Payment Date, Redemption Date, sinking fund payment date, Stated Maturity or Maturity, as the case may be.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79" w:name="page80"/>
    <w:bookmarkEnd w:id="79"/>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1.14</w:t>
      </w:r>
      <w:r>
        <w:rPr>
          <w:sz w:val="20"/>
          <w:szCs w:val="20"/>
          <w:color w:val="auto"/>
        </w:rPr>
        <w:tab/>
      </w:r>
      <w:r>
        <w:rPr>
          <w:rFonts w:ascii="Times New Roman" w:cs="Times New Roman" w:eastAsia="Times New Roman" w:hAnsi="Times New Roman"/>
          <w:sz w:val="18"/>
          <w:szCs w:val="18"/>
          <w:b w:val="1"/>
          <w:bCs w:val="1"/>
          <w:color w:val="auto"/>
        </w:rPr>
        <w:t>Agent for Service; Submission to Jurisdiction; Waiver of Immunities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By the execution and delivery of this Indenture, the Company (i) acknowledges that it has irrevocably designated and appointed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 as its authorized agent upon which process may be served in any suit, action or proceeding arising out of or relating to the</w:t>
      </w:r>
    </w:p>
    <w:p>
      <w:pPr>
        <w:spacing w:after="0" w:line="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Securities or this Indenture that may be instituted in any United States federal or New York state court located in The Borough of Manhattan, The City of New York, or brought by the Trustees (whether in their individual capacity or in their capacity as Trustees hereunder), (ii) irrevocably submits to the non-exclusive jurisdiction of any such court in any such suit or proceeding, and (iii) agrees that service of process upon</w:t>
      </w:r>
    </w:p>
    <w:p>
      <w:pPr>
        <w:spacing w:after="0" w:line="236" w:lineRule="auto"/>
        <w:rPr>
          <w:sz w:val="20"/>
          <w:szCs w:val="20"/>
          <w:color w:val="auto"/>
        </w:rPr>
      </w:pPr>
      <w:r>
        <w:rPr>
          <w:rFonts w:ascii="Times New Roman" w:cs="Times New Roman" w:eastAsia="Times New Roman" w:hAnsi="Times New Roman"/>
          <w:sz w:val="19"/>
          <w:szCs w:val="19"/>
          <w:color w:val="auto"/>
        </w:rPr>
        <w:t>_____________________ and written notice of said service to the Company (mailed or delivered to the Company at 100 King Street West, Suite</w:t>
      </w:r>
    </w:p>
    <w:p>
      <w:pPr>
        <w:jc w:val="both"/>
        <w:spacing w:after="0" w:line="236" w:lineRule="auto"/>
        <w:rPr>
          <w:sz w:val="20"/>
          <w:szCs w:val="20"/>
          <w:color w:val="auto"/>
        </w:rPr>
      </w:pPr>
      <w:r>
        <w:rPr>
          <w:rFonts w:ascii="Times New Roman" w:cs="Times New Roman" w:eastAsia="Times New Roman" w:hAnsi="Times New Roman"/>
          <w:sz w:val="19"/>
          <w:szCs w:val="19"/>
          <w:color w:val="auto"/>
        </w:rPr>
        <w:t>5600, Toronto, Ontario, Canada M5X 1C9, Attention: Corporate Secretary or such other address and/or officer as the Company may designate on written notice to the Trustees), shall be deemed in every respect effective service of process upon the Company in any such suit or proceeding. The Company further agrees to take any and all action, including the execution and filing of any and all such documents and instruments, as may be necessary to continue such designation and appointment of _____________________ in full force and effect so long as this Indenture shall be in full force and effect.</w:t>
      </w:r>
    </w:p>
    <w:p>
      <w:pPr>
        <w:spacing w:after="0" w:line="136" w:lineRule="exact"/>
        <w:rPr>
          <w:sz w:val="20"/>
          <w:szCs w:val="20"/>
          <w:color w:val="auto"/>
        </w:rPr>
      </w:pPr>
    </w:p>
    <w:p>
      <w:pPr>
        <w:jc w:val="both"/>
        <w:ind w:right="20" w:firstLine="568"/>
        <w:spacing w:after="0" w:line="243" w:lineRule="auto"/>
        <w:rPr>
          <w:sz w:val="20"/>
          <w:szCs w:val="20"/>
          <w:color w:val="auto"/>
        </w:rPr>
      </w:pPr>
      <w:r>
        <w:rPr>
          <w:rFonts w:ascii="Times New Roman" w:cs="Times New Roman" w:eastAsia="Times New Roman" w:hAnsi="Times New Roman"/>
          <w:sz w:val="19"/>
          <w:szCs w:val="19"/>
          <w:color w:val="auto"/>
        </w:rPr>
        <w:t>To the extent that the Company has or hereafter may acquire any immunity from jurisdiction of any court or from any legal process (whether through service of notice, attachment prior to judgment, attachment in aid of execution, execution or otherwise) with respect to itself or its property, the Company hereby irrevocably waives such immunity in respect of its obligations under this Indenture and the Securities, to the extent permitted by law.</w:t>
      </w:r>
    </w:p>
    <w:p>
      <w:pPr>
        <w:spacing w:after="0" w:line="120" w:lineRule="exact"/>
        <w:rPr>
          <w:sz w:val="20"/>
          <w:szCs w:val="20"/>
          <w:color w:val="auto"/>
        </w:rPr>
      </w:pPr>
    </w:p>
    <w:p>
      <w:pPr>
        <w:jc w:val="both"/>
        <w:ind w:firstLine="568"/>
        <w:spacing w:after="0" w:line="243" w:lineRule="auto"/>
        <w:rPr>
          <w:sz w:val="20"/>
          <w:szCs w:val="20"/>
          <w:color w:val="auto"/>
        </w:rPr>
      </w:pPr>
      <w:r>
        <w:rPr>
          <w:rFonts w:ascii="Times New Roman" w:cs="Times New Roman" w:eastAsia="Times New Roman" w:hAnsi="Times New Roman"/>
          <w:sz w:val="19"/>
          <w:szCs w:val="19"/>
          <w:color w:val="auto"/>
        </w:rPr>
        <w:t>The Company irrevocably and unconditionally waives, to the fullest extent permitted by law, any objection that it may now or hereafter have to the laying of venue of any such action, suit or proceeding in any such court or any appellate court with respect thereto. The Company irrevocably waives, to the fullest extent permitted by law, the defense of an inconvenient forum to the maintenance of any such action, suit or proceeding in any such court.</w:t>
      </w:r>
    </w:p>
    <w:p>
      <w:pPr>
        <w:spacing w:after="0" w:line="116"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1.15</w:t>
      </w:r>
      <w:r>
        <w:rPr>
          <w:sz w:val="20"/>
          <w:szCs w:val="20"/>
          <w:color w:val="auto"/>
        </w:rPr>
        <w:tab/>
      </w:r>
      <w:r>
        <w:rPr>
          <w:rFonts w:ascii="Times New Roman" w:cs="Times New Roman" w:eastAsia="Times New Roman" w:hAnsi="Times New Roman"/>
          <w:sz w:val="18"/>
          <w:szCs w:val="18"/>
          <w:b w:val="1"/>
          <w:bCs w:val="1"/>
          <w:color w:val="auto"/>
        </w:rPr>
        <w:t>Conversion of Judgment Currency</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ind w:firstLine="562"/>
        <w:spacing w:after="0" w:line="262" w:lineRule="auto"/>
        <w:tabs>
          <w:tab w:leader="none" w:pos="1153"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covenants and agrees that the following provisions shall apply to conversion of Currency in the case of the Securities and this Indenture, to the fullest extent permitted by applicable law:</w:t>
      </w:r>
    </w:p>
    <w:p>
      <w:pPr>
        <w:spacing w:after="0" w:line="102" w:lineRule="exact"/>
        <w:rPr>
          <w:rFonts w:ascii="Times New Roman" w:cs="Times New Roman" w:eastAsia="Times New Roman" w:hAnsi="Times New Roman"/>
          <w:sz w:val="19"/>
          <w:szCs w:val="19"/>
          <w:color w:val="auto"/>
        </w:rPr>
      </w:pPr>
    </w:p>
    <w:p>
      <w:pPr>
        <w:jc w:val="both"/>
        <w:ind w:left="560" w:firstLine="570"/>
        <w:spacing w:after="0" w:line="241" w:lineRule="auto"/>
        <w:tabs>
          <w:tab w:leader="none" w:pos="1710"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for the purposes of obtaining judgment in, or enforcing the judgment of, any court in any country, it becomes necessary to convert into a Currency (the "</w:t>
      </w:r>
      <w:r>
        <w:rPr>
          <w:rFonts w:ascii="Times New Roman" w:cs="Times New Roman" w:eastAsia="Times New Roman" w:hAnsi="Times New Roman"/>
          <w:sz w:val="19"/>
          <w:szCs w:val="19"/>
          <w:b w:val="1"/>
          <w:bCs w:val="1"/>
          <w:color w:val="auto"/>
        </w:rPr>
        <w:t>Judgment Currency</w:t>
      </w:r>
      <w:r>
        <w:rPr>
          <w:rFonts w:ascii="Times New Roman" w:cs="Times New Roman" w:eastAsia="Times New Roman" w:hAnsi="Times New Roman"/>
          <w:sz w:val="19"/>
          <w:szCs w:val="19"/>
          <w:color w:val="auto"/>
        </w:rPr>
        <w:t>") an amount due or contingently due in any other Currency under the Securities of any series and this Indenture (the "</w:t>
      </w:r>
      <w:r>
        <w:rPr>
          <w:rFonts w:ascii="Times New Roman" w:cs="Times New Roman" w:eastAsia="Times New Roman" w:hAnsi="Times New Roman"/>
          <w:sz w:val="19"/>
          <w:szCs w:val="19"/>
          <w:b w:val="1"/>
          <w:bCs w:val="1"/>
          <w:color w:val="auto"/>
        </w:rPr>
        <w:t>Base Currency</w:t>
      </w:r>
      <w:r>
        <w:rPr>
          <w:rFonts w:ascii="Times New Roman" w:cs="Times New Roman" w:eastAsia="Times New Roman" w:hAnsi="Times New Roman"/>
          <w:sz w:val="19"/>
          <w:szCs w:val="19"/>
          <w:color w:val="auto"/>
        </w:rPr>
        <w:t>"), then the conversion shall be made at the rate of exchange prevailing on the Business Day before the day on which the final judgment is given or the order of enforcement is made, as the case may be (unless a court shall otherwise determine).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80" w:name="page81"/>
    <w:bookmarkEnd w:id="80"/>
    <w:p>
      <w:pPr>
        <w:jc w:val="both"/>
        <w:ind w:left="560" w:firstLine="570"/>
        <w:spacing w:after="0" w:line="241" w:lineRule="auto"/>
        <w:tabs>
          <w:tab w:leader="none" w:pos="1715"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there is a change in the rate of exchange prevailing between the Business Day before the day on which the judgment referred to in (i) above is given or an order of enforcement is made, as the case may be (or such other date as a court shall determine), and the date of receipt of the amount due, the Company shall pay such additional (or, as the case may be, such lesser) amount, if any, as may be necessary so that the amount paid in the Judgment Currency when converted at the rate of exchange prevailing on the date of receipt will produce the amount in the Base Currency originally due.</w:t>
      </w:r>
    </w:p>
    <w:p>
      <w:pPr>
        <w:spacing w:after="0" w:line="122" w:lineRule="exact"/>
        <w:rPr>
          <w:rFonts w:ascii="Times New Roman" w:cs="Times New Roman" w:eastAsia="Times New Roman" w:hAnsi="Times New Roman"/>
          <w:sz w:val="19"/>
          <w:szCs w:val="19"/>
          <w:color w:val="auto"/>
        </w:rPr>
      </w:pPr>
    </w:p>
    <w:p>
      <w:pPr>
        <w:jc w:val="both"/>
        <w:ind w:firstLine="562"/>
        <w:spacing w:after="0" w:line="238" w:lineRule="auto"/>
        <w:tabs>
          <w:tab w:leader="none" w:pos="1154"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the winding-up of the Company at any time while any amount or damages owing under the Securities and this Indenture, or any judgment or order rendered in respect thereof, shall remain outstanding, the Company shall indemnify and hold the Holders and the Trustees harmless against any deficiency arising or resulting from any variation in rates of exchange between (1) the date as of which the equivalent of the amount in the Base Currency due or contingently due under the Securities and this Indenture (other than under this Subsection (b)) is calculated for the purposes of such winding-up and (2) the final date for the filing of proofs of claim in such winding-up. For the purpose of this Subsection (b) the final date for the filing of proofs of claim in the winding-up of the Company shall be the date fixed by the liquidator or otherwise in accordance with the relevant provisions of applicable law as being the latest practicable date as at which liabilities of the Company may be ascertained for such winding-up prior to payment by the liquidator or otherwise in respect thereto.</w:t>
      </w:r>
    </w:p>
    <w:p>
      <w:pPr>
        <w:spacing w:after="0" w:line="135" w:lineRule="exact"/>
        <w:rPr>
          <w:rFonts w:ascii="Times New Roman" w:cs="Times New Roman" w:eastAsia="Times New Roman" w:hAnsi="Times New Roman"/>
          <w:sz w:val="19"/>
          <w:szCs w:val="19"/>
          <w:color w:val="auto"/>
        </w:rPr>
      </w:pPr>
    </w:p>
    <w:p>
      <w:pPr>
        <w:jc w:val="both"/>
        <w:ind w:firstLine="562"/>
        <w:spacing w:after="0" w:line="238" w:lineRule="auto"/>
        <w:tabs>
          <w:tab w:leader="none" w:pos="1153"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obligations contained in Subsections (a)(ii) and (b) of this Section 1.15 shall constitute separate and independent obligations of the Company from its other obligations under the Securities and this Indenture, shall give rise to separate and independent causes of action against the Company, shall apply irrespective of any waiver or extension granted by any Holder or the Trustees from time to time and shall continue in full force and effect notwithstanding any judgment or order or the filing of any proof of claim in the winding up of the Company for a liquidated sum in respect of amounts due hereunder (other than under Subsection (b) above) or under any such judgment or order. Any such deficiency as aforesaid shall be deemed to constitute a loss suffered by the Holders or the Trustees, as the case may be, and no proof or evidence of any actual loss shall be required by the Company or its liquidator. In the case of Subsection (b) above, the amount of such deficiency shall not be deemed to be increased or reduced by any variation in rates of exchange occurring between the said final date and the date of any liquidating distribution.</w:t>
      </w:r>
    </w:p>
    <w:p>
      <w:pPr>
        <w:spacing w:after="0" w:line="120" w:lineRule="exact"/>
        <w:rPr>
          <w:sz w:val="20"/>
          <w:szCs w:val="20"/>
          <w:color w:val="auto"/>
        </w:rPr>
      </w:pPr>
    </w:p>
    <w:p>
      <w:pPr>
        <w:jc w:val="both"/>
        <w:ind w:firstLine="568"/>
        <w:spacing w:after="0" w:line="244" w:lineRule="auto"/>
        <w:rPr>
          <w:sz w:val="20"/>
          <w:szCs w:val="20"/>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19"/>
          <w:szCs w:val="19"/>
          <w:b w:val="1"/>
          <w:bCs w:val="1"/>
          <w:color w:val="auto"/>
        </w:rPr>
        <w:t>rate(s) of exchange</w:t>
      </w:r>
      <w:r>
        <w:rPr>
          <w:rFonts w:ascii="Times New Roman" w:cs="Times New Roman" w:eastAsia="Times New Roman" w:hAnsi="Times New Roman"/>
          <w:sz w:val="19"/>
          <w:szCs w:val="19"/>
          <w:color w:val="auto"/>
        </w:rPr>
        <w:t>" shall mean the rate of exchange quoted by a Canadian chartered bank as may be designated in writing by the Company to the Trustees from time to time, at its central foreign exchange desk in its main office in Toronto at 12:00 noon (Toronto time) on the relevant date for purchases of the Base Currency with the Judgment Currency and includes any premiums and costs of exchange payable. The Trustees shall have no duty or liability with respect to monitoring or enforcing this Section 1.15.</w:t>
      </w:r>
    </w:p>
    <w:p>
      <w:pPr>
        <w:spacing w:after="0" w:line="117"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1.16</w:t>
      </w:r>
      <w:r>
        <w:rPr>
          <w:sz w:val="20"/>
          <w:szCs w:val="20"/>
          <w:color w:val="auto"/>
        </w:rPr>
        <w:tab/>
      </w:r>
      <w:r>
        <w:rPr>
          <w:rFonts w:ascii="Times New Roman" w:cs="Times New Roman" w:eastAsia="Times New Roman" w:hAnsi="Times New Roman"/>
          <w:sz w:val="18"/>
          <w:szCs w:val="18"/>
          <w:b w:val="1"/>
          <w:bCs w:val="1"/>
          <w:color w:val="auto"/>
        </w:rPr>
        <w:t>Currency Equivalent</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Except as otherwise provided in this Indenture, for purposes of the construction of the terms of this Indenture or of the Securities, in the event that any amount is stated herein in the Currency of one nation (the "</w:t>
      </w:r>
      <w:r>
        <w:rPr>
          <w:rFonts w:ascii="Times New Roman" w:cs="Times New Roman" w:eastAsia="Times New Roman" w:hAnsi="Times New Roman"/>
          <w:sz w:val="19"/>
          <w:szCs w:val="19"/>
          <w:b w:val="1"/>
          <w:bCs w:val="1"/>
          <w:color w:val="auto"/>
        </w:rPr>
        <w:t>First Currency</w:t>
      </w:r>
      <w:r>
        <w:rPr>
          <w:rFonts w:ascii="Times New Roman" w:cs="Times New Roman" w:eastAsia="Times New Roman" w:hAnsi="Times New Roman"/>
          <w:sz w:val="19"/>
          <w:szCs w:val="19"/>
          <w:color w:val="auto"/>
        </w:rPr>
        <w:t>"), as of any date such amount shall also be deemed to represent the amount in the Currency of any other relevant nation which is required to purchase such amount in the First Currency at the Bank of Canada daily average exchange rate as reported by Telerate on screen 3194 (or such other means of reporting the Bank of Canada daily average exchange rate as may be agreed upon by each of the parties to this Indenture) on the date of determination.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1" w:name="page82"/>
    <w:bookmarkEnd w:id="81"/>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1.17</w:t>
      </w:r>
      <w:r>
        <w:rPr>
          <w:sz w:val="20"/>
          <w:szCs w:val="20"/>
          <w:color w:val="auto"/>
        </w:rPr>
        <w:tab/>
      </w:r>
      <w:r>
        <w:rPr>
          <w:rFonts w:ascii="Times New Roman" w:cs="Times New Roman" w:eastAsia="Times New Roman" w:hAnsi="Times New Roman"/>
          <w:sz w:val="18"/>
          <w:szCs w:val="18"/>
          <w:b w:val="1"/>
          <w:bCs w:val="1"/>
          <w:color w:val="auto"/>
        </w:rPr>
        <w:t>Conflict with Trust Indenture Legislation</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right="20" w:firstLine="568"/>
        <w:spacing w:after="0" w:line="243" w:lineRule="auto"/>
        <w:rPr>
          <w:sz w:val="20"/>
          <w:szCs w:val="20"/>
          <w:color w:val="auto"/>
        </w:rPr>
      </w:pPr>
      <w:r>
        <w:rPr>
          <w:rFonts w:ascii="Times New Roman" w:cs="Times New Roman" w:eastAsia="Times New Roman" w:hAnsi="Times New Roman"/>
          <w:sz w:val="19"/>
          <w:szCs w:val="19"/>
          <w:color w:val="auto"/>
        </w:rPr>
        <w:t>If and to the extent that any provision of this Indenture limits, qualifies or conflicts with any mandatory requirement of Trust Indenture Legislation, such mandatory requirement shall control. If and to the extent that any provision hereof modifies or excludes any provision of Trust Indenture Legislation that may be so modified or excluded, the latter provision shall be deemed to apply hereof as so modified or to be excluded, as the case may be.</w:t>
      </w:r>
    </w:p>
    <w:p>
      <w:pPr>
        <w:spacing w:after="0" w:line="128"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1.18</w:t>
      </w:r>
      <w:r>
        <w:rPr>
          <w:sz w:val="20"/>
          <w:szCs w:val="20"/>
          <w:color w:val="auto"/>
        </w:rPr>
        <w:tab/>
      </w:r>
      <w:r>
        <w:rPr>
          <w:rFonts w:ascii="Times New Roman" w:cs="Times New Roman" w:eastAsia="Times New Roman" w:hAnsi="Times New Roman"/>
          <w:sz w:val="18"/>
          <w:szCs w:val="18"/>
          <w:b w:val="1"/>
          <w:bCs w:val="1"/>
          <w:color w:val="auto"/>
        </w:rPr>
        <w:t>Incorporators, Shareholders, Officers and Directors of the Company Exempt from Individual Liability</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No recourse under or upon any obligation, covenant or agreement contained in this Indenture, or in any Security, or because of any indebtedness evidenced thereby, shall be had against any incorporator, as such, or against any past, present or future shareholder, officer or director,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and as part of the consideration for the issue of the Securities.</w:t>
      </w:r>
    </w:p>
    <w:p>
      <w:pPr>
        <w:spacing w:after="0" w:line="117"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1.19</w:t>
      </w:r>
      <w:r>
        <w:rPr>
          <w:sz w:val="20"/>
          <w:szCs w:val="20"/>
          <w:color w:val="auto"/>
        </w:rPr>
        <w:tab/>
      </w:r>
      <w:r>
        <w:rPr>
          <w:rFonts w:ascii="Times New Roman" w:cs="Times New Roman" w:eastAsia="Times New Roman" w:hAnsi="Times New Roman"/>
          <w:sz w:val="18"/>
          <w:szCs w:val="18"/>
          <w:b w:val="1"/>
          <w:bCs w:val="1"/>
          <w:color w:val="auto"/>
        </w:rPr>
        <w:t>Waiver of Jury Trial</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568"/>
        <w:spacing w:after="0" w:line="262" w:lineRule="auto"/>
        <w:rPr>
          <w:sz w:val="20"/>
          <w:szCs w:val="20"/>
          <w:color w:val="auto"/>
        </w:rPr>
      </w:pPr>
      <w:r>
        <w:rPr>
          <w:rFonts w:ascii="Times New Roman" w:cs="Times New Roman" w:eastAsia="Times New Roman" w:hAnsi="Times New Roman"/>
          <w:sz w:val="19"/>
          <w:szCs w:val="19"/>
          <w:color w:val="auto"/>
        </w:rPr>
        <w:t>Each of the Company and the Trustees hereby irrevocably waives, to the fullest extent permitted by applicable law, any and all right to trial by jury in any legal proceeding arising out of or relating to this Indenture, the Securities or the transactions contemplated hereby.</w:t>
      </w:r>
    </w:p>
    <w:p>
      <w:pPr>
        <w:spacing w:after="0" w:line="98"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1.20</w:t>
      </w:r>
      <w:r>
        <w:rPr>
          <w:sz w:val="20"/>
          <w:szCs w:val="20"/>
          <w:color w:val="auto"/>
        </w:rPr>
        <w:tab/>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right="20" w:firstLine="568"/>
        <w:spacing w:after="0" w:line="262" w:lineRule="auto"/>
        <w:rPr>
          <w:sz w:val="20"/>
          <w:szCs w:val="20"/>
          <w:color w:val="auto"/>
        </w:rPr>
      </w:pPr>
      <w:r>
        <w:rPr>
          <w:rFonts w:ascii="Times New Roman" w:cs="Times New Roman" w:eastAsia="Times New Roman" w:hAnsi="Times New Roman"/>
          <w:sz w:val="19"/>
          <w:szCs w:val="19"/>
          <w:color w:val="auto"/>
        </w:rPr>
        <w:t>This Indenture may be executed in any number of counterparts (either by facsimile or by original manual signature), each of which so executed shall be deemed to be an original, but all such counterparts shall together constitute but one and the same Indenture.</w:t>
      </w:r>
    </w:p>
    <w:p>
      <w:pPr>
        <w:spacing w:after="0" w:line="110"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1.21</w:t>
      </w:r>
      <w:r>
        <w:rPr>
          <w:sz w:val="20"/>
          <w:szCs w:val="20"/>
          <w:color w:val="auto"/>
        </w:rPr>
        <w:tab/>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Except for the payment obligations of the Company contained herein, neither the Company nor the Trustees shall be liable to each other, or held in breach of this Indenture, if prevented, hindered, or delayed in the performance or observance of any provision contained herein by reason of act of God, riots, terrorism, acts of war, epidemics, governmental action or judicial order, earthquakes, or any other similar causes (including, but not limited to, mechanical, electronic or communication interruptions, disruptions or failures). Performance times under this Indenture shall be extended for a period of time equivalent to the time lost because of any delay that is excusable under this Section 1.21.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TWO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FORMS</w:t>
      </w:r>
    </w:p>
    <w:p>
      <w:pPr>
        <w:spacing w:after="0" w:line="136"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2.01</w:t>
      </w:r>
      <w:r>
        <w:rPr>
          <w:sz w:val="20"/>
          <w:szCs w:val="20"/>
          <w:color w:val="auto"/>
        </w:rPr>
        <w:tab/>
      </w:r>
      <w:r>
        <w:rPr>
          <w:rFonts w:ascii="Times New Roman" w:cs="Times New Roman" w:eastAsia="Times New Roman" w:hAnsi="Times New Roman"/>
          <w:sz w:val="18"/>
          <w:szCs w:val="18"/>
          <w:b w:val="1"/>
          <w:bCs w:val="1"/>
          <w:color w:val="auto"/>
        </w:rPr>
        <w:t>Forms Generally</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37" w:lineRule="auto"/>
        <w:rPr>
          <w:sz w:val="20"/>
          <w:szCs w:val="20"/>
          <w:color w:val="auto"/>
        </w:rPr>
      </w:pPr>
      <w:r>
        <w:rPr>
          <w:rFonts w:ascii="Times New Roman" w:cs="Times New Roman" w:eastAsia="Times New Roman" w:hAnsi="Times New Roman"/>
          <w:sz w:val="19"/>
          <w:szCs w:val="19"/>
          <w:color w:val="auto"/>
        </w:rPr>
        <w:t>The Securities of each series shall be in substantially the forms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 executing such Securities , as evidenced by the execution of such Securities by such Officer. If the forms of Securities of any series are established by action taken pursuant to a Board Resolution, a copy of an appropriate record of such action shall be certified by the Corporate Secretary or an Assistant Secretary of the Company and delivered to the Trustees at or prior to the delivery of the Company Order contemplated by Section 3.03 for the authentication and delivery of such Securities. Any portion of the text of any Security may be set forth on the reverse thereof, with an appropriate reference thereto on the face of the Security.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82" w:name="page83"/>
    <w:bookmarkEnd w:id="82"/>
    <w:p>
      <w:pPr>
        <w:ind w:left="560"/>
        <w:spacing w:after="0"/>
        <w:rPr>
          <w:sz w:val="20"/>
          <w:szCs w:val="20"/>
          <w:color w:val="auto"/>
        </w:rPr>
      </w:pPr>
      <w:r>
        <w:rPr>
          <w:rFonts w:ascii="Times New Roman" w:cs="Times New Roman" w:eastAsia="Times New Roman" w:hAnsi="Times New Roman"/>
          <w:sz w:val="19"/>
          <w:szCs w:val="19"/>
          <w:color w:val="auto"/>
        </w:rPr>
        <w:t>Either Trustee's certificate of authentication shall be in substantially the form set forth in this Article Two.</w:t>
      </w:r>
    </w:p>
    <w:p>
      <w:pPr>
        <w:spacing w:after="0" w:line="145"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9"/>
          <w:szCs w:val="19"/>
          <w:b w:val="1"/>
          <w:bCs w:val="1"/>
          <w:color w:val="auto"/>
        </w:rPr>
        <w:t>SECTION 2.02</w:t>
      </w:r>
      <w:r>
        <w:rPr>
          <w:sz w:val="20"/>
          <w:szCs w:val="20"/>
          <w:color w:val="auto"/>
        </w:rPr>
        <w:tab/>
      </w:r>
      <w:r>
        <w:rPr>
          <w:rFonts w:ascii="Times New Roman" w:cs="Times New Roman" w:eastAsia="Times New Roman" w:hAnsi="Times New Roman"/>
          <w:sz w:val="18"/>
          <w:szCs w:val="18"/>
          <w:b w:val="1"/>
          <w:bCs w:val="1"/>
          <w:color w:val="auto"/>
        </w:rPr>
        <w:t>Form of Trustee's Certificate of Authentication</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Subject to Section 6.12, either Trustee's certificate of authentication shall be in substantially the following form:</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TRUSTEE'S CERTIFICATE OF AUTHENTICATION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(Certificate of Authentication may be executed by either Trustee)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 ____________</w:t>
      </w:r>
    </w:p>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_______________________, as U.S. Trustee, certifies that this is one of the Securities of the series designated therein referred to 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within-mentioned Indenture.</w:t>
      </w:r>
    </w:p>
    <w:p>
      <w:pPr>
        <w:spacing w:after="0" w:line="1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___________________________________________________,</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as U.S. Trustee</w:t>
      </w:r>
    </w:p>
    <w:p>
      <w:pPr>
        <w:spacing w:after="0" w:line="1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13970</wp:posOffset>
            </wp:positionV>
            <wp:extent cx="335661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3356610" cy="7620"/>
                    </a:xfrm>
                    <a:prstGeom prst="rect">
                      <a:avLst/>
                    </a:prstGeom>
                    <a:noFill/>
                  </pic:spPr>
                </pic:pic>
              </a:graphicData>
            </a:graphic>
          </wp:anchor>
        </w:drawing>
      </w:r>
    </w:p>
    <w:p>
      <w:pPr>
        <w:spacing w:after="0" w:line="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6"/>
          <w:szCs w:val="16"/>
          <w:color w:val="auto"/>
        </w:rPr>
        <w:t>Authorized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 ____________</w:t>
      </w:r>
    </w:p>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____________________, as Canadian Trustee, certifies that this is one of the Securities of the series designated therein referred to 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within-mentioned Indenture.</w:t>
      </w:r>
    </w:p>
    <w:p>
      <w:pPr>
        <w:spacing w:after="0" w:line="1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___________________________________________________,</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as Canadian Trustee</w:t>
      </w:r>
    </w:p>
    <w:p>
      <w:pPr>
        <w:spacing w:after="0" w:line="1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13970</wp:posOffset>
            </wp:positionV>
            <wp:extent cx="335661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3356610" cy="7620"/>
                    </a:xfrm>
                    <a:prstGeom prst="rect">
                      <a:avLst/>
                    </a:prstGeom>
                    <a:noFill/>
                  </pic:spPr>
                </pic:pic>
              </a:graphicData>
            </a:graphic>
          </wp:anchor>
        </w:drawing>
      </w:r>
    </w:p>
    <w:p>
      <w:pPr>
        <w:spacing w:after="0" w:line="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6"/>
          <w:szCs w:val="16"/>
          <w:color w:val="auto"/>
        </w:rPr>
        <w:t>Authorized Officer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3" w:name="page84"/>
    <w:bookmarkEnd w:id="83"/>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2.03</w:t>
      </w:r>
      <w:r>
        <w:rPr>
          <w:sz w:val="20"/>
          <w:szCs w:val="20"/>
          <w:color w:val="auto"/>
        </w:rPr>
        <w:tab/>
      </w:r>
      <w:r>
        <w:rPr>
          <w:rFonts w:ascii="Times New Roman" w:cs="Times New Roman" w:eastAsia="Times New Roman" w:hAnsi="Times New Roman"/>
          <w:sz w:val="18"/>
          <w:szCs w:val="18"/>
          <w:b w:val="1"/>
          <w:bCs w:val="1"/>
          <w:color w:val="auto"/>
        </w:rPr>
        <w:t>Securities Issuable in Global Form</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568"/>
        <w:spacing w:after="0" w:line="237" w:lineRule="auto"/>
        <w:rPr>
          <w:sz w:val="20"/>
          <w:szCs w:val="20"/>
          <w:color w:val="auto"/>
        </w:rPr>
      </w:pPr>
      <w:r>
        <w:rPr>
          <w:rFonts w:ascii="Times New Roman" w:cs="Times New Roman" w:eastAsia="Times New Roman" w:hAnsi="Times New Roman"/>
          <w:sz w:val="19"/>
          <w:szCs w:val="19"/>
          <w:color w:val="auto"/>
        </w:rPr>
        <w:t>If Securities of or within a series are issuable in global form, as specified and contemplated by Section 3.01, then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Trustees in such manner and upon instructions given by the Holder or its nominee as shall be specified therein or in the Company Order to be delivered to the Trustees pursuant to Sections 3.03 or 3.04. Subject to the provisions of Sections 3.03 and 3.04 (if applicable), the Trustees shall deliver and redeliver any Security in global form in the manner and upon instructions given by the Holder or its nominee as shall be specified therein or in the applicable Company Order. If a Company Order pursuant to Section 3.03 or Section 3.04 has been, or simultaneously is, delivered, any instructions by the Company with respect to endorsement or delivery or redelivery of a Security in global form shall be in writing but need not comply with Section 1.03 and need not be accompanied by an Opinion of Counsel.</w:t>
      </w:r>
    </w:p>
    <w:p>
      <w:pPr>
        <w:spacing w:after="0" w:line="134" w:lineRule="exact"/>
        <w:rPr>
          <w:sz w:val="20"/>
          <w:szCs w:val="20"/>
          <w:color w:val="auto"/>
        </w:rPr>
      </w:pPr>
    </w:p>
    <w:p>
      <w:pPr>
        <w:jc w:val="both"/>
        <w:ind w:right="20" w:firstLine="568"/>
        <w:spacing w:after="0" w:line="262" w:lineRule="auto"/>
        <w:rPr>
          <w:sz w:val="20"/>
          <w:szCs w:val="20"/>
          <w:color w:val="auto"/>
        </w:rPr>
      </w:pPr>
      <w:r>
        <w:rPr>
          <w:rFonts w:ascii="Times New Roman" w:cs="Times New Roman" w:eastAsia="Times New Roman" w:hAnsi="Times New Roman"/>
          <w:sz w:val="19"/>
          <w:szCs w:val="19"/>
          <w:color w:val="auto"/>
        </w:rPr>
        <w:t>Notwithstanding the provisions of Section 3.07, unless otherwise specified as contemplated by Section 3.01, payment of principal of, premium (if any) and interest (if any) on any Security in permanent global form shall be made to the Holder or its nominee specified therein.</w:t>
      </w:r>
    </w:p>
    <w:p>
      <w:pPr>
        <w:spacing w:after="0" w:line="102" w:lineRule="exact"/>
        <w:rPr>
          <w:sz w:val="20"/>
          <w:szCs w:val="20"/>
          <w:color w:val="auto"/>
        </w:rPr>
      </w:pPr>
    </w:p>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Notwithstanding Section 3.09 and except as provided in the preceding paragraph, the Company, the Trustees and any agent of the Company and the Trustees shall treat as the Holder of such principal amount of Outstanding Securities represented by a permanent global Security, the Holder of such permanent global Security.</w:t>
      </w:r>
    </w:p>
    <w:p>
      <w:pPr>
        <w:spacing w:after="0" w:line="11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9"/>
          <w:szCs w:val="19"/>
          <w:b w:val="1"/>
          <w:bCs w:val="1"/>
          <w:color w:val="auto"/>
        </w:rPr>
        <w:t>ARTICLE THREE</w:t>
      </w:r>
    </w:p>
    <w:p>
      <w:pPr>
        <w:spacing w:after="0" w:line="1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9"/>
          <w:szCs w:val="19"/>
          <w:b w:val="1"/>
          <w:bCs w:val="1"/>
          <w:color w:val="auto"/>
        </w:rPr>
        <w:t>THE SECURITIES</w:t>
      </w:r>
    </w:p>
    <w:p>
      <w:pPr>
        <w:spacing w:after="0" w:line="136"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3.01</w:t>
      </w:r>
      <w:r>
        <w:rPr>
          <w:sz w:val="20"/>
          <w:szCs w:val="20"/>
          <w:color w:val="auto"/>
        </w:rPr>
        <w:tab/>
      </w:r>
      <w:r>
        <w:rPr>
          <w:rFonts w:ascii="Times New Roman" w:cs="Times New Roman" w:eastAsia="Times New Roman" w:hAnsi="Times New Roman"/>
          <w:sz w:val="18"/>
          <w:szCs w:val="18"/>
          <w:b w:val="1"/>
          <w:bCs w:val="1"/>
          <w:color w:val="auto"/>
        </w:rPr>
        <w:t>Issuable in Series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The aggregate principal amount of Securities which may be authenticated and delivered under this Indenture is unlimited.</w:t>
      </w:r>
    </w:p>
    <w:p>
      <w:pPr>
        <w:spacing w:after="0" w:line="148" w:lineRule="exact"/>
        <w:rPr>
          <w:sz w:val="20"/>
          <w:szCs w:val="20"/>
          <w:color w:val="auto"/>
        </w:rPr>
      </w:pPr>
    </w:p>
    <w:p>
      <w:pPr>
        <w:jc w:val="both"/>
        <w:ind w:firstLine="568"/>
        <w:spacing w:after="0" w:line="261" w:lineRule="auto"/>
        <w:rPr>
          <w:sz w:val="20"/>
          <w:szCs w:val="20"/>
          <w:color w:val="auto"/>
        </w:rPr>
      </w:pPr>
      <w:r>
        <w:rPr>
          <w:rFonts w:ascii="Times New Roman" w:cs="Times New Roman" w:eastAsia="Times New Roman" w:hAnsi="Times New Roman"/>
          <w:sz w:val="18"/>
          <w:szCs w:val="18"/>
          <w:color w:val="auto"/>
        </w:rPr>
        <w:t>The Securities may be issued in one or more series and may be denominated and payable in Dollars or any Foreign Currency. The principal amount of any series of Securities may be increased and issued under this Indenture. There shall be established in one or more Board Resolutions or pursuant to authority granted by one or more Board Resolutions and set forth in, or determined in the manner provided in, an Officer's Certificate, or established in one or more indentures supplemental hereto, prior to the issuance of Securities of any series, any or all of the following, as applicable:</w:t>
      </w:r>
    </w:p>
    <w:p>
      <w:pPr>
        <w:spacing w:after="0" w:line="117" w:lineRule="exact"/>
        <w:rPr>
          <w:sz w:val="20"/>
          <w:szCs w:val="20"/>
          <w:color w:val="auto"/>
        </w:rPr>
      </w:pPr>
    </w:p>
    <w:p>
      <w:pPr>
        <w:ind w:left="1180" w:hanging="618"/>
        <w:spacing w:after="0"/>
        <w:tabs>
          <w:tab w:leader="none" w:pos="118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title of the Securities of the series (which shall distinguish the Securities of such series from the Securities of all other series);</w:t>
      </w:r>
    </w:p>
    <w:p>
      <w:pPr>
        <w:spacing w:after="0" w:line="148" w:lineRule="exact"/>
        <w:rPr>
          <w:rFonts w:ascii="Times New Roman" w:cs="Times New Roman" w:eastAsia="Times New Roman" w:hAnsi="Times New Roman"/>
          <w:sz w:val="19"/>
          <w:szCs w:val="19"/>
          <w:color w:val="auto"/>
        </w:rPr>
      </w:pPr>
    </w:p>
    <w:p>
      <w:pPr>
        <w:jc w:val="both"/>
        <w:ind w:left="1140" w:hanging="578"/>
        <w:spacing w:after="0" w:line="238" w:lineRule="auto"/>
        <w:tabs>
          <w:tab w:leader="none" w:pos="1182"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principal amount of the Securities of the series and any limit upon the aggregate principal amount of the Securities of the series that may be authenticated and delivered under this Indenture (except for Securities authenticated and delivered upon registration of transfer (including any restriction or condition on the transferability of the Securities of such series) of, or in exchange for, or in lieu of, other Securities of the series pursuant to Section 3.04, 3.05, 3.06, 9.06, 11.07 or 13.05) and, in the event that no limit upon the aggregate principal amount of the Securities of that series is specified, the Company shall have the right, subject to any terms, conditions or other provisions specified pursuant to this Section 3.01 with respect to the Securities of such series, to re-open such series for the issuance of additional Securities of such series from time to time;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84" w:name="page85"/>
    <w:bookmarkEnd w:id="84"/>
    <w:p>
      <w:pPr>
        <w:jc w:val="both"/>
        <w:ind w:left="578" w:right="20" w:hanging="578"/>
        <w:spacing w:after="0" w:line="248" w:lineRule="auto"/>
        <w:tabs>
          <w:tab w:leader="none" w:pos="62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extent and manner, if any, to which payment on or in respect of the Securities of the series will be senior or will be subordinated to the prior payment of other liabilities and obligations of the Company, and whether the payment of principal, premium (if any) and interest (if any) will be guaranteed by any other Person;</w:t>
      </w:r>
    </w:p>
    <w:p>
      <w:pPr>
        <w:spacing w:after="0" w:line="116" w:lineRule="exact"/>
        <w:rPr>
          <w:rFonts w:ascii="Times New Roman" w:cs="Times New Roman" w:eastAsia="Times New Roman" w:hAnsi="Times New Roman"/>
          <w:sz w:val="19"/>
          <w:szCs w:val="19"/>
          <w:color w:val="auto"/>
        </w:rPr>
      </w:pPr>
    </w:p>
    <w:p>
      <w:pPr>
        <w:ind w:left="618" w:hanging="618"/>
        <w:spacing w:after="0"/>
        <w:tabs>
          <w:tab w:leader="none" w:pos="618"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percentage or percentages of principal amount at which the Securities of the series will be issued;</w:t>
      </w:r>
    </w:p>
    <w:p>
      <w:pPr>
        <w:spacing w:after="0" w:line="159" w:lineRule="exact"/>
        <w:rPr>
          <w:rFonts w:ascii="Times New Roman" w:cs="Times New Roman" w:eastAsia="Times New Roman" w:hAnsi="Times New Roman"/>
          <w:sz w:val="19"/>
          <w:szCs w:val="19"/>
          <w:color w:val="auto"/>
        </w:rPr>
      </w:pPr>
    </w:p>
    <w:p>
      <w:pPr>
        <w:jc w:val="both"/>
        <w:ind w:left="578" w:hanging="578"/>
        <w:spacing w:after="0" w:line="248" w:lineRule="auto"/>
        <w:tabs>
          <w:tab w:leader="none" w:pos="62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or dates, or the method by which such date or dates will be determined or extended, on which the Securities of the series may be issued and the date or dates, or the method by which such date or dates will be determined or extended, on which the principal of and premium (if any) on the Securities of the series is payable;</w:t>
      </w:r>
    </w:p>
    <w:p>
      <w:pPr>
        <w:spacing w:after="0" w:line="115" w:lineRule="exact"/>
        <w:rPr>
          <w:rFonts w:ascii="Times New Roman" w:cs="Times New Roman" w:eastAsia="Times New Roman" w:hAnsi="Times New Roman"/>
          <w:sz w:val="19"/>
          <w:szCs w:val="19"/>
          <w:color w:val="auto"/>
        </w:rPr>
      </w:pPr>
    </w:p>
    <w:p>
      <w:pPr>
        <w:jc w:val="both"/>
        <w:ind w:left="578" w:hanging="578"/>
        <w:spacing w:after="0" w:line="238" w:lineRule="auto"/>
        <w:tabs>
          <w:tab w:leader="none" w:pos="62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rate or rates at which the Securities of the series shall bear interest, whether fixed or variable (if any), or the method by which such rate or rates shall be determined, whether such interest shall be payable in cash or additional Securities of the same series or shall accrue and increase the aggregate principal amount outstanding of such series, the date or dates from which such interest shall accrue, or the method by which such date or dates shall be determined, the Interest Payment Dates on which such interest shall be payable and the Regular Record Date, if any, for the interest payable on any Security on any Interest Payment Date, or the method by which such date or dates shall be determined, and the basis upon which interest shall be calculated if other than on the basis of a 360-day year of twelve 30-day months;</w:t>
      </w:r>
    </w:p>
    <w:p>
      <w:pPr>
        <w:spacing w:after="0" w:line="127" w:lineRule="exact"/>
        <w:rPr>
          <w:rFonts w:ascii="Times New Roman" w:cs="Times New Roman" w:eastAsia="Times New Roman" w:hAnsi="Times New Roman"/>
          <w:sz w:val="19"/>
          <w:szCs w:val="19"/>
          <w:color w:val="auto"/>
        </w:rPr>
      </w:pPr>
    </w:p>
    <w:p>
      <w:pPr>
        <w:jc w:val="both"/>
        <w:ind w:left="578" w:hanging="578"/>
        <w:spacing w:after="0" w:line="239" w:lineRule="auto"/>
        <w:tabs>
          <w:tab w:leader="none" w:pos="62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place or places, if any, other than or in addition to the Borough of Manhattan, The City of New York, where the principal of, premium (if any) and interest (if any) on Securities of the series shall be payable, where any Securities of the series may be surrendered for registration of transfer, where Securities of the series may be surrendered for exchange, where Securities of the series that are convertible or exchangeable may be surrendered for conversion or exchange, as applicable and, if different than the location specified in Section 1.06, the place or places where notices or demands to or upon the Company in respect of the Securities of the series and this Indenture may be served;</w:t>
      </w:r>
    </w:p>
    <w:p>
      <w:pPr>
        <w:spacing w:after="0" w:line="137" w:lineRule="exact"/>
        <w:rPr>
          <w:rFonts w:ascii="Times New Roman" w:cs="Times New Roman" w:eastAsia="Times New Roman" w:hAnsi="Times New Roman"/>
          <w:sz w:val="19"/>
          <w:szCs w:val="19"/>
          <w:color w:val="auto"/>
        </w:rPr>
      </w:pPr>
    </w:p>
    <w:p>
      <w:pPr>
        <w:jc w:val="both"/>
        <w:ind w:left="578" w:hanging="578"/>
        <w:spacing w:after="0" w:line="248" w:lineRule="auto"/>
        <w:tabs>
          <w:tab w:leader="none" w:pos="62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period or periods within which, the date or dates on which, the price or prices at which, the Currency in which, and other terms and conditions upon which Securities of the series may be redeemed, in whole or in part, at the option of the Company, if the Company is to have that option;</w:t>
      </w:r>
    </w:p>
    <w:p>
      <w:pPr>
        <w:spacing w:after="0" w:line="115" w:lineRule="exact"/>
        <w:rPr>
          <w:rFonts w:ascii="Times New Roman" w:cs="Times New Roman" w:eastAsia="Times New Roman" w:hAnsi="Times New Roman"/>
          <w:sz w:val="19"/>
          <w:szCs w:val="19"/>
          <w:color w:val="auto"/>
        </w:rPr>
      </w:pPr>
    </w:p>
    <w:p>
      <w:pPr>
        <w:jc w:val="both"/>
        <w:ind w:left="578" w:hanging="578"/>
        <w:spacing w:after="0" w:line="243" w:lineRule="auto"/>
        <w:tabs>
          <w:tab w:leader="none" w:pos="62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 if any, of the Company to redeem, repay or purchase Securities of the series pursuant to any sinking fund, amortization or analogous provisions or at the option of a Holder thereof, and the period or periods within which, the price or prices at which, the Currency in which, and other terms and conditions upon which Securities of the series shall be redeemed, repaid or purchased, in whole or in part, pursuant to such obligation;</w:t>
      </w:r>
    </w:p>
    <w:p>
      <w:pPr>
        <w:spacing w:after="0" w:line="120" w:lineRule="exact"/>
        <w:rPr>
          <w:rFonts w:ascii="Times New Roman" w:cs="Times New Roman" w:eastAsia="Times New Roman" w:hAnsi="Times New Roman"/>
          <w:sz w:val="19"/>
          <w:szCs w:val="19"/>
          <w:color w:val="auto"/>
        </w:rPr>
      </w:pPr>
    </w:p>
    <w:p>
      <w:pPr>
        <w:ind w:left="578" w:right="20" w:hanging="578"/>
        <w:spacing w:after="0" w:line="262" w:lineRule="auto"/>
        <w:tabs>
          <w:tab w:leader="none" w:pos="627"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other than denominations of $1,000 and any integral multiple thereof, the denomination or denominations in which any Securities of the series shall be issuable;</w:t>
      </w:r>
    </w:p>
    <w:p>
      <w:pPr>
        <w:spacing w:after="0" w:line="114" w:lineRule="exact"/>
        <w:rPr>
          <w:sz w:val="20"/>
          <w:szCs w:val="20"/>
          <w:color w:val="auto"/>
        </w:rPr>
      </w:pPr>
    </w:p>
    <w:p>
      <w:pPr>
        <w:ind w:left="4958"/>
        <w:spacing w:after="0"/>
        <w:rPr>
          <w:sz w:val="20"/>
          <w:szCs w:val="20"/>
          <w:color w:val="auto"/>
        </w:rPr>
      </w:pPr>
      <w:r>
        <w:rPr>
          <w:rFonts w:ascii="Times New Roman" w:cs="Times New Roman" w:eastAsia="Times New Roman" w:hAnsi="Times New Roman"/>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106045</wp:posOffset>
            </wp:positionV>
            <wp:extent cx="716978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0698"/>
          </w:cols>
          <w:pgMar w:left="882" w:top="115" w:right="319" w:bottom="1440" w:gutter="0" w:footer="0" w:header="0"/>
        </w:sectPr>
      </w:pPr>
    </w:p>
    <w:bookmarkStart w:id="85" w:name="page86"/>
    <w:bookmarkEnd w:id="85"/>
    <w:p>
      <w:pPr>
        <w:ind w:left="618" w:hanging="618"/>
        <w:spacing w:after="0"/>
        <w:tabs>
          <w:tab w:leader="none" w:pos="618"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identity of each Security Registrar and/or Paying Agent;</w:t>
      </w:r>
    </w:p>
    <w:p>
      <w:pPr>
        <w:spacing w:after="0" w:line="149" w:lineRule="exact"/>
        <w:rPr>
          <w:rFonts w:ascii="Times New Roman" w:cs="Times New Roman" w:eastAsia="Times New Roman" w:hAnsi="Times New Roman"/>
          <w:sz w:val="19"/>
          <w:szCs w:val="19"/>
          <w:color w:val="auto"/>
        </w:rPr>
      </w:pPr>
    </w:p>
    <w:p>
      <w:pPr>
        <w:jc w:val="both"/>
        <w:ind w:left="578" w:right="20" w:hanging="578"/>
        <w:spacing w:after="0" w:line="290" w:lineRule="auto"/>
        <w:tabs>
          <w:tab w:leader="none" w:pos="62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Securities of the series that shall be payable upon declaration of acceleration of the Maturity thereof pursuant to Section 5.02 or the method by which such portion shall be determined;</w:t>
      </w:r>
    </w:p>
    <w:p>
      <w:pPr>
        <w:spacing w:after="0" w:line="91" w:lineRule="exact"/>
        <w:rPr>
          <w:rFonts w:ascii="Times New Roman" w:cs="Times New Roman" w:eastAsia="Times New Roman" w:hAnsi="Times New Roman"/>
          <w:sz w:val="18"/>
          <w:szCs w:val="18"/>
          <w:color w:val="auto"/>
        </w:rPr>
      </w:pPr>
    </w:p>
    <w:p>
      <w:pPr>
        <w:jc w:val="both"/>
        <w:ind w:left="578" w:hanging="578"/>
        <w:spacing w:after="0" w:line="248" w:lineRule="auto"/>
        <w:tabs>
          <w:tab w:leader="none" w:pos="627"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other than Dollars, the Foreign Currency in which payment of the principal of, premium (if any) or interest (if any) on the Securities of the series shall be payable or in which the Securities of the series shall be denominated and the particular provisions applicable thereto in accordance with, in addition to or in lieu of any of the provisions of Section 3.12;</w:t>
      </w:r>
    </w:p>
    <w:p>
      <w:pPr>
        <w:spacing w:after="0" w:line="115" w:lineRule="exact"/>
        <w:rPr>
          <w:rFonts w:ascii="Times New Roman" w:cs="Times New Roman" w:eastAsia="Times New Roman" w:hAnsi="Times New Roman"/>
          <w:sz w:val="19"/>
          <w:szCs w:val="19"/>
          <w:color w:val="auto"/>
        </w:rPr>
      </w:pPr>
    </w:p>
    <w:p>
      <w:pPr>
        <w:jc w:val="both"/>
        <w:ind w:left="578" w:hanging="578"/>
        <w:spacing w:after="0" w:line="243" w:lineRule="auto"/>
        <w:tabs>
          <w:tab w:leader="none" w:pos="627"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the amount of payments of principal of,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w:t>
      </w:r>
    </w:p>
    <w:p>
      <w:pPr>
        <w:spacing w:after="0" w:line="120" w:lineRule="exact"/>
        <w:rPr>
          <w:rFonts w:ascii="Times New Roman" w:cs="Times New Roman" w:eastAsia="Times New Roman" w:hAnsi="Times New Roman"/>
          <w:sz w:val="19"/>
          <w:szCs w:val="19"/>
          <w:color w:val="auto"/>
        </w:rPr>
      </w:pPr>
    </w:p>
    <w:p>
      <w:pPr>
        <w:jc w:val="both"/>
        <w:ind w:left="578" w:hanging="578"/>
        <w:spacing w:after="0" w:line="239" w:lineRule="auto"/>
        <w:tabs>
          <w:tab w:leader="none" w:pos="627"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the principal of, premium (if any) or interest (if any) on the Securities of the series are to be payable, at the election of the Company or a Holder thereof, in a Currency other than that in which such Securities are denominated or stated to be payable, the period or periods within which (including the Election Date), and the terms and conditions upon which, such election may be made, and the time and manner of determining the exchange rate between the Currency in which such Securities are denominated or stated to be payable and the Currency in which such Securities are to be so payable, in each case in accordance with, in addition to or in lieu of any of the provisions of Section 3.12;</w:t>
      </w:r>
    </w:p>
    <w:p>
      <w:pPr>
        <w:spacing w:after="0" w:line="137" w:lineRule="exact"/>
        <w:rPr>
          <w:rFonts w:ascii="Times New Roman" w:cs="Times New Roman" w:eastAsia="Times New Roman" w:hAnsi="Times New Roman"/>
          <w:sz w:val="19"/>
          <w:szCs w:val="19"/>
          <w:color w:val="auto"/>
        </w:rPr>
      </w:pPr>
    </w:p>
    <w:p>
      <w:pPr>
        <w:ind w:left="618" w:hanging="618"/>
        <w:spacing w:after="0"/>
        <w:tabs>
          <w:tab w:leader="none" w:pos="618"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designation of the initial Exchange Rate Agent, if any;</w:t>
      </w:r>
    </w:p>
    <w:p>
      <w:pPr>
        <w:spacing w:after="0" w:line="148" w:lineRule="exact"/>
        <w:rPr>
          <w:rFonts w:ascii="Times New Roman" w:cs="Times New Roman" w:eastAsia="Times New Roman" w:hAnsi="Times New Roman"/>
          <w:sz w:val="19"/>
          <w:szCs w:val="19"/>
          <w:color w:val="auto"/>
        </w:rPr>
      </w:pPr>
    </w:p>
    <w:p>
      <w:pPr>
        <w:ind w:left="578" w:right="20" w:hanging="578"/>
        <w:spacing w:after="0" w:line="262" w:lineRule="auto"/>
        <w:tabs>
          <w:tab w:leader="none" w:pos="627"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applicability, if any, of Sections 14.02 and/or 14.03 to the Securities of the series and any provisions in modification of, in addition to or in lieu of any of the provisions of Article Fourteen that shall be applicable to the Securities of the series;</w:t>
      </w:r>
    </w:p>
    <w:p>
      <w:pPr>
        <w:spacing w:after="0" w:line="102" w:lineRule="exact"/>
        <w:rPr>
          <w:rFonts w:ascii="Times New Roman" w:cs="Times New Roman" w:eastAsia="Times New Roman" w:hAnsi="Times New Roman"/>
          <w:sz w:val="19"/>
          <w:szCs w:val="19"/>
          <w:color w:val="auto"/>
        </w:rPr>
      </w:pPr>
    </w:p>
    <w:p>
      <w:pPr>
        <w:ind w:left="578" w:right="20" w:hanging="578"/>
        <w:spacing w:after="0" w:line="262" w:lineRule="auto"/>
        <w:tabs>
          <w:tab w:leader="none" w:pos="627"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provisions, if any, granting special rights to the Holders of Securities of the series upon the occurrence of such events as may be specified;</w:t>
      </w:r>
    </w:p>
    <w:p>
      <w:pPr>
        <w:spacing w:after="0" w:line="114" w:lineRule="exact"/>
        <w:rPr>
          <w:rFonts w:ascii="Times New Roman" w:cs="Times New Roman" w:eastAsia="Times New Roman" w:hAnsi="Times New Roman"/>
          <w:sz w:val="19"/>
          <w:szCs w:val="19"/>
          <w:color w:val="auto"/>
        </w:rPr>
      </w:pPr>
    </w:p>
    <w:p>
      <w:pPr>
        <w:jc w:val="both"/>
        <w:ind w:left="578" w:right="20" w:hanging="578"/>
        <w:spacing w:after="0" w:line="248" w:lineRule="auto"/>
        <w:tabs>
          <w:tab w:leader="none" w:pos="627"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deletions from, modifications of or additions to the Events of Default or covenants (including any deletions from, modifications of or additions to Section 10.09) of the Company with respect to Securities of the series, whether or not such Events of Default or covenants are consistent with the Events of Default or covenants set forth herein;</w:t>
      </w:r>
    </w:p>
    <w:p>
      <w:pPr>
        <w:spacing w:after="0" w:line="115" w:lineRule="exact"/>
        <w:rPr>
          <w:rFonts w:ascii="Times New Roman" w:cs="Times New Roman" w:eastAsia="Times New Roman" w:hAnsi="Times New Roman"/>
          <w:sz w:val="19"/>
          <w:szCs w:val="19"/>
          <w:color w:val="auto"/>
        </w:rPr>
      </w:pPr>
    </w:p>
    <w:p>
      <w:pPr>
        <w:jc w:val="both"/>
        <w:ind w:left="578" w:hanging="578"/>
        <w:spacing w:after="0" w:line="255" w:lineRule="auto"/>
        <w:tabs>
          <w:tab w:leader="none" w:pos="62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applicable to the offer, sale or delivery of Securities of the series, whether any Securities of the series are to be issuable initially in temporary global form and whether any Securities of the series are to be issuable in permanent global form and, if so, whether beneficial owners of interests in any such permanent global Security may exchange such interests for Securities of such series and of like tenor of any authorized form and denomination and the circumstances under which any such exchanges may occur, if other than in the manner provided in Section 3.05, and the circumstances under which and the place or places where any such exchanges may be made and, if Securities of the series are to be issuable in global form, the designation of any Depositary therefor;</w:t>
      </w:r>
    </w:p>
    <w:p>
      <w:pPr>
        <w:spacing w:after="0" w:line="111" w:lineRule="exact"/>
        <w:rPr>
          <w:sz w:val="20"/>
          <w:szCs w:val="20"/>
          <w:color w:val="auto"/>
        </w:rPr>
      </w:pPr>
    </w:p>
    <w:p>
      <w:pPr>
        <w:ind w:left="4958"/>
        <w:spacing w:after="0"/>
        <w:rPr>
          <w:sz w:val="20"/>
          <w:szCs w:val="20"/>
          <w:color w:val="auto"/>
        </w:rPr>
      </w:pPr>
      <w:r>
        <w:rPr>
          <w:rFonts w:ascii="Times New Roman" w:cs="Times New Roman" w:eastAsia="Times New Roman" w:hAnsi="Times New Roman"/>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113665</wp:posOffset>
            </wp:positionV>
            <wp:extent cx="716978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0698"/>
          </w:cols>
          <w:pgMar w:left="882" w:top="115" w:right="319" w:bottom="1440" w:gutter="0" w:footer="0" w:header="0"/>
        </w:sectPr>
      </w:pPr>
    </w:p>
    <w:bookmarkStart w:id="86" w:name="page87"/>
    <w:bookmarkEnd w:id="86"/>
    <w:p>
      <w:pPr>
        <w:ind w:left="1140" w:hanging="578"/>
        <w:spacing w:after="0" w:line="263" w:lineRule="auto"/>
        <w:tabs>
          <w:tab w:leader="none" w:pos="119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as of which any temporary global Security of the series shall be dated if other than the date of original issuance of the first Security of the series to be issued;</w:t>
      </w:r>
    </w:p>
    <w:p>
      <w:pPr>
        <w:spacing w:after="0" w:line="101" w:lineRule="exact"/>
        <w:rPr>
          <w:rFonts w:ascii="Times New Roman" w:cs="Times New Roman" w:eastAsia="Times New Roman" w:hAnsi="Times New Roman"/>
          <w:sz w:val="19"/>
          <w:szCs w:val="19"/>
          <w:color w:val="auto"/>
        </w:rPr>
      </w:pPr>
    </w:p>
    <w:p>
      <w:pPr>
        <w:jc w:val="both"/>
        <w:ind w:left="1140" w:right="20" w:hanging="578"/>
        <w:spacing w:after="0" w:line="243" w:lineRule="auto"/>
        <w:tabs>
          <w:tab w:leader="none" w:pos="119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to whom any interest on any Security of the series shall be payable, if other than the Person in whose name that Security (or one or more Predecessor Securities) is registered at the close of business on the Regular Record Date for such interest, and the extent to which, or the manner in which, any interest payable on a temporary global Security on an Interest Payment Date will be paid if other than in the manner provided in Section 3.04;</w:t>
      </w:r>
    </w:p>
    <w:p>
      <w:pPr>
        <w:spacing w:after="0" w:line="132" w:lineRule="exact"/>
        <w:rPr>
          <w:rFonts w:ascii="Times New Roman" w:cs="Times New Roman" w:eastAsia="Times New Roman" w:hAnsi="Times New Roman"/>
          <w:sz w:val="19"/>
          <w:szCs w:val="19"/>
          <w:color w:val="auto"/>
        </w:rPr>
      </w:pPr>
    </w:p>
    <w:p>
      <w:pPr>
        <w:jc w:val="both"/>
        <w:ind w:left="1140" w:hanging="578"/>
        <w:spacing w:after="0" w:line="248" w:lineRule="auto"/>
        <w:tabs>
          <w:tab w:leader="none" w:pos="119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Securities of the series are to be issuable in definitive form (whether upon original issue or upon exchange of a temporary Security of such series) only upon receipt of certain certificates or other documents or satisfaction of other conditions, the form and/or terms of such certificates, documents or conditions;</w:t>
      </w:r>
    </w:p>
    <w:p>
      <w:pPr>
        <w:spacing w:after="0" w:line="115" w:lineRule="exact"/>
        <w:rPr>
          <w:rFonts w:ascii="Times New Roman" w:cs="Times New Roman" w:eastAsia="Times New Roman" w:hAnsi="Times New Roman"/>
          <w:sz w:val="19"/>
          <w:szCs w:val="19"/>
          <w:color w:val="auto"/>
        </w:rPr>
      </w:pPr>
    </w:p>
    <w:p>
      <w:pPr>
        <w:ind w:left="1140" w:right="20" w:hanging="578"/>
        <w:spacing w:after="0" w:line="262" w:lineRule="auto"/>
        <w:tabs>
          <w:tab w:leader="none" w:pos="119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Securities of the series are to be issued upon the exercise of warrants or subscription receipts, the time, manner and place for such Securities to be authenticated and delivered;</w:t>
      </w:r>
    </w:p>
    <w:p>
      <w:pPr>
        <w:spacing w:after="0" w:line="102" w:lineRule="exact"/>
        <w:rPr>
          <w:rFonts w:ascii="Times New Roman" w:cs="Times New Roman" w:eastAsia="Times New Roman" w:hAnsi="Times New Roman"/>
          <w:sz w:val="19"/>
          <w:szCs w:val="19"/>
          <w:color w:val="auto"/>
        </w:rPr>
      </w:pPr>
    </w:p>
    <w:p>
      <w:pPr>
        <w:jc w:val="both"/>
        <w:ind w:left="1140" w:right="20" w:hanging="578"/>
        <w:spacing w:after="0" w:line="248" w:lineRule="auto"/>
        <w:tabs>
          <w:tab w:leader="none" w:pos="119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Securities of the series are to be convertible into or exchangeable for any securities or property of any Person (including the Company), the terms and conditions upon which such Securities will be so convertible or exchangeable, and any additions or changes to permit or facilitate such conversion or exchange;</w:t>
      </w:r>
    </w:p>
    <w:p>
      <w:pPr>
        <w:spacing w:after="0" w:line="126" w:lineRule="exact"/>
        <w:rPr>
          <w:rFonts w:ascii="Times New Roman" w:cs="Times New Roman" w:eastAsia="Times New Roman" w:hAnsi="Times New Roman"/>
          <w:sz w:val="19"/>
          <w:szCs w:val="19"/>
          <w:color w:val="auto"/>
        </w:rPr>
      </w:pPr>
    </w:p>
    <w:p>
      <w:pPr>
        <w:ind w:left="1180" w:hanging="618"/>
        <w:spacing w:after="0"/>
        <w:tabs>
          <w:tab w:leader="none" w:pos="118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provisions as to modification, amendment or variation of any rights or terms attaching to the Securities;</w:t>
      </w:r>
    </w:p>
    <w:p>
      <w:pPr>
        <w:spacing w:after="0" w:line="148" w:lineRule="exact"/>
        <w:rPr>
          <w:rFonts w:ascii="Times New Roman" w:cs="Times New Roman" w:eastAsia="Times New Roman" w:hAnsi="Times New Roman"/>
          <w:sz w:val="19"/>
          <w:szCs w:val="19"/>
          <w:color w:val="auto"/>
        </w:rPr>
      </w:pPr>
    </w:p>
    <w:p>
      <w:pPr>
        <w:ind w:left="1180" w:hanging="618"/>
        <w:spacing w:after="0"/>
        <w:tabs>
          <w:tab w:leader="none" w:pos="118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the Securities will be secured or unsecured and the nature and priority of any security; and</w:t>
      </w:r>
    </w:p>
    <w:p>
      <w:pPr>
        <w:spacing w:after="0" w:line="148" w:lineRule="exact"/>
        <w:rPr>
          <w:rFonts w:ascii="Times New Roman" w:cs="Times New Roman" w:eastAsia="Times New Roman" w:hAnsi="Times New Roman"/>
          <w:sz w:val="19"/>
          <w:szCs w:val="19"/>
          <w:color w:val="auto"/>
        </w:rPr>
      </w:pPr>
    </w:p>
    <w:p>
      <w:pPr>
        <w:ind w:left="1140" w:hanging="578"/>
        <w:spacing w:after="0" w:line="262" w:lineRule="auto"/>
        <w:tabs>
          <w:tab w:leader="none" w:pos="119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terms, conditions, rights and preferences (or limitations on such rights and preferences) relating to the series (which terms shall not be inconsistent with the requirements of Trust Indenture Legislation or the provisions of this Indenture).</w:t>
      </w:r>
    </w:p>
    <w:p>
      <w:pPr>
        <w:spacing w:after="0" w:line="114" w:lineRule="exact"/>
        <w:rPr>
          <w:sz w:val="20"/>
          <w:szCs w:val="20"/>
          <w:color w:val="auto"/>
        </w:rPr>
      </w:pPr>
    </w:p>
    <w:p>
      <w:pPr>
        <w:jc w:val="both"/>
        <w:ind w:firstLine="568"/>
        <w:spacing w:after="0" w:line="243" w:lineRule="auto"/>
        <w:rPr>
          <w:sz w:val="20"/>
          <w:szCs w:val="20"/>
          <w:color w:val="auto"/>
        </w:rPr>
      </w:pPr>
      <w:r>
        <w:rPr>
          <w:rFonts w:ascii="Times New Roman" w:cs="Times New Roman" w:eastAsia="Times New Roman" w:hAnsi="Times New Roman"/>
          <w:sz w:val="19"/>
          <w:szCs w:val="19"/>
          <w:color w:val="auto"/>
        </w:rPr>
        <w:t>All Securities of any one series shall be substantially identical except as to denomination and except as may otherwise be provided in or pursuant to such Board Resolution (subject to Section 3.03) and set forth in such Officer's Certificate or in any such indenture supplemental hereto. Not all Securities of any one series need be issued at the same time, and, unless otherwise provided, a series may be reopened for issuances of additional Securities of such series.</w:t>
      </w:r>
    </w:p>
    <w:p>
      <w:pPr>
        <w:spacing w:after="0" w:line="120" w:lineRule="exact"/>
        <w:rPr>
          <w:sz w:val="20"/>
          <w:szCs w:val="20"/>
          <w:color w:val="auto"/>
        </w:rPr>
      </w:pPr>
    </w:p>
    <w:p>
      <w:pPr>
        <w:jc w:val="both"/>
        <w:ind w:right="20" w:firstLine="568"/>
        <w:spacing w:after="0" w:line="262" w:lineRule="auto"/>
        <w:rPr>
          <w:sz w:val="20"/>
          <w:szCs w:val="20"/>
          <w:color w:val="auto"/>
        </w:rPr>
      </w:pPr>
      <w:r>
        <w:rPr>
          <w:rFonts w:ascii="Times New Roman" w:cs="Times New Roman" w:eastAsia="Times New Roman" w:hAnsi="Times New Roman"/>
          <w:sz w:val="19"/>
          <w:szCs w:val="19"/>
          <w:color w:val="auto"/>
        </w:rPr>
        <w:t>If any of the terms of the series are established by action taken pursuant to one or more Board Resolutions, such Board Resolutions shall be delivered to the Trustees at or prior to the delivery of the Officer's Certificate setting forth the terms of the series.</w:t>
      </w:r>
    </w:p>
    <w:p>
      <w:pPr>
        <w:spacing w:after="0" w:line="98"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3.02</w:t>
      </w:r>
      <w:r>
        <w:rPr>
          <w:sz w:val="20"/>
          <w:szCs w:val="20"/>
          <w:color w:val="auto"/>
        </w:rPr>
        <w:tab/>
      </w:r>
      <w:r>
        <w:rPr>
          <w:rFonts w:ascii="Times New Roman" w:cs="Times New Roman" w:eastAsia="Times New Roman" w:hAnsi="Times New Roman"/>
          <w:sz w:val="18"/>
          <w:szCs w:val="18"/>
          <w:b w:val="1"/>
          <w:bCs w:val="1"/>
          <w:color w:val="auto"/>
        </w:rPr>
        <w:t>Denominations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The Securities of each series shall be issuable in such denominations as shall be specified as contemplated by Section 3.01. With respect to Securities of any series denominated in Dollars, in the absence of any such provisions, the Securities of such series, other than Securities issued in global form (which may be of any denomination), shall be issuable in denominations of $1,000 and any integral multiple thereof.</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7" w:name="page88"/>
    <w:bookmarkEnd w:id="87"/>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3.03</w:t>
      </w:r>
      <w:r>
        <w:rPr>
          <w:sz w:val="20"/>
          <w:szCs w:val="20"/>
          <w:color w:val="auto"/>
        </w:rPr>
        <w:tab/>
      </w:r>
      <w:r>
        <w:rPr>
          <w:rFonts w:ascii="Times New Roman" w:cs="Times New Roman" w:eastAsia="Times New Roman" w:hAnsi="Times New Roman"/>
          <w:sz w:val="18"/>
          <w:szCs w:val="18"/>
          <w:b w:val="1"/>
          <w:bCs w:val="1"/>
          <w:color w:val="auto"/>
        </w:rPr>
        <w:t>Execution, Authentication, Delivery and Dating</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right="20" w:firstLine="568"/>
        <w:spacing w:after="0" w:line="262" w:lineRule="auto"/>
        <w:rPr>
          <w:sz w:val="20"/>
          <w:szCs w:val="20"/>
          <w:color w:val="auto"/>
        </w:rPr>
      </w:pPr>
      <w:r>
        <w:rPr>
          <w:rFonts w:ascii="Times New Roman" w:cs="Times New Roman" w:eastAsia="Times New Roman" w:hAnsi="Times New Roman"/>
          <w:sz w:val="19"/>
          <w:szCs w:val="19"/>
          <w:color w:val="auto"/>
        </w:rPr>
        <w:t>The Securities shall be executed on behalf of the Company by an Officer. The signature of an Officer on the Securities may be the manual or facsimile signatures of the present or any future such authorized officer and may be imprinted or otherwise reproduced on the Securities.</w:t>
      </w:r>
    </w:p>
    <w:p>
      <w:pPr>
        <w:spacing w:after="0" w:line="114" w:lineRule="exact"/>
        <w:rPr>
          <w:sz w:val="20"/>
          <w:szCs w:val="20"/>
          <w:color w:val="auto"/>
        </w:rPr>
      </w:pPr>
    </w:p>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15" w:lineRule="exact"/>
        <w:rPr>
          <w:sz w:val="20"/>
          <w:szCs w:val="20"/>
          <w:color w:val="auto"/>
        </w:rPr>
      </w:pPr>
    </w:p>
    <w:p>
      <w:pPr>
        <w:jc w:val="both"/>
        <w:ind w:right="20" w:firstLine="568"/>
        <w:spacing w:after="0" w:line="239" w:lineRule="auto"/>
        <w:rPr>
          <w:sz w:val="20"/>
          <w:szCs w:val="20"/>
          <w:color w:val="auto"/>
        </w:rPr>
      </w:pPr>
      <w:r>
        <w:rPr>
          <w:rFonts w:ascii="Times New Roman" w:cs="Times New Roman" w:eastAsia="Times New Roman" w:hAnsi="Times New Roman"/>
          <w:sz w:val="19"/>
          <w:szCs w:val="19"/>
          <w:color w:val="auto"/>
        </w:rPr>
        <w:t>At any time and from time to time after the execution and delivery of this Indenture, the Company may deliver Securities of any series, executed by the Company to the applicable Trustee for authentication, together with a Company Order for the authentication and delivery of such Securities, and the applicable Trustee in accordance with such Company Order shall authenticate and deliver such Securities. If not all the Securities of any series are to be issued at one time and if the Board Resolution or supplemental indenture establishing such series shall so permit, such Company Order may set forth procedures acceptable to the Trustees for the issuance of such Securities and determining terms of particular Securities of such series such as interest rate, Stated Maturity, date of issuance and date from which interest shall accrue.</w:t>
      </w:r>
    </w:p>
    <w:p>
      <w:pPr>
        <w:spacing w:after="0" w:line="126" w:lineRule="exact"/>
        <w:rPr>
          <w:sz w:val="20"/>
          <w:szCs w:val="20"/>
          <w:color w:val="auto"/>
        </w:rPr>
      </w:pPr>
    </w:p>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In authenticating such Securities, and accepting the additional responsibilities under this Indenture in relation to such Securities, the Trustees shall be entitled to receive, and (subject to Trust Indenture Legislation, including TIA Sections 315(a) through 315(d)) shall be fully protected in relying upon, an Opinion of Counsel stating:</w:t>
      </w:r>
    </w:p>
    <w:p>
      <w:pPr>
        <w:spacing w:after="0" w:line="127" w:lineRule="exact"/>
        <w:rPr>
          <w:sz w:val="20"/>
          <w:szCs w:val="20"/>
          <w:color w:val="auto"/>
        </w:rPr>
      </w:pPr>
    </w:p>
    <w:p>
      <w:pPr>
        <w:ind w:left="1140" w:hanging="578"/>
        <w:spacing w:after="0"/>
        <w:tabs>
          <w:tab w:leader="none" w:pos="114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the form or forms of such Securities have been established in conformity with the provisions of this Indenture;</w:t>
      </w:r>
    </w:p>
    <w:p>
      <w:pPr>
        <w:spacing w:after="0" w:line="148" w:lineRule="exact"/>
        <w:rPr>
          <w:rFonts w:ascii="Times New Roman" w:cs="Times New Roman" w:eastAsia="Times New Roman" w:hAnsi="Times New Roman"/>
          <w:sz w:val="19"/>
          <w:szCs w:val="19"/>
          <w:color w:val="auto"/>
        </w:rPr>
      </w:pPr>
    </w:p>
    <w:p>
      <w:pPr>
        <w:ind w:left="1160" w:hanging="598"/>
        <w:spacing w:after="0"/>
        <w:tabs>
          <w:tab w:leader="none" w:pos="116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the terms of such Securities have been established in conformity with the provisions of this Indenture;</w:t>
      </w:r>
    </w:p>
    <w:p>
      <w:pPr>
        <w:spacing w:after="0" w:line="148" w:lineRule="exact"/>
        <w:rPr>
          <w:rFonts w:ascii="Times New Roman" w:cs="Times New Roman" w:eastAsia="Times New Roman" w:hAnsi="Times New Roman"/>
          <w:sz w:val="19"/>
          <w:szCs w:val="19"/>
          <w:color w:val="auto"/>
        </w:rPr>
      </w:pPr>
    </w:p>
    <w:p>
      <w:pPr>
        <w:jc w:val="both"/>
        <w:ind w:firstLine="562"/>
        <w:spacing w:after="0" w:line="243" w:lineRule="auto"/>
        <w:tabs>
          <w:tab w:leader="none" w:pos="1153"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such Securities, when completed by appropriate insertions and executed and delivered by the Company to the applicable Trustee for authentication in accordance with this Indenture, authenticated and delivered by the applicable Trustee in accordance with this Indenture and issued by the Company in the manner and subject to any conditions specified in such Opinion of Counsel, will constitute the legal, valid and binding obligations of the Company, enforceable in accordance with their terms;</w:t>
      </w:r>
    </w:p>
    <w:p>
      <w:pPr>
        <w:spacing w:after="0" w:line="132" w:lineRule="exact"/>
        <w:rPr>
          <w:rFonts w:ascii="Times New Roman" w:cs="Times New Roman" w:eastAsia="Times New Roman" w:hAnsi="Times New Roman"/>
          <w:sz w:val="19"/>
          <w:szCs w:val="19"/>
          <w:color w:val="auto"/>
        </w:rPr>
      </w:pPr>
    </w:p>
    <w:p>
      <w:pPr>
        <w:jc w:val="both"/>
        <w:ind w:right="20" w:firstLine="562"/>
        <w:spacing w:after="0" w:line="248" w:lineRule="auto"/>
        <w:tabs>
          <w:tab w:leader="none" w:pos="1161"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and delivery by the Company of such Securities and any supplemental indenture will not contravene the articles of incorporation or continuance, or such other constating documents then in effect, if any, or the by-laws of the Company, or violate applicable laws; and</w:t>
      </w:r>
    </w:p>
    <w:p>
      <w:pPr>
        <w:spacing w:after="0" w:line="115" w:lineRule="exact"/>
        <w:rPr>
          <w:rFonts w:ascii="Times New Roman" w:cs="Times New Roman" w:eastAsia="Times New Roman" w:hAnsi="Times New Roman"/>
          <w:sz w:val="19"/>
          <w:szCs w:val="19"/>
          <w:color w:val="auto"/>
        </w:rPr>
      </w:pPr>
    </w:p>
    <w:p>
      <w:pPr>
        <w:ind w:left="1140" w:hanging="578"/>
        <w:spacing w:after="0"/>
        <w:tabs>
          <w:tab w:leader="none" w:pos="114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the Company has the corporate power to issue such Securities, and has duly taken all necessary corporate action with respect to</w:t>
      </w:r>
    </w:p>
    <w:p>
      <w:pPr>
        <w:spacing w:after="0" w:line="1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issuance.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88" w:name="page89"/>
    <w:bookmarkEnd w:id="88"/>
    <w:p>
      <w:pPr>
        <w:jc w:val="both"/>
        <w:ind w:firstLine="568"/>
        <w:spacing w:after="0" w:line="243" w:lineRule="auto"/>
        <w:rPr>
          <w:sz w:val="20"/>
          <w:szCs w:val="20"/>
          <w:color w:val="auto"/>
        </w:rPr>
      </w:pPr>
      <w:r>
        <w:rPr>
          <w:rFonts w:ascii="Times New Roman" w:cs="Times New Roman" w:eastAsia="Times New Roman" w:hAnsi="Times New Roman"/>
          <w:sz w:val="19"/>
          <w:szCs w:val="19"/>
          <w:color w:val="auto"/>
        </w:rPr>
        <w:t>Notwithstanding the provisions of Section 3.01 and of the preceding two paragraphs, if not all the Securities of any series are to be issued at one time, it shall not be necessary to deliver the Officer's Certificate otherwise required pursuant to Section 3.01 or the Company Order and Opinion of Counsel otherwise required pursuant to the preceding two paragraphs prior to or at the time of issuance of each Security, if such documents are delivered prior to or at the time of issuance of the first Security of such series and with respect to all Securities of such series.</w:t>
      </w:r>
    </w:p>
    <w:p>
      <w:pPr>
        <w:spacing w:after="0" w:line="121" w:lineRule="exact"/>
        <w:rPr>
          <w:sz w:val="20"/>
          <w:szCs w:val="20"/>
          <w:color w:val="auto"/>
        </w:rPr>
      </w:pPr>
    </w:p>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The Trustees shall not be required to authenticate and deliver any such Securities if the issue of such Securities pursuant to this Indenture will affect the Trustees' own rights, duties or immunities under the Securities and this Indenture or otherwise in a manner which is not reasonably acceptable to the Trustees.</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Each Security shall be dated the date of its authentication.</w:t>
      </w:r>
    </w:p>
    <w:p>
      <w:pPr>
        <w:spacing w:after="0" w:line="148" w:lineRule="exact"/>
        <w:rPr>
          <w:sz w:val="20"/>
          <w:szCs w:val="20"/>
          <w:color w:val="auto"/>
        </w:rPr>
      </w:pPr>
    </w:p>
    <w:p>
      <w:pPr>
        <w:jc w:val="both"/>
        <w:ind w:firstLine="568"/>
        <w:spacing w:after="0" w:line="237" w:lineRule="auto"/>
        <w:rPr>
          <w:sz w:val="20"/>
          <w:szCs w:val="20"/>
          <w:color w:val="auto"/>
        </w:rPr>
      </w:pPr>
      <w:r>
        <w:rPr>
          <w:rFonts w:ascii="Times New Roman" w:cs="Times New Roman" w:eastAsia="Times New Roman" w:hAnsi="Times New Roman"/>
          <w:sz w:val="19"/>
          <w:szCs w:val="19"/>
          <w:color w:val="auto"/>
        </w:rPr>
        <w:t>No Security shall entitle a Holder to any benefit under this Indenture or be valid or obligatory for any purpose unless there appears on such Security a certificate of authentication substantially in the form provided for herein duly executed by the applicable Trustee by manual signature of an authorized officer thereof,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Trustees for cancellation as provided in Section 3.10 together with a written statement (which need not comply with Section 1.03 and need not be accompanied by an Opinion of Counsel) stating that such Security has never been issued and sold by the Company, for all purposes of this Indenture such Security shall be deemed never to have been authenticated and delivered hereunder and shall never entitle a Holder to the benefits of this Indenture.</w:t>
      </w:r>
    </w:p>
    <w:p>
      <w:pPr>
        <w:spacing w:after="0" w:line="124"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3.04</w:t>
      </w:r>
      <w:r>
        <w:rPr>
          <w:sz w:val="20"/>
          <w:szCs w:val="20"/>
          <w:color w:val="auto"/>
        </w:rPr>
        <w:tab/>
      </w:r>
      <w:r>
        <w:rPr>
          <w:rFonts w:ascii="Times New Roman" w:cs="Times New Roman" w:eastAsia="Times New Roman" w:hAnsi="Times New Roman"/>
          <w:sz w:val="18"/>
          <w:szCs w:val="18"/>
          <w:b w:val="1"/>
          <w:bCs w:val="1"/>
          <w:color w:val="auto"/>
        </w:rPr>
        <w:t>Temporary Securities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Pending the preparation of definitive Securities of any series, the Company may execute, and upon Company Order the applicable Trustee shall authenticate and deliver, temporary Securities which are printed, lithographed, typewritten, mimeographed or otherwise produced, in any authorized denomination, substantially of the tenor of the definitive Securities in lieu of which they are issued, in registered form, and with such appropriate insertions, omissions, substitutions and other variations as the Officer executing such Securities may determine, as conclusively evidenced by their execution of such Securities. Such temporary Securities may be in global form.</w:t>
      </w:r>
    </w:p>
    <w:p>
      <w:pPr>
        <w:spacing w:after="0" w:line="121" w:lineRule="exact"/>
        <w:rPr>
          <w:sz w:val="20"/>
          <w:szCs w:val="20"/>
          <w:color w:val="auto"/>
        </w:rPr>
      </w:pPr>
    </w:p>
    <w:p>
      <w:pPr>
        <w:jc w:val="both"/>
        <w:ind w:firstLine="568"/>
        <w:spacing w:after="0" w:line="238" w:lineRule="auto"/>
        <w:rPr>
          <w:sz w:val="20"/>
          <w:szCs w:val="20"/>
          <w:color w:val="auto"/>
        </w:rPr>
      </w:pPr>
      <w:r>
        <w:rPr>
          <w:rFonts w:ascii="Times New Roman" w:cs="Times New Roman" w:eastAsia="Times New Roman" w:hAnsi="Times New Roman"/>
          <w:sz w:val="19"/>
          <w:szCs w:val="19"/>
          <w:color w:val="auto"/>
        </w:rPr>
        <w:t>Except in the case of temporary Securities in global form (which shall be exchanged in accordance with the provisions of the following paragraphs),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applicable Trustee shall authenticate and deliver in exchange therefor a like principal amount of definitive Securities of the same series of authorized denominations and of like tenor and evidencing the same indebtedness. Until so exchanged the temporary Securities of any series shall in all respects be entitled to the same benefits under this Indenture as definitive Securities of such series.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89" w:name="page90"/>
    <w:bookmarkEnd w:id="89"/>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If temporary Securities of any series are issued in global form, any such temporary global Security shall, unless otherwise provided therein, be delivered to the office of the Depositary for credit to the respective accounts of the beneficial owners of such Securities (or to such other accounts as they may direct).</w:t>
      </w:r>
    </w:p>
    <w:p>
      <w:pPr>
        <w:spacing w:after="0" w:line="116" w:lineRule="exact"/>
        <w:rPr>
          <w:sz w:val="20"/>
          <w:szCs w:val="20"/>
          <w:color w:val="auto"/>
        </w:rPr>
      </w:pPr>
    </w:p>
    <w:p>
      <w:pPr>
        <w:jc w:val="both"/>
        <w:ind w:firstLine="568"/>
        <w:spacing w:after="0" w:line="236" w:lineRule="auto"/>
        <w:rPr>
          <w:sz w:val="20"/>
          <w:szCs w:val="20"/>
          <w:color w:val="auto"/>
        </w:rPr>
      </w:pPr>
      <w:r>
        <w:rPr>
          <w:rFonts w:ascii="Times New Roman" w:cs="Times New Roman" w:eastAsia="Times New Roman" w:hAnsi="Times New Roman"/>
          <w:sz w:val="19"/>
          <w:szCs w:val="19"/>
          <w:color w:val="auto"/>
        </w:rPr>
        <w:t>Without unnecessary delay, but in any event not later than the date specified in, or determined pursuant to the terms of, any such temporary global Security (the "</w:t>
      </w:r>
      <w:r>
        <w:rPr>
          <w:rFonts w:ascii="Times New Roman" w:cs="Times New Roman" w:eastAsia="Times New Roman" w:hAnsi="Times New Roman"/>
          <w:sz w:val="19"/>
          <w:szCs w:val="19"/>
          <w:b w:val="1"/>
          <w:bCs w:val="1"/>
          <w:color w:val="auto"/>
        </w:rPr>
        <w:t>Exchange Date</w:t>
      </w:r>
      <w:r>
        <w:rPr>
          <w:rFonts w:ascii="Times New Roman" w:cs="Times New Roman" w:eastAsia="Times New Roman" w:hAnsi="Times New Roman"/>
          <w:sz w:val="19"/>
          <w:szCs w:val="19"/>
          <w:color w:val="auto"/>
        </w:rPr>
        <w:t xml:space="preserve">"), the Company shall deliver to the Trustees definitive Securities, in aggregate principal amount equal to the principal amount of such temporary global Security and of like tenor and evidencing the same indebtedness, executed by the Company. On or after the Exchange Date, such temporary global Security shall be surrendered by the Depositary to the Trustees, as the Company's agent for such purpose, to be exchanged, in whole or from time to time in part, for definitive Securities without charge and the applicable Trustee shall authenticate and deliver, in exchange for each portion of such temporary global Security, an equal aggregate principal amount of definitive Securities of the same series of authorized denominations and of like tenor and evidencing the same indebtedness as the portion of such temporary global Security to be exchanged. The definitive Securities to be delivered in exchange for any such temporary global Security shall be in registered form or permanent global registered form, or any combination thereof, as specified as contemplated by Section 3.01, and, if any combination thereof is so specified, as requested by the beneficial owner thereof;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unless otherwise specified in such temporary global Security, upon such presentation by the Depositary, such temporary global Security is accompanied by a certificate dated the Exchange Date or a subsequent date and signed by the Depositary as to the portion of such temporary global Security held for its account then to be exchanged and a certificate dated the Exchange Date or a subsequent date, each in the form set forth in Exhibit A-2 to this Indenture (or in such other form as may be established pursuant to Section 3.01).</w:t>
      </w:r>
    </w:p>
    <w:p>
      <w:pPr>
        <w:spacing w:after="0" w:line="138" w:lineRule="exact"/>
        <w:rPr>
          <w:sz w:val="20"/>
          <w:szCs w:val="20"/>
          <w:color w:val="auto"/>
        </w:rPr>
      </w:pPr>
    </w:p>
    <w:p>
      <w:pPr>
        <w:jc w:val="both"/>
        <w:ind w:firstLine="568"/>
        <w:spacing w:after="0" w:line="237" w:lineRule="auto"/>
        <w:rPr>
          <w:sz w:val="20"/>
          <w:szCs w:val="20"/>
          <w:color w:val="auto"/>
        </w:rPr>
      </w:pPr>
      <w:r>
        <w:rPr>
          <w:rFonts w:ascii="Times New Roman" w:cs="Times New Roman" w:eastAsia="Times New Roman" w:hAnsi="Times New Roman"/>
          <w:sz w:val="19"/>
          <w:szCs w:val="19"/>
          <w:color w:val="auto"/>
        </w:rPr>
        <w:t>Unless otherwise specified in such temporary global Security, the interest of a beneficial owner of Securities of a series in a temporary global Security shall be exchanged for definitive Securities of the same series and of like tenor and evidencing the same indebtedness following the Exchange Date when the account holder instructs the Depositary to request such exchange on his behalf and delivers to the Depositary a certificate in the form set forth in Exhibit A-1 to this Indenture (or in such other form as may be established pursuant to Section 3.01), dated no earlier than 15 days prior to the Exchange Date, copies of which certificate shall be available from the offices of the Depositary, the Trustees,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in the event that such Person does not take delivery of such definitive Securities in person at the offices of the Depositary.</w:t>
      </w:r>
    </w:p>
    <w:p>
      <w:pPr>
        <w:spacing w:after="0" w:line="128" w:lineRule="exact"/>
        <w:rPr>
          <w:sz w:val="20"/>
          <w:szCs w:val="20"/>
          <w:color w:val="auto"/>
        </w:rPr>
      </w:pPr>
    </w:p>
    <w:p>
      <w:pPr>
        <w:jc w:val="both"/>
        <w:ind w:firstLine="568"/>
        <w:spacing w:after="0" w:line="235" w:lineRule="auto"/>
        <w:rPr>
          <w:sz w:val="20"/>
          <w:szCs w:val="20"/>
          <w:color w:val="auto"/>
        </w:rPr>
      </w:pPr>
      <w:r>
        <w:rPr>
          <w:rFonts w:ascii="Times New Roman" w:cs="Times New Roman" w:eastAsia="Times New Roman" w:hAnsi="Times New Roman"/>
          <w:sz w:val="19"/>
          <w:szCs w:val="19"/>
          <w:color w:val="auto"/>
        </w:rPr>
        <w:t>Until exchanged in full as hereinabove provided, the temporary Securities of any series shall in all respects be entitled to the same benefits under this Indenture as definitive Securities of the same series and of like tenor and evidencing the same indebtedness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the Depositary on such Interest Payment Date upon delivery by the Depositary to the Trustees of a certificate or certificates in the form set forth in Exhibit A-2 to this Indenture (or in such other form as may be established pursuant to Section 3.01), for credit without further interest thereon on or after such Interest Payment Date to the respective accounts of the Persons who are the beneficial owners of such temporary global Security on such Interest Payment Date and who have each delivered to the Depositary a certificate dated no earlier than 15 days prior to the Interest Payment Date occurring prior to such Exchange Date in the form set forth in Exhibit A-1 to this Indenture (or in such other form as may be established pursuant to Section 3.01). Notwithstanding anything to the contrary herein contained, the certifications made pursuant to this paragraph shall satisfy the certification requirements of the preceding two paragraphs of this Section 3.04 and of the third paragraph of Section 3.03 and the interests of the Persons who are the beneficial owners of the temporary global Security with respect to which such certification was made will be exchanged for definitive Securities of the same series and of like tenor and evidencing the same indebtedness on the Exchange Date or the date of certification if such date occurs after the Exchange Date, without further act or deed by such beneficial owners. Except as otherwise provided in this paragraph, no payments of principal of, premium (if any) or interest (if any) owing with respect to a beneficial interest in a temporary global Security will be made unless and until such interest in such temporary global Security shall have been exchanged for an interest in a definitive Security. Any interest so received by the Depositary and not paid as herein provided shall be returned to the Trustees immediately prior to the expiration of two years after such Interest Payment Date in order to be repaid to the Company in accordance with Section 10.03.</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0" w:name="page91"/>
    <w:bookmarkEnd w:id="90"/>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3.05</w:t>
      </w:r>
      <w:r>
        <w:rPr>
          <w:sz w:val="20"/>
          <w:szCs w:val="20"/>
          <w:color w:val="auto"/>
        </w:rPr>
        <w:tab/>
      </w:r>
      <w:r>
        <w:rPr>
          <w:rFonts w:ascii="Times New Roman" w:cs="Times New Roman" w:eastAsia="Times New Roman" w:hAnsi="Times New Roman"/>
          <w:sz w:val="18"/>
          <w:szCs w:val="18"/>
          <w:b w:val="1"/>
          <w:bCs w:val="1"/>
          <w:color w:val="auto"/>
        </w:rPr>
        <w:t>Registration, Registration of Transfer and Exchange</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568"/>
        <w:spacing w:after="0" w:line="236" w:lineRule="auto"/>
        <w:rPr>
          <w:sz w:val="20"/>
          <w:szCs w:val="20"/>
          <w:color w:val="auto"/>
        </w:rPr>
      </w:pPr>
      <w:r>
        <w:rPr>
          <w:rFonts w:ascii="Times New Roman" w:cs="Times New Roman" w:eastAsia="Times New Roman" w:hAnsi="Times New Roman"/>
          <w:sz w:val="19"/>
          <w:szCs w:val="19"/>
          <w:color w:val="auto"/>
        </w:rPr>
        <w:t>So long as required by Trust Indenture Legislation, the Company shall cause to be kept at the Corporate Trust Offices of the applicable Trustee a register for each series of Securities (the registers maintained in the Corporate Trust Offices of the Trustees and in any other office or agency of the Company in a Place of Payment being herein sometimes collectively referred to as the "</w:t>
      </w:r>
      <w:r>
        <w:rPr>
          <w:rFonts w:ascii="Times New Roman" w:cs="Times New Roman" w:eastAsia="Times New Roman" w:hAnsi="Times New Roman"/>
          <w:sz w:val="19"/>
          <w:szCs w:val="19"/>
          <w:b w:val="1"/>
          <w:bCs w:val="1"/>
          <w:color w:val="auto"/>
        </w:rPr>
        <w:t>Security Register</w:t>
      </w:r>
      <w:r>
        <w:rPr>
          <w:rFonts w:ascii="Times New Roman" w:cs="Times New Roman" w:eastAsia="Times New Roman" w:hAnsi="Times New Roman"/>
          <w:sz w:val="19"/>
          <w:szCs w:val="19"/>
          <w:color w:val="auto"/>
        </w:rPr>
        <w:t>") in which, subject to such reasonable regulations as it may prescribe, the Company shall provide for the registration of the Holders of Securities and of transfers of Securities. The Security Register shall be in written form or any other form capable of being converted into written form within a reasonable time. At all reasonable times, the Security Register shall be open to inspection by the Trustees. The Trustees are hereby initially appointed as security registrar (the "Security Registrar") for the purpose of registering Securities and transfers of Securities as herein provided. The Company shall have the right to remove and replace from time to time the Security Registrar for any series of Securities; provided, however, that, no such removal or replacement shall be effective until a successor Security Registrar with respect to such series of Securities shall have been appointed by the Company and shall have accepted such appointment by the Company. In the event that the Trustees shall not be or shall cease to be the Securities Registrar with respect to a series of Securities, they shall have the right to examine the Security Register for such series at all reasonable times. There shall be only one Securities Register for such series of Securities.</w:t>
      </w:r>
    </w:p>
    <w:p>
      <w:pPr>
        <w:spacing w:after="0" w:line="142" w:lineRule="exact"/>
        <w:rPr>
          <w:sz w:val="20"/>
          <w:szCs w:val="20"/>
          <w:color w:val="auto"/>
        </w:rPr>
      </w:pPr>
    </w:p>
    <w:p>
      <w:pPr>
        <w:jc w:val="both"/>
        <w:ind w:right="20" w:firstLine="568"/>
        <w:spacing w:after="0" w:line="243" w:lineRule="auto"/>
        <w:rPr>
          <w:sz w:val="20"/>
          <w:szCs w:val="20"/>
          <w:color w:val="auto"/>
        </w:rPr>
      </w:pPr>
      <w:r>
        <w:rPr>
          <w:rFonts w:ascii="Times New Roman" w:cs="Times New Roman" w:eastAsia="Times New Roman" w:hAnsi="Times New Roman"/>
          <w:sz w:val="19"/>
          <w:szCs w:val="19"/>
          <w:color w:val="auto"/>
        </w:rPr>
        <w:t>Upon surrender for registration of transfer of any Security of any series at the office or agency in a Place of Payment for that series, the Company shall execute, and the applicable Trustee shall authenticate and deliver, in the name of the designated transferee, one or more new Securities of the same series, of any authorized denominations and of a like aggregate principal amount and tenor and evidencing the same indebtedness.</w:t>
      </w:r>
    </w:p>
    <w:p>
      <w:pPr>
        <w:spacing w:after="0" w:line="120" w:lineRule="exact"/>
        <w:rPr>
          <w:sz w:val="20"/>
          <w:szCs w:val="20"/>
          <w:color w:val="auto"/>
        </w:rPr>
      </w:pPr>
    </w:p>
    <w:p>
      <w:pPr>
        <w:jc w:val="both"/>
        <w:ind w:right="20" w:firstLine="568"/>
        <w:spacing w:after="0" w:line="262" w:lineRule="auto"/>
        <w:rPr>
          <w:sz w:val="20"/>
          <w:szCs w:val="20"/>
          <w:color w:val="auto"/>
        </w:rPr>
      </w:pPr>
      <w:r>
        <w:rPr>
          <w:rFonts w:ascii="Times New Roman" w:cs="Times New Roman" w:eastAsia="Times New Roman" w:hAnsi="Times New Roman"/>
          <w:sz w:val="19"/>
          <w:szCs w:val="19"/>
          <w:color w:val="auto"/>
        </w:rPr>
        <w:t>For Canadian Securities, the Security must be duly endorsed for transfer or in a duly endorsed transferable form as applicable and must comply with the current industry practice in accordance with the Securities Transfer Association of Canada.</w:t>
      </w:r>
    </w:p>
    <w:p>
      <w:pPr>
        <w:spacing w:after="0" w:line="102" w:lineRule="exact"/>
        <w:rPr>
          <w:sz w:val="20"/>
          <w:szCs w:val="20"/>
          <w:color w:val="auto"/>
        </w:rPr>
      </w:pPr>
    </w:p>
    <w:p>
      <w:pPr>
        <w:jc w:val="both"/>
        <w:ind w:firstLine="568"/>
        <w:spacing w:after="0" w:line="243" w:lineRule="auto"/>
        <w:rPr>
          <w:sz w:val="20"/>
          <w:szCs w:val="20"/>
          <w:color w:val="auto"/>
        </w:rPr>
      </w:pPr>
      <w:r>
        <w:rPr>
          <w:rFonts w:ascii="Times New Roman" w:cs="Times New Roman" w:eastAsia="Times New Roman" w:hAnsi="Times New Roman"/>
          <w:sz w:val="19"/>
          <w:szCs w:val="19"/>
          <w:color w:val="auto"/>
        </w:rPr>
        <w:t>At the option of the Holder, Securities of any series may be exchanged for other Securities of the same series, of any authorized denomination and of a like aggregate principal amount and tenor and evidencing the same indebtedness, upon surrender of the Securities to be exchanged at such office or agency. Whenever any Securities are so surrendered for exchange, the Company shall execute, and the applicable Trustee shall authenticate and deliver, the Securities which the Holder making the exchange is entitled to receive.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1" w:name="page92"/>
    <w:bookmarkEnd w:id="91"/>
    <w:p>
      <w:pPr>
        <w:jc w:val="both"/>
        <w:ind w:right="20" w:firstLine="568"/>
        <w:spacing w:after="0" w:line="263" w:lineRule="auto"/>
        <w:rPr>
          <w:sz w:val="20"/>
          <w:szCs w:val="20"/>
          <w:color w:val="auto"/>
        </w:rPr>
      </w:pPr>
      <w:r>
        <w:rPr>
          <w:rFonts w:ascii="Times New Roman" w:cs="Times New Roman" w:eastAsia="Times New Roman" w:hAnsi="Times New Roman"/>
          <w:sz w:val="19"/>
          <w:szCs w:val="19"/>
          <w:color w:val="auto"/>
        </w:rPr>
        <w:t>Whenever any Securities are so surrendered for exchange, the Company shall execute, and the applicable Trustee shall authenticate and deliver, the Securities which the Holder making the exchange is entitled to receive.</w:t>
      </w:r>
    </w:p>
    <w:p>
      <w:pPr>
        <w:spacing w:after="0" w:line="102" w:lineRule="exact"/>
        <w:rPr>
          <w:sz w:val="20"/>
          <w:szCs w:val="20"/>
          <w:color w:val="auto"/>
        </w:rPr>
      </w:pPr>
    </w:p>
    <w:p>
      <w:pPr>
        <w:jc w:val="both"/>
        <w:ind w:firstLine="568"/>
        <w:spacing w:after="0" w:line="235" w:lineRule="auto"/>
        <w:rPr>
          <w:sz w:val="20"/>
          <w:szCs w:val="20"/>
          <w:color w:val="auto"/>
        </w:rPr>
      </w:pPr>
      <w:r>
        <w:rPr>
          <w:rFonts w:ascii="Times New Roman" w:cs="Times New Roman" w:eastAsia="Times New Roman" w:hAnsi="Times New Roman"/>
          <w:sz w:val="19"/>
          <w:szCs w:val="19"/>
          <w:color w:val="auto"/>
        </w:rPr>
        <w:t>Notwithstanding the foregoing, except as otherwise specified as contemplated by Section 3.01, any permanent global Security shall be exchangeable only as provided in this Section. If any beneficial owner of an interest in a permanent global Security is entitled to exchange such interest for Securities of such series and of like tenor and principal amount of another authorized form and denomination, as contemplated by Section 3.01 and provided that any applicable notice provided in the permanent global Security shall have been given to the Company, the Trustees and the Depositary, then without unnecessary delay but in any event not later than the earliest date on which such interest may be so exchanged, the Company shall deliver to the applicable Trustee definitive Securities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Depositary or such other depositary as shall be specified in the Company Order with respect thereto to the applicable Trustee, as the Company's agent for such purpose, to be exchanged in whole or from time to time in part, for definitive Securities without charge, and the applicable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 exchanged. If a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47" w:lineRule="exact"/>
        <w:rPr>
          <w:sz w:val="20"/>
          <w:szCs w:val="20"/>
          <w:color w:val="auto"/>
        </w:rPr>
      </w:pPr>
    </w:p>
    <w:p>
      <w:pPr>
        <w:jc w:val="both"/>
        <w:ind w:firstLine="568"/>
        <w:spacing w:after="0" w:line="237" w:lineRule="auto"/>
        <w:rPr>
          <w:sz w:val="20"/>
          <w:szCs w:val="20"/>
          <w:color w:val="auto"/>
        </w:rPr>
      </w:pPr>
      <w:r>
        <w:rPr>
          <w:rFonts w:ascii="Times New Roman" w:cs="Times New Roman" w:eastAsia="Times New Roman" w:hAnsi="Times New Roman"/>
          <w:sz w:val="19"/>
          <w:szCs w:val="19"/>
          <w:color w:val="auto"/>
        </w:rPr>
        <w:t>Transfers of global Securities shall be limited to transfers in whole, but not in part, to the Depositary, its successors or their respective nominees. If at any time the Depositary for Securities of a series notifies the Company that it is unwilling, unable or no longer qualifies to continue as Depositary for Securities of such series or if at any time the Depositary for such series shall no longer be registered or in good standing under the Exchange Act, or other applicable statute or regulation, the Company shall appoint a successor Depositary for the Securities of such series. If a successor to the Depositary for Securities of such series is not appointed by the Company within 90 days after the Company receives such notice or becomes aware of such condition, as the case may be, the Company's election pursuant to Section 3.01 shall no longer be effective with respect to the Securities for such series and the Company will execute, and the applicable Trustee, upon receipt of a Company Order for the authentication and delivery of definitive Securities of such series, will authenticate and deliver Securities of such series in definitive form, in authorized denominations, and in an aggregate principal amount equal to the principal amount of the global Security or Securities representing such series and evidencing the same indebtedness in exchange for such global Security or Securities.</w:t>
      </w:r>
    </w:p>
    <w:p>
      <w:pPr>
        <w:spacing w:after="0" w:line="125" w:lineRule="exact"/>
        <w:rPr>
          <w:sz w:val="20"/>
          <w:szCs w:val="20"/>
          <w:color w:val="auto"/>
        </w:rPr>
      </w:pPr>
    </w:p>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The Company may at any time and in its sole discretion determine that the Securities of any series issued in the form of one or more global Securities shall no longer be represented by such global Security or Securities. In such event the Company will execute, and the applicable Trustee, upon receipt of a Company Order for the authentication and delivery of definitive Securities of such series, will authenticate and deliver Securities of such series in definitive form, in authorized denominations, and in an aggregate principal amount equal to the principal amount of the global Security or Securities representing such series and evidencing the same indebtedness in exchange for such global Security or Securities.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2" w:name="page93"/>
    <w:bookmarkEnd w:id="92"/>
    <w:p>
      <w:pPr>
        <w:jc w:val="both"/>
        <w:ind w:left="5" w:firstLine="568"/>
        <w:spacing w:after="0" w:line="241" w:lineRule="auto"/>
        <w:rPr>
          <w:sz w:val="20"/>
          <w:szCs w:val="20"/>
          <w:color w:val="auto"/>
        </w:rPr>
      </w:pPr>
      <w:r>
        <w:rPr>
          <w:rFonts w:ascii="Times New Roman" w:cs="Times New Roman" w:eastAsia="Times New Roman" w:hAnsi="Times New Roman"/>
          <w:sz w:val="19"/>
          <w:szCs w:val="19"/>
          <w:color w:val="auto"/>
        </w:rPr>
        <w:t>Upon the exchange of a global Security for Securities in definitive form, such global Security shall be cancelled by the applicable Trustee. Securities issued in exchange for a global Security pursuant to this Section 3.05 shall be registered in such names and in such authorized denominations as the Depositary for such global Security, pursuant to instructions from its direct or indirect participants or otherwise, shall instruct the applicable Trustee in writing. The applicable Trustee shall deliver such Securities to the Persons in whose names such Securities are so registered.</w:t>
      </w:r>
    </w:p>
    <w:p>
      <w:pPr>
        <w:spacing w:after="0" w:line="122" w:lineRule="exact"/>
        <w:rPr>
          <w:sz w:val="20"/>
          <w:szCs w:val="20"/>
          <w:color w:val="auto"/>
        </w:rPr>
      </w:pPr>
    </w:p>
    <w:p>
      <w:pPr>
        <w:jc w:val="both"/>
        <w:ind w:left="5" w:right="20" w:firstLine="568"/>
        <w:spacing w:after="0" w:line="262" w:lineRule="auto"/>
        <w:rPr>
          <w:sz w:val="20"/>
          <w:szCs w:val="20"/>
          <w:color w:val="auto"/>
        </w:rPr>
      </w:pPr>
      <w:r>
        <w:rPr>
          <w:rFonts w:ascii="Times New Roman" w:cs="Times New Roman" w:eastAsia="Times New Roman" w:hAnsi="Times New Roman"/>
          <w:sz w:val="19"/>
          <w:szCs w:val="19"/>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14" w:lineRule="exact"/>
        <w:rPr>
          <w:sz w:val="20"/>
          <w:szCs w:val="20"/>
          <w:color w:val="auto"/>
        </w:rPr>
      </w:pPr>
    </w:p>
    <w:p>
      <w:pPr>
        <w:jc w:val="both"/>
        <w:ind w:left="5" w:firstLine="568"/>
        <w:spacing w:after="0" w:line="248" w:lineRule="auto"/>
        <w:rPr>
          <w:sz w:val="20"/>
          <w:szCs w:val="20"/>
          <w:color w:val="auto"/>
        </w:rPr>
      </w:pPr>
      <w:r>
        <w:rPr>
          <w:rFonts w:ascii="Times New Roman" w:cs="Times New Roman" w:eastAsia="Times New Roman" w:hAnsi="Times New Roman"/>
          <w:sz w:val="19"/>
          <w:szCs w:val="19"/>
          <w:color w:val="auto"/>
        </w:rPr>
        <w:t>Every Security presented or surrendered for registration of transfer or for exchange shall (if so required by the Company or the Security Registrar or applicable securities transfer industry practices) be duly endorsed, or be accompanied by a written instrument of transfer, in form satisfactory to the Company and the Security Registrar, duly executed by the Holder thereof or his attorney duly authorized in writing.</w:t>
      </w:r>
    </w:p>
    <w:p>
      <w:pPr>
        <w:spacing w:after="0" w:line="115" w:lineRule="exact"/>
        <w:rPr>
          <w:sz w:val="20"/>
          <w:szCs w:val="20"/>
          <w:color w:val="auto"/>
        </w:rPr>
      </w:pPr>
    </w:p>
    <w:p>
      <w:pPr>
        <w:jc w:val="both"/>
        <w:ind w:left="5" w:firstLine="568"/>
        <w:spacing w:after="0" w:line="248" w:lineRule="auto"/>
        <w:rPr>
          <w:sz w:val="20"/>
          <w:szCs w:val="20"/>
          <w:color w:val="auto"/>
        </w:rPr>
      </w:pPr>
      <w:r>
        <w:rPr>
          <w:rFonts w:ascii="Times New Roman" w:cs="Times New Roman" w:eastAsia="Times New Roman" w:hAnsi="Times New Roman"/>
          <w:sz w:val="19"/>
          <w:szCs w:val="19"/>
          <w:color w:val="auto"/>
        </w:rPr>
        <w:t>Any registration of transfer or exchange of Securities may be subject to service charges by the Securities Registrar and the Company may require payment of a sum sufficient to cover any tax or other governmental charge that may be imposed in connection with any registration of transfer or exchange of Securities, other than exchanges pursuant to Section 3.04, 9.06, 11.07 or 13.05 not involving any transfer.</w:t>
      </w:r>
    </w:p>
    <w:p>
      <w:pPr>
        <w:spacing w:after="0" w:line="115" w:lineRule="exact"/>
        <w:rPr>
          <w:sz w:val="20"/>
          <w:szCs w:val="20"/>
          <w:color w:val="auto"/>
        </w:rPr>
      </w:pPr>
    </w:p>
    <w:p>
      <w:pPr>
        <w:jc w:val="both"/>
        <w:ind w:left="5" w:firstLine="568"/>
        <w:spacing w:after="0" w:line="239" w:lineRule="auto"/>
        <w:rPr>
          <w:sz w:val="20"/>
          <w:szCs w:val="20"/>
          <w:color w:val="auto"/>
        </w:rPr>
      </w:pPr>
      <w:r>
        <w:rPr>
          <w:rFonts w:ascii="Times New Roman" w:cs="Times New Roman" w:eastAsia="Times New Roman" w:hAnsi="Times New Roman"/>
          <w:sz w:val="19"/>
          <w:szCs w:val="19"/>
          <w:color w:val="auto"/>
        </w:rPr>
        <w:t>The Company shall not be required (i) to issue, register the transfer of or exchange Securities of any series in definitive form during a period beginning at the opening of business 15 days before the day of the selection for redemption of Securities of that series under Section 11.03 or 12.03 and ending at the close of business on the day of the mailing of the relevant notice of redemption or (ii) to register the transfer of or exchange any Security in definitive form so selected for redemption in whole or in part, except the unredeemed portion of any Security being redeemed in part, or</w:t>
      </w:r>
    </w:p>
    <w:p>
      <w:pPr>
        <w:spacing w:after="0" w:line="1" w:lineRule="exact"/>
        <w:rPr>
          <w:sz w:val="20"/>
          <w:szCs w:val="20"/>
          <w:color w:val="auto"/>
        </w:rPr>
      </w:pPr>
    </w:p>
    <w:p>
      <w:pPr>
        <w:ind w:left="5" w:right="20" w:hanging="5"/>
        <w:spacing w:after="0"/>
        <w:tabs>
          <w:tab w:leader="none" w:pos="419"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issue, register the transfer of or exchange any Security in definitive form which has been surrendered for repayment at the option of the Holder, except the portion, if any, of such Security not to be so repaid.</w:t>
      </w:r>
    </w:p>
    <w:p>
      <w:pPr>
        <w:spacing w:after="0" w:line="130" w:lineRule="exact"/>
        <w:rPr>
          <w:sz w:val="20"/>
          <w:szCs w:val="20"/>
          <w:color w:val="auto"/>
        </w:rPr>
      </w:pPr>
    </w:p>
    <w:p>
      <w:pPr>
        <w:ind w:left="5"/>
        <w:spacing w:after="0"/>
        <w:tabs>
          <w:tab w:leader="none" w:pos="2025" w:val="left"/>
        </w:tabs>
        <w:rPr>
          <w:sz w:val="20"/>
          <w:szCs w:val="20"/>
          <w:color w:val="auto"/>
        </w:rPr>
      </w:pPr>
      <w:r>
        <w:rPr>
          <w:rFonts w:ascii="Times New Roman" w:cs="Times New Roman" w:eastAsia="Times New Roman" w:hAnsi="Times New Roman"/>
          <w:sz w:val="19"/>
          <w:szCs w:val="19"/>
          <w:b w:val="1"/>
          <w:bCs w:val="1"/>
          <w:color w:val="auto"/>
        </w:rPr>
        <w:t>SECTION 3.06</w:t>
      </w:r>
      <w:r>
        <w:rPr>
          <w:sz w:val="20"/>
          <w:szCs w:val="20"/>
          <w:color w:val="auto"/>
        </w:rPr>
        <w:tab/>
      </w:r>
      <w:r>
        <w:rPr>
          <w:rFonts w:ascii="Times New Roman" w:cs="Times New Roman" w:eastAsia="Times New Roman" w:hAnsi="Times New Roman"/>
          <w:sz w:val="18"/>
          <w:szCs w:val="18"/>
          <w:b w:val="1"/>
          <w:bCs w:val="1"/>
          <w:color w:val="auto"/>
        </w:rPr>
        <w:t>Mutilated, Destroyed, Lost and Stolen Securities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left="5" w:firstLine="568"/>
        <w:spacing w:after="0" w:line="252" w:lineRule="auto"/>
        <w:rPr>
          <w:sz w:val="20"/>
          <w:szCs w:val="20"/>
          <w:color w:val="auto"/>
        </w:rPr>
      </w:pPr>
      <w:r>
        <w:rPr>
          <w:rFonts w:ascii="Times New Roman" w:cs="Times New Roman" w:eastAsia="Times New Roman" w:hAnsi="Times New Roman"/>
          <w:sz w:val="18"/>
          <w:szCs w:val="18"/>
          <w:color w:val="auto"/>
        </w:rPr>
        <w:t>If any mutilated Security is surrendered to the applicable Trustee, the Company shall execute and the applicable Trustee shall authenticate and deliver in exchange therefor a new Security of the same series and of like tenor and principal amount and evidencing the same indebtedness and bearing a number not contemporaneously outstanding, or, in case any such mutilated Security has become or is about to become due and payable, the Company in its discretion may, instead of issuing a new Security, , pay such Security. If there shall be delivered to the Company and to the Trustees (i) evidence to their satisfaction of the destruction, loss or theft of any Security and (ii) such security (or surety in the case of the Canadian Trustee) or indemnity as may be required by them to save each of them and any agent of either of them harmless, then, in the absence of notice to the Company or the Trustees that such Security has been acquired by a bona fide purchaser , the Company shall execute and upon Company Order the applicable Trustee shall authenticate and deliver, in lieu of any such destroyed, lost or stolen Security, a new Security of the same series and of like tenor and principal amount and evidencing the same indebtedness and bearing a number not contemporaneously outstanding.</w:t>
      </w:r>
    </w:p>
    <w:p>
      <w:pPr>
        <w:spacing w:after="0" w:line="11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16978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5"/>
          </w:cols>
          <w:pgMar w:left="315" w:top="115" w:right="319" w:bottom="1440" w:gutter="0" w:footer="0" w:header="0"/>
        </w:sectPr>
      </w:pPr>
    </w:p>
    <w:bookmarkStart w:id="93" w:name="page94"/>
    <w:bookmarkEnd w:id="93"/>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Notwithstanding the provisions of the previous two paragraphs, in case any such mutilated, destroyed, lost or stolen Security has become or is about to become due and payable, the Company in its discretion may, instead of issuing a new Security appertaining to such mutilated, destroyed, lost or stolen Security, pay such Security.</w:t>
      </w:r>
    </w:p>
    <w:p>
      <w:pPr>
        <w:spacing w:after="0" w:line="116" w:lineRule="exact"/>
        <w:rPr>
          <w:sz w:val="20"/>
          <w:szCs w:val="20"/>
          <w:color w:val="auto"/>
        </w:rPr>
      </w:pPr>
    </w:p>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Upon the issuance of any new Security under this Section 3.06, the Company may require the payment of a sum sufficient to cover any tax or other governmental charge that may be imposed in relation thereto and any other expenses (including the fees and expenses of the Trustees) connected therewith.</w:t>
      </w:r>
    </w:p>
    <w:p>
      <w:pPr>
        <w:spacing w:after="0" w:line="127" w:lineRule="exact"/>
        <w:rPr>
          <w:sz w:val="20"/>
          <w:szCs w:val="20"/>
          <w:color w:val="auto"/>
        </w:rPr>
      </w:pPr>
    </w:p>
    <w:p>
      <w:pPr>
        <w:jc w:val="both"/>
        <w:ind w:right="20" w:firstLine="568"/>
        <w:spacing w:after="0" w:line="243" w:lineRule="auto"/>
        <w:rPr>
          <w:sz w:val="20"/>
          <w:szCs w:val="20"/>
          <w:color w:val="auto"/>
        </w:rPr>
      </w:pPr>
      <w:r>
        <w:rPr>
          <w:rFonts w:ascii="Times New Roman" w:cs="Times New Roman" w:eastAsia="Times New Roman" w:hAnsi="Times New Roman"/>
          <w:sz w:val="19"/>
          <w:szCs w:val="19"/>
          <w:color w:val="auto"/>
        </w:rPr>
        <w:t>Every new Security of any series issued pursuant to this Section 3.06 in lieu of any mutilated, destroyed, lost or stolen Security, shall constitute an original additional contractual obligation of the Company, whether or not the mutilated, destroyed, lost or stolen Security shall be at any time enforceable by anyone, and the Holders of such Security shall be entitled to all the benefits of this Indenture equally and proportionately with the Holders of any and all other Securities of that series duly issued hereunder.</w:t>
      </w:r>
    </w:p>
    <w:p>
      <w:pPr>
        <w:spacing w:after="0" w:line="120" w:lineRule="exact"/>
        <w:rPr>
          <w:sz w:val="20"/>
          <w:szCs w:val="20"/>
          <w:color w:val="auto"/>
        </w:rPr>
      </w:pPr>
    </w:p>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The provisions of this Section 3.06 as amended or supplemented pursuant to this Indenture with respect to a particular series of Securities or generally are exclusive and shall preclude (to the extent lawful) all other rights and remedies with respect to the replacement or payment of mutilated, destroyed, lost or stolen Securities.</w:t>
      </w:r>
    </w:p>
    <w:p>
      <w:pPr>
        <w:spacing w:after="0" w:line="111"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3.07</w:t>
      </w:r>
      <w:r>
        <w:rPr>
          <w:sz w:val="20"/>
          <w:szCs w:val="20"/>
          <w:color w:val="auto"/>
        </w:rPr>
        <w:tab/>
      </w:r>
      <w:r>
        <w:rPr>
          <w:rFonts w:ascii="Times New Roman" w:cs="Times New Roman" w:eastAsia="Times New Roman" w:hAnsi="Times New Roman"/>
          <w:sz w:val="18"/>
          <w:szCs w:val="18"/>
          <w:b w:val="1"/>
          <w:bCs w:val="1"/>
          <w:color w:val="auto"/>
        </w:rPr>
        <w:t>Payment of Principal, Premium and Interest; Interest Rights Preserved; Optional Interest Reset</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left="100" w:firstLine="1073"/>
        <w:spacing w:after="0" w:line="237" w:lineRule="auto"/>
        <w:tabs>
          <w:tab w:leader="none" w:pos="1815"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Unless otherwise provided as contemplated by Section 3.01 with respect to any series of Securities, interest (if any) on any Security which is payable, and is punctually paid or duly provided for, on any Interest Payment Date shall be paid by the Paying Agent to the Person in whose name such Security (or one or more Predecessor Securities) is registered at the close of business on the Regular Record Date for such interest at the office or agency of the Company maintained for such purpose pursuant to Section 10.02;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each installment of interest (if any) on any Security may at the Company's option be paid by (i) mailing a check for such interest, payable to or upon the written order of the Person entitled thereto pursuant to Section 3.09, to the address of such Person as it appears on the Security Register, (ii) wire transfer to an account located in the United States maintained by the Person entitled to such payment as specified in the Security Register, or (iii) as otherwise specified pursuant to Section 3.01 for the Securities of such series. Unless otherwise provided as contemplated by Section 3.01 with respect to any series of Securities, principal and premium (if any) paid in relation to any Security shall be paid to the Holder of such Security only upon presentation and surrender of such Security at the office or agency of the Company maintained for such purpose pursuant to Section 10.02.</w:t>
      </w:r>
    </w:p>
    <w:p>
      <w:pPr>
        <w:spacing w:after="0" w:line="125" w:lineRule="exact"/>
        <w:rPr>
          <w:sz w:val="20"/>
          <w:szCs w:val="20"/>
          <w:color w:val="auto"/>
        </w:rPr>
      </w:pPr>
    </w:p>
    <w:p>
      <w:pPr>
        <w:jc w:val="both"/>
        <w:ind w:right="20" w:firstLine="568"/>
        <w:spacing w:after="0" w:line="243" w:lineRule="auto"/>
        <w:rPr>
          <w:sz w:val="20"/>
          <w:szCs w:val="20"/>
          <w:color w:val="auto"/>
        </w:rPr>
      </w:pPr>
      <w:r>
        <w:rPr>
          <w:rFonts w:ascii="Times New Roman" w:cs="Times New Roman" w:eastAsia="Times New Roman" w:hAnsi="Times New Roman"/>
          <w:sz w:val="19"/>
          <w:szCs w:val="19"/>
          <w:color w:val="auto"/>
        </w:rPr>
        <w:t>Unless otherwise provided as contemplated by Section 3.01, every permanent global Security will provide that interest (if any) payable on any Interest Payment Date will be paid to the Depositary with respect to that portion of such permanent global Security held for its account by the Depositary, for the purpose of permitting the Depositary to credit the interest (if any) received by it in respect of such permanent global Security to the accounts of the beneficial owners thereof.</w:t>
      </w:r>
    </w:p>
    <w:p>
      <w:pPr>
        <w:spacing w:after="0" w:line="120" w:lineRule="exact"/>
        <w:rPr>
          <w:sz w:val="20"/>
          <w:szCs w:val="20"/>
          <w:color w:val="auto"/>
        </w:rPr>
      </w:pPr>
    </w:p>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Any interest on any Security of any series which is payable, but is not punctually paid or duly provided for, on any Interest Payment Date shall forthwith cease to be payable to the Holder on the relevant Regular Record Date by virtue of having been such Holder, and such defaulted interest and, if applicable, interest on such defaulted interest (to the extent lawful) at the rate specified in the Securities of such series (such defaulted interest and, if applicable, interest thereon herein collectively called "</w:t>
      </w:r>
      <w:r>
        <w:rPr>
          <w:rFonts w:ascii="Times New Roman" w:cs="Times New Roman" w:eastAsia="Times New Roman" w:hAnsi="Times New Roman"/>
          <w:sz w:val="19"/>
          <w:szCs w:val="19"/>
          <w:b w:val="1"/>
          <w:bCs w:val="1"/>
          <w:color w:val="auto"/>
        </w:rPr>
        <w:t>Defaulted Interest</w:t>
      </w:r>
      <w:r>
        <w:rPr>
          <w:rFonts w:ascii="Times New Roman" w:cs="Times New Roman" w:eastAsia="Times New Roman" w:hAnsi="Times New Roman"/>
          <w:sz w:val="19"/>
          <w:szCs w:val="19"/>
          <w:color w:val="auto"/>
        </w:rPr>
        <w:t>") must be paid by the Company as provided for in either clause (1) or (2), at the Company's election: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4" w:name="page95"/>
    <w:bookmarkEnd w:id="94"/>
    <w:p>
      <w:pPr>
        <w:jc w:val="both"/>
        <w:ind w:left="1140" w:hanging="578"/>
        <w:spacing w:after="0" w:line="249" w:lineRule="auto"/>
        <w:tabs>
          <w:tab w:leader="none" w:pos="11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Trustees in writing of the amount of Defaulted Interest proposed to be paid on each Security of such series and the date of the proposed payment, and at the same time the Company shall deposit with the applicable Trustee an amount of money in the Currency in which the Securities of such series are payable (except as otherwise specified pursuant to Section 3.01 for the Securities of such series and except, if applicable, as provided in Sections 3.12(b), 3.12(d) and 3.12(e)) equal to the aggregate amount proposed to be paid in respect of such Defaulted Interest or shall make arrangements satisfactory to the Trustees for such deposit on or prior to the date of the proposed payment, such money when deposited to be held in trust for the benefit of the Persons entitled to such Defaulted Interest as in this clause provided. Thereupon the Trustees shall fix a Special Record Date for the payment of such Defaulted Interest which shall be not more than 15 days and not less than 10 days prior to the date of the proposed payment and not less than 10 days after the receipt by the Trustees of the notice of the proposed payment. The Trustees shall promptly notify the Company of such Special Record Date and, in the name and at the expense of the Company, shall cause notice of the proposed payment of such Defaulted Interest and the Special Record Date therefor to be given in the manner provided in Section 1.07, not less than 10 days prior to such Special Record Date. Notice of the proposed payment of such Defaulted Interest and the Special Record Date therefor having been so given, such Defaulted Interest shall be paid to the Persons in whose name the Securities of such series (or their respective Predecessor Securities) are registered at the close of business on such Special Record Date and shall no longer be payable pursuant to the following clause (2).</w:t>
      </w:r>
    </w:p>
    <w:p>
      <w:pPr>
        <w:spacing w:after="0" w:line="122" w:lineRule="exact"/>
        <w:rPr>
          <w:rFonts w:ascii="Times New Roman" w:cs="Times New Roman" w:eastAsia="Times New Roman" w:hAnsi="Times New Roman"/>
          <w:sz w:val="18"/>
          <w:szCs w:val="18"/>
          <w:color w:val="auto"/>
        </w:rPr>
      </w:pPr>
    </w:p>
    <w:p>
      <w:pPr>
        <w:jc w:val="both"/>
        <w:ind w:left="1140" w:right="20" w:hanging="578"/>
        <w:spacing w:after="0" w:line="243" w:lineRule="auto"/>
        <w:tabs>
          <w:tab w:leader="none" w:pos="1164"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Trustees of the proposed payment pursuant to this clause, such manner of payment shall be deemed practicable by the Trustees.</w:t>
      </w:r>
    </w:p>
    <w:p>
      <w:pPr>
        <w:spacing w:after="0" w:line="132" w:lineRule="exact"/>
        <w:rPr>
          <w:sz w:val="20"/>
          <w:szCs w:val="20"/>
          <w:color w:val="auto"/>
        </w:rPr>
      </w:pPr>
    </w:p>
    <w:p>
      <w:pPr>
        <w:jc w:val="both"/>
        <w:ind w:firstLine="562"/>
        <w:spacing w:after="0" w:line="237" w:lineRule="auto"/>
        <w:tabs>
          <w:tab w:leader="none" w:pos="1161"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of this Section 307(b) may be made applicable to any series of Securities pursuant to Section 3.01 (with such modifications, additions or substitutions as may be specified pursuant to such Section 3.01). The interest rate (or the spread or spread multiplier used to calculate such interest rate, if applicable) on any Security of such series may be reset by the Company on the date or dates specified on the face of such Security (each an "</w:t>
      </w:r>
      <w:r>
        <w:rPr>
          <w:rFonts w:ascii="Times New Roman" w:cs="Times New Roman" w:eastAsia="Times New Roman" w:hAnsi="Times New Roman"/>
          <w:sz w:val="19"/>
          <w:szCs w:val="19"/>
          <w:b w:val="1"/>
          <w:bCs w:val="1"/>
          <w:color w:val="auto"/>
        </w:rPr>
        <w:t>Optional Reset Date</w:t>
      </w:r>
      <w:r>
        <w:rPr>
          <w:rFonts w:ascii="Times New Roman" w:cs="Times New Roman" w:eastAsia="Times New Roman" w:hAnsi="Times New Roman"/>
          <w:sz w:val="19"/>
          <w:szCs w:val="19"/>
          <w:color w:val="auto"/>
        </w:rPr>
        <w:t>"). The Company may exercise such option with respect to such Security by notifying the Trustees of such exercise at least 50 but not more than 60 days prior to an Optional Reset Date for such Security. Not later than 40 days prior to each Optional Reset Date, the Trustees shall transmit, in the manner provided for in Section 1.07, to the Holder of any such Security a notice (the "</w:t>
      </w:r>
      <w:r>
        <w:rPr>
          <w:rFonts w:ascii="Times New Roman" w:cs="Times New Roman" w:eastAsia="Times New Roman" w:hAnsi="Times New Roman"/>
          <w:sz w:val="19"/>
          <w:szCs w:val="19"/>
          <w:b w:val="1"/>
          <w:bCs w:val="1"/>
          <w:color w:val="auto"/>
        </w:rPr>
        <w:t>Reset Notice</w:t>
      </w:r>
      <w:r>
        <w:rPr>
          <w:rFonts w:ascii="Times New Roman" w:cs="Times New Roman" w:eastAsia="Times New Roman" w:hAnsi="Times New Roman"/>
          <w:sz w:val="19"/>
          <w:szCs w:val="19"/>
          <w:color w:val="auto"/>
        </w:rPr>
        <w:t>") indicating whether the Company has elected to reset the interest rate (or the spread or spread multiplier used to calculate such interest rate, if applicable), and if so (i) such new interest rate (or such new spread or spread multiplier, if applicable) and (ii) the provisions, if any, for redemption during the period from such Optional Reset Date to the next Optional Reset Date or if there is no such next Optional Reset Date, to the Stated Maturity of such Security (each such period a "</w:t>
      </w:r>
      <w:r>
        <w:rPr>
          <w:rFonts w:ascii="Times New Roman" w:cs="Times New Roman" w:eastAsia="Times New Roman" w:hAnsi="Times New Roman"/>
          <w:sz w:val="19"/>
          <w:szCs w:val="19"/>
          <w:b w:val="1"/>
          <w:bCs w:val="1"/>
          <w:color w:val="auto"/>
        </w:rPr>
        <w:t>Subsequent Interest Period</w:t>
      </w:r>
      <w:r>
        <w:rPr>
          <w:rFonts w:ascii="Times New Roman" w:cs="Times New Roman" w:eastAsia="Times New Roman" w:hAnsi="Times New Roman"/>
          <w:sz w:val="19"/>
          <w:szCs w:val="19"/>
          <w:color w:val="auto"/>
        </w:rPr>
        <w:t>"), including the date or dates on which or the period or periods during which and the price or prices at which such redemption may occur during the Subsequent Interest Period.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5" w:name="page96"/>
    <w:bookmarkEnd w:id="95"/>
    <w:p>
      <w:pPr>
        <w:jc w:val="both"/>
        <w:ind w:firstLine="568"/>
        <w:spacing w:after="0" w:line="237" w:lineRule="auto"/>
        <w:rPr>
          <w:sz w:val="20"/>
          <w:szCs w:val="20"/>
          <w:color w:val="auto"/>
        </w:rPr>
      </w:pPr>
      <w:r>
        <w:rPr>
          <w:rFonts w:ascii="Times New Roman" w:cs="Times New Roman" w:eastAsia="Times New Roman" w:hAnsi="Times New Roman"/>
          <w:sz w:val="19"/>
          <w:szCs w:val="19"/>
          <w:color w:val="auto"/>
        </w:rPr>
        <w:t>Notwithstanding the foregoing, not later than 20 days prior to the Optional Reset Date, the Company may, at its option, revoke the interest rate (or the spread or spread multiplier used to calculate such interest rate, if applicable) provided for in the Reset Notice and establish an interest rate (or the spread or spread multiplier, if applicable) that is higher than the interest rate (or the spread or spread multiplier, if applicable) provided for in the Reset Notice, for the Subsequent Interest Period by causing the Trustees to transmit, in the manner provided for in Section 1.07, notice of such higher interest rate (or such higher spread or spread multiplier,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if applicable).</w:t>
      </w:r>
    </w:p>
    <w:p>
      <w:pPr>
        <w:spacing w:after="0" w:line="129" w:lineRule="exact"/>
        <w:rPr>
          <w:sz w:val="20"/>
          <w:szCs w:val="20"/>
          <w:color w:val="auto"/>
        </w:rPr>
      </w:pPr>
    </w:p>
    <w:p>
      <w:pPr>
        <w:jc w:val="both"/>
        <w:ind w:firstLine="568"/>
        <w:spacing w:after="0" w:line="239" w:lineRule="auto"/>
        <w:rPr>
          <w:sz w:val="20"/>
          <w:szCs w:val="20"/>
          <w:color w:val="auto"/>
        </w:rPr>
      </w:pPr>
      <w:r>
        <w:rPr>
          <w:rFonts w:ascii="Times New Roman" w:cs="Times New Roman" w:eastAsia="Times New Roman" w:hAnsi="Times New Roman"/>
          <w:sz w:val="19"/>
          <w:szCs w:val="19"/>
          <w:color w:val="auto"/>
        </w:rPr>
        <w:t>The Holder of any such Security will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Thirteen for repayment at the option of Holders except that the period for delivery or notification to the Trustees shall be at least 25 but not more than 35 days prior to such Optional Reset Date and except that, if the Holder has tendered any Security for repayment pursuant to the Reset Notice, the Holder may, by written notice to the Trustees, revoke such tender or repayment until the close of business on the tenth day before such Optional Reset Date.</w:t>
      </w:r>
    </w:p>
    <w:p>
      <w:pPr>
        <w:spacing w:after="0" w:line="137" w:lineRule="exact"/>
        <w:rPr>
          <w:sz w:val="20"/>
          <w:szCs w:val="20"/>
          <w:color w:val="auto"/>
        </w:rPr>
      </w:pPr>
    </w:p>
    <w:p>
      <w:pPr>
        <w:jc w:val="both"/>
        <w:ind w:right="20" w:firstLine="568"/>
        <w:spacing w:after="0" w:line="248" w:lineRule="auto"/>
        <w:rPr>
          <w:sz w:val="20"/>
          <w:szCs w:val="20"/>
          <w:color w:val="auto"/>
        </w:rPr>
      </w:pPr>
      <w:r>
        <w:rPr>
          <w:rFonts w:ascii="Times New Roman" w:cs="Times New Roman" w:eastAsia="Times New Roman" w:hAnsi="Times New Roman"/>
          <w:sz w:val="19"/>
          <w:szCs w:val="19"/>
          <w:color w:val="auto"/>
        </w:rPr>
        <w:t>Subject to the foregoing provisions of this Section 3.07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11"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3.08</w:t>
      </w:r>
      <w:r>
        <w:rPr>
          <w:sz w:val="20"/>
          <w:szCs w:val="20"/>
          <w:color w:val="auto"/>
        </w:rPr>
        <w:tab/>
      </w:r>
      <w:r>
        <w:rPr>
          <w:rFonts w:ascii="Times New Roman" w:cs="Times New Roman" w:eastAsia="Times New Roman" w:hAnsi="Times New Roman"/>
          <w:sz w:val="18"/>
          <w:szCs w:val="18"/>
          <w:b w:val="1"/>
          <w:bCs w:val="1"/>
          <w:color w:val="auto"/>
        </w:rPr>
        <w:t>Optional Extension of Stated Maturity</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37" w:lineRule="auto"/>
        <w:rPr>
          <w:sz w:val="20"/>
          <w:szCs w:val="20"/>
          <w:color w:val="auto"/>
        </w:rPr>
      </w:pPr>
      <w:r>
        <w:rPr>
          <w:rFonts w:ascii="Times New Roman" w:cs="Times New Roman" w:eastAsia="Times New Roman" w:hAnsi="Times New Roman"/>
          <w:sz w:val="19"/>
          <w:szCs w:val="19"/>
          <w:color w:val="auto"/>
        </w:rPr>
        <w:t>The provisions of this Section 3.08 may be made applicable to any series of Securities pursuant to Section 3.01 (with such modifications, additions or substitutions as may be specified pursuant to such Section 3.01). The Stated Maturity of any Security of such series may be extended at the option of the Company for the period or periods specified on the face of such Security (each an "</w:t>
      </w:r>
      <w:r>
        <w:rPr>
          <w:rFonts w:ascii="Times New Roman" w:cs="Times New Roman" w:eastAsia="Times New Roman" w:hAnsi="Times New Roman"/>
          <w:sz w:val="19"/>
          <w:szCs w:val="19"/>
          <w:b w:val="1"/>
          <w:bCs w:val="1"/>
          <w:color w:val="auto"/>
        </w:rPr>
        <w:t>Extension Period</w:t>
      </w:r>
      <w:r>
        <w:rPr>
          <w:rFonts w:ascii="Times New Roman" w:cs="Times New Roman" w:eastAsia="Times New Roman" w:hAnsi="Times New Roman"/>
          <w:sz w:val="19"/>
          <w:szCs w:val="19"/>
          <w:color w:val="auto"/>
        </w:rPr>
        <w:t>") up to but not beyond the date (the "</w:t>
      </w:r>
      <w:r>
        <w:rPr>
          <w:rFonts w:ascii="Times New Roman" w:cs="Times New Roman" w:eastAsia="Times New Roman" w:hAnsi="Times New Roman"/>
          <w:sz w:val="19"/>
          <w:szCs w:val="19"/>
          <w:b w:val="1"/>
          <w:bCs w:val="1"/>
          <w:color w:val="auto"/>
        </w:rPr>
        <w:t>Final Maturity</w:t>
      </w:r>
      <w:r>
        <w:rPr>
          <w:rFonts w:ascii="Times New Roman" w:cs="Times New Roman" w:eastAsia="Times New Roman" w:hAnsi="Times New Roman"/>
          <w:sz w:val="19"/>
          <w:szCs w:val="19"/>
          <w:color w:val="auto"/>
        </w:rPr>
        <w:t>") set forth on the face of such Security. The Company may exercise such option with respect to any Security by notifying the Trustees of such exercise at least 50 but not more than 60 days prior to the Stated Maturity of such Security in effect prior to the exercise of such option (the "</w:t>
      </w:r>
      <w:r>
        <w:rPr>
          <w:rFonts w:ascii="Times New Roman" w:cs="Times New Roman" w:eastAsia="Times New Roman" w:hAnsi="Times New Roman"/>
          <w:sz w:val="19"/>
          <w:szCs w:val="19"/>
          <w:b w:val="1"/>
          <w:bCs w:val="1"/>
          <w:color w:val="auto"/>
        </w:rPr>
        <w:t>Original Stated Maturity</w:t>
      </w:r>
      <w:r>
        <w:rPr>
          <w:rFonts w:ascii="Times New Roman" w:cs="Times New Roman" w:eastAsia="Times New Roman" w:hAnsi="Times New Roman"/>
          <w:sz w:val="19"/>
          <w:szCs w:val="19"/>
          <w:color w:val="auto"/>
        </w:rPr>
        <w:t>"). If the Company exercises such option, the Trustees shall transmit, in the manner provided for in Section 1.07, to the Holder of such Security not later than 40 days prior to the Original Stated Maturity a notice (the "</w:t>
      </w:r>
      <w:r>
        <w:rPr>
          <w:rFonts w:ascii="Times New Roman" w:cs="Times New Roman" w:eastAsia="Times New Roman" w:hAnsi="Times New Roman"/>
          <w:sz w:val="19"/>
          <w:szCs w:val="19"/>
          <w:b w:val="1"/>
          <w:bCs w:val="1"/>
          <w:color w:val="auto"/>
        </w:rPr>
        <w:t>Extension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Notice</w:t>
      </w:r>
      <w:r>
        <w:rPr>
          <w:rFonts w:ascii="Times New Roman" w:cs="Times New Roman" w:eastAsia="Times New Roman" w:hAnsi="Times New Roman"/>
          <w:sz w:val="19"/>
          <w:szCs w:val="19"/>
          <w:color w:val="auto"/>
        </w:rPr>
        <w:t>") indicating (i) the election of the Company to extend the Stated Maturity, (ii) the new Stated Maturity, (iii) the interest rate (if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applicable to the Extension Period and (iv) the provisions, if any, for redemption during such Extension Period. Upon the Trustees' transmittal of the Extension Notice, the Stated Maturity of such Security shall be extended automatically and, except as modified by the Extension Notice and as described in the next paragraph, such Security will have the same terms as prior to the transmittal of such Extension Notice.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6" w:name="page97"/>
    <w:bookmarkEnd w:id="96"/>
    <w:p>
      <w:pPr>
        <w:jc w:val="both"/>
        <w:ind w:firstLine="568"/>
        <w:spacing w:after="0" w:line="243" w:lineRule="auto"/>
        <w:rPr>
          <w:sz w:val="20"/>
          <w:szCs w:val="20"/>
          <w:color w:val="auto"/>
        </w:rPr>
      </w:pPr>
      <w:r>
        <w:rPr>
          <w:rFonts w:ascii="Times New Roman" w:cs="Times New Roman" w:eastAsia="Times New Roman" w:hAnsi="Times New Roman"/>
          <w:sz w:val="19"/>
          <w:szCs w:val="19"/>
          <w:color w:val="auto"/>
        </w:rPr>
        <w:t>Notwithstanding the foregoing, not later than 20 days before the Original Stated Maturity of such Security, the Company may, at its option, revoke the interest rate provided for in the Extension Notice and establish a higher interest rate for the Extension Period by causing the Trustees to transmit, in the manner provided for in Section 1.07, notice of such higher interest rate to the Holder of such Security. Such notice shall be irrevocable. All Securities with respect to which the Stated Maturity is extended will bear such higher interest rate.</w:t>
      </w:r>
    </w:p>
    <w:p>
      <w:pPr>
        <w:spacing w:after="0" w:line="121" w:lineRule="exact"/>
        <w:rPr>
          <w:sz w:val="20"/>
          <w:szCs w:val="20"/>
          <w:color w:val="auto"/>
        </w:rPr>
      </w:pPr>
    </w:p>
    <w:p>
      <w:pPr>
        <w:jc w:val="both"/>
        <w:ind w:firstLine="568"/>
        <w:spacing w:after="0" w:line="238" w:lineRule="auto"/>
        <w:rPr>
          <w:sz w:val="20"/>
          <w:szCs w:val="20"/>
          <w:color w:val="auto"/>
        </w:rPr>
      </w:pPr>
      <w:r>
        <w:rPr>
          <w:rFonts w:ascii="Times New Roman" w:cs="Times New Roman" w:eastAsia="Times New Roman" w:hAnsi="Times New Roman"/>
          <w:sz w:val="19"/>
          <w:szCs w:val="19"/>
          <w:color w:val="auto"/>
        </w:rPr>
        <w:t>If the Company extends the Maturity of any Security, the Holder will have the option to elect repayment of such Security by the Company on the Original Stated Maturity at a price equal to the principal amount thereof, plus interest accrued to such date. In order to obtain repayment on the Original Stated Maturity once the Company has extended the Maturity thereof, the Holder must follow the procedures set forth in Article Thirteen for repayment at the option of Holders, except that the period for delivery or notification to the Trustees shall be at least 25 but not more than 35 days prior to the Original Stated Maturity and except that, if the Holder has tendered any Security for repayment pursuant to an Extension Notice, the Holder may by written notice to the Trustees revoke such tender for repayment until the close of business on the tenth day before the Original Stated Maturity.</w:t>
      </w:r>
    </w:p>
    <w:p>
      <w:pPr>
        <w:spacing w:after="0" w:line="135"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3.09</w:t>
      </w:r>
      <w:r>
        <w:rPr>
          <w:sz w:val="20"/>
          <w:szCs w:val="20"/>
          <w:color w:val="auto"/>
        </w:rPr>
        <w:tab/>
      </w:r>
      <w:r>
        <w:rPr>
          <w:rFonts w:ascii="Times New Roman" w:cs="Times New Roman" w:eastAsia="Times New Roman" w:hAnsi="Times New Roman"/>
          <w:sz w:val="18"/>
          <w:szCs w:val="18"/>
          <w:b w:val="1"/>
          <w:bCs w:val="1"/>
          <w:color w:val="auto"/>
        </w:rPr>
        <w:t>Persons Deemed Owners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Prior to due presentment of a Security for registration of transfer, the Company, the Trustees and any agent of the Company or the Trustees may treat the Person in whose name such Security is registered as the owner of such Security for the purpose of receiving payment of principal of, premium (if any) and (subject to Sections 3.05 and 3.07) interest (if any) on such Security and for all other purposes whatsoever, whether or not such Security be overdue, and none of the Company, the Trustees or any agent of the Company or the Trustees shall be affected by notice to the contrary.</w:t>
      </w:r>
    </w:p>
    <w:p>
      <w:pPr>
        <w:spacing w:after="0" w:line="121" w:lineRule="exact"/>
        <w:rPr>
          <w:sz w:val="20"/>
          <w:szCs w:val="20"/>
          <w:color w:val="auto"/>
        </w:rPr>
      </w:pPr>
    </w:p>
    <w:p>
      <w:pPr>
        <w:jc w:val="both"/>
        <w:ind w:firstLine="568"/>
        <w:spacing w:after="0" w:line="243" w:lineRule="auto"/>
        <w:rPr>
          <w:sz w:val="20"/>
          <w:szCs w:val="20"/>
          <w:color w:val="auto"/>
        </w:rPr>
      </w:pPr>
      <w:r>
        <w:rPr>
          <w:rFonts w:ascii="Times New Roman" w:cs="Times New Roman" w:eastAsia="Times New Roman" w:hAnsi="Times New Roman"/>
          <w:sz w:val="19"/>
          <w:szCs w:val="19"/>
          <w:color w:val="auto"/>
        </w:rPr>
        <w:t>The Depositary for Securities may be treated by the Company, the Trustees, and any agent of the Company or the Trustees as the owner of such global Security for all purposes whatsoever. None of the Company, the Trustees, any Paying Agent or the Security Registrar will have any responsibility or liability for any aspect of the records relating to or payments made on account of beneficial ownership interests of a Security in global form or for maintaining, supervising or reviewing any records relating to such beneficial ownership interests.</w:t>
      </w:r>
    </w:p>
    <w:p>
      <w:pPr>
        <w:spacing w:after="0" w:line="132" w:lineRule="exact"/>
        <w:rPr>
          <w:sz w:val="20"/>
          <w:szCs w:val="20"/>
          <w:color w:val="auto"/>
        </w:rPr>
      </w:pPr>
    </w:p>
    <w:p>
      <w:pPr>
        <w:jc w:val="both"/>
        <w:ind w:right="20" w:firstLine="568"/>
        <w:spacing w:after="0" w:line="243" w:lineRule="auto"/>
        <w:rPr>
          <w:sz w:val="20"/>
          <w:szCs w:val="20"/>
          <w:color w:val="auto"/>
        </w:rPr>
      </w:pPr>
      <w:r>
        <w:rPr>
          <w:rFonts w:ascii="Times New Roman" w:cs="Times New Roman" w:eastAsia="Times New Roman" w:hAnsi="Times New Roman"/>
          <w:sz w:val="19"/>
          <w:szCs w:val="19"/>
          <w:color w:val="auto"/>
        </w:rPr>
        <w:t>Notwithstanding the foregoing, with respect to any global Security, nothing herein shall prevent the Company, the Trustees, or any agent of the Company or the Trustees,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w:t>
      </w:r>
    </w:p>
    <w:p>
      <w:pPr>
        <w:spacing w:after="0" w:line="116"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3.10</w:t>
      </w:r>
      <w:r>
        <w:rPr>
          <w:sz w:val="20"/>
          <w:szCs w:val="20"/>
          <w:color w:val="auto"/>
        </w:rPr>
        <w:tab/>
      </w:r>
      <w:r>
        <w:rPr>
          <w:rFonts w:ascii="Times New Roman" w:cs="Times New Roman" w:eastAsia="Times New Roman" w:hAnsi="Times New Roman"/>
          <w:sz w:val="18"/>
          <w:szCs w:val="18"/>
          <w:b w:val="1"/>
          <w:bCs w:val="1"/>
          <w:color w:val="auto"/>
        </w:rPr>
        <w:t>Cancellation</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37" w:lineRule="auto"/>
        <w:rPr>
          <w:sz w:val="20"/>
          <w:szCs w:val="20"/>
          <w:color w:val="auto"/>
        </w:rPr>
      </w:pPr>
      <w:r>
        <w:rPr>
          <w:rFonts w:ascii="Times New Roman" w:cs="Times New Roman" w:eastAsia="Times New Roman" w:hAnsi="Times New Roman"/>
          <w:sz w:val="19"/>
          <w:szCs w:val="19"/>
          <w:color w:val="auto"/>
        </w:rPr>
        <w:t>All Securities surrendered for payment, redemption, repayment at the option of the Holder, registration of transfer or exchange or for credit against any current or future sinking fund payment shall, if surrendered to any Person other than a Trustee, be delivered to either Trustee. All Securities so delivered to either Trustee shall be promptly cancelled by such Trustee. The Company may at any time deliver to a Trustee for cancellation any Securities previously authenticated and delivered hereunder which the Company may have acquired in any manner whatsoever, and may deliver to either Trustee (or to any other Person for delivery to such Trustee) for cancellation any Securities previously authenticated hereunder which the Company has not issued and sold, and all Securities so delivered shall be promptly cancelled by such Trustee. If the Company shall so acquire any of the Securities, however, such acquisition shall not operate as a redemption or satisfaction of the indebtedness represented by such Securities unless and until the same are surrendered to either Trustee for cancellation. No Securities shall be authenticated in lieu of or in exchange for any Securities cancelled as provided in this Section 3.10, except as expressly permitted by this Indenture. All cancelled Securities held by either Trustee shall be disposed of by such Trustee in accordance with its customary procedures and certification of their disposal delivered to the Company unless by Company Order the Company shall direct that cancelled Securities be returned to it.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7" w:name="page98"/>
    <w:bookmarkEnd w:id="97"/>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3.11</w:t>
      </w:r>
      <w:r>
        <w:rPr>
          <w:sz w:val="20"/>
          <w:szCs w:val="20"/>
          <w:color w:val="auto"/>
        </w:rPr>
        <w:tab/>
      </w:r>
      <w:r>
        <w:rPr>
          <w:rFonts w:ascii="Times New Roman" w:cs="Times New Roman" w:eastAsia="Times New Roman" w:hAnsi="Times New Roman"/>
          <w:sz w:val="18"/>
          <w:szCs w:val="18"/>
          <w:b w:val="1"/>
          <w:bCs w:val="1"/>
          <w:color w:val="auto"/>
        </w:rPr>
        <w:t>Computation of Interest</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Except as otherwise specified as contemplated by Section 3.01 with respect to any Securities, interest (if any) on the Securities of each series shall be computed on the basis of a 360-day year of twelve 30-day months. For the purposes of disclosure under the Interest Act (Canada), the yearly rate of interest to which interest calculated under a Security for any period in any calendar year (the "</w:t>
      </w:r>
      <w:r>
        <w:rPr>
          <w:rFonts w:ascii="Times New Roman" w:cs="Times New Roman" w:eastAsia="Times New Roman" w:hAnsi="Times New Roman"/>
          <w:sz w:val="19"/>
          <w:szCs w:val="19"/>
          <w:b w:val="1"/>
          <w:bCs w:val="1"/>
          <w:color w:val="auto"/>
        </w:rPr>
        <w:t>calculation period</w:t>
      </w:r>
      <w:r>
        <w:rPr>
          <w:rFonts w:ascii="Times New Roman" w:cs="Times New Roman" w:eastAsia="Times New Roman" w:hAnsi="Times New Roman"/>
          <w:sz w:val="19"/>
          <w:szCs w:val="19"/>
          <w:color w:val="auto"/>
        </w:rPr>
        <w:t>") is equivalent, is the rate payable under a Security in respect of the calculation period multiplied by a fraction the numerator of which is the actual number of days in such calendar year and the denominator of which is the actual number of days in the calculation period.</w:t>
      </w:r>
    </w:p>
    <w:p>
      <w:pPr>
        <w:spacing w:after="0" w:line="129"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3.12</w:t>
      </w:r>
      <w:r>
        <w:rPr>
          <w:sz w:val="20"/>
          <w:szCs w:val="20"/>
          <w:color w:val="auto"/>
        </w:rPr>
        <w:tab/>
      </w:r>
      <w:r>
        <w:rPr>
          <w:rFonts w:ascii="Times New Roman" w:cs="Times New Roman" w:eastAsia="Times New Roman" w:hAnsi="Times New Roman"/>
          <w:sz w:val="18"/>
          <w:szCs w:val="18"/>
          <w:b w:val="1"/>
          <w:bCs w:val="1"/>
          <w:color w:val="auto"/>
        </w:rPr>
        <w:t>Currency and Manner of Payments in Respect of Securities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2"/>
        <w:spacing w:after="0" w:line="243" w:lineRule="auto"/>
        <w:tabs>
          <w:tab w:leader="none" w:pos="1153"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Securities of any series not permitting the election provided for in paragraph (b) below or the Holders of which have not made the election provided for in paragraph (b) below, payment of the principal of, premium (if any) and interest (if any) on such Security of such series will be made in the Currency in which such Security is payable. The provisions of this Section 3.12 may be modified or superseded with respect to any Securities pursuant to Section 3.01.</w:t>
      </w:r>
    </w:p>
    <w:p>
      <w:pPr>
        <w:spacing w:after="0" w:line="120" w:lineRule="exact"/>
        <w:rPr>
          <w:rFonts w:ascii="Times New Roman" w:cs="Times New Roman" w:eastAsia="Times New Roman" w:hAnsi="Times New Roman"/>
          <w:sz w:val="19"/>
          <w:szCs w:val="19"/>
          <w:color w:val="auto"/>
        </w:rPr>
      </w:pPr>
    </w:p>
    <w:p>
      <w:pPr>
        <w:jc w:val="both"/>
        <w:ind w:firstLine="562"/>
        <w:spacing w:after="0" w:line="236" w:lineRule="auto"/>
        <w:tabs>
          <w:tab w:leader="none" w:pos="1154"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may be provided pursuant to Section 3.01 with respect to Securities of any series that Holders shall have the option, subject to paragraphs (d) and (e) below, to receive payments of principal of, premium (if any) or interest (if any) on such Securities in any of the Currencies which may be designated for such election by delivering to the Trustees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Trustees (but any such change must be made not later than the close of business on the Election Date immediately preceding the next payment date to be effective for the payment to be made on such payment date and no such change of election may be made with respect to payments to be made on any Security of such series with respect to which an Event of Default has occurred or with respect to which the Company has deposited funds pursuant to Article Four or Fourteen or with respect to which a notice of redemption has been given by the Company or a notice of option to elect repayment has been sent by such Holder or such transferee). Any Holder of any such Security who shall not have delivered any such election to the Trustees not later than the close of business on the applicable Election Date will be paid the amount due on the applicable payment date in the relevant Currency as provided in Section 3.12(a). The Trustees shall notify the Exchange Rate Agent as soon as practicable after the Election Date of the aggregate principal amount of Securities for which Holders have made such written election.</w:t>
      </w:r>
    </w:p>
    <w:p>
      <w:pPr>
        <w:spacing w:after="0" w:line="138" w:lineRule="exact"/>
        <w:rPr>
          <w:rFonts w:ascii="Times New Roman" w:cs="Times New Roman" w:eastAsia="Times New Roman" w:hAnsi="Times New Roman"/>
          <w:sz w:val="19"/>
          <w:szCs w:val="19"/>
          <w:color w:val="auto"/>
        </w:rPr>
      </w:pPr>
    </w:p>
    <w:p>
      <w:pPr>
        <w:jc w:val="both"/>
        <w:ind w:firstLine="562"/>
        <w:spacing w:after="0" w:line="236" w:lineRule="auto"/>
        <w:tabs>
          <w:tab w:leader="none" w:pos="1153"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specified pursuant to Section 3.01, if the election referred to in paragraph (b) above has been provided for pursuant to Section 3.01, then, unless otherwise specified pursuant to Section 3.01, not later than the fourth Business Day after the Election Date for each payment date for Securities of any series, the Exchange Rate Agent will deliver to the Company a written notice specifying, in the Currency in which Securities of such series are payable, the respective aggregate amounts of principal of, premium (if any) and interest (if any) on the Securities to be paid on such payment date, specifying the amounts in such Currency so payable in respect of the Securities as to which the Holders of Securities of such series shall have elected to be paid in another Currency as provided in paragraph (b) above. If the election referred to in paragraph (b) above has been provided for pursuant to Section 3.01 and if at least one Holder has made such election, then, unless otherwise specified pursuant to Section 3.01, on the second Business Day preceding such payment date the Company will deliver to the Trustees for such series of Securities an Exchange Rate Officer's Certificate in respect of the Dollar or Foreign Currency payments to be made on such payment date. Unless otherwise specified pursuant to Section 3.01, the Dollar or Foreign Currency amount receivable by Holders of Securities who have elected payment in a Currency as provided in paragraph (b) above shall be determined by the Company on the basis of the applicable Market Exchange Rate in effect on the third Business Day (the "</w:t>
      </w:r>
      <w:r>
        <w:rPr>
          <w:rFonts w:ascii="Times New Roman" w:cs="Times New Roman" w:eastAsia="Times New Roman" w:hAnsi="Times New Roman"/>
          <w:sz w:val="19"/>
          <w:szCs w:val="19"/>
          <w:b w:val="1"/>
          <w:bCs w:val="1"/>
          <w:color w:val="auto"/>
        </w:rPr>
        <w:t>Valuation Date</w:t>
      </w:r>
      <w:r>
        <w:rPr>
          <w:rFonts w:ascii="Times New Roman" w:cs="Times New Roman" w:eastAsia="Times New Roman" w:hAnsi="Times New Roman"/>
          <w:sz w:val="19"/>
          <w:szCs w:val="19"/>
          <w:color w:val="auto"/>
        </w:rPr>
        <w:t>") immediately preceding each payment date, and such determination shall be conclusive and binding for all purposes, absent manifest error.</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8" w:name="page99"/>
    <w:bookmarkEnd w:id="98"/>
    <w:p>
      <w:pPr>
        <w:jc w:val="both"/>
        <w:ind w:right="20" w:firstLine="562"/>
        <w:spacing w:after="0" w:line="238" w:lineRule="auto"/>
        <w:tabs>
          <w:tab w:leader="none" w:pos="1154"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Conversion Event occurs with respect to a Foreign Currency in which any of the Securities are denominated or payable other than pursuant to an election provided for pursuant to paragraph (b) above, then, with respect to each date for the payment of principal of, premium (if any) and interest (if any) on the applicable Securities denominated or payable in such Foreign Currency occurring after the last date on which such Foreign Currency was used (the "</w:t>
      </w:r>
      <w:r>
        <w:rPr>
          <w:rFonts w:ascii="Times New Roman" w:cs="Times New Roman" w:eastAsia="Times New Roman" w:hAnsi="Times New Roman"/>
          <w:sz w:val="19"/>
          <w:szCs w:val="19"/>
          <w:b w:val="1"/>
          <w:bCs w:val="1"/>
          <w:color w:val="auto"/>
        </w:rPr>
        <w:t>Conversion Date</w:t>
      </w:r>
      <w:r>
        <w:rPr>
          <w:rFonts w:ascii="Times New Roman" w:cs="Times New Roman" w:eastAsia="Times New Roman" w:hAnsi="Times New Roman"/>
          <w:sz w:val="19"/>
          <w:szCs w:val="19"/>
          <w:color w:val="auto"/>
        </w:rPr>
        <w:t>"), the Dollar shall be the Currency of payment for use on each such payment date. Unless otherwise specified pursuant to Section 3.01, the Dollar amount to be paid by the Company to the Trustees and by the Trustees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paragraph (f) or (g) below.</w:t>
      </w:r>
    </w:p>
    <w:p>
      <w:pPr>
        <w:spacing w:after="0" w:line="124" w:lineRule="exact"/>
        <w:rPr>
          <w:rFonts w:ascii="Times New Roman" w:cs="Times New Roman" w:eastAsia="Times New Roman" w:hAnsi="Times New Roman"/>
          <w:sz w:val="19"/>
          <w:szCs w:val="19"/>
          <w:color w:val="auto"/>
        </w:rPr>
      </w:pPr>
    </w:p>
    <w:p>
      <w:pPr>
        <w:jc w:val="both"/>
        <w:ind w:firstLine="562"/>
        <w:spacing w:after="0" w:line="241" w:lineRule="auto"/>
        <w:tabs>
          <w:tab w:leader="none" w:pos="1153"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specified pursuant to Section 3.01, if the Holder of a Security denominated in any Currency shall have elected to be paid in another Currency as provided in paragraph (b) above,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paragraph (d) above.</w:t>
      </w:r>
    </w:p>
    <w:p>
      <w:pPr>
        <w:spacing w:after="0" w:line="129" w:lineRule="exact"/>
        <w:rPr>
          <w:rFonts w:ascii="Times New Roman" w:cs="Times New Roman" w:eastAsia="Times New Roman" w:hAnsi="Times New Roman"/>
          <w:sz w:val="19"/>
          <w:szCs w:val="19"/>
          <w:color w:val="auto"/>
        </w:rPr>
      </w:pPr>
    </w:p>
    <w:p>
      <w:pPr>
        <w:ind w:right="20" w:firstLine="562"/>
        <w:spacing w:after="0" w:line="266" w:lineRule="auto"/>
        <w:tabs>
          <w:tab w:leader="none" w:pos="1151"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color w:val="auto"/>
        </w:rPr>
        <w:t>Dollar Equivalent of the Foreign Currency</w:t>
      </w:r>
      <w:r>
        <w:rPr>
          <w:rFonts w:ascii="Times New Roman" w:cs="Times New Roman" w:eastAsia="Times New Roman" w:hAnsi="Times New Roman"/>
          <w:sz w:val="19"/>
          <w:szCs w:val="19"/>
          <w:color w:val="auto"/>
        </w:rPr>
        <w:t>" shall be determined by the Exchange Rate Agent and shall be obtained for each subsequent payment date by converting the specified Foreign Currency into Dollars at the Market Exchange Rate on the Conversion Date.</w:t>
      </w:r>
    </w:p>
    <w:p>
      <w:pPr>
        <w:spacing w:after="0" w:line="95" w:lineRule="exact"/>
        <w:rPr>
          <w:rFonts w:ascii="Times New Roman" w:cs="Times New Roman" w:eastAsia="Times New Roman" w:hAnsi="Times New Roman"/>
          <w:sz w:val="19"/>
          <w:szCs w:val="19"/>
          <w:color w:val="auto"/>
        </w:rPr>
      </w:pPr>
    </w:p>
    <w:p>
      <w:pPr>
        <w:jc w:val="both"/>
        <w:ind w:firstLine="562"/>
        <w:spacing w:after="0" w:line="250" w:lineRule="auto"/>
        <w:tabs>
          <w:tab w:leader="none" w:pos="1161"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color w:val="auto"/>
        </w:rPr>
        <w:t>Dollar Equivalent of the Currency Unit</w:t>
      </w:r>
      <w:r>
        <w:rPr>
          <w:rFonts w:ascii="Times New Roman" w:cs="Times New Roman" w:eastAsia="Times New Roman" w:hAnsi="Times New Roman"/>
          <w:sz w:val="19"/>
          <w:szCs w:val="19"/>
          <w:color w:val="auto"/>
        </w:rPr>
        <w:t>" shall be determined by the Exchange Rate Agent and subject to the provisions of paragraph (h) below shall be the sum of each amount obtained by converting the Specified Amount of each Component Currency into Dollars at the Market Exchange Rate for such Component Currency on the Valuation Date with respect to each payment.</w:t>
      </w:r>
    </w:p>
    <w:p>
      <w:pPr>
        <w:spacing w:after="0" w:line="113" w:lineRule="exact"/>
        <w:rPr>
          <w:rFonts w:ascii="Times New Roman" w:cs="Times New Roman" w:eastAsia="Times New Roman" w:hAnsi="Times New Roman"/>
          <w:sz w:val="19"/>
          <w:szCs w:val="19"/>
          <w:color w:val="auto"/>
        </w:rPr>
      </w:pPr>
    </w:p>
    <w:p>
      <w:pPr>
        <w:ind w:left="1160" w:hanging="598"/>
        <w:spacing w:after="0"/>
        <w:tabs>
          <w:tab w:leader="none" w:pos="116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Section 3.12 the following terms shall have the following meanings:</w:t>
      </w:r>
    </w:p>
    <w:p>
      <w:pPr>
        <w:spacing w:after="0" w:line="156" w:lineRule="exact"/>
        <w:rPr>
          <w:sz w:val="20"/>
          <w:szCs w:val="20"/>
          <w:color w:val="auto"/>
        </w:rPr>
      </w:pPr>
    </w:p>
    <w:p>
      <w:pPr>
        <w:jc w:val="both"/>
        <w:ind w:right="20" w:firstLine="568"/>
        <w:spacing w:after="0" w:line="266" w:lineRule="auto"/>
        <w:rPr>
          <w:sz w:val="20"/>
          <w:szCs w:val="20"/>
          <w:color w:val="auto"/>
        </w:rPr>
      </w:pPr>
      <w:r>
        <w:rPr>
          <w:rFonts w:ascii="Times New Roman" w:cs="Times New Roman" w:eastAsia="Times New Roman" w:hAnsi="Times New Roman"/>
          <w:sz w:val="19"/>
          <w:szCs w:val="19"/>
          <w:color w:val="auto"/>
        </w:rPr>
        <w:t>A "</w:t>
      </w:r>
      <w:r>
        <w:rPr>
          <w:rFonts w:ascii="Times New Roman" w:cs="Times New Roman" w:eastAsia="Times New Roman" w:hAnsi="Times New Roman"/>
          <w:sz w:val="19"/>
          <w:szCs w:val="19"/>
          <w:b w:val="1"/>
          <w:bCs w:val="1"/>
          <w:color w:val="auto"/>
        </w:rPr>
        <w:t>Component Currency</w:t>
      </w:r>
      <w:r>
        <w:rPr>
          <w:rFonts w:ascii="Times New Roman" w:cs="Times New Roman" w:eastAsia="Times New Roman" w:hAnsi="Times New Roman"/>
          <w:sz w:val="19"/>
          <w:szCs w:val="19"/>
          <w:color w:val="auto"/>
        </w:rPr>
        <w:t>" shall mean any Currency which, on the Conversion Date, was a component currency of the relevant Currency unit, including, but not limited to, the Euro.</w:t>
      </w:r>
    </w:p>
    <w:p>
      <w:pPr>
        <w:spacing w:after="0" w:line="95" w:lineRule="exact"/>
        <w:rPr>
          <w:sz w:val="20"/>
          <w:szCs w:val="20"/>
          <w:color w:val="auto"/>
        </w:rPr>
      </w:pPr>
    </w:p>
    <w:p>
      <w:pPr>
        <w:jc w:val="both"/>
        <w:ind w:firstLine="568"/>
        <w:spacing w:after="0" w:line="236" w:lineRule="auto"/>
        <w:rPr>
          <w:sz w:val="20"/>
          <w:szCs w:val="20"/>
          <w:color w:val="auto"/>
        </w:rPr>
      </w:pPr>
      <w:r>
        <w:rPr>
          <w:rFonts w:ascii="Times New Roman" w:cs="Times New Roman" w:eastAsia="Times New Roman" w:hAnsi="Times New Roman"/>
          <w:sz w:val="19"/>
          <w:szCs w:val="19"/>
          <w:color w:val="auto"/>
        </w:rPr>
        <w:t>A "</w:t>
      </w:r>
      <w:r>
        <w:rPr>
          <w:rFonts w:ascii="Times New Roman" w:cs="Times New Roman" w:eastAsia="Times New Roman" w:hAnsi="Times New Roman"/>
          <w:sz w:val="19"/>
          <w:szCs w:val="19"/>
          <w:b w:val="1"/>
          <w:bCs w:val="1"/>
          <w:color w:val="auto"/>
        </w:rPr>
        <w:t>Specified Amount</w:t>
      </w:r>
      <w:r>
        <w:rPr>
          <w:rFonts w:ascii="Times New Roman" w:cs="Times New Roman" w:eastAsia="Times New Roman" w:hAnsi="Times New Roman"/>
          <w:sz w:val="19"/>
          <w:szCs w:val="19"/>
          <w:color w:val="auto"/>
        </w:rPr>
        <w:t>" of a Component Currency shall mean the number of units of such Component Currency or fractions thereof which were represented in the relevant Currency unit, including, but not limited to, the Euro,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value of the Specified Amount of such former Component Currency at the Market Exchange Rate immediately before such division and such amounts shall thereafter be Specified Amounts and such currencies shall thereafter be Component Currencies. If, after the Conversion Date of the relevant Currency unit, including, but not limited to, the Euro, a Conversion Event (other than any event referred to above in this definition of "</w:t>
      </w:r>
      <w:r>
        <w:rPr>
          <w:rFonts w:ascii="Times New Roman" w:cs="Times New Roman" w:eastAsia="Times New Roman" w:hAnsi="Times New Roman"/>
          <w:sz w:val="19"/>
          <w:szCs w:val="19"/>
          <w:b w:val="1"/>
          <w:bCs w:val="1"/>
          <w:color w:val="auto"/>
        </w:rPr>
        <w:t>Specified Amount</w:t>
      </w:r>
      <w:r>
        <w:rPr>
          <w:rFonts w:ascii="Times New Roman" w:cs="Times New Roman" w:eastAsia="Times New Roman" w:hAnsi="Times New Roman"/>
          <w:sz w:val="19"/>
          <w:szCs w:val="19"/>
          <w:color w:val="auto"/>
        </w:rPr>
        <w:t>")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99" w:name="page100"/>
    <w:bookmarkEnd w:id="99"/>
    <w:p>
      <w:pPr>
        <w:jc w:val="both"/>
        <w:ind w:right="20" w:firstLine="568"/>
        <w:spacing w:after="0" w:line="268" w:lineRule="auto"/>
        <w:rPr>
          <w:sz w:val="20"/>
          <w:szCs w:val="20"/>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Election Date</w:t>
      </w:r>
      <w:r>
        <w:rPr>
          <w:rFonts w:ascii="Times New Roman" w:cs="Times New Roman" w:eastAsia="Times New Roman" w:hAnsi="Times New Roman"/>
          <w:sz w:val="19"/>
          <w:szCs w:val="19"/>
          <w:color w:val="auto"/>
        </w:rPr>
        <w:t>" shall mean the date for any series of Securities as specified pursuant to clause (15) of Section 3.01 by which the written election referred to in paragraph (b) above may be made.</w:t>
      </w:r>
    </w:p>
    <w:p>
      <w:pPr>
        <w:spacing w:after="0" w:line="97" w:lineRule="exact"/>
        <w:rPr>
          <w:sz w:val="20"/>
          <w:szCs w:val="20"/>
          <w:color w:val="auto"/>
        </w:rPr>
      </w:pPr>
    </w:p>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Trustees and all Holders of such Securities denominated or payable in the relevant Currency. The Exchange Rate Agent shall promptly give written notice to the Company and the Trustees of any such decision or determination.</w:t>
      </w:r>
    </w:p>
    <w:p>
      <w:pPr>
        <w:spacing w:after="0" w:line="133" w:lineRule="exact"/>
        <w:rPr>
          <w:sz w:val="20"/>
          <w:szCs w:val="20"/>
          <w:color w:val="auto"/>
        </w:rPr>
      </w:pPr>
    </w:p>
    <w:p>
      <w:pPr>
        <w:jc w:val="both"/>
        <w:ind w:firstLine="568"/>
        <w:spacing w:after="0" w:line="237" w:lineRule="auto"/>
        <w:rPr>
          <w:sz w:val="20"/>
          <w:szCs w:val="20"/>
          <w:color w:val="auto"/>
        </w:rPr>
      </w:pPr>
      <w:r>
        <w:rPr>
          <w:rFonts w:ascii="Times New Roman" w:cs="Times New Roman" w:eastAsia="Times New Roman" w:hAnsi="Times New Roman"/>
          <w:sz w:val="19"/>
          <w:szCs w:val="19"/>
          <w:color w:val="auto"/>
        </w:rPr>
        <w:t>In the event that the Company determines in good faith that a Conversion Event has occurred with respect to a Foreign Currency, the Company will immediately give written notice thereof to the Trustees and to the Exchange Rate Agent (and the Trustees will promptly thereafter give notice in the manner provided for in Section 1.07 to the affected Holders) specifying the Conversion Date. In the event the Company so determines that a Conversion Event has occurred with respect to the Euro or any other Currency unit in which Securities are denominated or payable, the Company will immediately give written notice thereof to the Trustees and to the Exchange Rate Agent (and the Trustees will promptly thereafter give notice in the manner provided for in Section 1.07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will similarly give written notice to the Trustees and the Exchange Rate Agent.</w:t>
      </w:r>
    </w:p>
    <w:p>
      <w:pPr>
        <w:spacing w:after="0" w:line="128" w:lineRule="exact"/>
        <w:rPr>
          <w:sz w:val="20"/>
          <w:szCs w:val="20"/>
          <w:color w:val="auto"/>
        </w:rPr>
      </w:pPr>
    </w:p>
    <w:p>
      <w:pPr>
        <w:jc w:val="both"/>
        <w:ind w:right="20" w:firstLine="568"/>
        <w:spacing w:after="0" w:line="248" w:lineRule="auto"/>
        <w:rPr>
          <w:sz w:val="20"/>
          <w:szCs w:val="20"/>
          <w:color w:val="auto"/>
        </w:rPr>
      </w:pPr>
      <w:r>
        <w:rPr>
          <w:rFonts w:ascii="Times New Roman" w:cs="Times New Roman" w:eastAsia="Times New Roman" w:hAnsi="Times New Roman"/>
          <w:sz w:val="19"/>
          <w:szCs w:val="19"/>
          <w:color w:val="auto"/>
        </w:rPr>
        <w:t>The Trustees shall be fully justified and protected in relying and acting upon information received by it from the Company and the Exchange Rate Agent and shall not otherwise have any duty or obligation to determine the accuracy or validity of such information independent of the Company or the Exchange Rate Agent.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00" w:name="page101"/>
    <w:bookmarkEnd w:id="100"/>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3.13</w:t>
      </w:r>
      <w:r>
        <w:rPr>
          <w:sz w:val="20"/>
          <w:szCs w:val="20"/>
          <w:color w:val="auto"/>
        </w:rPr>
        <w:tab/>
      </w:r>
      <w:r>
        <w:rPr>
          <w:rFonts w:ascii="Times New Roman" w:cs="Times New Roman" w:eastAsia="Times New Roman" w:hAnsi="Times New Roman"/>
          <w:sz w:val="18"/>
          <w:szCs w:val="18"/>
          <w:b w:val="1"/>
          <w:bCs w:val="1"/>
          <w:color w:val="auto"/>
        </w:rPr>
        <w:t>Appointment and Resignation of Successor Exchange Rate Agent</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562"/>
        <w:spacing w:after="0" w:line="239" w:lineRule="auto"/>
        <w:tabs>
          <w:tab w:leader="none" w:pos="1153"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specified pursuant to Section 3.01, if and so long as the Securities of any series (i) are denominated in a Currency other than Dollars or (ii) may be payable in a Currency other than Dollars, or so long as it is required under any other provision of this Indenture, then the Company will maintain with respect to each such series of Securities, or as so required, at least one Exchange Rate Agent. The Company will cause the Exchange Rate Agent to make the necessary foreign exchange determinations at the time and in the manner specified pursuant to Section 3.01 for the purpose of determining the applicable rate of exchange and, if applicable, for the purpose of converting the issued Currency into the applicable payment Currency for the payment of principal, premium (if any) and interest (if any) pursuant to Section 3.12.</w:t>
      </w:r>
    </w:p>
    <w:p>
      <w:pPr>
        <w:spacing w:after="0" w:line="137" w:lineRule="exact"/>
        <w:rPr>
          <w:rFonts w:ascii="Times New Roman" w:cs="Times New Roman" w:eastAsia="Times New Roman" w:hAnsi="Times New Roman"/>
          <w:sz w:val="19"/>
          <w:szCs w:val="19"/>
          <w:color w:val="auto"/>
        </w:rPr>
      </w:pPr>
    </w:p>
    <w:p>
      <w:pPr>
        <w:jc w:val="both"/>
        <w:ind w:right="20" w:firstLine="562"/>
        <w:spacing w:after="0" w:line="243" w:lineRule="auto"/>
        <w:tabs>
          <w:tab w:leader="none" w:pos="1154"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have the right to remove and replace from time to time the Exchange Rate Agent for any series of Securities. No resignation of the Exchange Rate Agent and no appointment of a successor Exchange Rate Agent pursuant to this Section 3.13 shall become effective until the acceptance of appointment by the successor Exchange Rate Agent as evidenced by a written instrument delivered to the Company and the Trustees.</w:t>
      </w:r>
    </w:p>
    <w:p>
      <w:pPr>
        <w:spacing w:after="0" w:line="120" w:lineRule="exact"/>
        <w:rPr>
          <w:rFonts w:ascii="Times New Roman" w:cs="Times New Roman" w:eastAsia="Times New Roman" w:hAnsi="Times New Roman"/>
          <w:sz w:val="19"/>
          <w:szCs w:val="19"/>
          <w:color w:val="auto"/>
        </w:rPr>
      </w:pPr>
    </w:p>
    <w:p>
      <w:pPr>
        <w:jc w:val="both"/>
        <w:ind w:firstLine="562"/>
        <w:spacing w:after="0" w:line="238" w:lineRule="auto"/>
        <w:tabs>
          <w:tab w:leader="none" w:pos="1153"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FOUR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SATISFACTION AND DISCHARGE</w:t>
      </w:r>
    </w:p>
    <w:p>
      <w:pPr>
        <w:spacing w:after="0" w:line="136"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4.01</w:t>
      </w:r>
      <w:r>
        <w:rPr>
          <w:sz w:val="20"/>
          <w:szCs w:val="20"/>
          <w:color w:val="auto"/>
        </w:rPr>
        <w:tab/>
      </w:r>
      <w:r>
        <w:rPr>
          <w:rFonts w:ascii="Times New Roman" w:cs="Times New Roman" w:eastAsia="Times New Roman" w:hAnsi="Times New Roman"/>
          <w:sz w:val="18"/>
          <w:szCs w:val="18"/>
          <w:b w:val="1"/>
          <w:bCs w:val="1"/>
          <w:color w:val="auto"/>
        </w:rPr>
        <w:t>Satisfaction and Discharge of Indenture</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39" w:lineRule="auto"/>
        <w:rPr>
          <w:sz w:val="20"/>
          <w:szCs w:val="20"/>
          <w:color w:val="auto"/>
        </w:rPr>
      </w:pPr>
      <w:r>
        <w:rPr>
          <w:rFonts w:ascii="Times New Roman" w:cs="Times New Roman" w:eastAsia="Times New Roman" w:hAnsi="Times New Roman"/>
          <w:sz w:val="19"/>
          <w:szCs w:val="19"/>
          <w:color w:val="auto"/>
        </w:rPr>
        <w:t>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and the rights of Holders of such series of Securities to receive, solely from the trust fund described in subclause (b) of clause (1) of this Section 4.01, payments in respect of the principal of, premium (if any) and interest (if any) on such Securities when such payments are due and except as provided in the last paragraph of this Section 4.01) and the Trustees, at the expense of the Company, shall execute proper instruments acknowledging satisfaction and discharge of this Indenture as to such series when</w:t>
      </w:r>
    </w:p>
    <w:p>
      <w:pPr>
        <w:spacing w:after="0" w:line="126" w:lineRule="exact"/>
        <w:rPr>
          <w:sz w:val="20"/>
          <w:szCs w:val="20"/>
          <w:color w:val="auto"/>
        </w:rPr>
      </w:pPr>
    </w:p>
    <w:p>
      <w:pPr>
        <w:ind w:left="1140" w:hanging="578"/>
        <w:spacing w:after="0"/>
        <w:tabs>
          <w:tab w:leader="none" w:pos="114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either</w:t>
      </w:r>
    </w:p>
    <w:p>
      <w:pPr>
        <w:spacing w:after="0" w:line="160" w:lineRule="exact"/>
        <w:rPr>
          <w:sz w:val="20"/>
          <w:szCs w:val="20"/>
          <w:color w:val="auto"/>
        </w:rPr>
      </w:pPr>
    </w:p>
    <w:p>
      <w:pPr>
        <w:jc w:val="both"/>
        <w:ind w:firstLine="562"/>
        <w:spacing w:after="0" w:line="248" w:lineRule="auto"/>
        <w:tabs>
          <w:tab w:leader="none" w:pos="1153"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Securities of such series theretofore authenticated and delivered (other than Securities of such series for whose payment money has theretofore been deposited in trust with either Trustee or any Paying Agent or segregated and held in trust by the Company and thereafter repaid to the Company, as provided in Section 10.03) have been delivered to either Trustee for cancellation; or</w:t>
      </w:r>
    </w:p>
    <w:p>
      <w:pPr>
        <w:spacing w:after="0" w:line="115" w:lineRule="exact"/>
        <w:rPr>
          <w:rFonts w:ascii="Times New Roman" w:cs="Times New Roman" w:eastAsia="Times New Roman" w:hAnsi="Times New Roman"/>
          <w:sz w:val="19"/>
          <w:szCs w:val="19"/>
          <w:color w:val="auto"/>
        </w:rPr>
      </w:pPr>
    </w:p>
    <w:p>
      <w:pPr>
        <w:ind w:left="1140" w:hanging="578"/>
        <w:spacing w:after="0"/>
        <w:tabs>
          <w:tab w:leader="none" w:pos="114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Securities of such series not theretofore delivered to either Trustee for cancellation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01" w:name="page102"/>
    <w:bookmarkEnd w:id="101"/>
    <w:p>
      <w:pPr>
        <w:ind w:left="1740" w:hanging="610"/>
        <w:spacing w:after="0"/>
        <w:tabs>
          <w:tab w:leader="none" w:pos="174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have become due and payable, or</w:t>
      </w:r>
    </w:p>
    <w:p>
      <w:pPr>
        <w:spacing w:after="0" w:line="149" w:lineRule="exact"/>
        <w:rPr>
          <w:rFonts w:ascii="Times New Roman" w:cs="Times New Roman" w:eastAsia="Times New Roman" w:hAnsi="Times New Roman"/>
          <w:sz w:val="19"/>
          <w:szCs w:val="19"/>
          <w:color w:val="auto"/>
        </w:rPr>
      </w:pPr>
    </w:p>
    <w:p>
      <w:pPr>
        <w:ind w:left="1740" w:hanging="610"/>
        <w:spacing w:after="0"/>
        <w:tabs>
          <w:tab w:leader="none" w:pos="174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will become due and payable at their Stated Maturity within one year, or</w:t>
      </w:r>
    </w:p>
    <w:p>
      <w:pPr>
        <w:spacing w:after="0" w:line="159" w:lineRule="exact"/>
        <w:rPr>
          <w:rFonts w:ascii="Times New Roman" w:cs="Times New Roman" w:eastAsia="Times New Roman" w:hAnsi="Times New Roman"/>
          <w:sz w:val="19"/>
          <w:szCs w:val="19"/>
          <w:color w:val="auto"/>
        </w:rPr>
      </w:pPr>
    </w:p>
    <w:p>
      <w:pPr>
        <w:ind w:left="1700" w:hanging="570"/>
        <w:spacing w:after="0" w:line="262" w:lineRule="auto"/>
        <w:tabs>
          <w:tab w:leader="none" w:pos="1755"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redeemable at the option of the Company, are to be called for redemption within one year under arrangements satisfactory to the Trustees for the giving of notice of redemption by the Trustees in the name, and at the expense, of the Company,</w:t>
      </w:r>
    </w:p>
    <w:p>
      <w:pPr>
        <w:spacing w:after="0" w:line="1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and the Company, in the case of (i), (ii) or (iii) above, has irrevocably deposited or caused to be deposited with either Trustee as trust funds in trust for such purpose an amount in the Currency in which the Securities of such series are payable, sufficient to pay and discharge the entire indebtedness on such Securities not theretofore delivered to such Trustee for cancellation, for principal, premium (if any) and interest (if any) to the date of such deposit (in the case of Securities which have become due and payable) or to the Stated Maturity or Redemption Date, as the case may be;</w:t>
      </w:r>
    </w:p>
    <w:p>
      <w:pPr>
        <w:spacing w:after="0" w:line="121" w:lineRule="exact"/>
        <w:rPr>
          <w:sz w:val="20"/>
          <w:szCs w:val="20"/>
          <w:color w:val="auto"/>
        </w:rPr>
      </w:pPr>
    </w:p>
    <w:p>
      <w:pPr>
        <w:ind w:left="1160" w:hanging="598"/>
        <w:spacing w:after="0"/>
        <w:tabs>
          <w:tab w:leader="none" w:pos="11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paid or caused to be paid all other sums payable hereunder by the Company; and</w:t>
      </w:r>
    </w:p>
    <w:p>
      <w:pPr>
        <w:spacing w:after="0" w:line="159" w:lineRule="exact"/>
        <w:rPr>
          <w:rFonts w:ascii="Times New Roman" w:cs="Times New Roman" w:eastAsia="Times New Roman" w:hAnsi="Times New Roman"/>
          <w:sz w:val="19"/>
          <w:szCs w:val="19"/>
          <w:color w:val="auto"/>
        </w:rPr>
      </w:pPr>
    </w:p>
    <w:p>
      <w:pPr>
        <w:ind w:left="1140" w:hanging="578"/>
        <w:spacing w:after="0" w:line="262" w:lineRule="auto"/>
        <w:tabs>
          <w:tab w:leader="none" w:pos="1174"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delivered to the Trustees an Officer's Certificate and an Opinion of Counsel, each stating that all conditions precedent herein provided for relating to the satisfaction and discharge of this Indenture as to such series have been complied with.</w:t>
      </w:r>
    </w:p>
    <w:p>
      <w:pPr>
        <w:spacing w:after="0" w:line="102" w:lineRule="exact"/>
        <w:rPr>
          <w:sz w:val="20"/>
          <w:szCs w:val="20"/>
          <w:color w:val="auto"/>
        </w:rPr>
      </w:pPr>
    </w:p>
    <w:p>
      <w:pPr>
        <w:jc w:val="both"/>
        <w:ind w:right="20" w:firstLine="568"/>
        <w:spacing w:after="0" w:line="243" w:lineRule="auto"/>
        <w:rPr>
          <w:sz w:val="20"/>
          <w:szCs w:val="20"/>
          <w:color w:val="auto"/>
        </w:rPr>
      </w:pPr>
      <w:r>
        <w:rPr>
          <w:rFonts w:ascii="Times New Roman" w:cs="Times New Roman" w:eastAsia="Times New Roman" w:hAnsi="Times New Roman"/>
          <w:sz w:val="19"/>
          <w:szCs w:val="19"/>
          <w:color w:val="auto"/>
        </w:rPr>
        <w:t>Notwithstanding the satisfaction and discharge of this Indenture, the obligations of the Company to the Trustees under Section 6.07, the obligations of the Trustees to any Authenticating Agent under Section 6.12 and, if money shall have been deposited with the Trustees pursuant to subclause (b) of clause (1) of this Section 4.01, the obligations of the Trustees under Section 4.02, Section 6.07(3) and the last paragraph of Section 10.03 shall survive.</w:t>
      </w:r>
    </w:p>
    <w:p>
      <w:pPr>
        <w:spacing w:after="0" w:line="116"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4.02</w:t>
      </w:r>
      <w:r>
        <w:rPr>
          <w:sz w:val="20"/>
          <w:szCs w:val="20"/>
          <w:color w:val="auto"/>
        </w:rPr>
        <w:tab/>
      </w:r>
      <w:r>
        <w:rPr>
          <w:rFonts w:ascii="Times New Roman" w:cs="Times New Roman" w:eastAsia="Times New Roman" w:hAnsi="Times New Roman"/>
          <w:sz w:val="18"/>
          <w:szCs w:val="18"/>
          <w:b w:val="1"/>
          <w:bCs w:val="1"/>
          <w:color w:val="auto"/>
        </w:rPr>
        <w:t>Application of Trust Money</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Subject to the provisions of the last paragraph of Section 10.03, all money deposited with the Trustees pursuant to Section 4.01 shall be held in trust and applied by it, in accordance with the provisions of the Securities and this Indenture, to the payment, either directly or through any Paying Agent (including the Company acting as its own Paying Agent) as the Trustees may determine, to the Persons entitled thereto, of the principal, premium (if any) and interest (if any) for whose payment such money has been deposited with the Trustees; but such money need not be segregated from other funds except to the extent required by law.</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FIVE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REMEDIES</w:t>
      </w:r>
    </w:p>
    <w:p>
      <w:pPr>
        <w:spacing w:after="0" w:line="124"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5.01</w:t>
      </w:r>
      <w:r>
        <w:rPr>
          <w:sz w:val="20"/>
          <w:szCs w:val="20"/>
          <w:color w:val="auto"/>
        </w:rPr>
        <w:tab/>
      </w:r>
      <w:r>
        <w:rPr>
          <w:rFonts w:ascii="Times New Roman" w:cs="Times New Roman" w:eastAsia="Times New Roman" w:hAnsi="Times New Roman"/>
          <w:sz w:val="18"/>
          <w:szCs w:val="18"/>
          <w:b w:val="1"/>
          <w:bCs w:val="1"/>
          <w:color w:val="auto"/>
        </w:rPr>
        <w:t>Events of Default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right="20" w:firstLine="568"/>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Event of Default</w:t>
      </w:r>
      <w:r>
        <w:rPr>
          <w:rFonts w:ascii="Times New Roman" w:cs="Times New Roman" w:eastAsia="Times New Roman" w:hAnsi="Times New Roman"/>
          <w:sz w:val="19"/>
          <w:szCs w:val="19"/>
          <w:color w:val="auto"/>
        </w:rPr>
        <w: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such event is specifically deleted or modified in or pursuant to a supplemental indenture, Board Resolution or Officer's Certificate establishing the terms of such series pursuant to Section 3.01 of this Indenture: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2" w:name="page103"/>
    <w:bookmarkEnd w:id="102"/>
    <w:p>
      <w:pPr>
        <w:ind w:left="1140" w:hanging="578"/>
        <w:spacing w:after="0" w:line="263" w:lineRule="auto"/>
        <w:tabs>
          <w:tab w:leader="none" w:pos="1182"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default in the payment of any interest due on any Security of that series, when such interest becomes due and payable, and continuance of such default for a period of 30 days; or</w:t>
      </w:r>
    </w:p>
    <w:p>
      <w:pPr>
        <w:spacing w:after="0" w:line="101" w:lineRule="exact"/>
        <w:rPr>
          <w:rFonts w:ascii="Times New Roman" w:cs="Times New Roman" w:eastAsia="Times New Roman" w:hAnsi="Times New Roman"/>
          <w:sz w:val="19"/>
          <w:szCs w:val="19"/>
          <w:color w:val="auto"/>
        </w:rPr>
      </w:pPr>
    </w:p>
    <w:p>
      <w:pPr>
        <w:ind w:left="1180" w:hanging="618"/>
        <w:spacing w:after="0"/>
        <w:tabs>
          <w:tab w:leader="none" w:pos="118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default in the payment of the principal or premium (if any) in respect of any Security of that series at its Maturity; or</w:t>
      </w:r>
    </w:p>
    <w:p>
      <w:pPr>
        <w:spacing w:after="0" w:line="159" w:lineRule="exact"/>
        <w:rPr>
          <w:rFonts w:ascii="Times New Roman" w:cs="Times New Roman" w:eastAsia="Times New Roman" w:hAnsi="Times New Roman"/>
          <w:sz w:val="19"/>
          <w:szCs w:val="19"/>
          <w:color w:val="auto"/>
        </w:rPr>
      </w:pPr>
    </w:p>
    <w:p>
      <w:pPr>
        <w:ind w:left="1140" w:right="20" w:hanging="578"/>
        <w:spacing w:after="0" w:line="262" w:lineRule="auto"/>
        <w:tabs>
          <w:tab w:leader="none" w:pos="1182"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default in the deposit of any sinking fund, amortization or analogous payment when due by the terms of any Security of that series and Article Twelve; or</w:t>
      </w:r>
    </w:p>
    <w:p>
      <w:pPr>
        <w:spacing w:after="0" w:line="102" w:lineRule="exact"/>
        <w:rPr>
          <w:rFonts w:ascii="Times New Roman" w:cs="Times New Roman" w:eastAsia="Times New Roman" w:hAnsi="Times New Roman"/>
          <w:sz w:val="19"/>
          <w:szCs w:val="19"/>
          <w:color w:val="auto"/>
        </w:rPr>
      </w:pPr>
    </w:p>
    <w:p>
      <w:pPr>
        <w:jc w:val="both"/>
        <w:ind w:left="1140" w:hanging="578"/>
        <w:spacing w:after="0" w:line="238" w:lineRule="auto"/>
        <w:tabs>
          <w:tab w:leader="none" w:pos="1182"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default in the performance, or breach, of any covenant or agreement of the Company in this Indenture which affects or is applicable to the Securities of that series (other than a covenant or agreement, a default in whose performance or whose breach is elsewhere in this Section 5.01 specifically dealt with), and continuance of such default or breach for a period of 60 days after there has been given (and 120 days with respect to a default or breach under Section 7.05), by registered or certified mail, to the Company by the Trustees or to the Company and the Trustees by the Holders of at least 25% in principal amount of all Outstanding Securities of that series a written notice specifying such default or breach and requiring it to be remedied and stating that such notice is a "Notice of Default" hereunder; or</w:t>
      </w:r>
    </w:p>
    <w:p>
      <w:pPr>
        <w:spacing w:after="0" w:line="127" w:lineRule="exact"/>
        <w:rPr>
          <w:rFonts w:ascii="Times New Roman" w:cs="Times New Roman" w:eastAsia="Times New Roman" w:hAnsi="Times New Roman"/>
          <w:sz w:val="19"/>
          <w:szCs w:val="19"/>
          <w:color w:val="auto"/>
        </w:rPr>
      </w:pPr>
    </w:p>
    <w:p>
      <w:pPr>
        <w:jc w:val="both"/>
        <w:ind w:left="1140" w:hanging="578"/>
        <w:spacing w:after="0" w:line="238" w:lineRule="auto"/>
        <w:tabs>
          <w:tab w:leader="none" w:pos="1182"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entry of a decree or order by a court having jurisdiction in the premises adjudging the Company bankrupt or insolvent, or approving as properly filed a petition seeking reorganization, arrangement, adjustment or composition of or in respect of the Company under or subject to the Bankruptcy and Insolvency Act (Canada), the Companies' Creditors Arrangement Act (Canada), the U.S. Federal Bankruptcy Code or any other federal, provincial, state or foreign bankruptcy, insolvency or analogous laws, or the issuance of a sequestration order or the (appointment of a receiver, liquidator, assignee, trustee, sequestrator (or other similar official) of the Company or in receipt of any substantial part of the property of the Company, and any such decree, order or appointment continues unstayed and in effect for a period of 90 consecutive days; or</w:t>
      </w:r>
    </w:p>
    <w:p>
      <w:pPr>
        <w:spacing w:after="0" w:line="139" w:lineRule="exact"/>
        <w:rPr>
          <w:rFonts w:ascii="Times New Roman" w:cs="Times New Roman" w:eastAsia="Times New Roman" w:hAnsi="Times New Roman"/>
          <w:sz w:val="19"/>
          <w:szCs w:val="19"/>
          <w:color w:val="auto"/>
        </w:rPr>
      </w:pPr>
    </w:p>
    <w:p>
      <w:pPr>
        <w:jc w:val="both"/>
        <w:ind w:left="1140" w:hanging="578"/>
        <w:spacing w:after="0" w:line="238" w:lineRule="auto"/>
        <w:tabs>
          <w:tab w:leader="none" w:pos="1182"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institution by the Company of proceedings to be adjudicated bankrupt or insolvent, or the consent by it to the institution of bankruptcy or insolvency proceedings against it, or the filing by it of a petition or answer or consent seeking reorganization or relief under or subject to the Bankruptcy and Insolvency Act (Canada), the Companies' Creditors Arrangement Act (Canada), the U.S. Federal Bankruptcy Code or any other federal, provincial, state or foreign bankruptcy, insolvency or analogous laws or the consent by it to the filing of any such petition or to the appointment of a receiver, liquidator, assignee, trustee, sequestrator (or other similar official) of the Company or of any substantial part of its property, or the making by it of a general assignment for the benefit of creditors, or the admission by it in writing of its inability to pay its debts generally as they become due or the taking by it of corporate action in furtherance of any of the aforesaid purposes; or</w:t>
      </w:r>
    </w:p>
    <w:p>
      <w:pPr>
        <w:spacing w:after="0" w:line="123" w:lineRule="exact"/>
        <w:rPr>
          <w:rFonts w:ascii="Times New Roman" w:cs="Times New Roman" w:eastAsia="Times New Roman" w:hAnsi="Times New Roman"/>
          <w:sz w:val="19"/>
          <w:szCs w:val="19"/>
          <w:color w:val="auto"/>
        </w:rPr>
      </w:pPr>
    </w:p>
    <w:p>
      <w:pPr>
        <w:ind w:left="1180" w:hanging="618"/>
        <w:spacing w:after="0"/>
        <w:tabs>
          <w:tab w:leader="none" w:pos="118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Event of Default provided with respect to Securities of that series.</w:t>
      </w:r>
    </w:p>
    <w:p>
      <w:pPr>
        <w:spacing w:after="0" w:line="144"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5.02</w:t>
      </w:r>
      <w:r>
        <w:rPr>
          <w:sz w:val="20"/>
          <w:szCs w:val="20"/>
          <w:color w:val="auto"/>
        </w:rPr>
        <w:tab/>
      </w:r>
      <w:r>
        <w:rPr>
          <w:rFonts w:ascii="Times New Roman" w:cs="Times New Roman" w:eastAsia="Times New Roman" w:hAnsi="Times New Roman"/>
          <w:sz w:val="18"/>
          <w:szCs w:val="18"/>
          <w:b w:val="1"/>
          <w:bCs w:val="1"/>
          <w:color w:val="auto"/>
        </w:rPr>
        <w:t>Acceleration of Maturity; Rescission and Annulment</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568"/>
        <w:spacing w:after="0" w:line="238" w:lineRule="auto"/>
        <w:rPr>
          <w:sz w:val="20"/>
          <w:szCs w:val="20"/>
          <w:color w:val="auto"/>
        </w:rPr>
      </w:pPr>
      <w:r>
        <w:rPr>
          <w:rFonts w:ascii="Times New Roman" w:cs="Times New Roman" w:eastAsia="Times New Roman" w:hAnsi="Times New Roman"/>
          <w:sz w:val="19"/>
          <w:szCs w:val="19"/>
          <w:color w:val="auto"/>
        </w:rPr>
        <w:t>If an Event of Default described in clause (1), (2), (3), (4) or (7) of Section 5.01 with respect to Securities of any series at the time Outstanding occurs and is continuing, then in every such case, either Trustee or the Holders of not less than 25% in principal amount of the Outstanding Securities of that series, may declare the principal amount (or, if the Securities of that series are Original Issue Discount Securities or Indexed Securities, such portion of the principal amount as may be specified in the terms of that series) of all of the Securities of that series and all interest thereon to be due and payable immediately, by a notice in writing to the Company (and to the Trustees if given by Holders), and upon any such declaration such principal amount (or specified portion thereof) shall become immediately due and payable. If an Event of Default specified in clause (5) or (6) of Section 5.01 occurs and is continuing, then the principal amount of all the Securities shall ipso facto become and be immediately due and payable without any declaration or other act on the part of the Trustees or any Holder.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3" w:name="page104"/>
    <w:bookmarkEnd w:id="103"/>
    <w:p>
      <w:pPr>
        <w:jc w:val="both"/>
        <w:ind w:firstLine="568"/>
        <w:spacing w:after="0" w:line="243" w:lineRule="auto"/>
        <w:rPr>
          <w:sz w:val="20"/>
          <w:szCs w:val="20"/>
          <w:color w:val="auto"/>
        </w:rPr>
      </w:pPr>
      <w:r>
        <w:rPr>
          <w:rFonts w:ascii="Times New Roman" w:cs="Times New Roman" w:eastAsia="Times New Roman" w:hAnsi="Times New Roman"/>
          <w:sz w:val="19"/>
          <w:szCs w:val="19"/>
          <w:color w:val="auto"/>
        </w:rPr>
        <w:t>At any time after such a declaration of acceleration with respect to Securities of any series (or of all series, as the case may be) has been made and before a judgment or decree for payment of the money due has been obtained by either Trustee as hereinafter provided in this Article Five, the Holders of a majority in principal amount of the Outstanding Securities of that series (or of all series, as the case may be), by written notice to the Company and the Trustees, may rescind and annul such declaration and its consequences if:</w:t>
      </w:r>
    </w:p>
    <w:p>
      <w:pPr>
        <w:spacing w:after="0" w:line="121" w:lineRule="exact"/>
        <w:rPr>
          <w:sz w:val="20"/>
          <w:szCs w:val="20"/>
          <w:color w:val="auto"/>
        </w:rPr>
      </w:pPr>
    </w:p>
    <w:p>
      <w:pPr>
        <w:jc w:val="both"/>
        <w:ind w:left="1140" w:right="20" w:hanging="578"/>
        <w:spacing w:after="0" w:line="248" w:lineRule="auto"/>
        <w:tabs>
          <w:tab w:leader="none" w:pos="1174"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paid or deposited with either Trustee a sum sufficient to pay in the Currency in which the Securities of such series are payable (except as otherwise specified pursuant to Section 3.01 for the Securities of such series and except, if applicable, as provided in Sections 3.12(b), 3.12(d) and 3.12(e)),</w:t>
      </w:r>
    </w:p>
    <w:p>
      <w:pPr>
        <w:spacing w:after="0" w:line="126" w:lineRule="exact"/>
        <w:rPr>
          <w:rFonts w:ascii="Times New Roman" w:cs="Times New Roman" w:eastAsia="Times New Roman" w:hAnsi="Times New Roman"/>
          <w:sz w:val="19"/>
          <w:szCs w:val="19"/>
          <w:color w:val="auto"/>
        </w:rPr>
      </w:pPr>
    </w:p>
    <w:p>
      <w:pPr>
        <w:ind w:left="1740" w:hanging="610"/>
        <w:spacing w:after="0"/>
        <w:tabs>
          <w:tab w:leader="none" w:pos="1740"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overdue interest (if any) on all Outstanding Securities of that series (or of all series, as the case may be),</w:t>
      </w:r>
    </w:p>
    <w:p>
      <w:pPr>
        <w:spacing w:after="0" w:line="148" w:lineRule="exact"/>
        <w:rPr>
          <w:rFonts w:ascii="Times New Roman" w:cs="Times New Roman" w:eastAsia="Times New Roman" w:hAnsi="Times New Roman"/>
          <w:sz w:val="19"/>
          <w:szCs w:val="19"/>
          <w:color w:val="auto"/>
        </w:rPr>
      </w:pPr>
    </w:p>
    <w:p>
      <w:pPr>
        <w:jc w:val="both"/>
        <w:ind w:left="1700" w:hanging="570"/>
        <w:spacing w:after="0" w:line="248" w:lineRule="auto"/>
        <w:tabs>
          <w:tab w:leader="none" w:pos="1742"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unpaid principal of and premium (if any) on any Outstanding Securities of that series (or of all series, as the case may be) which has become due otherwise than by such declaration of acceleration, and interest on such unpaid principal and premium (if any) at the rate or rates prescribed therefor in such Securities,</w:t>
      </w:r>
    </w:p>
    <w:p>
      <w:pPr>
        <w:spacing w:after="0" w:line="115" w:lineRule="exact"/>
        <w:rPr>
          <w:rFonts w:ascii="Times New Roman" w:cs="Times New Roman" w:eastAsia="Times New Roman" w:hAnsi="Times New Roman"/>
          <w:sz w:val="19"/>
          <w:szCs w:val="19"/>
          <w:color w:val="auto"/>
        </w:rPr>
      </w:pPr>
    </w:p>
    <w:p>
      <w:pPr>
        <w:ind w:left="1700" w:right="20" w:hanging="570"/>
        <w:spacing w:after="0" w:line="262" w:lineRule="auto"/>
        <w:tabs>
          <w:tab w:leader="none" w:pos="1733"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payment of such interest is legally enforceable, interest on overdue interest at the rate or rates prescribed therefor in such Securities, and</w:t>
      </w:r>
    </w:p>
    <w:p>
      <w:pPr>
        <w:spacing w:after="0" w:line="114" w:lineRule="exact"/>
        <w:rPr>
          <w:rFonts w:ascii="Times New Roman" w:cs="Times New Roman" w:eastAsia="Times New Roman" w:hAnsi="Times New Roman"/>
          <w:sz w:val="19"/>
          <w:szCs w:val="19"/>
          <w:color w:val="auto"/>
        </w:rPr>
      </w:pPr>
    </w:p>
    <w:p>
      <w:pPr>
        <w:ind w:left="1700" w:right="20" w:hanging="570"/>
        <w:spacing w:after="0" w:line="262" w:lineRule="auto"/>
        <w:tabs>
          <w:tab w:leader="none" w:pos="1742"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sums paid or advanced by the Trustees hereunder and the reasonable compensation, expenses, disbursements and advances of the Trustees, their agents and counsel; and</w:t>
      </w:r>
    </w:p>
    <w:p>
      <w:pPr>
        <w:spacing w:after="0" w:line="102" w:lineRule="exact"/>
        <w:rPr>
          <w:rFonts w:ascii="Times New Roman" w:cs="Times New Roman" w:eastAsia="Times New Roman" w:hAnsi="Times New Roman"/>
          <w:sz w:val="19"/>
          <w:szCs w:val="19"/>
          <w:color w:val="auto"/>
        </w:rPr>
      </w:pPr>
    </w:p>
    <w:p>
      <w:pPr>
        <w:jc w:val="both"/>
        <w:ind w:left="1140" w:hanging="578"/>
        <w:spacing w:after="0" w:line="248" w:lineRule="auto"/>
        <w:tabs>
          <w:tab w:leader="none" w:pos="1182"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Events of Default with respect to Securities of that series (or of all series, as the case may be), other than the non-payment of amounts of principal of, premium (if any) or interest (if any) on Securities of that series (or of all series, as the case may be) which have become due solely by such declaration of acceleration, have been cured or waived as provided in Section 5.13.</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No such rescission shall affect any subsequent default or impair any right consequent thereon.</w:t>
      </w:r>
    </w:p>
    <w:p>
      <w:pPr>
        <w:spacing w:after="0" w:line="156"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5.03</w:t>
      </w:r>
      <w:r>
        <w:rPr>
          <w:sz w:val="20"/>
          <w:szCs w:val="20"/>
          <w:color w:val="auto"/>
        </w:rPr>
        <w:tab/>
      </w:r>
      <w:r>
        <w:rPr>
          <w:rFonts w:ascii="Times New Roman" w:cs="Times New Roman" w:eastAsia="Times New Roman" w:hAnsi="Times New Roman"/>
          <w:sz w:val="18"/>
          <w:szCs w:val="18"/>
          <w:b w:val="1"/>
          <w:bCs w:val="1"/>
          <w:color w:val="auto"/>
        </w:rPr>
        <w:t>Collection of Debt and Suits for Enforcement by Trustees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The Company covenants that if</w:t>
      </w:r>
    </w:p>
    <w:p>
      <w:pPr>
        <w:spacing w:after="0" w:line="148" w:lineRule="exact"/>
        <w:rPr>
          <w:sz w:val="20"/>
          <w:szCs w:val="20"/>
          <w:color w:val="auto"/>
        </w:rPr>
      </w:pPr>
    </w:p>
    <w:p>
      <w:pPr>
        <w:ind w:left="1140" w:right="20" w:hanging="578"/>
        <w:spacing w:after="0" w:line="262" w:lineRule="auto"/>
        <w:tabs>
          <w:tab w:leader="none" w:pos="1182"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default is made in the payment of any installment of interest on any Security when such interest becomes due and payable and such default continues for a period of 30 days, or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4" w:name="page105"/>
    <w:bookmarkEnd w:id="104"/>
    <w:p>
      <w:pPr>
        <w:ind w:left="1140" w:hanging="578"/>
        <w:spacing w:after="0"/>
        <w:tabs>
          <w:tab w:leader="none" w:pos="1140"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default is made in the payment of the principal of or premium (if any) any Security at the Maturity thereof,</w:t>
      </w:r>
    </w:p>
    <w:p>
      <w:pPr>
        <w:spacing w:after="0" w:line="149"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9"/>
          <w:szCs w:val="19"/>
          <w:color w:val="auto"/>
        </w:rPr>
        <w:t>then the Company will, upon demand of the Trustees, pay to the applicable Trustee for the benefit of the Holders of such Securities , the whole amount then due and payable on such Securities for principal of, premium (if any) and interest (if any) and interest on any overdue principal, overdue premium (if any) and, to the extent lawful, overdue interest (if any), at the rate or rates prescribed therefor in such Securities, and, in addition thereto, such further amount as shall be sufficient to cover the costs and expenses of collection, including the reasonable compensation, expenses, disbursements and advances of the Trustees, their agents and counsel.</w:t>
      </w:r>
    </w:p>
    <w:p>
      <w:pPr>
        <w:spacing w:after="0" w:line="133" w:lineRule="exact"/>
        <w:rPr>
          <w:sz w:val="20"/>
          <w:szCs w:val="20"/>
          <w:color w:val="auto"/>
        </w:rPr>
      </w:pPr>
    </w:p>
    <w:p>
      <w:pPr>
        <w:jc w:val="both"/>
        <w:ind w:firstLine="568"/>
        <w:spacing w:after="0" w:line="243" w:lineRule="auto"/>
        <w:rPr>
          <w:sz w:val="20"/>
          <w:szCs w:val="20"/>
          <w:color w:val="auto"/>
        </w:rPr>
      </w:pPr>
      <w:r>
        <w:rPr>
          <w:rFonts w:ascii="Times New Roman" w:cs="Times New Roman" w:eastAsia="Times New Roman" w:hAnsi="Times New Roman"/>
          <w:sz w:val="19"/>
          <w:szCs w:val="19"/>
          <w:color w:val="auto"/>
        </w:rPr>
        <w:t>If the Company fails to pay such amounts forthwith upon such demand, the Trustees, in their own names as trustees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decreed to be payable in the manner provided by law out of the property of the Company or any other obligor upon such Securities, wherever situated.</w:t>
      </w:r>
    </w:p>
    <w:p>
      <w:pPr>
        <w:spacing w:after="0" w:line="120" w:lineRule="exact"/>
        <w:rPr>
          <w:sz w:val="20"/>
          <w:szCs w:val="20"/>
          <w:color w:val="auto"/>
        </w:rPr>
      </w:pPr>
    </w:p>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If an Event of Default with respect to Securities of any series (or of all series, as the case may be) occurs and is continuing, either Trustee may in its discretion proceed to protect and enforce its rights and the rights of the Holders of Securities of such series (or of all series, as the case may be) by such appropriate judicial proceedings as such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17"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5.04</w:t>
      </w:r>
      <w:r>
        <w:rPr>
          <w:sz w:val="20"/>
          <w:szCs w:val="20"/>
          <w:color w:val="auto"/>
        </w:rPr>
        <w:tab/>
      </w:r>
      <w:r>
        <w:rPr>
          <w:rFonts w:ascii="Times New Roman" w:cs="Times New Roman" w:eastAsia="Times New Roman" w:hAnsi="Times New Roman"/>
          <w:sz w:val="18"/>
          <w:szCs w:val="18"/>
          <w:b w:val="1"/>
          <w:bCs w:val="1"/>
          <w:color w:val="auto"/>
        </w:rPr>
        <w:t>Trustees May File Proofs of Claim</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each Trustee (irrespective of whether the principal of the Securities shall then be due and payable as therein expressed or by declaration or otherwise and irrespective of whether either Trustee shall have made any demand on the Company for the payment of overdue principal, premium (if any) or interest) shall be entitled and empowered, by intervention in such proceeding or otherwise,</w:t>
      </w:r>
    </w:p>
    <w:p>
      <w:pPr>
        <w:spacing w:after="0" w:line="121" w:lineRule="exact"/>
        <w:rPr>
          <w:sz w:val="20"/>
          <w:szCs w:val="20"/>
          <w:color w:val="auto"/>
        </w:rPr>
      </w:pPr>
    </w:p>
    <w:p>
      <w:pPr>
        <w:jc w:val="both"/>
        <w:ind w:left="1700" w:hanging="570"/>
        <w:spacing w:after="0" w:line="239" w:lineRule="auto"/>
        <w:tabs>
          <w:tab w:leader="none" w:pos="1738"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file and prove a claim for the whole amount of principal and premium (if any), or such portion of the principal amount of any series of Original Issue Discount Securities or Indexed Securities as may be specified in the terms of such series, and interest (if any) owing and unpaid in respect of the Securities and to file such other papers or documents as may be necessary or advisable in order to have the claims of such Trustee (including any claim for the reasonable compensation, expenses, disbursements and advances of such Trustee, its agents and counsel) and of the Holders allowed in such judicial proceeding, and</w:t>
      </w:r>
    </w:p>
    <w:p>
      <w:pPr>
        <w:spacing w:after="0" w:line="125" w:lineRule="exact"/>
        <w:rPr>
          <w:rFonts w:ascii="Times New Roman" w:cs="Times New Roman" w:eastAsia="Times New Roman" w:hAnsi="Times New Roman"/>
          <w:sz w:val="19"/>
          <w:szCs w:val="19"/>
          <w:color w:val="auto"/>
        </w:rPr>
      </w:pPr>
    </w:p>
    <w:p>
      <w:pPr>
        <w:ind w:left="1740" w:hanging="610"/>
        <w:spacing w:after="0"/>
        <w:tabs>
          <w:tab w:leader="none" w:pos="174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collect and receive any moneys or other property payable or deliverable on any such claims and to distribute the same;</w:t>
      </w:r>
    </w:p>
    <w:p>
      <w:pPr>
        <w:spacing w:after="0" w:line="16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and any custodian, receiver, assignee, trustee, liquidator, sequestrator or other similar official in any such judicial proceeding is hereby authorized by each Holder to make such payments to such Trustee and, in the event that such Trustee shall consent to the making of such payments directly to the Holders, to pay to such Trustee any amount due to it for the reasonable compensation, expenses, disbursements and advances of each Trustee, its agents and counsel, and any other amounts due to such Trustee under Section 6.07.</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5" w:name="page106"/>
    <w:bookmarkEnd w:id="105"/>
    <w:p>
      <w:pPr>
        <w:jc w:val="both"/>
        <w:ind w:right="20" w:firstLine="568"/>
        <w:spacing w:after="0" w:line="248" w:lineRule="auto"/>
        <w:rPr>
          <w:sz w:val="20"/>
          <w:szCs w:val="20"/>
          <w:color w:val="auto"/>
        </w:rPr>
      </w:pPr>
      <w:r>
        <w:rPr>
          <w:rFonts w:ascii="Times New Roman" w:cs="Times New Roman" w:eastAsia="Times New Roman" w:hAnsi="Times New Roman"/>
          <w:sz w:val="19"/>
          <w:szCs w:val="19"/>
          <w:color w:val="auto"/>
        </w:rPr>
        <w:t>Nothing herein contained shall be deemed to authorize the Trustees to authorize or consent to or accept or adopt on behalf of any Holder any plan of reorganization, arrangement, adjustment or composition affecting the Securities or the rights of any Holder thereof or to authorize the Trustees to vote in respect of the claim of any Holder in any such proceeding.</w:t>
      </w:r>
    </w:p>
    <w:p>
      <w:pPr>
        <w:spacing w:after="0" w:line="112"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5.05</w:t>
      </w:r>
      <w:r>
        <w:rPr>
          <w:sz w:val="20"/>
          <w:szCs w:val="20"/>
          <w:color w:val="auto"/>
        </w:rPr>
        <w:tab/>
      </w:r>
      <w:r>
        <w:rPr>
          <w:rFonts w:ascii="Times New Roman" w:cs="Times New Roman" w:eastAsia="Times New Roman" w:hAnsi="Times New Roman"/>
          <w:sz w:val="18"/>
          <w:szCs w:val="18"/>
          <w:b w:val="1"/>
          <w:bCs w:val="1"/>
          <w:color w:val="auto"/>
        </w:rPr>
        <w:t>Trustees May Enforce Claims Without Possession of Securities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All rights of action and claims under this Indenture, the Securities may be prosecuted and enforced by the Trustees without the possession of any of the Securities or the production thereof in any proceeding relating thereto, and any such proceeding instituted by either Trustee shall be brought in its own name as trustee of an express trust, and any recovery of judgment shall, after provision for the payment of the reasonable compensation, expenses, disbursements and advances of such Trustee, its agents and counsel, be for the ratable benefit of the Holders of the Securities in respect of which such judgment has been recovered.</w:t>
      </w:r>
    </w:p>
    <w:p>
      <w:pPr>
        <w:spacing w:after="0" w:line="117"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5.06</w:t>
      </w:r>
      <w:r>
        <w:rPr>
          <w:sz w:val="20"/>
          <w:szCs w:val="20"/>
          <w:color w:val="auto"/>
        </w:rPr>
        <w:tab/>
      </w:r>
      <w:r>
        <w:rPr>
          <w:rFonts w:ascii="Times New Roman" w:cs="Times New Roman" w:eastAsia="Times New Roman" w:hAnsi="Times New Roman"/>
          <w:sz w:val="18"/>
          <w:szCs w:val="18"/>
          <w:b w:val="1"/>
          <w:bCs w:val="1"/>
          <w:color w:val="auto"/>
        </w:rPr>
        <w:t>Application of Money Collected</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right="20" w:firstLine="568"/>
        <w:spacing w:after="0" w:line="248" w:lineRule="auto"/>
        <w:rPr>
          <w:sz w:val="20"/>
          <w:szCs w:val="20"/>
          <w:color w:val="auto"/>
        </w:rPr>
      </w:pPr>
      <w:r>
        <w:rPr>
          <w:rFonts w:ascii="Times New Roman" w:cs="Times New Roman" w:eastAsia="Times New Roman" w:hAnsi="Times New Roman"/>
          <w:sz w:val="19"/>
          <w:szCs w:val="19"/>
          <w:color w:val="auto"/>
        </w:rPr>
        <w:t>Any money collected by either Trustee pursuant to this Article Five shall be applied in the following order, at the date or dates fixed by the Trustees and, in case of the distribution of such money on account of principal of, premium (if any) or interest (if any) upon presentation of the Securities, and the notation thereon of the payment if only partially paid and upon surrender thereof if fully paid:</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First: to the payment of all amounts due the Trustees under Section 6.07;</w:t>
      </w:r>
    </w:p>
    <w:p>
      <w:pPr>
        <w:spacing w:after="0" w:line="148" w:lineRule="exact"/>
        <w:rPr>
          <w:sz w:val="20"/>
          <w:szCs w:val="20"/>
          <w:color w:val="auto"/>
        </w:rPr>
      </w:pPr>
    </w:p>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Second: to the payment of the amounts then due and unpaid for principal of, premium (if any) and interest (if any), on the Securities in respect of which or for the benefit of which such money has been collected, ratably, without preference or priority of any kind, according to the amounts due and payable on such Securities for principal, premium (if any) and interest (if any), respectively; and</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Third: the balance, if any, to the Person or Persons entitled thereto.</w:t>
      </w:r>
    </w:p>
    <w:p>
      <w:pPr>
        <w:spacing w:after="0" w:line="156"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5.07</w:t>
      </w:r>
      <w:r>
        <w:rPr>
          <w:sz w:val="20"/>
          <w:szCs w:val="20"/>
          <w:color w:val="auto"/>
        </w:rPr>
        <w:tab/>
      </w:r>
      <w:r>
        <w:rPr>
          <w:rFonts w:ascii="Times New Roman" w:cs="Times New Roman" w:eastAsia="Times New Roman" w:hAnsi="Times New Roman"/>
          <w:sz w:val="18"/>
          <w:szCs w:val="18"/>
          <w:b w:val="1"/>
          <w:bCs w:val="1"/>
          <w:color w:val="auto"/>
        </w:rPr>
        <w:t>Limitation on Suits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right="20" w:firstLine="568"/>
        <w:spacing w:after="0" w:line="262" w:lineRule="auto"/>
        <w:rPr>
          <w:sz w:val="20"/>
          <w:szCs w:val="20"/>
          <w:color w:val="auto"/>
        </w:rPr>
      </w:pPr>
      <w:r>
        <w:rPr>
          <w:rFonts w:ascii="Times New Roman" w:cs="Times New Roman" w:eastAsia="Times New Roman" w:hAnsi="Times New Roman"/>
          <w:sz w:val="19"/>
          <w:szCs w:val="19"/>
          <w:color w:val="auto"/>
        </w:rPr>
        <w:t>No Holder of any Security of any series shall have any right to institute any proceeding, judicial or otherwise, with respect to this Indenture or the Securities, or for the appointment of a receiver or trustee, or for any other remedy hereunder, unless</w:t>
      </w:r>
    </w:p>
    <w:p>
      <w:pPr>
        <w:spacing w:after="0" w:line="102" w:lineRule="exact"/>
        <w:rPr>
          <w:sz w:val="20"/>
          <w:szCs w:val="20"/>
          <w:color w:val="auto"/>
        </w:rPr>
      </w:pPr>
    </w:p>
    <w:p>
      <w:pPr>
        <w:ind w:left="1140" w:right="20" w:hanging="578"/>
        <w:spacing w:after="0" w:line="262" w:lineRule="auto"/>
        <w:tabs>
          <w:tab w:leader="none" w:pos="1182"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Holder has previously given written notice to the Trustees of a continuing Event of Default with respect to the Securities of that series;</w:t>
      </w:r>
    </w:p>
    <w:p>
      <w:pPr>
        <w:spacing w:after="0" w:line="114" w:lineRule="exact"/>
        <w:rPr>
          <w:rFonts w:ascii="Times New Roman" w:cs="Times New Roman" w:eastAsia="Times New Roman" w:hAnsi="Times New Roman"/>
          <w:sz w:val="19"/>
          <w:szCs w:val="19"/>
          <w:color w:val="auto"/>
        </w:rPr>
      </w:pPr>
    </w:p>
    <w:p>
      <w:pPr>
        <w:jc w:val="both"/>
        <w:ind w:left="1140" w:hanging="578"/>
        <w:spacing w:after="0" w:line="243" w:lineRule="auto"/>
        <w:tabs>
          <w:tab w:leader="none" w:pos="1182"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Holders of not less than 25% in principal amount of the Outstanding Securities of that series in the case of any Event of Default described in clause (1), (2), (3), (4) or (7) of Section 5.01, or, in the case of any Event of Default described in clause (5) or (6) of Section 5.01, the Holders of not less than 25% in principal amount of all Outstanding Securities, shall have made written request to the Trustees to institute proceedings in respect of such Event of Default in their own names as Trustees hereunder;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6" w:name="page107"/>
    <w:bookmarkEnd w:id="106"/>
    <w:p>
      <w:pPr>
        <w:ind w:left="1140" w:hanging="578"/>
        <w:spacing w:after="0" w:line="263" w:lineRule="auto"/>
        <w:tabs>
          <w:tab w:leader="none" w:pos="1182"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Holder or Holders have offered to the Trustees reasonable indemnity against the costs, expenses and liabilities to be incurred in compliance with such request;</w:t>
      </w:r>
    </w:p>
    <w:p>
      <w:pPr>
        <w:spacing w:after="0" w:line="101" w:lineRule="exact"/>
        <w:rPr>
          <w:rFonts w:ascii="Times New Roman" w:cs="Times New Roman" w:eastAsia="Times New Roman" w:hAnsi="Times New Roman"/>
          <w:sz w:val="19"/>
          <w:szCs w:val="19"/>
          <w:color w:val="auto"/>
        </w:rPr>
      </w:pPr>
    </w:p>
    <w:p>
      <w:pPr>
        <w:ind w:left="1140" w:right="20" w:hanging="578"/>
        <w:spacing w:after="0" w:line="262" w:lineRule="auto"/>
        <w:tabs>
          <w:tab w:leader="none" w:pos="1182"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Trustees for 60 days after their receipt of such notice, request and offer of indemnity have failed to institute any such proceeding; and</w:t>
      </w:r>
    </w:p>
    <w:p>
      <w:pPr>
        <w:spacing w:after="0" w:line="114" w:lineRule="exact"/>
        <w:rPr>
          <w:rFonts w:ascii="Times New Roman" w:cs="Times New Roman" w:eastAsia="Times New Roman" w:hAnsi="Times New Roman"/>
          <w:sz w:val="19"/>
          <w:szCs w:val="19"/>
          <w:color w:val="auto"/>
        </w:rPr>
      </w:pPr>
    </w:p>
    <w:p>
      <w:pPr>
        <w:jc w:val="both"/>
        <w:ind w:left="1140" w:hanging="578"/>
        <w:spacing w:after="0" w:line="243" w:lineRule="auto"/>
        <w:tabs>
          <w:tab w:leader="none" w:pos="1182"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direction inconsistent with such written request has been given to the Trustees during such 60-day period by the Holders of a majority or more in principal amount of the Outstanding Securities of that series in the case of any Event of Default described in clause (1), (2), (3), (4) or (7) of Section 5.01, or in the case of any Event of Default described in clause (5) or (6) of Section 5.01, by the Holders of a majority or more in principal amount of all Outstanding Securities;</w:t>
      </w:r>
    </w:p>
    <w:p>
      <w:pPr>
        <w:spacing w:after="0" w:line="1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it being understood and intended that no one or more of such Holders shall have any right in any manner whatever by virtue of, or by availing of, any provision of this Indenture to affect, disturb or prejudice the rights of any other Holders of Securities of the same series, in the case of any Event of Default described in clause (1), (2), (3), (4) or (7) of Section 5.01, or of Holders of all Securities in the case of any Event of Default described in clause (5) or (6) of Section 5.01, or to obtain or to seek to obtain priority or preference over any other of such Holders or to enforce any right under this Indenture, except in the manner herein provided and for the equal and ratable benefit of all Holders of Securities of the same series, in the case of any Event of Default described in clause (1), (2), (3), (4) or (7) of Section 5.01, or of Holders of all Securities in the case of any Event of Default described in clause (5) or (6) of Section 5.01.</w:t>
      </w:r>
    </w:p>
    <w:p>
      <w:pPr>
        <w:spacing w:after="0" w:line="123"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5.08</w:t>
      </w:r>
      <w:r>
        <w:rPr>
          <w:sz w:val="20"/>
          <w:szCs w:val="20"/>
          <w:color w:val="auto"/>
        </w:rPr>
        <w:tab/>
      </w:r>
      <w:r>
        <w:rPr>
          <w:rFonts w:ascii="Times New Roman" w:cs="Times New Roman" w:eastAsia="Times New Roman" w:hAnsi="Times New Roman"/>
          <w:sz w:val="18"/>
          <w:szCs w:val="18"/>
          <w:b w:val="1"/>
          <w:bCs w:val="1"/>
          <w:color w:val="auto"/>
        </w:rPr>
        <w:t>Unconditional Right of Holders to Receive Principal, Premium and Interest</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568"/>
        <w:spacing w:after="0" w:line="239" w:lineRule="auto"/>
        <w:rPr>
          <w:sz w:val="20"/>
          <w:szCs w:val="20"/>
          <w:color w:val="auto"/>
        </w:rPr>
      </w:pPr>
      <w:r>
        <w:rPr>
          <w:rFonts w:ascii="Times New Roman" w:cs="Times New Roman" w:eastAsia="Times New Roman" w:hAnsi="Times New Roman"/>
          <w:sz w:val="19"/>
          <w:szCs w:val="19"/>
          <w:color w:val="auto"/>
        </w:rPr>
        <w:t>Notwithstanding any other provision in this Indenture, the Holder of any Security shall have the right, which is absolute and unconditional, to receive payment, as provided herein (including, if applicable, Article Fourteen) and in such Security, of the principal of and premium (if any) and (subject to Section 3.07) interest (if any) on, such Security on the respective Stated Maturities expressed in such Security (or, in the case of redemption, on the Redemption Date or, in the case of repayment at the option of the Holder as contemplated by Article Twelve, on the Repayment Date) and subject to the limitations on a Holder's ability to institute suit contained Section 5.07, to institute suit for the enforcement of any such payment, and such rights shall not be impaired without the consent of such Holder.</w:t>
      </w:r>
    </w:p>
    <w:p>
      <w:pPr>
        <w:spacing w:after="0" w:line="122"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5.09</w:t>
      </w:r>
      <w:r>
        <w:rPr>
          <w:sz w:val="20"/>
          <w:szCs w:val="20"/>
          <w:color w:val="auto"/>
        </w:rPr>
        <w:tab/>
      </w:r>
      <w:r>
        <w:rPr>
          <w:rFonts w:ascii="Times New Roman" w:cs="Times New Roman" w:eastAsia="Times New Roman" w:hAnsi="Times New Roman"/>
          <w:sz w:val="18"/>
          <w:szCs w:val="18"/>
          <w:b w:val="1"/>
          <w:bCs w:val="1"/>
          <w:color w:val="auto"/>
        </w:rPr>
        <w:t>Restoration of Rights and Remedies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If either Trustee or any Holder has instituted any proceeding to enforce any right or remedy under this Indenture and such proceeding has been discontinued or abandoned for any reason, or has been determined adversely to such Trustee or to such Holder, then and in every such case, subject to any determination in such proceeding, the Company, the Trustees and the Holders of Securities shall be restored severally and respectively to their former positions hereunder and thereafter all rights and remedies of the Trustees and the Holders shall continue as though no such proceeding had been instituted.</w:t>
      </w:r>
    </w:p>
    <w:p>
      <w:pPr>
        <w:spacing w:after="0" w:line="129"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5.10</w:t>
      </w:r>
      <w:r>
        <w:rPr>
          <w:sz w:val="20"/>
          <w:szCs w:val="20"/>
          <w:color w:val="auto"/>
        </w:rPr>
        <w:tab/>
      </w:r>
      <w:r>
        <w:rPr>
          <w:rFonts w:ascii="Times New Roman" w:cs="Times New Roman" w:eastAsia="Times New Roman" w:hAnsi="Times New Roman"/>
          <w:sz w:val="18"/>
          <w:szCs w:val="18"/>
          <w:b w:val="1"/>
          <w:bCs w:val="1"/>
          <w:color w:val="auto"/>
        </w:rPr>
        <w:t>Rights and Remedies Cumulative</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39" w:lineRule="auto"/>
        <w:rPr>
          <w:sz w:val="20"/>
          <w:szCs w:val="20"/>
          <w:color w:val="auto"/>
        </w:rPr>
      </w:pPr>
      <w:r>
        <w:rPr>
          <w:rFonts w:ascii="Times New Roman" w:cs="Times New Roman" w:eastAsia="Times New Roman" w:hAnsi="Times New Roman"/>
          <w:sz w:val="19"/>
          <w:szCs w:val="19"/>
          <w:color w:val="auto"/>
        </w:rPr>
        <w:t>Except as otherwise provided with respect to the replacement or payment of mutilated, destroyed, lost or stolen Securities in the last paragraph of Section 3.06, no right or remedy herein conferred upon or reserved to the Trustees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07" w:name="page108"/>
    <w:bookmarkEnd w:id="107"/>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5.11</w:t>
      </w:r>
      <w:r>
        <w:rPr>
          <w:sz w:val="20"/>
          <w:szCs w:val="20"/>
          <w:color w:val="auto"/>
        </w:rPr>
        <w:tab/>
      </w:r>
      <w:r>
        <w:rPr>
          <w:rFonts w:ascii="Times New Roman" w:cs="Times New Roman" w:eastAsia="Times New Roman" w:hAnsi="Times New Roman"/>
          <w:sz w:val="18"/>
          <w:szCs w:val="18"/>
          <w:b w:val="1"/>
          <w:bCs w:val="1"/>
          <w:color w:val="auto"/>
        </w:rPr>
        <w:t>Delay or Omission Not Waiver</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568"/>
        <w:spacing w:after="0" w:line="243" w:lineRule="auto"/>
        <w:rPr>
          <w:sz w:val="20"/>
          <w:szCs w:val="20"/>
          <w:color w:val="auto"/>
        </w:rPr>
      </w:pPr>
      <w:r>
        <w:rPr>
          <w:rFonts w:ascii="Times New Roman" w:cs="Times New Roman" w:eastAsia="Times New Roman" w:hAnsi="Times New Roman"/>
          <w:sz w:val="19"/>
          <w:szCs w:val="19"/>
          <w:color w:val="auto"/>
        </w:rPr>
        <w:t>No delay or omission of the Trustees or of any Holder of any Security to exercise any right or remedy accruing upon any Event of Default shall impair any such right or remedy or constitute a waiver of any such Event of Default or an acquiescence therein. Every right and remedy given by this Article Five or by law to the Trustees or to the Holders may be exercised from time to time, and as often as may be deemed expedient, by the Trustees or by the Holders, as the case may be.</w:t>
      </w:r>
    </w:p>
    <w:p>
      <w:pPr>
        <w:spacing w:after="0" w:line="128"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5.12</w:t>
      </w:r>
      <w:r>
        <w:rPr>
          <w:sz w:val="20"/>
          <w:szCs w:val="20"/>
          <w:color w:val="auto"/>
        </w:rPr>
        <w:tab/>
      </w:r>
      <w:r>
        <w:rPr>
          <w:rFonts w:ascii="Times New Roman" w:cs="Times New Roman" w:eastAsia="Times New Roman" w:hAnsi="Times New Roman"/>
          <w:sz w:val="18"/>
          <w:szCs w:val="18"/>
          <w:b w:val="1"/>
          <w:bCs w:val="1"/>
          <w:color w:val="auto"/>
        </w:rPr>
        <w:t>Control by Holders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39" w:lineRule="auto"/>
        <w:rPr>
          <w:sz w:val="20"/>
          <w:szCs w:val="20"/>
          <w:color w:val="auto"/>
        </w:rPr>
      </w:pPr>
      <w:r>
        <w:rPr>
          <w:rFonts w:ascii="Times New Roman" w:cs="Times New Roman" w:eastAsia="Times New Roman" w:hAnsi="Times New Roman"/>
          <w:sz w:val="19"/>
          <w:szCs w:val="19"/>
          <w:color w:val="auto"/>
        </w:rPr>
        <w:t xml:space="preserve">With respect to the Securities of any series, the Holders of not less than a majority in principal amount of the Outstanding Securities of such series shall have the right to direct the time, method and place of conducting any proceeding for any remedy available to the Trustees, or exercising any trust or power conferred on the Trustees, relating to or arising under clause (1), (2), (3), (4) or (7) of Section 5.01, and, with respect to all Securities, the Holders of not less than a majority in principal amount of all Outstanding Securities shall have the right to direct the time, method and place of conducting any proceeding for any remedy available to the Trustees, or exercising any trust or power conferred on the Trustees, not relating to or arising under clause (1), (2), (3), (4) or (7) of Section 5.01,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each case</w:t>
      </w:r>
    </w:p>
    <w:p>
      <w:pPr>
        <w:spacing w:after="0" w:line="126" w:lineRule="exact"/>
        <w:rPr>
          <w:sz w:val="20"/>
          <w:szCs w:val="20"/>
          <w:color w:val="auto"/>
        </w:rPr>
      </w:pPr>
    </w:p>
    <w:p>
      <w:pPr>
        <w:ind w:left="1180" w:hanging="618"/>
        <w:spacing w:after="0"/>
        <w:tabs>
          <w:tab w:leader="none" w:pos="11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direction shall not be in conflict with any rule of law or with this Indenture,</w:t>
      </w:r>
    </w:p>
    <w:p>
      <w:pPr>
        <w:spacing w:after="0" w:line="159" w:lineRule="exact"/>
        <w:rPr>
          <w:rFonts w:ascii="Times New Roman" w:cs="Times New Roman" w:eastAsia="Times New Roman" w:hAnsi="Times New Roman"/>
          <w:sz w:val="19"/>
          <w:szCs w:val="19"/>
          <w:color w:val="auto"/>
        </w:rPr>
      </w:pPr>
    </w:p>
    <w:p>
      <w:pPr>
        <w:ind w:left="1180" w:hanging="618"/>
        <w:spacing w:after="0"/>
        <w:tabs>
          <w:tab w:leader="none" w:pos="11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Trustees may take any other action deemed proper by the Trustees which is not inconsistent with such direction, and</w:t>
      </w:r>
    </w:p>
    <w:p>
      <w:pPr>
        <w:spacing w:after="0" w:line="148" w:lineRule="exact"/>
        <w:rPr>
          <w:rFonts w:ascii="Times New Roman" w:cs="Times New Roman" w:eastAsia="Times New Roman" w:hAnsi="Times New Roman"/>
          <w:sz w:val="19"/>
          <w:szCs w:val="19"/>
          <w:color w:val="auto"/>
        </w:rPr>
      </w:pPr>
    </w:p>
    <w:p>
      <w:pPr>
        <w:ind w:left="1140" w:right="20" w:hanging="578"/>
        <w:spacing w:after="0" w:line="262" w:lineRule="auto"/>
        <w:tabs>
          <w:tab w:leader="none" w:pos="1182"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Trustees need not take any action which might involve them in personal liability or be unjustly prejudicial to the Holders of Securities of such series not consenting.</w:t>
      </w:r>
    </w:p>
    <w:p>
      <w:pPr>
        <w:spacing w:after="0" w:line="98"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5.13</w:t>
      </w:r>
      <w:r>
        <w:rPr>
          <w:sz w:val="20"/>
          <w:szCs w:val="20"/>
          <w:color w:val="auto"/>
        </w:rPr>
        <w:tab/>
      </w:r>
      <w:r>
        <w:rPr>
          <w:rFonts w:ascii="Times New Roman" w:cs="Times New Roman" w:eastAsia="Times New Roman" w:hAnsi="Times New Roman"/>
          <w:sz w:val="18"/>
          <w:szCs w:val="18"/>
          <w:b w:val="1"/>
          <w:bCs w:val="1"/>
          <w:color w:val="auto"/>
        </w:rPr>
        <w:t>Waiver of Past Defaults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right="20" w:firstLine="568"/>
        <w:spacing w:after="0" w:line="243" w:lineRule="auto"/>
        <w:rPr>
          <w:sz w:val="20"/>
          <w:szCs w:val="20"/>
          <w:color w:val="auto"/>
        </w:rPr>
      </w:pPr>
      <w:r>
        <w:rPr>
          <w:rFonts w:ascii="Times New Roman" w:cs="Times New Roman" w:eastAsia="Times New Roman" w:hAnsi="Times New Roman"/>
          <w:sz w:val="19"/>
          <w:szCs w:val="19"/>
          <w:color w:val="auto"/>
        </w:rPr>
        <w:t>Subject to Section 5.02, the Holders of not less than a majority in principal amount of the Outstanding Securities of any series may on behalf of the Holders of all the Securities of such series waive any past Default described in clause (1), (2), (3), (4) or (7) of Section 5.01 (or, in the case of a Default described in clause (5) or (6) of Section 5.01, the Holders of not less than a majority in principal amount of all Outstanding Securities may waive any such past Default), and its consequences, except a default</w:t>
      </w:r>
    </w:p>
    <w:p>
      <w:pPr>
        <w:spacing w:after="0" w:line="120" w:lineRule="exact"/>
        <w:rPr>
          <w:sz w:val="20"/>
          <w:szCs w:val="20"/>
          <w:color w:val="auto"/>
        </w:rPr>
      </w:pPr>
    </w:p>
    <w:p>
      <w:pPr>
        <w:ind w:left="1180" w:hanging="618"/>
        <w:spacing w:after="0"/>
        <w:tabs>
          <w:tab w:leader="none" w:pos="118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respect of the payment of the principal of, premium (if any) or interest (if any) on any Security, or</w:t>
      </w:r>
    </w:p>
    <w:p>
      <w:pPr>
        <w:spacing w:after="0" w:line="148" w:lineRule="exact"/>
        <w:rPr>
          <w:rFonts w:ascii="Times New Roman" w:cs="Times New Roman" w:eastAsia="Times New Roman" w:hAnsi="Times New Roman"/>
          <w:sz w:val="19"/>
          <w:szCs w:val="19"/>
          <w:color w:val="auto"/>
        </w:rPr>
      </w:pPr>
    </w:p>
    <w:p>
      <w:pPr>
        <w:ind w:left="1140" w:right="20" w:hanging="578"/>
        <w:spacing w:after="0" w:line="262" w:lineRule="auto"/>
        <w:tabs>
          <w:tab w:leader="none" w:pos="1182"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respect of a covenant or provision herein which under Article Nine cannot be modified or amended without the consent of the Holder of each outstanding Security of such series affected.</w:t>
      </w:r>
    </w:p>
    <w:p>
      <w:pPr>
        <w:spacing w:after="0" w:line="114" w:lineRule="exact"/>
        <w:rPr>
          <w:sz w:val="20"/>
          <w:szCs w:val="20"/>
          <w:color w:val="auto"/>
        </w:rPr>
      </w:pPr>
    </w:p>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Upon any such waiver, any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08" w:name="page109"/>
    <w:bookmarkEnd w:id="108"/>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5.14</w:t>
      </w:r>
      <w:r>
        <w:rPr>
          <w:sz w:val="20"/>
          <w:szCs w:val="20"/>
          <w:color w:val="auto"/>
        </w:rPr>
        <w:tab/>
      </w:r>
      <w:r>
        <w:rPr>
          <w:rFonts w:ascii="Times New Roman" w:cs="Times New Roman" w:eastAsia="Times New Roman" w:hAnsi="Times New Roman"/>
          <w:sz w:val="18"/>
          <w:szCs w:val="18"/>
          <w:b w:val="1"/>
          <w:bCs w:val="1"/>
          <w:color w:val="auto"/>
        </w:rPr>
        <w:t>Waiver of Stay or Extension Laws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Trustees, but will suffer and permit the execution of every such power as though no such law had been enacted.</w:t>
      </w:r>
    </w:p>
    <w:p>
      <w:pPr>
        <w:spacing w:after="0" w:line="129"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5.15</w:t>
      </w:r>
      <w:r>
        <w:rPr>
          <w:sz w:val="20"/>
          <w:szCs w:val="20"/>
          <w:color w:val="auto"/>
        </w:rPr>
        <w:tab/>
      </w:r>
      <w:r>
        <w:rPr>
          <w:rFonts w:ascii="Times New Roman" w:cs="Times New Roman" w:eastAsia="Times New Roman" w:hAnsi="Times New Roman"/>
          <w:sz w:val="18"/>
          <w:szCs w:val="18"/>
          <w:b w:val="1"/>
          <w:bCs w:val="1"/>
          <w:color w:val="auto"/>
        </w:rPr>
        <w:t>Undertaking for Costs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39" w:lineRule="auto"/>
        <w:rPr>
          <w:sz w:val="20"/>
          <w:szCs w:val="20"/>
          <w:color w:val="auto"/>
        </w:rPr>
      </w:pPr>
      <w:r>
        <w:rPr>
          <w:rFonts w:ascii="Times New Roman" w:cs="Times New Roman" w:eastAsia="Times New Roman" w:hAnsi="Times New Roman"/>
          <w:sz w:val="19"/>
          <w:szCs w:val="19"/>
          <w:color w:val="auto"/>
        </w:rPr>
        <w:t xml:space="preserve">In any suit for the enforcement of any right or remedy under this Indenture, or in any suit against either Trustee for any action taken, suffered or omitted by it as Trustee, a court may require any party litigant in such suit to file an undertaking to pay the costs of such suit, and may assess costs against any such party litigant, in the manner and to the extent provided in Trust Indenture Legislation;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neither this Section 5.15 nor the provisions of TIA Section 315(e) shall apply to any suit instituted by either Trustee or by any Holder or group of Holders holding more than 10% in principal amount of all Outstanding Securities or by any Holder of any Security on any suit for the enforcement of the right to receive the principal of and interest on any such Securities.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SIX</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THE TRUSTEES</w:t>
      </w:r>
    </w:p>
    <w:p>
      <w:pPr>
        <w:spacing w:after="0" w:line="136"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6.01</w:t>
      </w:r>
      <w:r>
        <w:rPr>
          <w:sz w:val="20"/>
          <w:szCs w:val="20"/>
          <w:color w:val="auto"/>
        </w:rPr>
        <w:tab/>
      </w:r>
      <w:r>
        <w:rPr>
          <w:rFonts w:ascii="Times New Roman" w:cs="Times New Roman" w:eastAsia="Times New Roman" w:hAnsi="Times New Roman"/>
          <w:sz w:val="18"/>
          <w:szCs w:val="18"/>
          <w:b w:val="1"/>
          <w:bCs w:val="1"/>
          <w:color w:val="auto"/>
        </w:rPr>
        <w:t>Notice of Defaults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37" w:lineRule="auto"/>
        <w:rPr>
          <w:sz w:val="20"/>
          <w:szCs w:val="20"/>
          <w:color w:val="auto"/>
        </w:rPr>
      </w:pPr>
      <w:r>
        <w:rPr>
          <w:rFonts w:ascii="Times New Roman" w:cs="Times New Roman" w:eastAsia="Times New Roman" w:hAnsi="Times New Roman"/>
          <w:sz w:val="19"/>
          <w:szCs w:val="19"/>
          <w:color w:val="auto"/>
        </w:rPr>
        <w:t xml:space="preserve">Each Trustee shall promptly give the other Trustee notice of any Default or Event of Default known to it. Within a reasonable time, but no more than 30 days after either Trustee has knowledge of any Default hereunder with respect to the Securities of any series, one or both of the Trustees shall transmit in the manner and to the extent provided in Trust Indenture Legislation, including TIA Section 313(c), notice to the Holders of such Default hereunder known to either Trustee, unless such Default shall have been cured or waived (and, in the case where such Default shall have been cured, the Trustees shall notify the Holders in writing of such cure in writing within a reasonable time, but not exceeding 30 days, after the Trustees have become aware that the Default has been cured);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except in the case of a Default in the payment of the principal of, premium (if any) or interest (if any) on any Security of such series or in the payment of any sinking fund installment with respect to Securities of such series, the Trustees shall be protected in withholding such notice if and so long as the board of directors, the executive committee or a trust committee of directors and/or Responsible Officers of each Trustee in good faith determine that the withholding of such notice is in the interest of the Holders of Securities of such series;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in the case of any Default of the character specified in clause (4) of Section 5.01 with respect to Securities of such series, no such notice to Holders shall be given until at least 30 days after the occurrence thereof.</w:t>
      </w:r>
    </w:p>
    <w:p>
      <w:pPr>
        <w:spacing w:after="0" w:line="118"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6.02</w:t>
      </w:r>
      <w:r>
        <w:rPr>
          <w:sz w:val="20"/>
          <w:szCs w:val="20"/>
          <w:color w:val="auto"/>
        </w:rPr>
        <w:tab/>
      </w:r>
      <w:r>
        <w:rPr>
          <w:rFonts w:ascii="Times New Roman" w:cs="Times New Roman" w:eastAsia="Times New Roman" w:hAnsi="Times New Roman"/>
          <w:sz w:val="18"/>
          <w:szCs w:val="18"/>
          <w:b w:val="1"/>
          <w:bCs w:val="1"/>
          <w:color w:val="auto"/>
        </w:rPr>
        <w:t>Certain Duties and Responsibilities of Trustees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562"/>
        <w:spacing w:after="0" w:line="248" w:lineRule="auto"/>
        <w:tabs>
          <w:tab w:leader="none" w:pos="1153"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Trustees, prior to the occurrence of an Event of Default and after the curing of all Events of Default that may have occurred, shall undertake to perform with respect to the Securities of any series such duties and only such duties as are specifically set forth in this Indenture, and no implied covenants shall be read into this Indenture against the Trustees.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09" w:name="page110"/>
    <w:bookmarkEnd w:id="109"/>
    <w:p>
      <w:pPr>
        <w:jc w:val="both"/>
        <w:ind w:firstLine="562"/>
        <w:spacing w:after="0" w:line="243" w:lineRule="auto"/>
        <w:tabs>
          <w:tab w:leader="none" w:pos="1154"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all instances, in the exercise of the powers, rights, duties and discharge of obligations prescribed or conferred by the terms of this Indenture, each Trustee shall act honestly and in good faith with a view to the best interests of the Holders and exercise that degree of care, diligence and skill that a reasonably prudent trustee in respect of indentures for the purpose of issuing corporate debt obligations would exercise in comparable circumstances.</w:t>
      </w:r>
    </w:p>
    <w:p>
      <w:pPr>
        <w:spacing w:after="0" w:line="121" w:lineRule="exact"/>
        <w:rPr>
          <w:rFonts w:ascii="Times New Roman" w:cs="Times New Roman" w:eastAsia="Times New Roman" w:hAnsi="Times New Roman"/>
          <w:sz w:val="19"/>
          <w:szCs w:val="19"/>
          <w:color w:val="auto"/>
        </w:rPr>
      </w:pPr>
    </w:p>
    <w:p>
      <w:pPr>
        <w:ind w:right="20" w:firstLine="562"/>
        <w:spacing w:after="0" w:line="262" w:lineRule="auto"/>
        <w:tabs>
          <w:tab w:leader="none" w:pos="1153"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provision of this Indenture shall be construed to relieve each Trustee from liability for its own actions or failure to act in accordance with Subsection 6.02(b), except that:</w:t>
      </w:r>
    </w:p>
    <w:p>
      <w:pPr>
        <w:spacing w:after="0" w:line="114" w:lineRule="exact"/>
        <w:rPr>
          <w:rFonts w:ascii="Times New Roman" w:cs="Times New Roman" w:eastAsia="Times New Roman" w:hAnsi="Times New Roman"/>
          <w:sz w:val="19"/>
          <w:szCs w:val="19"/>
          <w:color w:val="auto"/>
        </w:rPr>
      </w:pPr>
    </w:p>
    <w:p>
      <w:pPr>
        <w:ind w:left="1700" w:right="20" w:hanging="570"/>
        <w:spacing w:after="0" w:line="262" w:lineRule="auto"/>
        <w:tabs>
          <w:tab w:leader="none" w:pos="1715"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the occurrence of an Event of Default and after the curing or waiving of all such Events of Default that may have occurred:</w:t>
      </w:r>
    </w:p>
    <w:p>
      <w:pPr>
        <w:spacing w:after="0" w:line="102" w:lineRule="exact"/>
        <w:rPr>
          <w:rFonts w:ascii="Times New Roman" w:cs="Times New Roman" w:eastAsia="Times New Roman" w:hAnsi="Times New Roman"/>
          <w:sz w:val="19"/>
          <w:szCs w:val="19"/>
          <w:color w:val="auto"/>
        </w:rPr>
      </w:pPr>
    </w:p>
    <w:p>
      <w:pPr>
        <w:jc w:val="both"/>
        <w:ind w:left="2260" w:hanging="562"/>
        <w:spacing w:after="0" w:line="243" w:lineRule="auto"/>
        <w:tabs>
          <w:tab w:leader="none" w:pos="2299" w:val="left"/>
        </w:tabs>
        <w:numPr>
          <w:ilvl w:val="2"/>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duties and obligations of each Trustee with respect to the Securities of any series shall be determined solely by the express provisions of this Indenture, and the Trustees shall not be liable except for the performance of such duties and obligations as are specifically set forth in this Indenture, and no implied covenants or obligations shall be read into this Indenture against the Trustees; and</w:t>
      </w:r>
    </w:p>
    <w:p>
      <w:pPr>
        <w:spacing w:after="0" w:line="120" w:lineRule="exact"/>
        <w:rPr>
          <w:rFonts w:ascii="Times New Roman" w:cs="Times New Roman" w:eastAsia="Times New Roman" w:hAnsi="Times New Roman"/>
          <w:sz w:val="19"/>
          <w:szCs w:val="19"/>
          <w:color w:val="auto"/>
        </w:rPr>
      </w:pPr>
    </w:p>
    <w:p>
      <w:pPr>
        <w:jc w:val="both"/>
        <w:ind w:left="2260" w:hanging="562"/>
        <w:spacing w:after="0" w:line="238" w:lineRule="auto"/>
        <w:tabs>
          <w:tab w:leader="none" w:pos="2299" w:val="left"/>
        </w:tabs>
        <w:numPr>
          <w:ilvl w:val="2"/>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absence of bad faith on the part of either Trustee, such Trustee may conclusively rely, as to the truth of the statements and the correctness of the opinions expressed therein, upon any certificates or opinions furnished to the Trustees and conforming to the requirements of this Indenture and Trust Indenture Legislation; but in the case of any such certificates or opinions that by any provision hereof are specifically required to be furnished to the Trustees, the Trustees shall be under a duty to examine the same to determine whether or not they conform to the requirements of this Indenture;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the Canadian Trustee shall not be required to determine whether the certificates or opinions presented to it conform to the Trust Indenture Act and the U.S. Trustee shall not be required to determine whether the certificates or opinions presented to it conform to Canadian Trust Indenture Legislation.</w:t>
      </w:r>
    </w:p>
    <w:p>
      <w:pPr>
        <w:spacing w:after="0" w:line="135" w:lineRule="exact"/>
        <w:rPr>
          <w:rFonts w:ascii="Times New Roman" w:cs="Times New Roman" w:eastAsia="Times New Roman" w:hAnsi="Times New Roman"/>
          <w:sz w:val="19"/>
          <w:szCs w:val="19"/>
          <w:color w:val="auto"/>
        </w:rPr>
      </w:pPr>
    </w:p>
    <w:p>
      <w:pPr>
        <w:jc w:val="both"/>
        <w:ind w:left="1700" w:hanging="570"/>
        <w:spacing w:after="0" w:line="243" w:lineRule="auto"/>
        <w:tabs>
          <w:tab w:leader="none" w:pos="1743"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Trustees shall not be liable with respect to any action taken or omitted to be taken by them in good faith in accordance with the direction of the Holders of not less than a majority in principal amount of the Securities of any series at the time Outstanding relating to the time, method and place of conducting any proceeding for any remedy available to the Trustees, or exercising any trust or power conferred upon the Trustees under this Indenture;</w:t>
      </w:r>
    </w:p>
    <w:p>
      <w:pPr>
        <w:spacing w:after="0" w:line="120" w:lineRule="exact"/>
        <w:rPr>
          <w:rFonts w:ascii="Times New Roman" w:cs="Times New Roman" w:eastAsia="Times New Roman" w:hAnsi="Times New Roman"/>
          <w:sz w:val="19"/>
          <w:szCs w:val="19"/>
          <w:color w:val="auto"/>
        </w:rPr>
      </w:pPr>
    </w:p>
    <w:p>
      <w:pPr>
        <w:jc w:val="both"/>
        <w:ind w:left="1700" w:hanging="570"/>
        <w:spacing w:after="0" w:line="248" w:lineRule="auto"/>
        <w:tabs>
          <w:tab w:leader="none" w:pos="1747"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provisions contained in this Indenture shall require either Trustee to expend or risk their own funds or otherwise incur personal or any financial liability in the performance of any of their duties or in the exercise of any of their rights or powers; and</w:t>
      </w:r>
    </w:p>
    <w:p>
      <w:pPr>
        <w:spacing w:after="0" w:line="115" w:lineRule="exact"/>
        <w:rPr>
          <w:rFonts w:ascii="Times New Roman" w:cs="Times New Roman" w:eastAsia="Times New Roman" w:hAnsi="Times New Roman"/>
          <w:sz w:val="19"/>
          <w:szCs w:val="19"/>
          <w:color w:val="auto"/>
        </w:rPr>
      </w:pPr>
    </w:p>
    <w:p>
      <w:pPr>
        <w:jc w:val="both"/>
        <w:ind w:left="1700" w:right="20" w:hanging="570"/>
        <w:spacing w:after="0" w:line="248" w:lineRule="auto"/>
        <w:tabs>
          <w:tab w:leader="none" w:pos="1746"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or not therein expressly so provided, except to the extent expressly provided herein to the contrary, every provision of this Indenture relating to the conduct or effecting the liability or affording protection to the Trustees shall be subject to the provisions of this Section 6.02.</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10" w:name="page111"/>
    <w:bookmarkEnd w:id="110"/>
    <w:p>
      <w:pPr>
        <w:jc w:val="both"/>
        <w:ind w:firstLine="562"/>
        <w:spacing w:after="0" w:line="243" w:lineRule="auto"/>
        <w:tabs>
          <w:tab w:leader="none" w:pos="1154"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provisions of this Section 6.02 or any provision in this Indenture or in the Securities, the Trustees will not be charged with knowledge of the existence of any Event of Default or any other fact that would prohibit the making of any payment of monies to or by the Trustees, or the taking of any other action by the Trustees, unless and until the Trustees have received written notice thereof from the Company or any Holder.</w:t>
      </w:r>
    </w:p>
    <w:p>
      <w:pPr>
        <w:spacing w:after="0" w:line="117"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6.03</w:t>
      </w:r>
      <w:r>
        <w:rPr>
          <w:sz w:val="20"/>
          <w:szCs w:val="20"/>
          <w:color w:val="auto"/>
        </w:rPr>
        <w:tab/>
      </w:r>
      <w:r>
        <w:rPr>
          <w:rFonts w:ascii="Times New Roman" w:cs="Times New Roman" w:eastAsia="Times New Roman" w:hAnsi="Times New Roman"/>
          <w:sz w:val="18"/>
          <w:szCs w:val="18"/>
          <w:b w:val="1"/>
          <w:bCs w:val="1"/>
          <w:color w:val="auto"/>
        </w:rPr>
        <w:t>Certain Rights of Trustees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Subject to the provisions of TIA Sections 315(a) through 315(d):</w:t>
      </w:r>
    </w:p>
    <w:p>
      <w:pPr>
        <w:spacing w:after="0" w:line="148" w:lineRule="exact"/>
        <w:rPr>
          <w:sz w:val="20"/>
          <w:szCs w:val="20"/>
          <w:color w:val="auto"/>
        </w:rPr>
      </w:pPr>
    </w:p>
    <w:p>
      <w:pPr>
        <w:jc w:val="both"/>
        <w:ind w:left="1140" w:right="20" w:hanging="578"/>
        <w:spacing w:after="0" w:line="248" w:lineRule="auto"/>
        <w:tabs>
          <w:tab w:leader="none" w:pos="1182"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Trustees may rely and shall be protected in acting or refraining from acting upon any resolution, certificate, statement, instrument, opinion, report, notice, request, direction, consent, order, bond, debenture, note, other evidence of indebtedness or other paper or document believed by them to be genuine and to have been signed or presented by the proper party or parties;</w:t>
      </w:r>
    </w:p>
    <w:p>
      <w:pPr>
        <w:spacing w:after="0" w:line="115" w:lineRule="exact"/>
        <w:rPr>
          <w:rFonts w:ascii="Times New Roman" w:cs="Times New Roman" w:eastAsia="Times New Roman" w:hAnsi="Times New Roman"/>
          <w:sz w:val="19"/>
          <w:szCs w:val="19"/>
          <w:color w:val="auto"/>
        </w:rPr>
      </w:pPr>
    </w:p>
    <w:p>
      <w:pPr>
        <w:ind w:left="1140" w:right="20" w:hanging="578"/>
        <w:spacing w:after="0" w:line="262" w:lineRule="auto"/>
        <w:tabs>
          <w:tab w:leader="none" w:pos="1182"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114" w:lineRule="exact"/>
        <w:rPr>
          <w:rFonts w:ascii="Times New Roman" w:cs="Times New Roman" w:eastAsia="Times New Roman" w:hAnsi="Times New Roman"/>
          <w:sz w:val="19"/>
          <w:szCs w:val="19"/>
          <w:color w:val="auto"/>
        </w:rPr>
      </w:pPr>
    </w:p>
    <w:p>
      <w:pPr>
        <w:jc w:val="both"/>
        <w:ind w:left="1140" w:right="20" w:hanging="578"/>
        <w:spacing w:after="0" w:line="248" w:lineRule="auto"/>
        <w:tabs>
          <w:tab w:leader="none" w:pos="1182"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whenever in the administration of this Indenture the Trustees shall deem it desirable that a matter be proved or established prior to taking, suffering or omitting any action hereunder, each Trustee (unless other evidence be herein specifically prescribed) may, in the absence of bad faith on its part, rely upon an Officer's Certificate;</w:t>
      </w:r>
    </w:p>
    <w:p>
      <w:pPr>
        <w:spacing w:after="0" w:line="115" w:lineRule="exact"/>
        <w:rPr>
          <w:rFonts w:ascii="Times New Roman" w:cs="Times New Roman" w:eastAsia="Times New Roman" w:hAnsi="Times New Roman"/>
          <w:sz w:val="19"/>
          <w:szCs w:val="19"/>
          <w:color w:val="auto"/>
        </w:rPr>
      </w:pPr>
    </w:p>
    <w:p>
      <w:pPr>
        <w:jc w:val="both"/>
        <w:ind w:left="1140" w:hanging="578"/>
        <w:spacing w:after="0" w:line="248" w:lineRule="auto"/>
        <w:tabs>
          <w:tab w:leader="none" w:pos="1174"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Trustees may consult with counsel and the written advice of such counsel or any opinion of Counsel shall be full and complete authorization and protection in respect of any action taken, suffered or omitted by them hereunder in good faith and in reliance thereon;</w:t>
      </w:r>
    </w:p>
    <w:p>
      <w:pPr>
        <w:spacing w:after="0" w:line="115" w:lineRule="exact"/>
        <w:rPr>
          <w:rFonts w:ascii="Times New Roman" w:cs="Times New Roman" w:eastAsia="Times New Roman" w:hAnsi="Times New Roman"/>
          <w:sz w:val="19"/>
          <w:szCs w:val="19"/>
          <w:color w:val="auto"/>
        </w:rPr>
      </w:pPr>
    </w:p>
    <w:p>
      <w:pPr>
        <w:jc w:val="both"/>
        <w:ind w:left="1140" w:right="20" w:hanging="578"/>
        <w:spacing w:after="0" w:line="243" w:lineRule="auto"/>
        <w:tabs>
          <w:tab w:leader="none" w:pos="1182"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Trustees shall be under no obligation to exercise any of the rights or powers vested in it by this Indenture at the request or direction of any of the Holders of Securities of any series pursuant to this Indenture, unless such Holders shall have offered to the Trustees reasonable security or indemnity against the costs, expenses and liabilities which might be incurred by them in compliance with such request or direction;</w:t>
      </w:r>
    </w:p>
    <w:p>
      <w:pPr>
        <w:spacing w:after="0" w:line="132" w:lineRule="exact"/>
        <w:rPr>
          <w:rFonts w:ascii="Times New Roman" w:cs="Times New Roman" w:eastAsia="Times New Roman" w:hAnsi="Times New Roman"/>
          <w:sz w:val="19"/>
          <w:szCs w:val="19"/>
          <w:color w:val="auto"/>
        </w:rPr>
      </w:pPr>
    </w:p>
    <w:p>
      <w:pPr>
        <w:jc w:val="both"/>
        <w:ind w:left="1140" w:hanging="578"/>
        <w:spacing w:after="0" w:line="241" w:lineRule="auto"/>
        <w:tabs>
          <w:tab w:leader="none" w:pos="1182"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Trustees shall not be bound to make any investigation into the facts or matters stated in any resolution, certificate, statement, instrument, opinion, report, notice, request, direction, consent, order, bond, debenture, note, other evidence of indebtedness or other paper or document, but the Trustees, in their discretion, may make such further inquiry or investigation into such facts or matters as they may see fit, and, if the Trustees shall determine to make such further inquiry or investigation, they shall be entitled to examine the books, records and premises of the Company, personally or by agent or attorney;</w:t>
      </w:r>
    </w:p>
    <w:p>
      <w:pPr>
        <w:spacing w:after="0" w:line="121" w:lineRule="exact"/>
        <w:rPr>
          <w:rFonts w:ascii="Times New Roman" w:cs="Times New Roman" w:eastAsia="Times New Roman" w:hAnsi="Times New Roman"/>
          <w:sz w:val="19"/>
          <w:szCs w:val="19"/>
          <w:color w:val="auto"/>
        </w:rPr>
      </w:pPr>
    </w:p>
    <w:p>
      <w:pPr>
        <w:ind w:left="1180" w:hanging="618"/>
        <w:spacing w:after="0"/>
        <w:tabs>
          <w:tab w:leader="none" w:pos="118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an Event of Default, the Trustees' powers shall not be infringed upon so long as they act in accordance with Section 6.02(b);</w:t>
      </w:r>
    </w:p>
    <w:p>
      <w:pPr>
        <w:spacing w:after="0" w:line="148" w:lineRule="exact"/>
        <w:rPr>
          <w:rFonts w:ascii="Times New Roman" w:cs="Times New Roman" w:eastAsia="Times New Roman" w:hAnsi="Times New Roman"/>
          <w:sz w:val="19"/>
          <w:szCs w:val="19"/>
          <w:color w:val="auto"/>
        </w:rPr>
      </w:pPr>
    </w:p>
    <w:p>
      <w:pPr>
        <w:jc w:val="both"/>
        <w:ind w:left="1140" w:right="20" w:hanging="578"/>
        <w:spacing w:after="0" w:line="248" w:lineRule="auto"/>
        <w:tabs>
          <w:tab w:leader="none" w:pos="1182"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Trustees may execute any of the trusts or powers hereunder or perform any duties hereunder either directly or by or through agents or attorneys and the Trustees shall not be responsible for any misconduct or negligence on the part of any agent or attorney appointed with due care by them hereunder; and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11" w:name="page112"/>
    <w:bookmarkEnd w:id="111"/>
    <w:p>
      <w:pPr>
        <w:jc w:val="both"/>
        <w:ind w:left="1140" w:hanging="578"/>
        <w:spacing w:after="0" w:line="248" w:lineRule="auto"/>
        <w:tabs>
          <w:tab w:leader="none" w:pos="1182"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Trustees shall not be liable for any action taken, suffered or omitted by them in good faith and believed by them to be authorized or within the discretion or rights or powers conferred upon them by this Indenture, so long as they act in accordance with this Section 6.02(b).</w:t>
      </w:r>
    </w:p>
    <w:p>
      <w:pPr>
        <w:spacing w:after="0" w:line="112"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6.04</w:t>
      </w:r>
      <w:r>
        <w:rPr>
          <w:sz w:val="20"/>
          <w:szCs w:val="20"/>
          <w:color w:val="auto"/>
        </w:rPr>
        <w:tab/>
      </w:r>
      <w:r>
        <w:rPr>
          <w:rFonts w:ascii="Times New Roman" w:cs="Times New Roman" w:eastAsia="Times New Roman" w:hAnsi="Times New Roman"/>
          <w:sz w:val="18"/>
          <w:szCs w:val="18"/>
          <w:b w:val="1"/>
          <w:bCs w:val="1"/>
          <w:color w:val="auto"/>
        </w:rPr>
        <w:t>Trustees Not Responsible for Recitals or Issuance of Securities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568"/>
        <w:spacing w:after="0" w:line="238" w:lineRule="auto"/>
        <w:rPr>
          <w:sz w:val="20"/>
          <w:szCs w:val="20"/>
          <w:color w:val="auto"/>
        </w:rPr>
      </w:pPr>
      <w:r>
        <w:rPr>
          <w:rFonts w:ascii="Times New Roman" w:cs="Times New Roman" w:eastAsia="Times New Roman" w:hAnsi="Times New Roman"/>
          <w:sz w:val="19"/>
          <w:szCs w:val="19"/>
          <w:color w:val="auto"/>
        </w:rPr>
        <w:t>The recitals contained herein and in the Securities, except for a Trustee's certificate of authentication, shall be taken as the statements of the Company, and neither Trustee nor any Authenticating Agent assumes any responsibility for their correctness. The Trustees make no representations as to the validity or sufficiency of this Indenture or of the Securities , except that the Trustees represent that they are duly authorized to execute and deliver this Indenture, authenticate the Securities and perform their obligations hereunder and that the statements made by the U.S. Trustee in a Statement of Eligibility on Form T-1 supplied to the Company are true and accurate, subject to the qualifications set forth therein. Neither Trustee nor any Authenticating Agent shall be accountable for the use or application by the Company of Securities or the proceeds thereof. Nothing herein contained will impose on either Trustee any obligation to see to, or to require evidence of, the registration or filing (or renewal thereof) of this Indenture or any supplemental indenture. The Trustees shall not be bound to give notice to any person of the execution hereof.</w:t>
      </w:r>
    </w:p>
    <w:p>
      <w:pPr>
        <w:spacing w:after="0" w:line="120"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6.05</w:t>
      </w:r>
      <w:r>
        <w:rPr>
          <w:sz w:val="20"/>
          <w:szCs w:val="20"/>
          <w:color w:val="auto"/>
        </w:rPr>
        <w:tab/>
      </w:r>
      <w:r>
        <w:rPr>
          <w:rFonts w:ascii="Times New Roman" w:cs="Times New Roman" w:eastAsia="Times New Roman" w:hAnsi="Times New Roman"/>
          <w:sz w:val="18"/>
          <w:szCs w:val="18"/>
          <w:b w:val="1"/>
          <w:bCs w:val="1"/>
          <w:color w:val="auto"/>
        </w:rPr>
        <w:t>May Hold Securities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The Trustees, any Authenticating Agent, any Paying Agent, any Security Registrar or any other agent of the Company or of the Trustees, in their individual or any other capacity, may become the owner or pledgee of Securities and, subject to TIA Sections 310(b) and 311, may otherwise deal with the Company, including, without limitation, as a creditor of the Company, with the same rights they would have if they were not Trustees, Authenticating Agent, Paying Agent, Security Registrar or such other agent. A Trustee that has resigned or is removed shall remain subject to TIA Section 311(a) to the extent provided therein.</w:t>
      </w:r>
    </w:p>
    <w:p>
      <w:pPr>
        <w:spacing w:after="0" w:line="129"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6.06</w:t>
      </w:r>
      <w:r>
        <w:rPr>
          <w:sz w:val="20"/>
          <w:szCs w:val="20"/>
          <w:color w:val="auto"/>
        </w:rPr>
        <w:tab/>
      </w:r>
      <w:r>
        <w:rPr>
          <w:rFonts w:ascii="Times New Roman" w:cs="Times New Roman" w:eastAsia="Times New Roman" w:hAnsi="Times New Roman"/>
          <w:sz w:val="18"/>
          <w:szCs w:val="18"/>
          <w:b w:val="1"/>
          <w:bCs w:val="1"/>
          <w:color w:val="auto"/>
        </w:rPr>
        <w:t>Money Held in Trust</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right="20" w:firstLine="568"/>
        <w:spacing w:after="0" w:line="262" w:lineRule="auto"/>
        <w:rPr>
          <w:sz w:val="20"/>
          <w:szCs w:val="20"/>
          <w:color w:val="auto"/>
        </w:rPr>
      </w:pPr>
      <w:r>
        <w:rPr>
          <w:rFonts w:ascii="Times New Roman" w:cs="Times New Roman" w:eastAsia="Times New Roman" w:hAnsi="Times New Roman"/>
          <w:sz w:val="19"/>
          <w:szCs w:val="19"/>
          <w:color w:val="auto"/>
        </w:rPr>
        <w:t>Money held by the Trustees in trust hereunder need not be segregated from other funds except to the extent required by law. The Trustees shall be under no liability for interest on any money received by them hereunder except as otherwise agreed with the Company.</w:t>
      </w:r>
    </w:p>
    <w:p>
      <w:pPr>
        <w:spacing w:after="0" w:line="98"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6.07</w:t>
      </w:r>
      <w:r>
        <w:rPr>
          <w:sz w:val="20"/>
          <w:szCs w:val="20"/>
          <w:color w:val="auto"/>
        </w:rPr>
        <w:tab/>
      </w:r>
      <w:r>
        <w:rPr>
          <w:rFonts w:ascii="Times New Roman" w:cs="Times New Roman" w:eastAsia="Times New Roman" w:hAnsi="Times New Roman"/>
          <w:sz w:val="18"/>
          <w:szCs w:val="18"/>
          <w:b w:val="1"/>
          <w:bCs w:val="1"/>
          <w:color w:val="auto"/>
        </w:rPr>
        <w:t>Compensation and Reimbursement</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The Company agrees:</w:t>
      </w:r>
    </w:p>
    <w:p>
      <w:pPr>
        <w:spacing w:after="0" w:line="148" w:lineRule="exact"/>
        <w:rPr>
          <w:sz w:val="20"/>
          <w:szCs w:val="20"/>
          <w:color w:val="auto"/>
        </w:rPr>
      </w:pPr>
    </w:p>
    <w:p>
      <w:pPr>
        <w:ind w:left="1140" w:hanging="578"/>
        <w:spacing w:after="0" w:line="262" w:lineRule="auto"/>
        <w:tabs>
          <w:tab w:leader="none" w:pos="1182"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pay to the Trustees from time to time reasonable compensation for all services rendered by them hereunder (which compensation shall not be limited by any provision of law in regard to the compensation of a trustee of an express trust);</w:t>
      </w:r>
    </w:p>
    <w:p>
      <w:pPr>
        <w:spacing w:after="0" w:line="102" w:lineRule="exact"/>
        <w:rPr>
          <w:rFonts w:ascii="Times New Roman" w:cs="Times New Roman" w:eastAsia="Times New Roman" w:hAnsi="Times New Roman"/>
          <w:sz w:val="19"/>
          <w:szCs w:val="19"/>
          <w:color w:val="auto"/>
        </w:rPr>
      </w:pPr>
    </w:p>
    <w:p>
      <w:pPr>
        <w:jc w:val="both"/>
        <w:ind w:left="1140" w:right="20" w:hanging="578"/>
        <w:spacing w:after="0" w:line="241" w:lineRule="auto"/>
        <w:tabs>
          <w:tab w:leader="none" w:pos="1182"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expressly provided herein, to reimburse the Trustees upon their request for all reasonable expenses, disbursements and advances incurred or made by the Trustees in accordance with any provision of this Indenture (including the reasonable compensation and the expenses and disbursements of their agents and counsel), except any such expense, disbursement or advance as may be attributable to the U.S. Trustee's gross negligence or bad faith or the Canadian Trustee's gross negligence or willful misconduct, respectively; and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12" w:name="page113"/>
    <w:bookmarkEnd w:id="112"/>
    <w:p>
      <w:pPr>
        <w:jc w:val="both"/>
        <w:ind w:left="1140" w:right="20" w:hanging="578"/>
        <w:spacing w:after="0" w:line="239" w:lineRule="auto"/>
        <w:tabs>
          <w:tab w:leader="none" w:pos="1182"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indemnify the Trustees for, and to hold them and their directors, officers, agents, representatives, successors, assigns and employees harmless against, any loss, liability or expense incurred without gross negligence or bad faith on the part of the U.S. Trustee, or gross negligence or willful misconduct on the part of the Canadian Trustee, respectively, arising out of or in connection with the acceptance or administration of the trust or trusts hereunder, including reasonable attorneys' fees and other reasonable costs and expenses of defending themselves against any claim or liability in connection with the exercise or performance of any of their powers or duties hereunder.</w:t>
      </w:r>
    </w:p>
    <w:p>
      <w:pPr>
        <w:spacing w:after="0" w:line="126" w:lineRule="exact"/>
        <w:rPr>
          <w:sz w:val="20"/>
          <w:szCs w:val="20"/>
          <w:color w:val="auto"/>
        </w:rPr>
      </w:pPr>
    </w:p>
    <w:p>
      <w:pPr>
        <w:jc w:val="both"/>
        <w:ind w:right="20" w:firstLine="568"/>
        <w:spacing w:after="0" w:line="241" w:lineRule="auto"/>
        <w:rPr>
          <w:sz w:val="20"/>
          <w:szCs w:val="20"/>
          <w:color w:val="auto"/>
        </w:rPr>
      </w:pPr>
      <w:r>
        <w:rPr>
          <w:rFonts w:ascii="Times New Roman" w:cs="Times New Roman" w:eastAsia="Times New Roman" w:hAnsi="Times New Roman"/>
          <w:sz w:val="19"/>
          <w:szCs w:val="19"/>
          <w:color w:val="auto"/>
        </w:rPr>
        <w:t>The obligations of the Company under this Section 6.07 to compensate the Trustees, to pay or reimburse the Trustees for expenses, disbursements and advances and to indemnify and hold harmless the Trustees shall constitute additional indebtedness hereunder and shall survive the satisfaction and discharge of this Indenture and the resignation or removal of the Trustee. As security for the performance of such obligations of the Company, the Trustees shall have a claim prior to the Securities upon all property and funds held or collected by the Trustees as such, except funds held in trust for the payment of principal of, premium (if any) or interest (if any) on particular Securities.</w:t>
      </w:r>
    </w:p>
    <w:p>
      <w:pPr>
        <w:spacing w:after="0" w:line="133" w:lineRule="exact"/>
        <w:rPr>
          <w:sz w:val="20"/>
          <w:szCs w:val="20"/>
          <w:color w:val="auto"/>
        </w:rPr>
      </w:pPr>
    </w:p>
    <w:p>
      <w:pPr>
        <w:jc w:val="both"/>
        <w:ind w:right="20" w:firstLine="568"/>
        <w:spacing w:after="0" w:line="248" w:lineRule="auto"/>
        <w:rPr>
          <w:sz w:val="20"/>
          <w:szCs w:val="20"/>
          <w:color w:val="auto"/>
        </w:rPr>
      </w:pPr>
      <w:r>
        <w:rPr>
          <w:rFonts w:ascii="Times New Roman" w:cs="Times New Roman" w:eastAsia="Times New Roman" w:hAnsi="Times New Roman"/>
          <w:sz w:val="19"/>
          <w:szCs w:val="19"/>
          <w:color w:val="auto"/>
        </w:rPr>
        <w:t>When the Trustees incur expenses or render services in connection with an Event of Default specified in clause (5) or (6) of Section 5.01, the expenses (including reasonable charges and expense of its counsel) of and the compensation for such services are intended to constitute expenses of administration under any applicable United States or Canadian federal, state or provincial bankruptcy, insolvency or other similar law.</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The provisions of this Section 6.07 shall survive the termination of this Indenture.</w:t>
      </w:r>
    </w:p>
    <w:p>
      <w:pPr>
        <w:spacing w:after="0" w:line="144"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6.08</w:t>
      </w:r>
      <w:r>
        <w:rPr>
          <w:sz w:val="20"/>
          <w:szCs w:val="20"/>
          <w:color w:val="auto"/>
        </w:rPr>
        <w:tab/>
      </w:r>
      <w:r>
        <w:rPr>
          <w:rFonts w:ascii="Times New Roman" w:cs="Times New Roman" w:eastAsia="Times New Roman" w:hAnsi="Times New Roman"/>
          <w:sz w:val="18"/>
          <w:szCs w:val="18"/>
          <w:b w:val="1"/>
          <w:bCs w:val="1"/>
          <w:color w:val="auto"/>
        </w:rPr>
        <w:t>Corporate Trustees Required; Eligibility</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left="1140" w:hanging="578"/>
        <w:spacing w:after="0" w:line="238" w:lineRule="auto"/>
        <w:tabs>
          <w:tab w:leader="none" w:pos="1182"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shall be at all times a U.S. Trustee hereunder which shall be eligible to act as Trustee under TIA Section 310(a)(1) and, together with its immediate parent, shall have a combined capital and surplus of at least $50,000,000. If the U.S. Trustee publishes reports of condition at least annually, pursuant to law or to the requirements of United States federal, state, territorial or District of Columbia supervising or examining authority, then for the purposes of this Section 6.08, the combined capital and surplus of U.S. Trustee shall be deemed to be its combined capital and surplus as set forth in its most recent report of condition so published. If at any time the U.S. Trustee shall cease to be eligible in accordance with the provisions of this Section 6.08, it shall resign immediately in the manner and with the effect hereinafter specified in this Article Six.</w:t>
      </w:r>
    </w:p>
    <w:p>
      <w:pPr>
        <w:spacing w:after="0" w:line="127" w:lineRule="exact"/>
        <w:rPr>
          <w:rFonts w:ascii="Times New Roman" w:cs="Times New Roman" w:eastAsia="Times New Roman" w:hAnsi="Times New Roman"/>
          <w:sz w:val="19"/>
          <w:szCs w:val="19"/>
          <w:color w:val="auto"/>
        </w:rPr>
      </w:pPr>
    </w:p>
    <w:p>
      <w:pPr>
        <w:jc w:val="both"/>
        <w:ind w:left="1140" w:hanging="578"/>
        <w:spacing w:after="0" w:line="238" w:lineRule="auto"/>
        <w:tabs>
          <w:tab w:leader="none" w:pos="1182"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so long as required by Trust Indenture Legislation, there shall be a Canadian Trustee under this Indenture. The Canadian Trustee shall at all times be a resident or authorized to do business in the Province of Ontario and any other province in Canada where Holders may be resident from time to time. The Canadian Trustee represents and warrants that no material conflict of interest exists in the Canadian Trustee's role as a fiduciary hereunder and agrees that in the event of a material conflict of interest arising hereafter it will, within 30 days after ascertaining that it has such material conflict of interest, either eliminate the same or resign its trust hereunder. If any such material conflict of interests exists or hereafter shall exist, the validity and enforceability of this Indenture shall not be affected in any manner whatsoever by reason thereof.</w:t>
      </w:r>
    </w:p>
    <w:p>
      <w:pPr>
        <w:spacing w:after="0" w:line="127" w:lineRule="exact"/>
        <w:rPr>
          <w:rFonts w:ascii="Times New Roman" w:cs="Times New Roman" w:eastAsia="Times New Roman" w:hAnsi="Times New Roman"/>
          <w:sz w:val="19"/>
          <w:szCs w:val="19"/>
          <w:color w:val="auto"/>
        </w:rPr>
      </w:pPr>
    </w:p>
    <w:p>
      <w:pPr>
        <w:ind w:left="1140" w:right="20" w:hanging="578"/>
        <w:spacing w:after="0" w:line="262" w:lineRule="auto"/>
        <w:tabs>
          <w:tab w:leader="none" w:pos="1182"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Trustees will not be required to give any bond or security in respect of the execution of the trusts and powers set out in this Indenture or otherwise in respect of the premises.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13" w:name="page114"/>
    <w:bookmarkEnd w:id="113"/>
    <w:p>
      <w:pPr>
        <w:ind w:left="1140" w:hanging="578"/>
        <w:spacing w:after="0" w:line="263" w:lineRule="auto"/>
        <w:tabs>
          <w:tab w:leader="none" w:pos="1182"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Trustee nor any Affiliate of either Trustee shall be appointed a receiver or receiver and manager or liquidator of all or any part of the assets or undertaking of the Company.</w:t>
      </w:r>
    </w:p>
    <w:p>
      <w:pPr>
        <w:spacing w:after="0" w:line="98"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6.09</w:t>
      </w:r>
      <w:r>
        <w:rPr>
          <w:sz w:val="20"/>
          <w:szCs w:val="20"/>
          <w:color w:val="auto"/>
        </w:rPr>
        <w:tab/>
      </w:r>
      <w:r>
        <w:rPr>
          <w:rFonts w:ascii="Times New Roman" w:cs="Times New Roman" w:eastAsia="Times New Roman" w:hAnsi="Times New Roman"/>
          <w:sz w:val="18"/>
          <w:szCs w:val="18"/>
          <w:b w:val="1"/>
          <w:bCs w:val="1"/>
          <w:color w:val="auto"/>
        </w:rPr>
        <w:t>Resignation and Removal; Appointment of Successor</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left="1140" w:hanging="578"/>
        <w:spacing w:after="0" w:line="248" w:lineRule="auto"/>
        <w:tabs>
          <w:tab w:leader="none" w:pos="1182"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resignation or removal of either Trustee and no appointment of a successor Trustee pursuant to this Article Six shall become effective until the acceptance of appointment by the successor Trustee in accordance with the applicable requirements of Section 6.10.</w:t>
      </w:r>
    </w:p>
    <w:p>
      <w:pPr>
        <w:spacing w:after="0" w:line="115" w:lineRule="exact"/>
        <w:rPr>
          <w:rFonts w:ascii="Times New Roman" w:cs="Times New Roman" w:eastAsia="Times New Roman" w:hAnsi="Times New Roman"/>
          <w:sz w:val="19"/>
          <w:szCs w:val="19"/>
          <w:color w:val="auto"/>
        </w:rPr>
      </w:pPr>
    </w:p>
    <w:p>
      <w:pPr>
        <w:jc w:val="both"/>
        <w:ind w:left="1140" w:hanging="578"/>
        <w:spacing w:after="0" w:line="243" w:lineRule="auto"/>
        <w:tabs>
          <w:tab w:leader="none" w:pos="1182"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Either Trustee may resign at any time with respect to the Securities of one or more series by giving written notice thereof to the Company. If the instrument of acceptance by a successor Trustee required by Section 6.10 shall not have been delivered to such Trustee within 30 days after the giving of such notice of resignation, the resigning Trustee may petition any court of competent jurisdiction for the appointment of a successor Trustee with respect to the Securities of such series.</w:t>
      </w:r>
    </w:p>
    <w:p>
      <w:pPr>
        <w:spacing w:after="0" w:line="120" w:lineRule="exact"/>
        <w:rPr>
          <w:rFonts w:ascii="Times New Roman" w:cs="Times New Roman" w:eastAsia="Times New Roman" w:hAnsi="Times New Roman"/>
          <w:sz w:val="19"/>
          <w:szCs w:val="19"/>
          <w:color w:val="auto"/>
        </w:rPr>
      </w:pPr>
    </w:p>
    <w:p>
      <w:pPr>
        <w:jc w:val="both"/>
        <w:ind w:left="1140" w:right="20" w:hanging="578"/>
        <w:spacing w:after="0" w:line="248" w:lineRule="auto"/>
        <w:tabs>
          <w:tab w:leader="none" w:pos="1182"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Either Trustee may be removed following 30 days notice at any time with respect to the Securities of any series by Act of the Holders of not less than a majority in principal amount of the Outstanding Securities of such series, delivered to such Trustee and to the Company.</w:t>
      </w:r>
    </w:p>
    <w:p>
      <w:pPr>
        <w:spacing w:after="0" w:line="126" w:lineRule="exact"/>
        <w:rPr>
          <w:rFonts w:ascii="Times New Roman" w:cs="Times New Roman" w:eastAsia="Times New Roman" w:hAnsi="Times New Roman"/>
          <w:sz w:val="19"/>
          <w:szCs w:val="19"/>
          <w:color w:val="auto"/>
        </w:rPr>
      </w:pPr>
    </w:p>
    <w:p>
      <w:pPr>
        <w:ind w:left="1180" w:hanging="618"/>
        <w:spacing w:after="0"/>
        <w:tabs>
          <w:tab w:leader="none" w:pos="118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any time:</w:t>
      </w:r>
    </w:p>
    <w:p>
      <w:pPr>
        <w:spacing w:after="0" w:line="148" w:lineRule="exact"/>
        <w:rPr>
          <w:rFonts w:ascii="Times New Roman" w:cs="Times New Roman" w:eastAsia="Times New Roman" w:hAnsi="Times New Roman"/>
          <w:sz w:val="19"/>
          <w:szCs w:val="19"/>
          <w:color w:val="auto"/>
        </w:rPr>
      </w:pPr>
    </w:p>
    <w:p>
      <w:pPr>
        <w:ind w:left="1700" w:right="20" w:hanging="570"/>
        <w:spacing w:after="0" w:line="262" w:lineRule="auto"/>
        <w:tabs>
          <w:tab w:leader="none" w:pos="1731"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either Trustee shall acquire any conflicting interest as defined in TIA Section 310(b) and fail to comply with the provisions of TIA Section 310(b)(i), or</w:t>
      </w:r>
    </w:p>
    <w:p>
      <w:pPr>
        <w:spacing w:after="0" w:line="102" w:lineRule="exact"/>
        <w:rPr>
          <w:rFonts w:ascii="Times New Roman" w:cs="Times New Roman" w:eastAsia="Times New Roman" w:hAnsi="Times New Roman"/>
          <w:sz w:val="19"/>
          <w:szCs w:val="19"/>
          <w:color w:val="auto"/>
        </w:rPr>
      </w:pPr>
    </w:p>
    <w:p>
      <w:pPr>
        <w:ind w:left="1700" w:right="20" w:hanging="570"/>
        <w:spacing w:after="0" w:line="262" w:lineRule="auto"/>
        <w:tabs>
          <w:tab w:leader="none" w:pos="1743"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either Trustee shall fail to comply with the provisions of TIA Section 310(b) after written request therefor by the Company or by any Holder who has been a bona fide Holder of a Security for at least six months, or</w:t>
      </w:r>
    </w:p>
    <w:p>
      <w:pPr>
        <w:spacing w:after="0" w:line="114" w:lineRule="exact"/>
        <w:rPr>
          <w:rFonts w:ascii="Times New Roman" w:cs="Times New Roman" w:eastAsia="Times New Roman" w:hAnsi="Times New Roman"/>
          <w:sz w:val="19"/>
          <w:szCs w:val="19"/>
          <w:color w:val="auto"/>
        </w:rPr>
      </w:pPr>
    </w:p>
    <w:p>
      <w:pPr>
        <w:ind w:left="1700" w:hanging="570"/>
        <w:spacing w:after="0" w:line="262" w:lineRule="auto"/>
        <w:tabs>
          <w:tab w:leader="none" w:pos="1747"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either Trustee shall cease to be eligible under Section 6.08 and shall fail to resign after written request therefor by the Company or by any Holder who has been a bona fide Holder of a Security for at least six months, or</w:t>
      </w:r>
    </w:p>
    <w:p>
      <w:pPr>
        <w:spacing w:after="0" w:line="102" w:lineRule="exact"/>
        <w:rPr>
          <w:rFonts w:ascii="Times New Roman" w:cs="Times New Roman" w:eastAsia="Times New Roman" w:hAnsi="Times New Roman"/>
          <w:sz w:val="19"/>
          <w:szCs w:val="19"/>
          <w:color w:val="auto"/>
        </w:rPr>
      </w:pPr>
    </w:p>
    <w:p>
      <w:pPr>
        <w:jc w:val="both"/>
        <w:ind w:left="1700" w:right="20" w:hanging="570"/>
        <w:spacing w:after="0" w:line="248" w:lineRule="auto"/>
        <w:tabs>
          <w:tab w:leader="none" w:pos="1746"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either Trustee shall become incapable of acting or shall be adjudged a bankrupt or insolvent or a receiver of such Trustee or of its property shall be appointed or any public officer shall take charge or control of such Trustee or of its property or affairs for the purpose of rehabilitation, conservation or liquidation,</w:t>
      </w:r>
    </w:p>
    <w:p>
      <w:pPr>
        <w:spacing w:after="0" w:line="115" w:lineRule="exact"/>
        <w:rPr>
          <w:sz w:val="20"/>
          <w:szCs w:val="20"/>
          <w:color w:val="auto"/>
        </w:rPr>
      </w:pPr>
    </w:p>
    <w:p>
      <w:pPr>
        <w:jc w:val="both"/>
        <w:ind w:left="1140" w:right="20"/>
        <w:spacing w:after="0" w:line="243" w:lineRule="auto"/>
        <w:rPr>
          <w:sz w:val="20"/>
          <w:szCs w:val="20"/>
          <w:color w:val="auto"/>
        </w:rPr>
      </w:pPr>
      <w:r>
        <w:rPr>
          <w:rFonts w:ascii="Times New Roman" w:cs="Times New Roman" w:eastAsia="Times New Roman" w:hAnsi="Times New Roman"/>
          <w:sz w:val="19"/>
          <w:szCs w:val="19"/>
          <w:color w:val="auto"/>
        </w:rPr>
        <w:t>then, in any such case, (i) the Company, by a Board Resolution, may remove such Trustee with respect to all Securities, or (ii) subject to TIA Section 315(e), any Holder who has been a bona fide Holder of a Security of such series for at least six months may, on behalf of himself and all others similarly situated, petition any court of competent jurisdiction for the removal of such Trustee with respect to all Securities of such series and the appointment of a successor Trustee or Trustees.</w:t>
      </w:r>
    </w:p>
    <w:p>
      <w:pPr>
        <w:spacing w:after="0" w:line="132" w:lineRule="exact"/>
        <w:rPr>
          <w:sz w:val="20"/>
          <w:szCs w:val="20"/>
          <w:color w:val="auto"/>
        </w:rPr>
      </w:pPr>
    </w:p>
    <w:p>
      <w:pPr>
        <w:jc w:val="both"/>
        <w:ind w:left="1140" w:hanging="578"/>
        <w:spacing w:after="0" w:line="236" w:lineRule="auto"/>
        <w:tabs>
          <w:tab w:leader="none" w:pos="1182"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either Trustee shall resign, be removed or become incapable of acting, or if a vacancy shall occur in the office of the U.S. Trustee or the Canadian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Company shall not be required to appoint a successor Trustee to the Canadian Trustee if the Canadian Trustee resigns or is removed and a Canadian Trustee under this Indenture is no longer required under Trust Indenture Legislation.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hereinafter provided,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14" w:name="page115"/>
    <w:bookmarkEnd w:id="114"/>
    <w:p>
      <w:pPr>
        <w:jc w:val="both"/>
        <w:ind w:left="1140" w:right="20" w:hanging="578"/>
        <w:spacing w:after="0" w:line="243" w:lineRule="auto"/>
        <w:tabs>
          <w:tab w:leader="none" w:pos="1182"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give notice of each resignation and each removal of a Trustee with respect to the Securities of any series and each appointment of a successor Trustee with respect to the Securities of any series to the Holders of Securities of such series in the manner provided for in Section 1.07. Each notice shall include the name of the successor Trustee with respect to the Securities of such series and the address of its Corporate Trust Office.</w:t>
      </w:r>
    </w:p>
    <w:p>
      <w:pPr>
        <w:spacing w:after="0" w:line="121" w:lineRule="exact"/>
        <w:rPr>
          <w:rFonts w:ascii="Times New Roman" w:cs="Times New Roman" w:eastAsia="Times New Roman" w:hAnsi="Times New Roman"/>
          <w:sz w:val="19"/>
          <w:szCs w:val="19"/>
          <w:color w:val="auto"/>
        </w:rPr>
      </w:pPr>
    </w:p>
    <w:p>
      <w:pPr>
        <w:ind w:left="1140" w:hanging="578"/>
        <w:spacing w:after="0" w:line="262" w:lineRule="auto"/>
        <w:tabs>
          <w:tab w:leader="none" w:pos="1182"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Canadian Trustee under this Indenture is no longer required by Trust Indenture Legislation, then the Company by a Board Resolution may remove the Canadian Trustee.</w:t>
      </w:r>
    </w:p>
    <w:p>
      <w:pPr>
        <w:spacing w:after="0" w:line="110"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6.10</w:t>
      </w:r>
      <w:r>
        <w:rPr>
          <w:sz w:val="20"/>
          <w:szCs w:val="20"/>
          <w:color w:val="auto"/>
        </w:rPr>
        <w:tab/>
      </w:r>
      <w:r>
        <w:rPr>
          <w:rFonts w:ascii="Times New Roman" w:cs="Times New Roman" w:eastAsia="Times New Roman" w:hAnsi="Times New Roman"/>
          <w:sz w:val="18"/>
          <w:szCs w:val="18"/>
          <w:b w:val="1"/>
          <w:bCs w:val="1"/>
          <w:color w:val="auto"/>
        </w:rPr>
        <w:t>Acceptance of Appointment by Successor</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left="1140" w:hanging="578"/>
        <w:spacing w:after="0" w:line="238" w:lineRule="auto"/>
        <w:tabs>
          <w:tab w:leader="none" w:pos="1182"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27" w:lineRule="exact"/>
        <w:rPr>
          <w:rFonts w:ascii="Times New Roman" w:cs="Times New Roman" w:eastAsia="Times New Roman" w:hAnsi="Times New Roman"/>
          <w:sz w:val="19"/>
          <w:szCs w:val="19"/>
          <w:color w:val="auto"/>
        </w:rPr>
      </w:pPr>
    </w:p>
    <w:p>
      <w:pPr>
        <w:jc w:val="both"/>
        <w:ind w:left="1140" w:hanging="578"/>
        <w:spacing w:after="0" w:line="236" w:lineRule="auto"/>
        <w:tabs>
          <w:tab w:leader="none" w:pos="1182"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w:t>
      </w:r>
    </w:p>
    <w:p>
      <w:pPr>
        <w:spacing w:after="0" w:line="4" w:lineRule="exact"/>
        <w:rPr>
          <w:rFonts w:ascii="Times New Roman" w:cs="Times New Roman" w:eastAsia="Times New Roman" w:hAnsi="Times New Roman"/>
          <w:sz w:val="19"/>
          <w:szCs w:val="19"/>
          <w:color w:val="auto"/>
        </w:rPr>
      </w:pPr>
    </w:p>
    <w:p>
      <w:pPr>
        <w:jc w:val="both"/>
        <w:ind w:left="1140"/>
        <w:spacing w:after="0" w:line="23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Whenever there is a successor Trustee with respect to one or more (but less than all) series of Securities issued pursuant to this Indenture, the terms "Indenture" and "Securities" shall have the meanings specified in the provisos to the respective definitions of those terms in Section 1.01 which contemplate such situation.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15" w:name="page116"/>
    <w:bookmarkEnd w:id="115"/>
    <w:p>
      <w:pPr>
        <w:jc w:val="both"/>
        <w:ind w:left="1140" w:hanging="578"/>
        <w:spacing w:after="0" w:line="248" w:lineRule="auto"/>
        <w:tabs>
          <w:tab w:leader="none" w:pos="1182"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reasonable request of any such successor Trustee, the Company shall execute any and all instruments for more fully and certainly vesting in and confirming to such successor Trustee all rights, powers and trusts referred to in paragraph (1) or (2) of this Section 6.10, as the case may be.</w:t>
      </w:r>
    </w:p>
    <w:p>
      <w:pPr>
        <w:spacing w:after="0" w:line="116" w:lineRule="exact"/>
        <w:rPr>
          <w:rFonts w:ascii="Times New Roman" w:cs="Times New Roman" w:eastAsia="Times New Roman" w:hAnsi="Times New Roman"/>
          <w:sz w:val="19"/>
          <w:szCs w:val="19"/>
          <w:color w:val="auto"/>
        </w:rPr>
      </w:pPr>
    </w:p>
    <w:p>
      <w:pPr>
        <w:ind w:left="1140" w:right="20" w:hanging="578"/>
        <w:spacing w:after="0" w:line="262" w:lineRule="auto"/>
        <w:tabs>
          <w:tab w:leader="none" w:pos="1182"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successor Trustee shall accept its appointment unless at the time of such acceptance such successor Trustee shall be qualified and eligible under this Article Six.</w:t>
      </w:r>
    </w:p>
    <w:p>
      <w:pPr>
        <w:spacing w:after="0" w:line="110"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6.11</w:t>
      </w:r>
      <w:r>
        <w:rPr>
          <w:sz w:val="20"/>
          <w:szCs w:val="20"/>
          <w:color w:val="auto"/>
        </w:rPr>
        <w:tab/>
      </w:r>
      <w:r>
        <w:rPr>
          <w:rFonts w:ascii="Times New Roman" w:cs="Times New Roman" w:eastAsia="Times New Roman" w:hAnsi="Times New Roman"/>
          <w:sz w:val="18"/>
          <w:szCs w:val="18"/>
          <w:b w:val="1"/>
          <w:bCs w:val="1"/>
          <w:color w:val="auto"/>
        </w:rPr>
        <w:t>Merger, Conversion, Consolidation or Succession to Business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36" w:lineRule="auto"/>
        <w:rPr>
          <w:sz w:val="20"/>
          <w:szCs w:val="20"/>
          <w:color w:val="auto"/>
        </w:rPr>
      </w:pPr>
      <w:r>
        <w:rPr>
          <w:rFonts w:ascii="Times New Roman" w:cs="Times New Roman" w:eastAsia="Times New Roman" w:hAnsi="Times New Roman"/>
          <w:sz w:val="19"/>
          <w:szCs w:val="19"/>
          <w:color w:val="auto"/>
        </w:rPr>
        <w:t xml:space="preserve">Any corporation into which either Trustee or its corporate trust business may be merged or converted or with which it may be consolidated, or any corporation resulting from any merger, conversion or consolidation to which either Trustee shall be a party, or any corporation succeeding to all or substantially all the corporate trust business of either Trustee, shall be the successor of such Trustee 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such corporation shall be otherwise qualified and eligible under this Article Six, without the execution or filing of any paper or any further act on the part of any of the parties hereto. In case any Securities shall have been authenticated, but not delivered, by a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of the Securities shall not have been authenticated by such predecessor Trustee, any successor Trustee may authenticate such Securities either in the name of any predecessor hereunder or in the name of the successor Trustee. In all such cases such certificates shall have the full force and effect which this Indenture provides for the certificate of authentication of such Trustee;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right to adopt the certificate of authentication of any predecessor Trustee or to authenticate Securities in the name of any predecessor Trustee shall apply only to its successor or successors by merger, conversion or consolidation.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16" w:name="page117"/>
    <w:bookmarkEnd w:id="116"/>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6.12</w:t>
      </w:r>
      <w:r>
        <w:rPr>
          <w:sz w:val="20"/>
          <w:szCs w:val="20"/>
          <w:color w:val="auto"/>
        </w:rPr>
        <w:tab/>
      </w:r>
      <w:r>
        <w:rPr>
          <w:rFonts w:ascii="Times New Roman" w:cs="Times New Roman" w:eastAsia="Times New Roman" w:hAnsi="Times New Roman"/>
          <w:sz w:val="18"/>
          <w:szCs w:val="18"/>
          <w:b w:val="1"/>
          <w:bCs w:val="1"/>
          <w:color w:val="auto"/>
        </w:rPr>
        <w:t>Appointment of Authenticating Agent</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568"/>
        <w:spacing w:after="0" w:line="249" w:lineRule="auto"/>
        <w:rPr>
          <w:sz w:val="20"/>
          <w:szCs w:val="20"/>
          <w:color w:val="auto"/>
        </w:rPr>
      </w:pPr>
      <w:r>
        <w:rPr>
          <w:rFonts w:ascii="Times New Roman" w:cs="Times New Roman" w:eastAsia="Times New Roman" w:hAnsi="Times New Roman"/>
          <w:sz w:val="18"/>
          <w:szCs w:val="18"/>
          <w:color w:val="auto"/>
        </w:rPr>
        <w:t>At any time when any of the Securities remain outstanding, the Trustees may appoint an Authenticating Agent or Agents, with respect to one or more series of Securities which shall be authorized to act on behalf of the Trustees to authenticate Securities of such series and the Trustees shall give written notice of such appointment to all Holders of Securities of the series with respect to which such Authenticating Agent will serve, in the manner provided for in Section 1.07. Securities so authenticated shall be entitled to the benefits of this Indenture and shall be valid and obligatory for all purposes as if authenticated by the applicable Trustee hereunder. Any such appointment shall be evidenced by an instrument in writing signed by a Responsible Officer of the Trustees, and a copy of such instrument shall be promptly furnished to the Company. Wherever reference is made in this Indenture to the authentication and delivery of Securities by the Trustees or either Trustee's certificate of authentication, such reference shall be deemed to include authentication and delivery on behalf of the Trustees by an Authenticating Agent and a certificate of authentication executed on behalf of the Trustees by an Authenticating Agent. Each Authenticating Agent shall be acceptable to the Company and shall at all times be a corporation organized and doing business under the laws of the United States of America, any state thereof or the District of Columbia or the laws of Canada or any province thereof, authorized under such laws to act as Authenticating Agent, having a combined capital and surplus of not less than $50,000,000 and subject to supervision or examination by United States federal or state or Canadian federal or provincial authority. If such corporation publishes reports of condition at least annually, pursuant to law or to the requirements of said supervising or examining authority, then for the purposes of this Section 6.12,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Section 6.12, it shall resign immediately in the manner and with the effect specified in this Section 6.12.</w:t>
      </w:r>
    </w:p>
    <w:p>
      <w:pPr>
        <w:spacing w:after="0" w:line="136" w:lineRule="exact"/>
        <w:rPr>
          <w:sz w:val="20"/>
          <w:szCs w:val="20"/>
          <w:color w:val="auto"/>
        </w:rPr>
      </w:pPr>
    </w:p>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such corporation shall be otherwise eligible under this Section 6.12, without the execution or filing of any paper or any further act on the part of the Trustees or the Authenticating Agent.</w:t>
      </w:r>
    </w:p>
    <w:p>
      <w:pPr>
        <w:spacing w:after="0" w:line="121" w:lineRule="exact"/>
        <w:rPr>
          <w:sz w:val="20"/>
          <w:szCs w:val="20"/>
          <w:color w:val="auto"/>
        </w:rPr>
      </w:pPr>
    </w:p>
    <w:p>
      <w:pPr>
        <w:jc w:val="both"/>
        <w:ind w:firstLine="568"/>
        <w:spacing w:after="0" w:line="238" w:lineRule="auto"/>
        <w:rPr>
          <w:sz w:val="20"/>
          <w:szCs w:val="20"/>
          <w:color w:val="auto"/>
        </w:rPr>
      </w:pPr>
      <w:r>
        <w:rPr>
          <w:rFonts w:ascii="Times New Roman" w:cs="Times New Roman" w:eastAsia="Times New Roman" w:hAnsi="Times New Roman"/>
          <w:sz w:val="19"/>
          <w:szCs w:val="19"/>
          <w:color w:val="auto"/>
        </w:rPr>
        <w:t>An Authenticating Agent may resign at any time by giving written notice thereof to the Trustees and to the Company. The Trustees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6.12, the Trustees may appoint a successor Authenticating Agent which shall be acceptable to the Company and shall give written notice of such appointment to all Holders of Securities of the series with respect to which such Authenticating Agent will serve, in the manner provided for in Section 1.07.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6.12.</w:t>
      </w:r>
    </w:p>
    <w:p>
      <w:pPr>
        <w:spacing w:after="0" w:line="124" w:lineRule="exact"/>
        <w:rPr>
          <w:sz w:val="20"/>
          <w:szCs w:val="20"/>
          <w:color w:val="auto"/>
        </w:rPr>
      </w:pPr>
    </w:p>
    <w:p>
      <w:pPr>
        <w:jc w:val="both"/>
        <w:ind w:right="20" w:firstLine="568"/>
        <w:spacing w:after="0" w:line="262" w:lineRule="auto"/>
        <w:rPr>
          <w:sz w:val="20"/>
          <w:szCs w:val="20"/>
          <w:color w:val="auto"/>
        </w:rPr>
      </w:pPr>
      <w:r>
        <w:rPr>
          <w:rFonts w:ascii="Times New Roman" w:cs="Times New Roman" w:eastAsia="Times New Roman" w:hAnsi="Times New Roman"/>
          <w:sz w:val="19"/>
          <w:szCs w:val="19"/>
          <w:color w:val="auto"/>
        </w:rPr>
        <w:t>The Trustees agree to pay to each Authenticating Agent from time to time reasonable compensation for its services under this Section 6.12, and the Trustees shall be entitled to be reimbursed for such payments, subject to the provisions of Section 6.07.</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17" w:name="page118"/>
    <w:bookmarkEnd w:id="117"/>
    <w:p>
      <w:pPr>
        <w:jc w:val="both"/>
        <w:ind w:firstLine="568"/>
        <w:spacing w:after="0" w:line="263" w:lineRule="auto"/>
        <w:rPr>
          <w:sz w:val="20"/>
          <w:szCs w:val="20"/>
          <w:color w:val="auto"/>
        </w:rPr>
      </w:pPr>
      <w:r>
        <w:rPr>
          <w:rFonts w:ascii="Times New Roman" w:cs="Times New Roman" w:eastAsia="Times New Roman" w:hAnsi="Times New Roman"/>
          <w:sz w:val="19"/>
          <w:szCs w:val="19"/>
          <w:color w:val="auto"/>
        </w:rPr>
        <w:t>If an appointment with respect to one or more series is made pursuant to this Section 6.12, the Securities of such series may have endorsed thereon, in addition to either Trustee's certificate of authentication, an alternate certificate of authentication in the following form:</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(Certificate of Authentication may be executed by either Trustee)</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_____________________, as U.S. Trustee, certifies that this is one of the Securities of the series designated therein referred to in the within-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mentioned Indenture.</w:t>
      </w:r>
    </w:p>
    <w:p>
      <w:pPr>
        <w:spacing w:after="0" w:line="1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Dated: ____________</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_______________________________________________,</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as U.S. Trustee</w:t>
      </w:r>
    </w:p>
    <w:p>
      <w:pPr>
        <w:spacing w:after="0" w:line="1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13970</wp:posOffset>
            </wp:positionV>
            <wp:extent cx="335661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3356610" cy="7620"/>
                    </a:xfrm>
                    <a:prstGeom prst="rect">
                      <a:avLst/>
                    </a:prstGeom>
                    <a:noFill/>
                  </pic:spPr>
                </pic:pic>
              </a:graphicData>
            </a:graphic>
          </wp:anchor>
        </w:drawing>
      </w:r>
    </w:p>
    <w:p>
      <w:pPr>
        <w:spacing w:after="0" w:line="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As Authenticating Agent</w:t>
      </w:r>
    </w:p>
    <w:p>
      <w:pPr>
        <w:spacing w:after="0" w:line="18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13970</wp:posOffset>
            </wp:positionV>
            <wp:extent cx="335661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3356610" cy="7620"/>
                    </a:xfrm>
                    <a:prstGeom prst="rect">
                      <a:avLst/>
                    </a:prstGeom>
                    <a:noFill/>
                  </pic:spPr>
                </pic:pic>
              </a:graphicData>
            </a:graphic>
          </wp:anchor>
        </w:drawing>
      </w:r>
    </w:p>
    <w:p>
      <w:pPr>
        <w:spacing w:after="0" w:line="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6"/>
          <w:szCs w:val="16"/>
          <w:color w:val="auto"/>
        </w:rPr>
        <w:t>Authorized Officer</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_____________________, as Canadian Trustee, certifies that this is one of the Securities of the series designated therein referred to 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within-mentioned Indenture.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 ____________</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40" w:type="dxa"/>
            <w:vAlign w:val="bottom"/>
          </w:tcPr>
          <w:p>
            <w:pPr>
              <w:spacing w:after="0"/>
              <w:rPr>
                <w:sz w:val="16"/>
                <w:szCs w:val="16"/>
                <w:color w:val="auto"/>
              </w:rPr>
            </w:pP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6"/>
                <w:szCs w:val="16"/>
                <w:color w:val="auto"/>
              </w:rPr>
              <w:t>_______________________________________________,</w:t>
            </w:r>
          </w:p>
        </w:tc>
      </w:tr>
      <w:tr>
        <w:trPr>
          <w:trHeight w:val="206"/>
        </w:trPr>
        <w:tc>
          <w:tcPr>
            <w:tcW w:w="1640" w:type="dxa"/>
            <w:vAlign w:val="bottom"/>
          </w:tcPr>
          <w:p>
            <w:pPr>
              <w:spacing w:after="0"/>
              <w:rPr>
                <w:sz w:val="17"/>
                <w:szCs w:val="17"/>
                <w:color w:val="auto"/>
              </w:rPr>
            </w:pP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6"/>
                <w:szCs w:val="16"/>
                <w:color w:val="auto"/>
              </w:rPr>
              <w:t>as Canadian Trustee</w:t>
            </w:r>
          </w:p>
        </w:tc>
      </w:tr>
      <w:tr>
        <w:trPr>
          <w:trHeight w:val="378"/>
        </w:trPr>
        <w:tc>
          <w:tcPr>
            <w:tcW w:w="1640" w:type="dxa"/>
            <w:vAlign w:val="bottom"/>
          </w:tcPr>
          <w:p>
            <w:pPr>
              <w:spacing w:after="0"/>
              <w:rPr>
                <w:sz w:val="24"/>
                <w:szCs w:val="24"/>
                <w:color w:val="auto"/>
              </w:rPr>
            </w:pP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6"/>
                <w:szCs w:val="16"/>
                <w:color w:val="auto"/>
              </w:rPr>
              <w:t>By:</w:t>
            </w:r>
          </w:p>
        </w:tc>
      </w:tr>
      <w:tr>
        <w:trPr>
          <w:trHeight w:val="198"/>
        </w:trPr>
        <w:tc>
          <w:tcPr>
            <w:tcW w:w="16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5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As Authenticating Agent</w:t>
            </w:r>
          </w:p>
        </w:tc>
      </w:tr>
      <w:tr>
        <w:trPr>
          <w:trHeight w:val="361"/>
        </w:trPr>
        <w:tc>
          <w:tcPr>
            <w:tcW w:w="1640" w:type="dxa"/>
            <w:vAlign w:val="bottom"/>
          </w:tcPr>
          <w:p>
            <w:pPr>
              <w:spacing w:after="0"/>
              <w:rPr>
                <w:sz w:val="24"/>
                <w:szCs w:val="24"/>
                <w:color w:val="auto"/>
              </w:rPr>
            </w:pPr>
          </w:p>
        </w:tc>
        <w:tc>
          <w:tcPr>
            <w:tcW w:w="9620" w:type="dxa"/>
            <w:vAlign w:val="bottom"/>
            <w:gridSpan w:val="2"/>
          </w:tcPr>
          <w:p>
            <w:pPr>
              <w:ind w:left="4000"/>
              <w:spacing w:after="0"/>
              <w:rPr>
                <w:sz w:val="20"/>
                <w:szCs w:val="20"/>
                <w:color w:val="auto"/>
              </w:rPr>
            </w:pPr>
            <w:r>
              <w:rPr>
                <w:rFonts w:ascii="Times New Roman" w:cs="Times New Roman" w:eastAsia="Times New Roman" w:hAnsi="Times New Roman"/>
                <w:sz w:val="16"/>
                <w:szCs w:val="16"/>
                <w:color w:val="auto"/>
              </w:rPr>
              <w:t>By:</w:t>
            </w:r>
          </w:p>
        </w:tc>
      </w:tr>
      <w:tr>
        <w:trPr>
          <w:trHeight w:val="198"/>
        </w:trPr>
        <w:tc>
          <w:tcPr>
            <w:tcW w:w="16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5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Authorized Officer</w:t>
            </w:r>
          </w:p>
        </w:tc>
      </w:tr>
      <w:tr>
        <w:trPr>
          <w:trHeight w:val="370"/>
        </w:trPr>
        <w:tc>
          <w:tcPr>
            <w:tcW w:w="16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SECTION 6.13</w:t>
            </w:r>
          </w:p>
        </w:tc>
        <w:tc>
          <w:tcPr>
            <w:tcW w:w="9620" w:type="dxa"/>
            <w:vAlign w:val="bottom"/>
            <w:gridSpan w:val="2"/>
          </w:tcPr>
          <w:p>
            <w:pPr>
              <w:ind w:left="400"/>
              <w:spacing w:after="0"/>
              <w:rPr>
                <w:sz w:val="20"/>
                <w:szCs w:val="20"/>
                <w:color w:val="auto"/>
              </w:rPr>
            </w:pPr>
            <w:r>
              <w:rPr>
                <w:rFonts w:ascii="Times New Roman" w:cs="Times New Roman" w:eastAsia="Times New Roman" w:hAnsi="Times New Roman"/>
                <w:sz w:val="19"/>
                <w:szCs w:val="19"/>
                <w:b w:val="1"/>
                <w:bCs w:val="1"/>
                <w:color w:val="auto"/>
              </w:rPr>
              <w:t>Joint Trustees</w:t>
            </w:r>
            <w:r>
              <w:rPr>
                <w:rFonts w:ascii="Times New Roman" w:cs="Times New Roman" w:eastAsia="Times New Roman" w:hAnsi="Times New Roman"/>
                <w:sz w:val="19"/>
                <w:szCs w:val="19"/>
                <w:color w:val="auto"/>
              </w:rPr>
              <w:t>.</w:t>
            </w:r>
          </w:p>
        </w:tc>
      </w:tr>
    </w:tbl>
    <w:p>
      <w:pPr>
        <w:spacing w:after="0" w:line="122" w:lineRule="exact"/>
        <w:rPr>
          <w:sz w:val="20"/>
          <w:szCs w:val="20"/>
          <w:color w:val="auto"/>
        </w:rPr>
      </w:pPr>
    </w:p>
    <w:p>
      <w:pPr>
        <w:jc w:val="both"/>
        <w:ind w:firstLine="568"/>
        <w:spacing w:after="0" w:line="237" w:lineRule="auto"/>
        <w:rPr>
          <w:sz w:val="20"/>
          <w:szCs w:val="20"/>
          <w:color w:val="auto"/>
        </w:rPr>
      </w:pPr>
      <w:r>
        <w:rPr>
          <w:rFonts w:ascii="Times New Roman" w:cs="Times New Roman" w:eastAsia="Times New Roman" w:hAnsi="Times New Roman"/>
          <w:sz w:val="19"/>
          <w:szCs w:val="19"/>
          <w:color w:val="auto"/>
        </w:rPr>
        <w:t>The rights, powers, duties and obligations conferred and imposed upon the Trustees are conferred and imposed upon and shall be exercised and performed by the U.S. Trustee and the Canadian Trustee individually, except to the extent the Trustees are required under Trust Indenture Legislation to perform such acts jointly, and neither Trustee shall be liable or responsible for the acts or omissions of the other Trustee. If the U.S. Trustee and Canadian Trustee are unable to agree jointly to act or refrain from acting, the applicable Trustee shall make the decision in accordance with its applicable legislation. Unless the context implies or requires otherwise, any written notice, request, direction, certificate, instruction, opinion or other document (each such document, a "</w:t>
      </w:r>
      <w:r>
        <w:rPr>
          <w:rFonts w:ascii="Times New Roman" w:cs="Times New Roman" w:eastAsia="Times New Roman" w:hAnsi="Times New Roman"/>
          <w:sz w:val="19"/>
          <w:szCs w:val="19"/>
          <w:b w:val="1"/>
          <w:bCs w:val="1"/>
          <w:color w:val="auto"/>
        </w:rPr>
        <w:t>Writing</w:t>
      </w:r>
      <w:r>
        <w:rPr>
          <w:rFonts w:ascii="Times New Roman" w:cs="Times New Roman" w:eastAsia="Times New Roman" w:hAnsi="Times New Roman"/>
          <w:sz w:val="19"/>
          <w:szCs w:val="19"/>
          <w:color w:val="auto"/>
        </w:rPr>
        <w:t xml:space="preserve">") delivered pursuant to any provision of this Indenture to any of the U.S. Trustee or the Canadian Trustee shall be deemed for all purposes of this Indenture as delivery of such Writing to the Trustee. Each such Trustee in receipt of such Writing shall notify such other Trustee of its receipt of such Writing within two Business Days of such receipt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any failure of such trustee in receipt of such Writing to so notify such other Trustee shall not be deemed as a deficiency in the delivery of such Writing to the Trustee.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18" w:name="page119"/>
    <w:bookmarkEnd w:id="118"/>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6.14</w:t>
      </w:r>
      <w:r>
        <w:rPr>
          <w:sz w:val="20"/>
          <w:szCs w:val="20"/>
          <w:color w:val="auto"/>
        </w:rPr>
        <w:tab/>
      </w:r>
      <w:r>
        <w:rPr>
          <w:rFonts w:ascii="Times New Roman" w:cs="Times New Roman" w:eastAsia="Times New Roman" w:hAnsi="Times New Roman"/>
          <w:sz w:val="18"/>
          <w:szCs w:val="18"/>
          <w:b w:val="1"/>
          <w:bCs w:val="1"/>
          <w:color w:val="auto"/>
        </w:rPr>
        <w:t>Other Rights of Trustees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568"/>
        <w:spacing w:after="0" w:line="238" w:lineRule="auto"/>
        <w:rPr>
          <w:sz w:val="20"/>
          <w:szCs w:val="20"/>
          <w:color w:val="auto"/>
        </w:rPr>
      </w:pPr>
      <w:r>
        <w:rPr>
          <w:rFonts w:ascii="Times New Roman" w:cs="Times New Roman" w:eastAsia="Times New Roman" w:hAnsi="Times New Roman"/>
          <w:sz w:val="19"/>
          <w:szCs w:val="19"/>
          <w:color w:val="auto"/>
        </w:rPr>
        <w:t>Each Trustee shall retain the right not to act and shall not be liable for refusing to act if, due to a lack of information or for any other reason whatsoever, either Trustee, in its sole judgment, determines that such act might cause it to be in non-compliance with any applicable anti-money laundering or anti-terrorist legislation, regulation or guideline. Further, should either Trustee, in its sole judgment, determine at any time that its acting under this Indenture has resulted in its being in non-compliance with any applicable anti-money laundering or anti-terrorist legislation, regulation or guideline, then it shall have the right to resign on 10 days written notice to all parties provided (i) that such Trustee's written notice shall describe the circumstances of such non-compliance; and (ii) that if such circumstances are rectified to such Trustee's satisfaction within such 10 day period, then such resignation shall not be effective.</w:t>
      </w:r>
    </w:p>
    <w:p>
      <w:pPr>
        <w:spacing w:after="0" w:line="139" w:lineRule="exact"/>
        <w:rPr>
          <w:sz w:val="20"/>
          <w:szCs w:val="20"/>
          <w:color w:val="auto"/>
        </w:rPr>
      </w:pPr>
    </w:p>
    <w:p>
      <w:pPr>
        <w:jc w:val="both"/>
        <w:ind w:firstLine="568"/>
        <w:spacing w:after="0" w:line="236" w:lineRule="auto"/>
        <w:rPr>
          <w:sz w:val="20"/>
          <w:szCs w:val="20"/>
          <w:color w:val="auto"/>
        </w:rPr>
      </w:pPr>
      <w:r>
        <w:rPr>
          <w:rFonts w:ascii="Times New Roman" w:cs="Times New Roman" w:eastAsia="Times New Roman" w:hAnsi="Times New Roman"/>
          <w:sz w:val="19"/>
          <w:szCs w:val="19"/>
          <w:color w:val="auto"/>
        </w:rPr>
        <w:t>The parties hereto acknowledge that Canadian federal and provincial legislation addressing the protection of individuals' personal information (collectively, "</w:t>
      </w:r>
      <w:r>
        <w:rPr>
          <w:rFonts w:ascii="Times New Roman" w:cs="Times New Roman" w:eastAsia="Times New Roman" w:hAnsi="Times New Roman"/>
          <w:sz w:val="19"/>
          <w:szCs w:val="19"/>
          <w:b w:val="1"/>
          <w:bCs w:val="1"/>
          <w:color w:val="auto"/>
        </w:rPr>
        <w:t>Privacy Laws</w:t>
      </w:r>
      <w:r>
        <w:rPr>
          <w:rFonts w:ascii="Times New Roman" w:cs="Times New Roman" w:eastAsia="Times New Roman" w:hAnsi="Times New Roman"/>
          <w:sz w:val="19"/>
          <w:szCs w:val="19"/>
          <w:color w:val="auto"/>
        </w:rPr>
        <w:t>") applies to obligations and activities under this Indenture. Despite any other provision of this Indenture, neither party shall take or direct any action that would contravene, or cause the other to contravene, applicable Privacy Laws. The Company, prior to transferring, or causing to be transferred, personal information to the Canadian Trustee, shall obtain and retain required consents of the relevant individuals to the collection, use and disclosure of their personal information, or shall have determined that such consents either have been previously given and can be relied on or are not required under Privacy Laws. The Canadian Trustee shall use commercially reasonable efforts to ensure that its services hereunder comply with Privacy Laws. Specifically, the Trustee agrees to (i) have designated a chief privacy officer; (ii) maintain policies and procedures to protect personal information and to receive and respond to any privacy complaint or inquiry; (iii) use personal information solely for the purposes of providing its services under or ancillary to this Indenture and not to use it for any other purpose except with the consent and direction of the Company; (iv) not sell or otherwise improperly disclose personal information to any third party; and (v) use employee administrative, physical and technological safeguards to reasonably secure and protect personal information against loss, theft or unauthorized access, use or modification.</w:t>
      </w:r>
    </w:p>
    <w:p>
      <w:pPr>
        <w:spacing w:after="0" w:line="130" w:lineRule="exact"/>
        <w:rPr>
          <w:sz w:val="20"/>
          <w:szCs w:val="20"/>
          <w:color w:val="auto"/>
        </w:rPr>
      </w:pPr>
    </w:p>
    <w:p>
      <w:pPr>
        <w:jc w:val="both"/>
        <w:ind w:right="20" w:firstLine="568"/>
        <w:spacing w:after="0" w:line="248" w:lineRule="auto"/>
        <w:rPr>
          <w:sz w:val="20"/>
          <w:szCs w:val="20"/>
          <w:color w:val="auto"/>
        </w:rPr>
      </w:pPr>
      <w:r>
        <w:rPr>
          <w:rFonts w:ascii="Times New Roman" w:cs="Times New Roman" w:eastAsia="Times New Roman" w:hAnsi="Times New Roman"/>
          <w:sz w:val="19"/>
          <w:szCs w:val="19"/>
          <w:color w:val="auto"/>
        </w:rPr>
        <w:t>It is expressly acknowledged and agreed that the Canadian Trustee may, in the course of providing services hereunder, collect or receive, use and disclose financial and other personal information about such parties and/or their representatives, as individuals, or about other individuals related to the subject matter hereof, and use such information for the following purposes:</w:t>
      </w:r>
    </w:p>
    <w:p>
      <w:pPr>
        <w:spacing w:after="0" w:line="115" w:lineRule="exact"/>
        <w:rPr>
          <w:sz w:val="20"/>
          <w:szCs w:val="20"/>
          <w:color w:val="auto"/>
        </w:rPr>
      </w:pPr>
    </w:p>
    <w:p>
      <w:pPr>
        <w:ind w:left="1720" w:hanging="590"/>
        <w:spacing w:after="0"/>
        <w:tabs>
          <w:tab w:leader="none" w:pos="172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provide the services required under this Indenture and other services that may be requested from time to time;</w:t>
      </w:r>
    </w:p>
    <w:p>
      <w:pPr>
        <w:spacing w:after="0" w:line="159" w:lineRule="exact"/>
        <w:rPr>
          <w:rFonts w:ascii="Times New Roman" w:cs="Times New Roman" w:eastAsia="Times New Roman" w:hAnsi="Times New Roman"/>
          <w:sz w:val="19"/>
          <w:szCs w:val="19"/>
          <w:color w:val="auto"/>
        </w:rPr>
      </w:pPr>
    </w:p>
    <w:p>
      <w:pPr>
        <w:ind w:left="1740" w:hanging="610"/>
        <w:spacing w:after="0"/>
        <w:tabs>
          <w:tab w:leader="none" w:pos="174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help the Canadian Trustee manage its servicing relationships with such individuals;</w:t>
      </w:r>
    </w:p>
    <w:p>
      <w:pPr>
        <w:spacing w:after="0" w:line="148" w:lineRule="exact"/>
        <w:rPr>
          <w:rFonts w:ascii="Times New Roman" w:cs="Times New Roman" w:eastAsia="Times New Roman" w:hAnsi="Times New Roman"/>
          <w:sz w:val="19"/>
          <w:szCs w:val="19"/>
          <w:color w:val="auto"/>
        </w:rPr>
      </w:pPr>
    </w:p>
    <w:p>
      <w:pPr>
        <w:ind w:left="1740" w:hanging="610"/>
        <w:spacing w:after="0"/>
        <w:tabs>
          <w:tab w:leader="none" w:pos="174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meet the Canadian Trustee's legal and regulatory requirements; and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19" w:name="page120"/>
    <w:bookmarkEnd w:id="119"/>
    <w:p>
      <w:pPr>
        <w:ind w:left="1700" w:right="20" w:hanging="570"/>
        <w:spacing w:after="0" w:line="263" w:lineRule="auto"/>
        <w:tabs>
          <w:tab w:leader="none" w:pos="1746"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social insurance numbers are collected by the Canadian Trustee, to perform tax reporting and to assist in verification of an individual's identity for security purposes.</w:t>
      </w:r>
    </w:p>
    <w:p>
      <w:pPr>
        <w:spacing w:after="0" w:line="102" w:lineRule="exact"/>
        <w:rPr>
          <w:sz w:val="20"/>
          <w:szCs w:val="20"/>
          <w:color w:val="auto"/>
        </w:rPr>
      </w:pPr>
    </w:p>
    <w:p>
      <w:pPr>
        <w:jc w:val="both"/>
        <w:ind w:right="20" w:firstLine="568"/>
        <w:spacing w:after="0" w:line="241" w:lineRule="auto"/>
        <w:rPr>
          <w:sz w:val="20"/>
          <w:szCs w:val="20"/>
          <w:color w:val="auto"/>
        </w:rPr>
      </w:pPr>
      <w:r>
        <w:rPr>
          <w:rFonts w:ascii="Times New Roman" w:cs="Times New Roman" w:eastAsia="Times New Roman" w:hAnsi="Times New Roman"/>
          <w:sz w:val="19"/>
          <w:szCs w:val="19"/>
          <w:color w:val="auto"/>
        </w:rPr>
        <w:t>Further, each party agrees that it shall not provide or cause to be provided to the Canadian Trustee any personal information relating to an individual who is not a party to this Indenture unless that party has assured itself that such individual understands and has consented to the aforementioned uses and disclosures. Notwithstanding anything to the contrary herein, the Company and the Trustees may, without liability, disclose information about the Holders and beneficial owners or potential Holders or potential beneficial owners of the Securities pursuant to subpoena or other order issued by a court of competent jurisdiction or when otherwise required by applicable law.</w:t>
      </w:r>
    </w:p>
    <w:p>
      <w:pPr>
        <w:spacing w:after="0" w:line="133" w:lineRule="exact"/>
        <w:rPr>
          <w:sz w:val="20"/>
          <w:szCs w:val="20"/>
          <w:color w:val="auto"/>
        </w:rPr>
      </w:pPr>
    </w:p>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Each Trustee hereby accepts the trusts in this Indenture declared and provided for and agrees to perform the same upon the terms and conditions herein set forth and to hold all rights, privileges and benefits conferred hereby and by law in trust for the various persons who shall from time to time be holders, subject to all the terms and conditions herein set forth.</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SEVEN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HOLDERS' LISTS AND REPORTS BY TRUSTEE AND COMPANY</w:t>
      </w:r>
    </w:p>
    <w:p>
      <w:pPr>
        <w:spacing w:after="0" w:line="124"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7.01</w:t>
      </w:r>
      <w:r>
        <w:rPr>
          <w:sz w:val="20"/>
          <w:szCs w:val="20"/>
          <w:color w:val="auto"/>
        </w:rPr>
        <w:tab/>
      </w:r>
      <w:r>
        <w:rPr>
          <w:rFonts w:ascii="Times New Roman" w:cs="Times New Roman" w:eastAsia="Times New Roman" w:hAnsi="Times New Roman"/>
          <w:sz w:val="18"/>
          <w:szCs w:val="18"/>
          <w:b w:val="1"/>
          <w:bCs w:val="1"/>
          <w:color w:val="auto"/>
        </w:rPr>
        <w:t>Company to Furnish Trustees Names and Addresses of Holders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568"/>
        <w:spacing w:after="0" w:line="238" w:lineRule="auto"/>
        <w:rPr>
          <w:sz w:val="20"/>
          <w:szCs w:val="20"/>
          <w:color w:val="auto"/>
        </w:rPr>
      </w:pPr>
      <w:r>
        <w:rPr>
          <w:rFonts w:ascii="Times New Roman" w:cs="Times New Roman" w:eastAsia="Times New Roman" w:hAnsi="Times New Roman"/>
          <w:sz w:val="19"/>
          <w:szCs w:val="19"/>
          <w:color w:val="auto"/>
        </w:rPr>
        <w:t xml:space="preserve">The Company will furnish or cause to be furnished to the Trustees (1) not more than 15 days after each Regular Record Date, or such lesser time as required by the Trustees, a list, in such form as the Trustees may reasonably require, of the names and addresses of Holders as of such Regular Record Date;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Company shall not be obligated to furnish or cause to be furnished such list at any time that the list shall not differ in any respect from the most recent list furnished to the Trustees by the Company or at such times as either Trustee is acting as Security Registrar for the applicable series of Securities and (2) at such other times as the Trustees may request in writing within 30 days after the receipt by the Company of any such request, a list of similar form and content as of a date not more than 15 days prior to the time such list is furnished.</w:t>
      </w:r>
    </w:p>
    <w:p>
      <w:pPr>
        <w:spacing w:after="0" w:line="123"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7.02</w:t>
      </w:r>
      <w:r>
        <w:rPr>
          <w:sz w:val="20"/>
          <w:szCs w:val="20"/>
          <w:color w:val="auto"/>
        </w:rPr>
        <w:tab/>
      </w:r>
      <w:r>
        <w:rPr>
          <w:rFonts w:ascii="Times New Roman" w:cs="Times New Roman" w:eastAsia="Times New Roman" w:hAnsi="Times New Roman"/>
          <w:sz w:val="18"/>
          <w:szCs w:val="18"/>
          <w:b w:val="1"/>
          <w:bCs w:val="1"/>
          <w:color w:val="auto"/>
        </w:rPr>
        <w:t>Preservation of List of Names and Addresses of Holders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The Trustees shall preserve, in as current a form as is reasonably practicable, all information as to the names and addresses of the Holders contained in the most recent list furnished to them as provided in Section 7.01 and as to the names and addresses of Holders received by either Trustee in its capacity as Security Registrar for the applicable series of Securities (if acting in such capacity).</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The Trustees may destroy any list furnished as provided in Section 7.01 upon receipt of a new list so furnished.</w:t>
      </w:r>
    </w:p>
    <w:p>
      <w:pPr>
        <w:spacing w:after="0" w:line="148" w:lineRule="exact"/>
        <w:rPr>
          <w:sz w:val="20"/>
          <w:szCs w:val="20"/>
          <w:color w:val="auto"/>
        </w:rPr>
      </w:pPr>
    </w:p>
    <w:p>
      <w:pPr>
        <w:jc w:val="both"/>
        <w:ind w:firstLine="568"/>
        <w:spacing w:after="0" w:line="262" w:lineRule="auto"/>
        <w:rPr>
          <w:sz w:val="20"/>
          <w:szCs w:val="20"/>
          <w:color w:val="auto"/>
        </w:rPr>
      </w:pPr>
      <w:r>
        <w:rPr>
          <w:rFonts w:ascii="Times New Roman" w:cs="Times New Roman" w:eastAsia="Times New Roman" w:hAnsi="Times New Roman"/>
          <w:sz w:val="19"/>
          <w:szCs w:val="19"/>
          <w:color w:val="auto"/>
        </w:rPr>
        <w:t>Holders may communicate as provided in TIA Section 312(b) with other Holders with respect to their rights under this Indenture or under the Securities.</w:t>
      </w:r>
    </w:p>
    <w:p>
      <w:pPr>
        <w:spacing w:after="0" w:line="98"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7.03</w:t>
      </w:r>
      <w:r>
        <w:rPr>
          <w:sz w:val="20"/>
          <w:szCs w:val="20"/>
          <w:color w:val="auto"/>
        </w:rPr>
        <w:tab/>
      </w:r>
      <w:r>
        <w:rPr>
          <w:rFonts w:ascii="Times New Roman" w:cs="Times New Roman" w:eastAsia="Times New Roman" w:hAnsi="Times New Roman"/>
          <w:sz w:val="18"/>
          <w:szCs w:val="18"/>
          <w:b w:val="1"/>
          <w:bCs w:val="1"/>
          <w:color w:val="auto"/>
        </w:rPr>
        <w:t>Disclosure of Names and Addresses of Holders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568"/>
        <w:spacing w:after="0" w:line="243" w:lineRule="auto"/>
        <w:rPr>
          <w:sz w:val="20"/>
          <w:szCs w:val="20"/>
          <w:color w:val="auto"/>
        </w:rPr>
      </w:pPr>
      <w:r>
        <w:rPr>
          <w:rFonts w:ascii="Times New Roman" w:cs="Times New Roman" w:eastAsia="Times New Roman" w:hAnsi="Times New Roman"/>
          <w:sz w:val="19"/>
          <w:szCs w:val="19"/>
          <w:color w:val="auto"/>
        </w:rPr>
        <w:t>Every Holder of Securities , by receiving and holding the same, agrees with the Company and the Trustees that none of the Company or the Trustees or any agent of either of them shall be held accountable by reason of the disclosure of any such information as to the names and addresses of the Holders in accordance with TIA Section 312, regardless of the source from which such information was derived, and that the Trustees shall not be held accountable by reason of mailing any material pursuant to a request made under TIA Section 312(b).</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20" w:name="page121"/>
    <w:bookmarkEnd w:id="120"/>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7.04</w:t>
      </w:r>
      <w:r>
        <w:rPr>
          <w:sz w:val="20"/>
          <w:szCs w:val="20"/>
          <w:color w:val="auto"/>
        </w:rPr>
        <w:tab/>
      </w:r>
      <w:r>
        <w:rPr>
          <w:rFonts w:ascii="Times New Roman" w:cs="Times New Roman" w:eastAsia="Times New Roman" w:hAnsi="Times New Roman"/>
          <w:sz w:val="18"/>
          <w:szCs w:val="18"/>
          <w:b w:val="1"/>
          <w:bCs w:val="1"/>
          <w:color w:val="auto"/>
        </w:rPr>
        <w:t>Reports by Trustees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left="1140" w:right="20" w:hanging="578"/>
        <w:spacing w:after="0" w:line="248" w:lineRule="auto"/>
        <w:tabs>
          <w:tab w:leader="none" w:pos="1182"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60 days after May 15 of each year commencing with the first year after the first issuance of Securities pursuant to this Indenture, the U.S. Trustee shall transmit to the Holders of Securities, in the manner and to the extent provided in TIA Section 313(c), a brief report dated as of such reporting date, if required by TIA Section 313(a).</w:t>
      </w:r>
    </w:p>
    <w:p>
      <w:pPr>
        <w:spacing w:after="0" w:line="126" w:lineRule="exact"/>
        <w:rPr>
          <w:rFonts w:ascii="Times New Roman" w:cs="Times New Roman" w:eastAsia="Times New Roman" w:hAnsi="Times New Roman"/>
          <w:sz w:val="19"/>
          <w:szCs w:val="19"/>
          <w:color w:val="auto"/>
        </w:rPr>
      </w:pPr>
    </w:p>
    <w:p>
      <w:pPr>
        <w:ind w:left="1180" w:hanging="618"/>
        <w:spacing w:after="0"/>
        <w:tabs>
          <w:tab w:leader="none" w:pos="118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U.S. Trustee shall comply with TIA Sections 313(b) and 313(c).</w:t>
      </w:r>
    </w:p>
    <w:p>
      <w:pPr>
        <w:spacing w:after="0" w:line="148" w:lineRule="exact"/>
        <w:rPr>
          <w:rFonts w:ascii="Times New Roman" w:cs="Times New Roman" w:eastAsia="Times New Roman" w:hAnsi="Times New Roman"/>
          <w:sz w:val="19"/>
          <w:szCs w:val="19"/>
          <w:color w:val="auto"/>
        </w:rPr>
      </w:pPr>
    </w:p>
    <w:p>
      <w:pPr>
        <w:jc w:val="both"/>
        <w:ind w:left="1140" w:right="20" w:hanging="578"/>
        <w:spacing w:after="0" w:line="248" w:lineRule="auto"/>
        <w:tabs>
          <w:tab w:leader="none" w:pos="1182"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copy of such report shall, at the time of such transmission to the Holders, be filed by the U.S. Trustee with the Company, with each securities exchange upon which any of the Securities are listed (if so listed) and also with the Commission. The Company agrees to notify the Trustees when the Securities become listed on any securities exchange.</w:t>
      </w:r>
    </w:p>
    <w:p>
      <w:pPr>
        <w:spacing w:after="0" w:line="111"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7.05</w:t>
      </w:r>
      <w:r>
        <w:rPr>
          <w:sz w:val="20"/>
          <w:szCs w:val="20"/>
          <w:color w:val="auto"/>
        </w:rPr>
        <w:tab/>
      </w:r>
      <w:r>
        <w:rPr>
          <w:rFonts w:ascii="Times New Roman" w:cs="Times New Roman" w:eastAsia="Times New Roman" w:hAnsi="Times New Roman"/>
          <w:sz w:val="19"/>
          <w:szCs w:val="19"/>
          <w:b w:val="1"/>
          <w:bCs w:val="1"/>
          <w:color w:val="auto"/>
        </w:rPr>
        <w:t>Reports by the Company</w:t>
      </w:r>
      <w:r>
        <w:rPr>
          <w:rFonts w:ascii="Times New Roman" w:cs="Times New Roman" w:eastAsia="Times New Roman" w:hAnsi="Times New Roman"/>
          <w:sz w:val="19"/>
          <w:szCs w:val="19"/>
          <w:color w:val="auto"/>
        </w:rPr>
        <w:t>.</w:t>
      </w:r>
    </w:p>
    <w:p>
      <w:pPr>
        <w:spacing w:after="0" w:line="164" w:lineRule="exact"/>
        <w:rPr>
          <w:sz w:val="20"/>
          <w:szCs w:val="20"/>
          <w:color w:val="auto"/>
        </w:rPr>
      </w:pPr>
    </w:p>
    <w:p>
      <w:pPr>
        <w:jc w:val="both"/>
        <w:ind w:left="1140" w:hanging="578"/>
        <w:spacing w:after="0" w:line="237" w:lineRule="auto"/>
        <w:tabs>
          <w:tab w:leader="none" w:pos="1182"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will file with the Trustees, within 20 days after filing with or furnishing to the Commission, copies of its annual reports and of the information, documents and other reports (or copies of such portions of any of the foregoing as the Commission may by rules and regulations prescribe) which the Company is required to file or furnish with the Commission pursuant to Section 13 or 15(d) of the Exchange Act or, if the Company is not required to file information, documents or reports pursuant to either of such sections, then to file with the Trustees and the Commission, in accordance with rules and regulations prescribed by the Commission, such of the supplementary and periodic information, documents and reports which may be required pursuant to Section 13 of the Exchange Act in respect of a security listed and registered on a national securities exchange as may be prescribed in such rules and regulations;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such reports, information or documents filed with the Commission pursuant to its Electronic Data Gathering, Analysis and Retrieval (EDGAR) system shall be deemed filed with the Trustees.</w:t>
      </w:r>
    </w:p>
    <w:p>
      <w:pPr>
        <w:spacing w:after="0" w:line="127" w:lineRule="exact"/>
        <w:rPr>
          <w:rFonts w:ascii="Times New Roman" w:cs="Times New Roman" w:eastAsia="Times New Roman" w:hAnsi="Times New Roman"/>
          <w:sz w:val="19"/>
          <w:szCs w:val="19"/>
          <w:color w:val="auto"/>
        </w:rPr>
      </w:pPr>
    </w:p>
    <w:p>
      <w:pPr>
        <w:jc w:val="both"/>
        <w:ind w:left="1140" w:hanging="578"/>
        <w:spacing w:after="0" w:line="243" w:lineRule="auto"/>
        <w:tabs>
          <w:tab w:leader="none" w:pos="1182"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will transmit to all Holders, in the manner and to the extent provided in TIA Section 313(c), within 30 days after the filing thereof with the Trustees, such summaries of any information, documents and reports required to be filed by the Company pursuant to paragraph (1) of this Section 7.05 as may be required by rules and regulations prescribed from time to time by the Commission.</w:t>
      </w:r>
    </w:p>
    <w:p>
      <w:pPr>
        <w:spacing w:after="0" w:line="120" w:lineRule="exact"/>
        <w:rPr>
          <w:rFonts w:ascii="Times New Roman" w:cs="Times New Roman" w:eastAsia="Times New Roman" w:hAnsi="Times New Roman"/>
          <w:sz w:val="19"/>
          <w:szCs w:val="19"/>
          <w:color w:val="auto"/>
        </w:rPr>
      </w:pPr>
    </w:p>
    <w:p>
      <w:pPr>
        <w:jc w:val="both"/>
        <w:ind w:left="1140" w:right="20" w:hanging="578"/>
        <w:spacing w:after="0" w:line="248" w:lineRule="auto"/>
        <w:tabs>
          <w:tab w:leader="none" w:pos="1182"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any time the Securities are guaranteed by a direct or indirect parent of the Company, and such parent has furnished the reports required by this Section 7.05 with respect to parent as required by this Section 7.05 as if parent were the Company (including any financial information required hereby), the Company shall be deemed to be in compliance with this Section 7.05.</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9"/>
          <w:szCs w:val="19"/>
          <w:b w:val="1"/>
          <w:bCs w:val="1"/>
          <w:color w:val="auto"/>
        </w:rPr>
        <w:t>ARTICLE EIGHT</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CONSOLIDATION, MERGER, CONVEYANCE, TRANSFER OR LEASE</w:t>
      </w:r>
    </w:p>
    <w:p>
      <w:pPr>
        <w:spacing w:after="0" w:line="124"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8.01</w:t>
      </w:r>
      <w:r>
        <w:rPr>
          <w:sz w:val="20"/>
          <w:szCs w:val="20"/>
          <w:color w:val="auto"/>
        </w:rPr>
        <w:tab/>
      </w:r>
      <w:r>
        <w:rPr>
          <w:rFonts w:ascii="Times New Roman" w:cs="Times New Roman" w:eastAsia="Times New Roman" w:hAnsi="Times New Roman"/>
          <w:sz w:val="18"/>
          <w:szCs w:val="18"/>
          <w:b w:val="1"/>
          <w:bCs w:val="1"/>
          <w:color w:val="auto"/>
        </w:rPr>
        <w:t>Company May Consolidate, Etc., Only on Certain Terms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ind w:right="20" w:firstLine="568"/>
        <w:spacing w:after="0" w:line="262" w:lineRule="auto"/>
        <w:rPr>
          <w:sz w:val="20"/>
          <w:szCs w:val="20"/>
          <w:color w:val="auto"/>
        </w:rPr>
      </w:pPr>
      <w:r>
        <w:rPr>
          <w:rFonts w:ascii="Times New Roman" w:cs="Times New Roman" w:eastAsia="Times New Roman" w:hAnsi="Times New Roman"/>
          <w:sz w:val="19"/>
          <w:szCs w:val="19"/>
          <w:color w:val="auto"/>
        </w:rPr>
        <w:t>The Company shall not amalgamate or consolidate with or merge into or enter into any statutory arrangement with any other Person, or, directly or indirectly, convey, transfer or lease all or substantially all of its properties and assets to any Person, unless:</w:t>
      </w:r>
    </w:p>
    <w:p>
      <w:pPr>
        <w:spacing w:after="0" w:line="102" w:lineRule="exact"/>
        <w:rPr>
          <w:sz w:val="20"/>
          <w:szCs w:val="20"/>
          <w:color w:val="auto"/>
        </w:rPr>
      </w:pPr>
    </w:p>
    <w:p>
      <w:pPr>
        <w:jc w:val="both"/>
        <w:ind w:left="1140" w:hanging="578"/>
        <w:spacing w:after="0" w:line="237" w:lineRule="auto"/>
        <w:tabs>
          <w:tab w:leader="none" w:pos="1182"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formed by or continuing from such amalgamation or consolidation or into which the Company is merged or with which it enters into such statutory arrangement or the Person which acquires by operation of law or by conveyance or transfer, or which leases, all or substantially all of the properties and assets of the Company shall be a corporation, partnership or trust organized and validly existing under the laws of Canada or any province or territory thereof, the United States of America or any state thereof or the District of Columbia or, if such amalgamation, consolidation, merger, statutory arrangement or other transaction would not impair the rights of Holders, any other country, and, unless the Company is the continuing corporation, shall expressly assume, by an indenture supplemental hereto, executed and delivered to the Trustees, in form satisfactory to the Trustees, the Company's obligation for the due and punctual payment of the principal of, premium (if any) and interest (if any) on all the Securities and the performance and observance of every covenant of this Indenture on the part of the Company to be performed or observed;</w:t>
      </w:r>
    </w:p>
    <w:p>
      <w:pPr>
        <w:spacing w:after="0" w:line="127" w:lineRule="exact"/>
        <w:rPr>
          <w:rFonts w:ascii="Times New Roman" w:cs="Times New Roman" w:eastAsia="Times New Roman" w:hAnsi="Times New Roman"/>
          <w:sz w:val="19"/>
          <w:szCs w:val="19"/>
          <w:color w:val="auto"/>
        </w:rPr>
      </w:pPr>
    </w:p>
    <w:p>
      <w:pPr>
        <w:ind w:left="1180" w:hanging="618"/>
        <w:spacing w:after="0"/>
        <w:tabs>
          <w:tab w:leader="none" w:pos="118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immediately after giving effect to such transaction, no Default or Event of Default shall have happened and be continuing; and</w:t>
      </w:r>
    </w:p>
    <w:p>
      <w:pPr>
        <w:spacing w:after="0" w:line="159" w:lineRule="exact"/>
        <w:rPr>
          <w:rFonts w:ascii="Times New Roman" w:cs="Times New Roman" w:eastAsia="Times New Roman" w:hAnsi="Times New Roman"/>
          <w:sz w:val="19"/>
          <w:szCs w:val="19"/>
          <w:color w:val="auto"/>
        </w:rPr>
      </w:pPr>
    </w:p>
    <w:p>
      <w:pPr>
        <w:jc w:val="both"/>
        <w:ind w:left="1140" w:right="20" w:hanging="578"/>
        <w:spacing w:after="0" w:line="248" w:lineRule="auto"/>
        <w:tabs>
          <w:tab w:leader="none" w:pos="1182"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or such Person shall have delivered to the Trustees an Officer's Certificate and an Opinion of Counsel, each stating that such amalgamation, consolidation, merger, statutory arrangement or other transaction and such supplemental indenture comply with this Article Eight and that all conditions precedent herein provided for relating to such transaction have been complied with.</w:t>
      </w:r>
    </w:p>
    <w:p>
      <w:pPr>
        <w:spacing w:after="0" w:line="115" w:lineRule="exact"/>
        <w:rPr>
          <w:sz w:val="20"/>
          <w:szCs w:val="20"/>
          <w:color w:val="auto"/>
        </w:rPr>
      </w:pPr>
    </w:p>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Notwithstanding the above, the Company may consolidate with, amalgamate with, undergo an arrangement with, merge with or into an Affiliate of the Company solely for the purpose of reincorporating the Company in a state of the United States or the District of Columbia or in another province or territory of Canada.</w:t>
      </w:r>
    </w:p>
    <w:p>
      <w:pPr>
        <w:spacing w:after="0" w:line="115" w:lineRule="exact"/>
        <w:rPr>
          <w:sz w:val="20"/>
          <w:szCs w:val="20"/>
          <w:color w:val="auto"/>
        </w:rPr>
      </w:pPr>
    </w:p>
    <w:p>
      <w:pPr>
        <w:jc w:val="both"/>
        <w:ind w:right="20" w:firstLine="568"/>
        <w:spacing w:after="0" w:line="262" w:lineRule="auto"/>
        <w:rPr>
          <w:sz w:val="20"/>
          <w:szCs w:val="20"/>
          <w:color w:val="auto"/>
        </w:rPr>
      </w:pPr>
      <w:r>
        <w:rPr>
          <w:rFonts w:ascii="Times New Roman" w:cs="Times New Roman" w:eastAsia="Times New Roman" w:hAnsi="Times New Roman"/>
          <w:sz w:val="19"/>
          <w:szCs w:val="19"/>
          <w:color w:val="auto"/>
        </w:rPr>
        <w:t>This Section 8.01 shall only apply to a merger, consolidation or amalgamation in which the Company is not the surviving Person and to conveyances, leases and transfers by the Company as transferor or lessor.</w:t>
      </w:r>
    </w:p>
    <w:p>
      <w:pPr>
        <w:spacing w:after="0" w:line="110"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8.02</w:t>
      </w:r>
      <w:r>
        <w:rPr>
          <w:sz w:val="20"/>
          <w:szCs w:val="20"/>
          <w:color w:val="auto"/>
        </w:rPr>
        <w:tab/>
      </w:r>
      <w:r>
        <w:rPr>
          <w:rFonts w:ascii="Times New Roman" w:cs="Times New Roman" w:eastAsia="Times New Roman" w:hAnsi="Times New Roman"/>
          <w:sz w:val="18"/>
          <w:szCs w:val="18"/>
          <w:b w:val="1"/>
          <w:bCs w:val="1"/>
          <w:color w:val="auto"/>
        </w:rPr>
        <w:t>Successor Person Substituted</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38" w:lineRule="auto"/>
        <w:rPr>
          <w:sz w:val="20"/>
          <w:szCs w:val="20"/>
          <w:color w:val="auto"/>
        </w:rPr>
      </w:pPr>
      <w:r>
        <w:rPr>
          <w:rFonts w:ascii="Times New Roman" w:cs="Times New Roman" w:eastAsia="Times New Roman" w:hAnsi="Times New Roman"/>
          <w:sz w:val="19"/>
          <w:szCs w:val="19"/>
          <w:color w:val="auto"/>
        </w:rPr>
        <w:t>Upon any amalgamation or consolidation by the Company with or merger by the Company into any other corporation or a statutory arrangement or any conveyance, transfer or lease of all or substantially all of the properties and assets of the Company to any Person in accordance with Section 8.01, the successor Person formed by such amalgamation or consolidation or into which the Company is merged or statutory arrangement, or to which such conveyance, transfer or lease is made shall succeed to, and be substituted for, and may exercise every right and power of, the Company under this Indenture with the same effect as if such successor Person had been named as the Company herein, and in the event of any such conveyance or transfer, the Company (which term shall for this purpose mean the Person named as the "Company" in the first paragraph of this Indenture or any successor Person which shall theretofore become such in the manner described in Section 8.01), except in the case of a lease, shall be discharged of all obligations and covenants under this Indenture and the Securities and may be dissolved and liquidated.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9"/>
          <w:szCs w:val="19"/>
          <w:b w:val="1"/>
          <w:bCs w:val="1"/>
          <w:color w:val="auto"/>
        </w:rPr>
        <w:t>ARTICLE NINE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SUPPLEMENTAL INDENTURES</w:t>
      </w:r>
    </w:p>
    <w:p>
      <w:pPr>
        <w:spacing w:after="0" w:line="124"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9.01</w:t>
      </w:r>
      <w:r>
        <w:rPr>
          <w:sz w:val="20"/>
          <w:szCs w:val="20"/>
          <w:color w:val="auto"/>
        </w:rPr>
        <w:tab/>
      </w:r>
      <w:r>
        <w:rPr>
          <w:rFonts w:ascii="Times New Roman" w:cs="Times New Roman" w:eastAsia="Times New Roman" w:hAnsi="Times New Roman"/>
          <w:sz w:val="18"/>
          <w:szCs w:val="18"/>
          <w:b w:val="1"/>
          <w:bCs w:val="1"/>
          <w:color w:val="auto"/>
        </w:rPr>
        <w:t>Supplemental Indentures Without Consent of Holders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right="20" w:firstLine="568"/>
        <w:spacing w:after="0" w:line="248" w:lineRule="auto"/>
        <w:rPr>
          <w:sz w:val="20"/>
          <w:szCs w:val="20"/>
          <w:color w:val="auto"/>
        </w:rPr>
      </w:pPr>
      <w:r>
        <w:rPr>
          <w:rFonts w:ascii="Times New Roman" w:cs="Times New Roman" w:eastAsia="Times New Roman" w:hAnsi="Times New Roman"/>
          <w:sz w:val="19"/>
          <w:szCs w:val="19"/>
          <w:color w:val="auto"/>
        </w:rPr>
        <w:t>Notwithstanding Section 9.02, without the consent of any Holders, the Company, when authorized by or pursuant to a Board Resolution, and the Trustees, at any time and from time to time, may enter into one or more indentures supplemental hereto, in form satisfactory to the Trustees, for any of the following purposes:</w:t>
      </w:r>
    </w:p>
    <w:p>
      <w:pPr>
        <w:spacing w:after="0" w:line="115" w:lineRule="exact"/>
        <w:rPr>
          <w:sz w:val="20"/>
          <w:szCs w:val="20"/>
          <w:color w:val="auto"/>
        </w:rPr>
      </w:pPr>
    </w:p>
    <w:p>
      <w:pPr>
        <w:ind w:left="1140" w:hanging="578"/>
        <w:spacing w:after="0" w:line="262" w:lineRule="auto"/>
        <w:tabs>
          <w:tab w:leader="none" w:pos="1182"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evidence the succession of another Person to the Company and the assumption by any such successor of the covenants of the Company contained herein and in the Securities; or</w:t>
      </w:r>
    </w:p>
    <w:p>
      <w:pPr>
        <w:spacing w:after="0" w:line="102" w:lineRule="exact"/>
        <w:rPr>
          <w:rFonts w:ascii="Times New Roman" w:cs="Times New Roman" w:eastAsia="Times New Roman" w:hAnsi="Times New Roman"/>
          <w:sz w:val="19"/>
          <w:szCs w:val="19"/>
          <w:color w:val="auto"/>
        </w:rPr>
      </w:pPr>
    </w:p>
    <w:p>
      <w:pPr>
        <w:jc w:val="both"/>
        <w:ind w:left="1140" w:right="20" w:hanging="578"/>
        <w:spacing w:after="0" w:line="248" w:lineRule="auto"/>
        <w:tabs>
          <w:tab w:leader="none" w:pos="1182"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add to the covenants of the Company for the benefit of the Holders of all or any series of Securities (and if such covenants are to be for the benefit of less than all series of Securities, stating that such covenants are being included solely for the benefit of such series) or to surrender any right or power herein conferred upon the Company; or</w:t>
      </w:r>
    </w:p>
    <w:p>
      <w:pPr>
        <w:spacing w:after="0" w:line="126" w:lineRule="exact"/>
        <w:rPr>
          <w:rFonts w:ascii="Times New Roman" w:cs="Times New Roman" w:eastAsia="Times New Roman" w:hAnsi="Times New Roman"/>
          <w:sz w:val="19"/>
          <w:szCs w:val="19"/>
          <w:color w:val="auto"/>
        </w:rPr>
      </w:pPr>
    </w:p>
    <w:p>
      <w:pPr>
        <w:ind w:left="1140" w:hanging="578"/>
        <w:spacing w:after="0" w:line="262" w:lineRule="auto"/>
        <w:tabs>
          <w:tab w:leader="none" w:pos="1182"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add any additional Events of Default (and if such Events of Default are to be for the benefit of less than all series of Securities, stating that such Events of Default are being included solely for the benefit of such series); or</w:t>
      </w:r>
    </w:p>
    <w:p>
      <w:pPr>
        <w:spacing w:after="0" w:line="102" w:lineRule="exact"/>
        <w:rPr>
          <w:rFonts w:ascii="Times New Roman" w:cs="Times New Roman" w:eastAsia="Times New Roman" w:hAnsi="Times New Roman"/>
          <w:sz w:val="19"/>
          <w:szCs w:val="19"/>
          <w:color w:val="auto"/>
        </w:rPr>
      </w:pPr>
    </w:p>
    <w:p>
      <w:pPr>
        <w:jc w:val="both"/>
        <w:ind w:left="1140" w:right="20" w:hanging="578"/>
        <w:spacing w:after="0" w:line="243" w:lineRule="auto"/>
        <w:tabs>
          <w:tab w:leader="none" w:pos="1182"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delete or modify any Events of Default with respect to a series of the Securities, the form and terms of which are being established pursuant to such supplemental indenture as permitted in Section 3.01 (and if such Events of Default are to be for the benefit of less than all series of Securities, stating that such Events of Default are being included solely for the benefit of such series, and to specify the rights and remedies of the Trustees and the Holders of such Securities in connection therewith); or</w:t>
      </w:r>
    </w:p>
    <w:p>
      <w:pPr>
        <w:spacing w:after="0" w:line="116" w:lineRule="exact"/>
        <w:rPr>
          <w:rFonts w:ascii="Times New Roman" w:cs="Times New Roman" w:eastAsia="Times New Roman" w:hAnsi="Times New Roman"/>
          <w:sz w:val="19"/>
          <w:szCs w:val="19"/>
          <w:color w:val="auto"/>
        </w:rPr>
      </w:pPr>
    </w:p>
    <w:p>
      <w:pPr>
        <w:jc w:val="both"/>
        <w:ind w:left="1140" w:hanging="578"/>
        <w:spacing w:after="0" w:line="250" w:lineRule="auto"/>
        <w:tabs>
          <w:tab w:leader="none" w:pos="1182"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change or eliminate any of the provisions of this Indenture;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125" w:lineRule="exact"/>
        <w:rPr>
          <w:rFonts w:ascii="Times New Roman" w:cs="Times New Roman" w:eastAsia="Times New Roman" w:hAnsi="Times New Roman"/>
          <w:sz w:val="19"/>
          <w:szCs w:val="19"/>
          <w:color w:val="auto"/>
        </w:rPr>
      </w:pPr>
    </w:p>
    <w:p>
      <w:pPr>
        <w:ind w:left="1180" w:hanging="618"/>
        <w:spacing w:after="0"/>
        <w:tabs>
          <w:tab w:leader="none" w:pos="118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establish the form or terms of Securities of any series as permitted by Sections 2.01 and 3.01; or</w:t>
      </w:r>
    </w:p>
    <w:p>
      <w:pPr>
        <w:spacing w:after="0" w:line="148" w:lineRule="exact"/>
        <w:rPr>
          <w:rFonts w:ascii="Times New Roman" w:cs="Times New Roman" w:eastAsia="Times New Roman" w:hAnsi="Times New Roman"/>
          <w:sz w:val="19"/>
          <w:szCs w:val="19"/>
          <w:color w:val="auto"/>
        </w:rPr>
      </w:pPr>
    </w:p>
    <w:p>
      <w:pPr>
        <w:jc w:val="both"/>
        <w:ind w:left="1140" w:hanging="578"/>
        <w:spacing w:after="0" w:line="248" w:lineRule="auto"/>
        <w:tabs>
          <w:tab w:leader="none" w:pos="1182"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6.10; or</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23" w:name="page124"/>
    <w:bookmarkEnd w:id="123"/>
    <w:p>
      <w:pPr>
        <w:ind w:left="1180" w:hanging="618"/>
        <w:spacing w:after="0"/>
        <w:tabs>
          <w:tab w:leader="none" w:pos="118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close this Indenture with respect to the authentication and delivery of additional series of Securities; or</w:t>
      </w:r>
    </w:p>
    <w:p>
      <w:pPr>
        <w:spacing w:after="0" w:line="149" w:lineRule="exact"/>
        <w:rPr>
          <w:rFonts w:ascii="Times New Roman" w:cs="Times New Roman" w:eastAsia="Times New Roman" w:hAnsi="Times New Roman"/>
          <w:sz w:val="19"/>
          <w:szCs w:val="19"/>
          <w:color w:val="auto"/>
        </w:rPr>
      </w:pPr>
    </w:p>
    <w:p>
      <w:pPr>
        <w:jc w:val="both"/>
        <w:ind w:left="1140" w:hanging="578"/>
        <w:spacing w:after="0" w:line="241" w:lineRule="auto"/>
        <w:tabs>
          <w:tab w:leader="none" w:pos="1182"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cure any ambiguity or to correct or supplement any provision contained herein or in any indenture supplemental hereto which may be defective or inconsistent with any other provision contained herein or in any supplemental indenture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 or</w:t>
      </w:r>
    </w:p>
    <w:p>
      <w:pPr>
        <w:spacing w:after="0" w:line="133" w:lineRule="exact"/>
        <w:rPr>
          <w:rFonts w:ascii="Times New Roman" w:cs="Times New Roman" w:eastAsia="Times New Roman" w:hAnsi="Times New Roman"/>
          <w:sz w:val="19"/>
          <w:szCs w:val="19"/>
          <w:color w:val="auto"/>
        </w:rPr>
      </w:pPr>
    </w:p>
    <w:p>
      <w:pPr>
        <w:ind w:left="1140" w:hanging="578"/>
        <w:spacing w:after="0" w:line="262" w:lineRule="auto"/>
        <w:tabs>
          <w:tab w:leader="none" w:pos="119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make any change in any series of Securities that does not adversely affect in any material respect the rights of the Holders of such Securities; or</w:t>
      </w:r>
    </w:p>
    <w:p>
      <w:pPr>
        <w:spacing w:after="0" w:line="102" w:lineRule="exact"/>
        <w:rPr>
          <w:rFonts w:ascii="Times New Roman" w:cs="Times New Roman" w:eastAsia="Times New Roman" w:hAnsi="Times New Roman"/>
          <w:sz w:val="19"/>
          <w:szCs w:val="19"/>
          <w:color w:val="auto"/>
        </w:rPr>
      </w:pPr>
    </w:p>
    <w:p>
      <w:pPr>
        <w:ind w:left="1140" w:hanging="578"/>
        <w:spacing w:after="0" w:line="262" w:lineRule="auto"/>
        <w:tabs>
          <w:tab w:leader="none" w:pos="1191"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add to or change or eliminate any provision of this Indenture as shall be necessary or desirable in accordance with any amendments to the Trust Indenture Act; or</w:t>
      </w:r>
    </w:p>
    <w:p>
      <w:pPr>
        <w:spacing w:after="0" w:line="102" w:lineRule="exact"/>
        <w:rPr>
          <w:rFonts w:ascii="Times New Roman" w:cs="Times New Roman" w:eastAsia="Times New Roman" w:hAnsi="Times New Roman"/>
          <w:sz w:val="19"/>
          <w:szCs w:val="19"/>
          <w:color w:val="auto"/>
        </w:rPr>
      </w:pPr>
    </w:p>
    <w:p>
      <w:pPr>
        <w:jc w:val="both"/>
        <w:ind w:left="1140" w:right="20" w:hanging="578"/>
        <w:spacing w:after="0" w:line="248" w:lineRule="auto"/>
        <w:tabs>
          <w:tab w:leader="none" w:pos="1198"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such action shall not adversely affect the interests of the Holders of Securities of such series or any other series of Securities in any material respect; or</w:t>
      </w:r>
    </w:p>
    <w:p>
      <w:pPr>
        <w:spacing w:after="0" w:line="126" w:lineRule="exact"/>
        <w:rPr>
          <w:rFonts w:ascii="Times New Roman" w:cs="Times New Roman" w:eastAsia="Times New Roman" w:hAnsi="Times New Roman"/>
          <w:sz w:val="19"/>
          <w:szCs w:val="19"/>
          <w:color w:val="auto"/>
        </w:rPr>
      </w:pPr>
    </w:p>
    <w:p>
      <w:pPr>
        <w:jc w:val="both"/>
        <w:ind w:left="1140" w:right="20" w:hanging="578"/>
        <w:spacing w:after="0" w:line="248" w:lineRule="auto"/>
        <w:tabs>
          <w:tab w:leader="none" w:pos="1198"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modify, eliminate or add to the provisions of this Indenture to such extent as shall be necessary to effect the qualifications of this Indenture under any applicable law of the United States and Canada or of any province or territory thereof to the extent they do not conflict with the applicable law of the United States heretofore or hereafter enacted.</w:t>
      </w:r>
    </w:p>
    <w:p>
      <w:pPr>
        <w:spacing w:after="0" w:line="111"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9.02</w:t>
      </w:r>
      <w:r>
        <w:rPr>
          <w:sz w:val="20"/>
          <w:szCs w:val="20"/>
          <w:color w:val="auto"/>
        </w:rPr>
        <w:tab/>
      </w:r>
      <w:r>
        <w:rPr>
          <w:rFonts w:ascii="Times New Roman" w:cs="Times New Roman" w:eastAsia="Times New Roman" w:hAnsi="Times New Roman"/>
          <w:sz w:val="18"/>
          <w:szCs w:val="18"/>
          <w:b w:val="1"/>
          <w:bCs w:val="1"/>
          <w:color w:val="auto"/>
        </w:rPr>
        <w:t>Supplemental Indentures with Consent of Holders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39" w:lineRule="auto"/>
        <w:rPr>
          <w:sz w:val="20"/>
          <w:szCs w:val="20"/>
          <w:color w:val="auto"/>
        </w:rPr>
      </w:pPr>
      <w:r>
        <w:rPr>
          <w:rFonts w:ascii="Times New Roman" w:cs="Times New Roman" w:eastAsia="Times New Roman" w:hAnsi="Times New Roman"/>
          <w:sz w:val="19"/>
          <w:szCs w:val="19"/>
          <w:color w:val="auto"/>
        </w:rPr>
        <w:t xml:space="preserve">Except as provided in Section 9.01 and this Section 9.02, with the consent of the Holders of not less than a majority in principal amount of all Outstanding Securities affected by such supplemental indenture, by Act of said Holders delivered to the Company and the Trustees, the Company, when authorized by or pursuant to a Board Resolution, and the Trustees may enter into an indenture or indentures supplemental hereto for the purpose of adding any provisions to or changing in any manner or eliminating any of the provisions of this Indenture which affect such series of Securities or of modifying in any manner the rights of the Holders of Securities of such series under this Indenture;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no such supplemental indenture shall, without the consent of the Holder of each Outstanding Security of such series,</w:t>
      </w:r>
    </w:p>
    <w:p>
      <w:pPr>
        <w:spacing w:after="0" w:line="137" w:lineRule="exact"/>
        <w:rPr>
          <w:sz w:val="20"/>
          <w:szCs w:val="20"/>
          <w:color w:val="auto"/>
        </w:rPr>
      </w:pPr>
    </w:p>
    <w:p>
      <w:pPr>
        <w:jc w:val="both"/>
        <w:ind w:left="1140" w:hanging="578"/>
        <w:spacing w:after="0" w:line="237" w:lineRule="auto"/>
        <w:tabs>
          <w:tab w:leader="none" w:pos="1182"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 the Stated Maturity of the principal of, premium (if any) or any installment of interest (if any) on any Security of such series, or reduce the principal amount thereof, premium (if any) or the rate of interest (if any) thereon, or reduce the amount of the principal of an Original Issue Discount Security of such series that would be due and payable upon a declaration of acceleration of the Maturity thereof pursuant to Section 5.02 or the amount thereof provable in bankruptcy pursuant to Section 5.04, or adversely affect any right of repayment at the option of any Holder of any Security of such series, or change any Place of Payment where, or the Currency in which, any Security of such series or any premium or interest thereon is payable, or impair the right to institute suit for the enforcement of any such payment on or after the Stated Maturity thereof (or, in the case of redemption or repayment at the option of the Holder, on or after the Redemption Date or Repayment Date, as the case may be), or adversely affect any right to convert or exchange any Security as may be provided pursuant to Section 3.01 herein, or</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24" w:name="page125"/>
    <w:bookmarkEnd w:id="124"/>
    <w:p>
      <w:pPr>
        <w:jc w:val="both"/>
        <w:ind w:left="1140" w:hanging="578"/>
        <w:spacing w:after="0" w:line="248" w:lineRule="auto"/>
        <w:tabs>
          <w:tab w:leader="none" w:pos="1182"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reduce the percentage in principal amount of the Outstanding Securities of such series required for any such supplemental indenture, or the consent of whose Holders is required for any waiver of compliance with certain provisions of this Indenture which affect such series or certain defaults applicable to such series hereunder and their consequences provided for in this Indenture, or</w:t>
      </w:r>
    </w:p>
    <w:p>
      <w:pPr>
        <w:spacing w:after="0" w:line="116" w:lineRule="exact"/>
        <w:rPr>
          <w:rFonts w:ascii="Times New Roman" w:cs="Times New Roman" w:eastAsia="Times New Roman" w:hAnsi="Times New Roman"/>
          <w:sz w:val="19"/>
          <w:szCs w:val="19"/>
          <w:color w:val="auto"/>
        </w:rPr>
      </w:pPr>
    </w:p>
    <w:p>
      <w:pPr>
        <w:jc w:val="both"/>
        <w:ind w:left="1140" w:right="20" w:hanging="578"/>
        <w:spacing w:after="0" w:line="248" w:lineRule="auto"/>
        <w:tabs>
          <w:tab w:leader="none" w:pos="1182"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modify any of the provisions of this 9.02 Section, Section 5.13 or Section 10.09, except to increase any such percentage or to provide that certain other provisions of this Indenture which affect such series cannot be modified or waived without the consent of the Holder of each Outstanding Security of such series.</w:t>
      </w:r>
    </w:p>
    <w:p>
      <w:pPr>
        <w:spacing w:after="0" w:line="127" w:lineRule="exact"/>
        <w:rPr>
          <w:sz w:val="20"/>
          <w:szCs w:val="20"/>
          <w:color w:val="auto"/>
        </w:rPr>
      </w:pPr>
    </w:p>
    <w:p>
      <w:pPr>
        <w:jc w:val="both"/>
        <w:ind w:firstLine="568"/>
        <w:spacing w:after="0" w:line="239" w:lineRule="auto"/>
        <w:rPr>
          <w:sz w:val="20"/>
          <w:szCs w:val="20"/>
          <w:color w:val="auto"/>
        </w:rPr>
      </w:pPr>
      <w:r>
        <w:rPr>
          <w:rFonts w:ascii="Times New Roman" w:cs="Times New Roman" w:eastAsia="Times New Roman" w:hAnsi="Times New Roman"/>
          <w:sz w:val="19"/>
          <w:szCs w:val="19"/>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 Any such supplemental indenture adding any provisions to or changing in any manner or eliminating any of the provisions of this Indenture, or modifying in any manner the rights of the Holders of Securities of such series, shall not affect the rights under this Indenture of the Holders of Securities of any other series.</w:t>
      </w:r>
    </w:p>
    <w:p>
      <w:pPr>
        <w:spacing w:after="0" w:line="126" w:lineRule="exact"/>
        <w:rPr>
          <w:sz w:val="20"/>
          <w:szCs w:val="20"/>
          <w:color w:val="auto"/>
        </w:rPr>
      </w:pPr>
    </w:p>
    <w:p>
      <w:pPr>
        <w:jc w:val="both"/>
        <w:ind w:right="20" w:firstLine="568"/>
        <w:spacing w:after="0" w:line="262" w:lineRule="auto"/>
        <w:rPr>
          <w:sz w:val="20"/>
          <w:szCs w:val="20"/>
          <w:color w:val="auto"/>
        </w:rPr>
      </w:pPr>
      <w:r>
        <w:rPr>
          <w:rFonts w:ascii="Times New Roman" w:cs="Times New Roman" w:eastAsia="Times New Roman" w:hAnsi="Times New Roman"/>
          <w:sz w:val="19"/>
          <w:szCs w:val="19"/>
          <w:color w:val="auto"/>
        </w:rPr>
        <w:t>It shall not be necessary for any Act of Holders under this 9.02 Section to approve the particular form of any proposed supplemental indenture, but it shall be sufficient if such Act shall approve the substance thereof.</w:t>
      </w:r>
    </w:p>
    <w:p>
      <w:pPr>
        <w:spacing w:after="0" w:line="98"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9.03</w:t>
      </w:r>
      <w:r>
        <w:rPr>
          <w:sz w:val="20"/>
          <w:szCs w:val="20"/>
          <w:color w:val="auto"/>
        </w:rPr>
        <w:tab/>
      </w:r>
      <w:r>
        <w:rPr>
          <w:rFonts w:ascii="Times New Roman" w:cs="Times New Roman" w:eastAsia="Times New Roman" w:hAnsi="Times New Roman"/>
          <w:sz w:val="18"/>
          <w:szCs w:val="18"/>
          <w:b w:val="1"/>
          <w:bCs w:val="1"/>
          <w:color w:val="auto"/>
        </w:rPr>
        <w:t>Execution of Supplemental Indentures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right="20" w:firstLine="568"/>
        <w:spacing w:after="0" w:line="241" w:lineRule="auto"/>
        <w:rPr>
          <w:sz w:val="20"/>
          <w:szCs w:val="20"/>
          <w:color w:val="auto"/>
        </w:rPr>
      </w:pPr>
      <w:r>
        <w:rPr>
          <w:rFonts w:ascii="Times New Roman" w:cs="Times New Roman" w:eastAsia="Times New Roman" w:hAnsi="Times New Roman"/>
          <w:sz w:val="19"/>
          <w:szCs w:val="19"/>
          <w:color w:val="auto"/>
        </w:rPr>
        <w:t>In executing, or accepting the additional trusts created by, any supplemental indenture permitted by this Article Nine or the modifications thereby of the trusts created by this Indenture, the Trustees shall be entitled to receive, and shall be fully protected in relying upon, an Opinion of Counsel stating that the execution of such supplemental indenture is authorized or permitted by this Indenture. Each Trustee may, but shall not be obligated to, enter into any such supplemental indenture which affects such Trustee's own rights, duties or immunities under this Indenture or otherwise.</w:t>
      </w:r>
    </w:p>
    <w:p>
      <w:pPr>
        <w:spacing w:after="0" w:line="117"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9.04</w:t>
      </w:r>
      <w:r>
        <w:rPr>
          <w:sz w:val="20"/>
          <w:szCs w:val="20"/>
          <w:color w:val="auto"/>
        </w:rPr>
        <w:tab/>
      </w:r>
      <w:r>
        <w:rPr>
          <w:rFonts w:ascii="Times New Roman" w:cs="Times New Roman" w:eastAsia="Times New Roman" w:hAnsi="Times New Roman"/>
          <w:sz w:val="18"/>
          <w:szCs w:val="18"/>
          <w:b w:val="1"/>
          <w:bCs w:val="1"/>
          <w:color w:val="auto"/>
        </w:rPr>
        <w:t>Effect of Supplemental Indentures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Upon the execution of any supplemental indenture under this Article Nine,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23"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9.05</w:t>
      </w:r>
      <w:r>
        <w:rPr>
          <w:sz w:val="20"/>
          <w:szCs w:val="20"/>
          <w:color w:val="auto"/>
        </w:rPr>
        <w:tab/>
      </w:r>
      <w:r>
        <w:rPr>
          <w:rFonts w:ascii="Times New Roman" w:cs="Times New Roman" w:eastAsia="Times New Roman" w:hAnsi="Times New Roman"/>
          <w:sz w:val="18"/>
          <w:szCs w:val="18"/>
          <w:b w:val="1"/>
          <w:bCs w:val="1"/>
          <w:color w:val="auto"/>
        </w:rPr>
        <w:t>Conformity with Trust Indenture Legislation</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right="20" w:firstLine="568"/>
        <w:spacing w:after="0" w:line="262" w:lineRule="auto"/>
        <w:rPr>
          <w:sz w:val="20"/>
          <w:szCs w:val="20"/>
          <w:color w:val="auto"/>
        </w:rPr>
      </w:pPr>
      <w:r>
        <w:rPr>
          <w:rFonts w:ascii="Times New Roman" w:cs="Times New Roman" w:eastAsia="Times New Roman" w:hAnsi="Times New Roman"/>
          <w:sz w:val="19"/>
          <w:szCs w:val="19"/>
          <w:color w:val="auto"/>
        </w:rPr>
        <w:t>Every supplemental indenture executed pursuant to this Article Nine shall conform to the requirements of Trust Indenture Legislation as then in effect.</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25" w:name="page126"/>
    <w:bookmarkEnd w:id="125"/>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9.06</w:t>
      </w:r>
      <w:r>
        <w:rPr>
          <w:sz w:val="20"/>
          <w:szCs w:val="20"/>
          <w:color w:val="auto"/>
        </w:rPr>
        <w:tab/>
      </w:r>
      <w:r>
        <w:rPr>
          <w:rFonts w:ascii="Times New Roman" w:cs="Times New Roman" w:eastAsia="Times New Roman" w:hAnsi="Times New Roman"/>
          <w:sz w:val="18"/>
          <w:szCs w:val="18"/>
          <w:b w:val="1"/>
          <w:bCs w:val="1"/>
          <w:color w:val="auto"/>
        </w:rPr>
        <w:t>Reference in Securities to Supplemental Indentures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Securities of any series authenticated and delivered after the execution of any supplemental indenture pursuant to this Article Nine may, and shall if required by the Trustees, bear a notation in form approved by the Trustees as to any matter provided for in such supplemental indenture. If the Company shall so determine, new Securities of any series so modified as to conform, in the opinion of the Trustees and the Company, to any such supplemental indenture may be prepared and executed by the Company and authenticated and delivered by the Trustees in exchange for outstanding Securities of such series.</w:t>
      </w:r>
    </w:p>
    <w:p>
      <w:pPr>
        <w:spacing w:after="0" w:line="129"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9.07</w:t>
      </w:r>
      <w:r>
        <w:rPr>
          <w:sz w:val="20"/>
          <w:szCs w:val="20"/>
          <w:color w:val="auto"/>
        </w:rPr>
        <w:tab/>
      </w:r>
      <w:r>
        <w:rPr>
          <w:rFonts w:ascii="Times New Roman" w:cs="Times New Roman" w:eastAsia="Times New Roman" w:hAnsi="Times New Roman"/>
          <w:sz w:val="18"/>
          <w:szCs w:val="18"/>
          <w:b w:val="1"/>
          <w:bCs w:val="1"/>
          <w:color w:val="auto"/>
        </w:rPr>
        <w:t>Notice of Supplemental Indentures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right="20" w:firstLine="568"/>
        <w:spacing w:after="0" w:line="248" w:lineRule="auto"/>
        <w:rPr>
          <w:sz w:val="20"/>
          <w:szCs w:val="20"/>
          <w:color w:val="auto"/>
        </w:rPr>
      </w:pPr>
      <w:r>
        <w:rPr>
          <w:rFonts w:ascii="Times New Roman" w:cs="Times New Roman" w:eastAsia="Times New Roman" w:hAnsi="Times New Roman"/>
          <w:sz w:val="19"/>
          <w:szCs w:val="19"/>
          <w:color w:val="auto"/>
        </w:rPr>
        <w:t>Promptly after the execution by the Company and the Trustees of any supplemental indenture pursuant to the provisions of Section 9.02, the Company shall give notice thereof to the Holders of each outstanding Security affected, in the manner provided for in Section 1.07, setting forth in general terms the substance of such supplemental indenture.</w:t>
      </w:r>
    </w:p>
    <w:p>
      <w:pPr>
        <w:spacing w:after="0" w:line="11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b w:val="1"/>
          <w:bCs w:val="1"/>
          <w:color w:val="auto"/>
        </w:rPr>
        <w:t>ARTICLE TEN</w:t>
      </w:r>
    </w:p>
    <w:p>
      <w:pPr>
        <w:spacing w:after="0" w:line="1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9"/>
          <w:szCs w:val="19"/>
          <w:b w:val="1"/>
          <w:bCs w:val="1"/>
          <w:color w:val="auto"/>
        </w:rPr>
        <w:t>COVENANTS</w:t>
      </w:r>
    </w:p>
    <w:p>
      <w:pPr>
        <w:spacing w:after="0" w:line="136"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10.01</w:t>
      </w:r>
      <w:r>
        <w:rPr>
          <w:sz w:val="20"/>
          <w:szCs w:val="20"/>
          <w:color w:val="auto"/>
        </w:rPr>
        <w:tab/>
      </w:r>
      <w:r>
        <w:rPr>
          <w:rFonts w:ascii="Times New Roman" w:cs="Times New Roman" w:eastAsia="Times New Roman" w:hAnsi="Times New Roman"/>
          <w:sz w:val="18"/>
          <w:szCs w:val="18"/>
          <w:b w:val="1"/>
          <w:bCs w:val="1"/>
          <w:color w:val="auto"/>
        </w:rPr>
        <w:t>Payment of Principal, Premium and Interest</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right="20" w:firstLine="568"/>
        <w:spacing w:after="0" w:line="262" w:lineRule="auto"/>
        <w:rPr>
          <w:sz w:val="20"/>
          <w:szCs w:val="20"/>
          <w:color w:val="auto"/>
        </w:rPr>
      </w:pPr>
      <w:r>
        <w:rPr>
          <w:rFonts w:ascii="Times New Roman" w:cs="Times New Roman" w:eastAsia="Times New Roman" w:hAnsi="Times New Roman"/>
          <w:sz w:val="19"/>
          <w:szCs w:val="19"/>
          <w:color w:val="auto"/>
        </w:rPr>
        <w:t>The Company covenants and agrees for the benefit of the Holders of each series of Securities that it will duly and punctually pay the principal of, premium (if any) and interest (if any), on the Securities of that series in accordance with the terms of the Securities and this Indenture.</w:t>
      </w:r>
    </w:p>
    <w:p>
      <w:pPr>
        <w:spacing w:after="0" w:line="98"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10.02</w:t>
      </w:r>
      <w:r>
        <w:rPr>
          <w:sz w:val="20"/>
          <w:szCs w:val="20"/>
          <w:color w:val="auto"/>
        </w:rPr>
        <w:tab/>
      </w:r>
      <w:r>
        <w:rPr>
          <w:rFonts w:ascii="Times New Roman" w:cs="Times New Roman" w:eastAsia="Times New Roman" w:hAnsi="Times New Roman"/>
          <w:sz w:val="18"/>
          <w:szCs w:val="18"/>
          <w:b w:val="1"/>
          <w:bCs w:val="1"/>
          <w:color w:val="auto"/>
        </w:rPr>
        <w:t>Maintenance of Office or Agency</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left="1140" w:right="20" w:hanging="578"/>
        <w:spacing w:after="0" w:line="241" w:lineRule="auto"/>
        <w:tabs>
          <w:tab w:leader="none" w:pos="1182"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that are convertible or exchangeable may be surrendered for conversion or exchange, as applicable, and where notices and demands to or upon the Company in respect of the Securities of that series and this Indenture may be served .</w:t>
      </w:r>
    </w:p>
    <w:p>
      <w:pPr>
        <w:spacing w:after="0" w:line="121" w:lineRule="exact"/>
        <w:rPr>
          <w:rFonts w:ascii="Times New Roman" w:cs="Times New Roman" w:eastAsia="Times New Roman" w:hAnsi="Times New Roman"/>
          <w:sz w:val="19"/>
          <w:szCs w:val="19"/>
          <w:color w:val="auto"/>
        </w:rPr>
      </w:pPr>
    </w:p>
    <w:p>
      <w:pPr>
        <w:jc w:val="both"/>
        <w:ind w:left="1140" w:hanging="578"/>
        <w:spacing w:after="0" w:line="243" w:lineRule="auto"/>
        <w:tabs>
          <w:tab w:leader="none" w:pos="1182"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will give prompt written notice to the Trustees of the location, and any change in the location, of such office or agency. If at any time the Company shall fail to maintain any such required office or agency or shall fail to furnish the Trustees with the address thereof, such presentations, surrenders, notices and demands may be made or served at the Corporate Trust Offices of the Trustees.</w:t>
      </w:r>
    </w:p>
    <w:p>
      <w:pPr>
        <w:spacing w:after="0" w:line="120" w:lineRule="exact"/>
        <w:rPr>
          <w:rFonts w:ascii="Times New Roman" w:cs="Times New Roman" w:eastAsia="Times New Roman" w:hAnsi="Times New Roman"/>
          <w:sz w:val="19"/>
          <w:szCs w:val="19"/>
          <w:color w:val="auto"/>
        </w:rPr>
      </w:pPr>
    </w:p>
    <w:p>
      <w:pPr>
        <w:jc w:val="both"/>
        <w:ind w:left="1140" w:hanging="578"/>
        <w:spacing w:after="0" w:line="238" w:lineRule="auto"/>
        <w:tabs>
          <w:tab w:leader="none" w:pos="1182"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may also from time to time designate one or more other offices or agencies where the Securities of one or more series may be presented or surrendered for any or all such purposes and may from time to time rescind any such designation;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no such designation or rescission shall in any manner relieve the Company of its obligation to maintain an office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agency in accordance with the requirements set forth above for Securities of any series for such purposes. The Company will give prompt written notice to the Trustees of any such designation or rescission and of any change in the location of any such other office or agency. Unless otherwise specified with respect to any Securities as contemplated by Section 3.01 with respect to a series of Securities, the Company hereby initially appoints the U.S. Trustee at its Corporate Trust Office as Paying Agent in such city and as its agent to receive all such presentations, surrenders, notices and demands.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26" w:name="page127"/>
    <w:bookmarkEnd w:id="126"/>
    <w:p>
      <w:pPr>
        <w:jc w:val="both"/>
        <w:ind w:left="1140" w:hanging="578"/>
        <w:spacing w:after="0" w:line="243" w:lineRule="auto"/>
        <w:tabs>
          <w:tab w:leader="none" w:pos="1182"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specified with respect to any Securities pursuant to Section 3.01, if and so long as the Securities of any series (i) are denominated in a Currency other than Dollars or (ii) may be payable in a Currency other than Dollars, or so long as it is required under any other provision of the Indenture, then the Company will maintain with respect to each such series of Securities, or as so required, at least one Exchange Rate Agent.</w:t>
      </w:r>
    </w:p>
    <w:p>
      <w:pPr>
        <w:spacing w:after="0" w:line="117"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10.03</w:t>
      </w:r>
      <w:r>
        <w:rPr>
          <w:sz w:val="20"/>
          <w:szCs w:val="20"/>
          <w:color w:val="auto"/>
        </w:rPr>
        <w:tab/>
      </w:r>
      <w:r>
        <w:rPr>
          <w:rFonts w:ascii="Times New Roman" w:cs="Times New Roman" w:eastAsia="Times New Roman" w:hAnsi="Times New Roman"/>
          <w:sz w:val="18"/>
          <w:szCs w:val="18"/>
          <w:b w:val="1"/>
          <w:bCs w:val="1"/>
          <w:color w:val="auto"/>
        </w:rPr>
        <w:t>Money for Securities Payments to Be Held in Trust</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568"/>
        <w:spacing w:after="0" w:line="239" w:lineRule="auto"/>
        <w:rPr>
          <w:sz w:val="20"/>
          <w:szCs w:val="20"/>
          <w:color w:val="auto"/>
        </w:rPr>
      </w:pPr>
      <w:r>
        <w:rPr>
          <w:rFonts w:ascii="Times New Roman" w:cs="Times New Roman" w:eastAsia="Times New Roman" w:hAnsi="Times New Roman"/>
          <w:sz w:val="19"/>
          <w:szCs w:val="19"/>
          <w:color w:val="auto"/>
        </w:rPr>
        <w:t>If the Company shall at any time act as its own Paying Agent with respect to any series of Securities , it will, on or before each due date of the principal of, premium (if any) or interest (if any) on any of the Securities of that series, segregate and hold in trust for the benefit of the Persons entitled thereto a sum in the Currency in which the Securities of such series are payable (except as otherwise specified pursuant to Section 3.01 for the Securities of such series and except, if applicable, as provided in Sections 3.12(b), 3.12(d) and 3.12(e)) sufficient to pay the principal of, premium (if any) or interest (if any) on Securities of such series so becoming due until such sums shall be paid to such Persons or otherwise disposed of as herein provided and will promptly notify the Trustees of its action or failure so to act.</w:t>
      </w:r>
    </w:p>
    <w:p>
      <w:pPr>
        <w:spacing w:after="0" w:line="126" w:lineRule="exact"/>
        <w:rPr>
          <w:sz w:val="20"/>
          <w:szCs w:val="20"/>
          <w:color w:val="auto"/>
        </w:rPr>
      </w:pPr>
    </w:p>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Whenever the Company shall have one or more Paying Agents for any series of Securities, it will, prior to or on each due date of the principal of, premium (if any) or interest (if any) on any Securities of that series, deposit with a Paying Agent a sum (in the Currency described in the preceding paragraph) sufficient to pay the principal, premium (if any) or interest (if any) so becoming due, such sum to be held in trust for the benefit of the Persons entitled to such principal, premium or interest, and (unless such Paying Agent is a Trustee) the Company will promptly notify the Trustees of its action or failure so to act.</w:t>
      </w:r>
    </w:p>
    <w:p>
      <w:pPr>
        <w:spacing w:after="0" w:line="121" w:lineRule="exact"/>
        <w:rPr>
          <w:sz w:val="20"/>
          <w:szCs w:val="20"/>
          <w:color w:val="auto"/>
        </w:rPr>
      </w:pPr>
    </w:p>
    <w:p>
      <w:pPr>
        <w:jc w:val="both"/>
        <w:ind w:firstLine="568"/>
        <w:spacing w:after="0" w:line="262" w:lineRule="auto"/>
        <w:rPr>
          <w:sz w:val="20"/>
          <w:szCs w:val="20"/>
          <w:color w:val="auto"/>
        </w:rPr>
      </w:pPr>
      <w:r>
        <w:rPr>
          <w:rFonts w:ascii="Times New Roman" w:cs="Times New Roman" w:eastAsia="Times New Roman" w:hAnsi="Times New Roman"/>
          <w:sz w:val="19"/>
          <w:szCs w:val="19"/>
          <w:color w:val="auto"/>
        </w:rPr>
        <w:t>The Company will cause each Paying Agent (other than the Trustees) for any series of Securities to execute and deliver to the Trustees an instrument in which such Paying Agent shall agree with the Trustees, subject to the provisions of this 10.03 Section, that such Paying Agent will:</w:t>
      </w:r>
    </w:p>
    <w:p>
      <w:pPr>
        <w:spacing w:after="0" w:line="114" w:lineRule="exact"/>
        <w:rPr>
          <w:sz w:val="20"/>
          <w:szCs w:val="20"/>
          <w:color w:val="auto"/>
        </w:rPr>
      </w:pPr>
    </w:p>
    <w:p>
      <w:pPr>
        <w:jc w:val="both"/>
        <w:ind w:left="1140" w:hanging="578"/>
        <w:spacing w:after="0" w:line="248" w:lineRule="auto"/>
        <w:tabs>
          <w:tab w:leader="none" w:pos="1182"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hold all sums held by it for the payment of the principal of, premium (if any) and interest (if any) on Securities of such series in trust for the benefit of the Persons entitled thereto until such sums shall be paid to such Persons or otherwise disposed of as herein provided;</w:t>
      </w:r>
    </w:p>
    <w:p>
      <w:pPr>
        <w:spacing w:after="0" w:line="115" w:lineRule="exact"/>
        <w:rPr>
          <w:rFonts w:ascii="Times New Roman" w:cs="Times New Roman" w:eastAsia="Times New Roman" w:hAnsi="Times New Roman"/>
          <w:sz w:val="19"/>
          <w:szCs w:val="19"/>
          <w:color w:val="auto"/>
        </w:rPr>
      </w:pPr>
    </w:p>
    <w:p>
      <w:pPr>
        <w:ind w:left="1140" w:right="20" w:hanging="578"/>
        <w:spacing w:after="0" w:line="262" w:lineRule="auto"/>
        <w:tabs>
          <w:tab w:leader="none" w:pos="1182"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give the Trustees notice of any default by the Company (or any other obligor upon the Securities of such series) in the making of any payment of principal of, premium (if any) or interest (if any) on the Securities of such series; and</w:t>
      </w:r>
    </w:p>
    <w:p>
      <w:pPr>
        <w:spacing w:after="0" w:line="102" w:lineRule="exact"/>
        <w:rPr>
          <w:rFonts w:ascii="Times New Roman" w:cs="Times New Roman" w:eastAsia="Times New Roman" w:hAnsi="Times New Roman"/>
          <w:sz w:val="19"/>
          <w:szCs w:val="19"/>
          <w:color w:val="auto"/>
        </w:rPr>
      </w:pPr>
    </w:p>
    <w:p>
      <w:pPr>
        <w:ind w:left="1140" w:right="20" w:hanging="578"/>
        <w:spacing w:after="0" w:line="262" w:lineRule="auto"/>
        <w:tabs>
          <w:tab w:leader="none" w:pos="1182"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during the continuance of any such default, upon the written request of the Trustees, forthwith pay to the Trustees all sums so held in trust by such Paying Agent.</w:t>
      </w:r>
    </w:p>
    <w:p>
      <w:pPr>
        <w:spacing w:after="0" w:line="114" w:lineRule="exact"/>
        <w:rPr>
          <w:sz w:val="20"/>
          <w:szCs w:val="20"/>
          <w:color w:val="auto"/>
        </w:rPr>
      </w:pPr>
    </w:p>
    <w:p>
      <w:pPr>
        <w:jc w:val="both"/>
        <w:ind w:firstLine="568"/>
        <w:spacing w:after="0" w:line="243" w:lineRule="auto"/>
        <w:rPr>
          <w:sz w:val="20"/>
          <w:szCs w:val="20"/>
          <w:color w:val="auto"/>
        </w:rPr>
      </w:pPr>
      <w:r>
        <w:rPr>
          <w:rFonts w:ascii="Times New Roman" w:cs="Times New Roman" w:eastAsia="Times New Roman" w:hAnsi="Times New Roman"/>
          <w:sz w:val="19"/>
          <w:szCs w:val="19"/>
          <w:color w:val="auto"/>
        </w:rPr>
        <w:t>The Company may at any time, for the purpose of obtaining the satisfaction and discharge of this Indenture or for any other purpose, pay, or by Company Order direct any Paying Agent to pay, to the Trustees all sums held in trust by the Company or such Paying Agent, such sums to be held by the Trustees upon the same trusts as those upon which sums were held by the Company or such Paying Agent; and, upon such payment by any Paying Agent to the Trustees, such Paying Agent shall be released from all further liability with respect to such sums.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27" w:name="page128"/>
    <w:bookmarkEnd w:id="127"/>
    <w:p>
      <w:pPr>
        <w:jc w:val="both"/>
        <w:ind w:firstLine="568"/>
        <w:spacing w:after="0" w:line="239" w:lineRule="auto"/>
        <w:rPr>
          <w:sz w:val="20"/>
          <w:szCs w:val="20"/>
          <w:color w:val="auto"/>
        </w:rPr>
      </w:pPr>
      <w:r>
        <w:rPr>
          <w:rFonts w:ascii="Times New Roman" w:cs="Times New Roman" w:eastAsia="Times New Roman" w:hAnsi="Times New Roman"/>
          <w:sz w:val="19"/>
          <w:szCs w:val="19"/>
          <w:color w:val="auto"/>
        </w:rPr>
        <w:t>Except as provided in the Securities of any series, any money deposited with the Trustees or any Paying Agent, or then held by the Company, in trust for the payment of the principal of, premium (if any) or interest (if any)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Trustees or such Paying Agent with respect to such trust money, and all liability of the Company as trustee thereof, shall thereupon cease.</w:t>
      </w:r>
    </w:p>
    <w:p>
      <w:pPr>
        <w:spacing w:after="0" w:line="123"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10.04</w:t>
      </w:r>
      <w:r>
        <w:rPr>
          <w:sz w:val="20"/>
          <w:szCs w:val="20"/>
          <w:color w:val="auto"/>
        </w:rPr>
        <w:tab/>
      </w:r>
      <w:r>
        <w:rPr>
          <w:rFonts w:ascii="Times New Roman" w:cs="Times New Roman" w:eastAsia="Times New Roman" w:hAnsi="Times New Roman"/>
          <w:sz w:val="19"/>
          <w:szCs w:val="19"/>
          <w:b w:val="1"/>
          <w:bCs w:val="1"/>
          <w:color w:val="auto"/>
        </w:rPr>
        <w:t>Statement as to Compliance</w:t>
      </w:r>
      <w:r>
        <w:rPr>
          <w:rFonts w:ascii="Times New Roman" w:cs="Times New Roman" w:eastAsia="Times New Roman" w:hAnsi="Times New Roman"/>
          <w:sz w:val="19"/>
          <w:szCs w:val="19"/>
          <w:color w:val="auto"/>
        </w:rPr>
        <w:t>.</w:t>
      </w:r>
    </w:p>
    <w:p>
      <w:pPr>
        <w:spacing w:after="0" w:line="164" w:lineRule="exact"/>
        <w:rPr>
          <w:sz w:val="20"/>
          <w:szCs w:val="20"/>
          <w:color w:val="auto"/>
        </w:rPr>
      </w:pPr>
    </w:p>
    <w:p>
      <w:pPr>
        <w:jc w:val="both"/>
        <w:ind w:firstLine="568"/>
        <w:spacing w:after="0" w:line="237" w:lineRule="auto"/>
        <w:rPr>
          <w:sz w:val="20"/>
          <w:szCs w:val="20"/>
          <w:color w:val="auto"/>
        </w:rPr>
      </w:pPr>
      <w:r>
        <w:rPr>
          <w:rFonts w:ascii="Times New Roman" w:cs="Times New Roman" w:eastAsia="Times New Roman" w:hAnsi="Times New Roman"/>
          <w:sz w:val="19"/>
          <w:szCs w:val="19"/>
          <w:color w:val="auto"/>
        </w:rPr>
        <w:t>The Company shall deliver to the Trustees, on or before 120 days after the end of the Company's fiscal year, an Officer's Certificate stating that a review of the activities of the Company during such fiscal year has been made under the supervision of the signing Officer with a view to determining whether the Company has kept, observed, performed and fulfilled its obligations under this Indenture, and further stating, as to such Officer, that the Company has kept, observed, performed and fulfilled each and every covenant contained in this Indenture and is not in default in the performance or observance of any of the terms, provisions and conditions hereof (or, if a Default or Event of Default shall have occurred and is continuing, describing all such Defaults or Events of Default of which he or she may have knowledge and what action the Company is taking or propose to take with respect thereto). The Company shall deliver to the Trustees upon demand evidence in such form as the Trustees may require as to compliance by the Company with any condition or covenant of the Company set out herein relating to any action required or permitted to be taken by the Company under this Indenture or as a result of any obligation imposed by this Indenture. For purposes of this Section 10.04, such compliance shall be determined without regard to any period of grace or requirement of notice under this Indenture.</w:t>
      </w:r>
    </w:p>
    <w:p>
      <w:pPr>
        <w:spacing w:after="0" w:line="121"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10.05</w:t>
      </w:r>
      <w:r>
        <w:rPr>
          <w:sz w:val="20"/>
          <w:szCs w:val="20"/>
          <w:color w:val="auto"/>
        </w:rPr>
        <w:tab/>
      </w:r>
      <w:r>
        <w:rPr>
          <w:rFonts w:ascii="Times New Roman" w:cs="Times New Roman" w:eastAsia="Times New Roman" w:hAnsi="Times New Roman"/>
          <w:sz w:val="18"/>
          <w:szCs w:val="18"/>
          <w:b w:val="1"/>
          <w:bCs w:val="1"/>
          <w:color w:val="auto"/>
        </w:rPr>
        <w:t>Waiver of Certain Covenants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39" w:lineRule="auto"/>
        <w:rPr>
          <w:sz w:val="20"/>
          <w:szCs w:val="20"/>
          <w:color w:val="auto"/>
        </w:rPr>
      </w:pPr>
      <w:r>
        <w:rPr>
          <w:rFonts w:ascii="Times New Roman" w:cs="Times New Roman" w:eastAsia="Times New Roman" w:hAnsi="Times New Roman"/>
          <w:sz w:val="19"/>
          <w:szCs w:val="19"/>
          <w:color w:val="auto"/>
        </w:rPr>
        <w:t>The Company may, with respect to any series of Securities, omit in any particular instance to comply with any term, provision or condition in any covenants of the Company added to this Article Ten pursuant to Section 3.01(19) in connection with Securities of such series, if before the time for such compliance the Holders of at least a majority in principal amount of all Outstanding Securities of any series, by Act of such Holders, waive such compliance in such instance with such term, provision or condition, but no such waiver shall extend to or affect such term, provision or condition except to the extent so expressly waived, and, until such waiver shall become effective, the obligations of the Company and the duties of the Trustees to Holders of Securities of such series in respect of any such term, provision or condition shall remain in full force and effect.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ELEVEN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REDEMPTION OF SECURITIES</w:t>
      </w:r>
    </w:p>
    <w:p>
      <w:pPr>
        <w:spacing w:after="0" w:line="124"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11.01</w:t>
      </w:r>
      <w:r>
        <w:rPr>
          <w:sz w:val="20"/>
          <w:szCs w:val="20"/>
          <w:color w:val="auto"/>
        </w:rPr>
        <w:tab/>
      </w:r>
      <w:r>
        <w:rPr>
          <w:rFonts w:ascii="Times New Roman" w:cs="Times New Roman" w:eastAsia="Times New Roman" w:hAnsi="Times New Roman"/>
          <w:sz w:val="18"/>
          <w:szCs w:val="18"/>
          <w:b w:val="1"/>
          <w:bCs w:val="1"/>
          <w:color w:val="auto"/>
        </w:rPr>
        <w:t>Applicability of Article</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right="20" w:firstLine="568"/>
        <w:spacing w:after="0" w:line="262" w:lineRule="auto"/>
        <w:rPr>
          <w:sz w:val="20"/>
          <w:szCs w:val="20"/>
          <w:color w:val="auto"/>
        </w:rPr>
      </w:pPr>
      <w:r>
        <w:rPr>
          <w:rFonts w:ascii="Times New Roman" w:cs="Times New Roman" w:eastAsia="Times New Roman" w:hAnsi="Times New Roman"/>
          <w:sz w:val="19"/>
          <w:szCs w:val="19"/>
          <w:color w:val="auto"/>
        </w:rPr>
        <w:t>Securities of any series which are redeemable before their Stated Maturity shall be redeemable in accordance with the terms of such Securities and (except as otherwise specified as contemplated by Section 3.01 for Securities of any series) in accordance with this Article Eleven.</w:t>
      </w:r>
    </w:p>
    <w:p>
      <w:pPr>
        <w:spacing w:after="0" w:line="110"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11.02</w:t>
      </w:r>
      <w:r>
        <w:rPr>
          <w:sz w:val="20"/>
          <w:szCs w:val="20"/>
          <w:color w:val="auto"/>
        </w:rPr>
        <w:tab/>
      </w:r>
      <w:r>
        <w:rPr>
          <w:rFonts w:ascii="Times New Roman" w:cs="Times New Roman" w:eastAsia="Times New Roman" w:hAnsi="Times New Roman"/>
          <w:sz w:val="18"/>
          <w:szCs w:val="18"/>
          <w:b w:val="1"/>
          <w:bCs w:val="1"/>
          <w:color w:val="auto"/>
        </w:rPr>
        <w:t>Election to Redeem; Notice to Trustees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38" w:lineRule="auto"/>
        <w:rPr>
          <w:sz w:val="20"/>
          <w:szCs w:val="20"/>
          <w:color w:val="auto"/>
        </w:rPr>
      </w:pPr>
      <w:r>
        <w:rPr>
          <w:rFonts w:ascii="Times New Roman" w:cs="Times New Roman" w:eastAsia="Times New Roman" w:hAnsi="Times New Roman"/>
          <w:sz w:val="19"/>
          <w:szCs w:val="19"/>
          <w:color w:val="auto"/>
        </w:rPr>
        <w:t>The election of the Company to redeem any Securities shall be evidenced by or pursuant to a Board Resolution. In case of any redemption at the election of the Company, the Company shall, at least 60 days prior to the Redemption Date fixed by the Company (unless a shorter notice shall be satisfactory to the Trustees), notify the Trustees of such Redemption Date and of the principal amount of Securities of such series to be redeemed and, in the case of certificated Securities, shall deliver to the Trustees such documentation and records as shall enable the Trustees to select the Securities to be redeemed pursuant to Section 11.03. In the case of any redemption of Securities prior to the expiration of any restriction on such redemption provided in the terms of such Securities or elsewhere in this Indenture, the Company shall furnish to the Trustees an Officer's Certificate evidencing compliance with such restriction.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28" w:name="page129"/>
    <w:bookmarkEnd w:id="128"/>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11.03</w:t>
      </w:r>
      <w:r>
        <w:rPr>
          <w:sz w:val="20"/>
          <w:szCs w:val="20"/>
          <w:color w:val="auto"/>
        </w:rPr>
        <w:tab/>
      </w:r>
      <w:r>
        <w:rPr>
          <w:rFonts w:ascii="Times New Roman" w:cs="Times New Roman" w:eastAsia="Times New Roman" w:hAnsi="Times New Roman"/>
          <w:sz w:val="18"/>
          <w:szCs w:val="18"/>
          <w:b w:val="1"/>
          <w:bCs w:val="1"/>
          <w:color w:val="auto"/>
        </w:rPr>
        <w:t>Selection by Trustees of Securities to Be Redeemed</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568"/>
        <w:spacing w:after="0" w:line="239" w:lineRule="auto"/>
        <w:rPr>
          <w:sz w:val="20"/>
          <w:szCs w:val="20"/>
          <w:color w:val="auto"/>
        </w:rPr>
      </w:pPr>
      <w:r>
        <w:rPr>
          <w:rFonts w:ascii="Times New Roman" w:cs="Times New Roman" w:eastAsia="Times New Roman" w:hAnsi="Times New Roman"/>
          <w:sz w:val="19"/>
          <w:szCs w:val="19"/>
          <w:color w:val="auto"/>
        </w:rPr>
        <w:t xml:space="preserve">If less than all the Securities of any series are to be redeemed, the particular Securities to be redeemed shall be selected not more than 60 days prior to the Redemption Date by the Trustees, from the Outstanding Securities of such series not previously called for redemption, in the case of certificated Securities, by such method as the Trustees shall deem fair and appropriate and which may provide for the selection for redemption of portions of the principal of Securities of such series, or in the case of Securities in global form in accordance with the policies and procedures of the applicable Depositary;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no such partial redemption shall reduce the portion of the principal amount of a Security not redeemed to less than the minimum authorized denomination for Securities of such series established pursuant to Section 3.01.</w:t>
      </w:r>
    </w:p>
    <w:p>
      <w:pPr>
        <w:spacing w:after="0" w:line="137" w:lineRule="exact"/>
        <w:rPr>
          <w:sz w:val="20"/>
          <w:szCs w:val="20"/>
          <w:color w:val="auto"/>
        </w:rPr>
      </w:pPr>
    </w:p>
    <w:p>
      <w:pPr>
        <w:jc w:val="both"/>
        <w:ind w:right="20" w:firstLine="568"/>
        <w:spacing w:after="0" w:line="262" w:lineRule="auto"/>
        <w:rPr>
          <w:sz w:val="20"/>
          <w:szCs w:val="20"/>
          <w:color w:val="auto"/>
        </w:rPr>
      </w:pPr>
      <w:r>
        <w:rPr>
          <w:rFonts w:ascii="Times New Roman" w:cs="Times New Roman" w:eastAsia="Times New Roman" w:hAnsi="Times New Roman"/>
          <w:sz w:val="19"/>
          <w:szCs w:val="19"/>
          <w:color w:val="auto"/>
        </w:rPr>
        <w:t>The Trustees shall promptly notify the Company in writing of the Securities selected for redemption and, in the case of any Securities selected for partial redemption, the principal amount thereof to be redeemed.</w:t>
      </w:r>
    </w:p>
    <w:p>
      <w:pPr>
        <w:spacing w:after="0" w:line="102" w:lineRule="exact"/>
        <w:rPr>
          <w:sz w:val="20"/>
          <w:szCs w:val="20"/>
          <w:color w:val="auto"/>
        </w:rPr>
      </w:pPr>
    </w:p>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11"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11.04</w:t>
      </w:r>
      <w:r>
        <w:rPr>
          <w:sz w:val="20"/>
          <w:szCs w:val="20"/>
          <w:color w:val="auto"/>
        </w:rPr>
        <w:tab/>
      </w:r>
      <w:r>
        <w:rPr>
          <w:rFonts w:ascii="Times New Roman" w:cs="Times New Roman" w:eastAsia="Times New Roman" w:hAnsi="Times New Roman"/>
          <w:sz w:val="18"/>
          <w:szCs w:val="18"/>
          <w:b w:val="1"/>
          <w:bCs w:val="1"/>
          <w:color w:val="auto"/>
        </w:rPr>
        <w:t>Notice of Redemption</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right="20" w:firstLine="568"/>
        <w:spacing w:after="0" w:line="243" w:lineRule="auto"/>
        <w:rPr>
          <w:sz w:val="20"/>
          <w:szCs w:val="20"/>
          <w:color w:val="auto"/>
        </w:rPr>
      </w:pPr>
      <w:r>
        <w:rPr>
          <w:rFonts w:ascii="Times New Roman" w:cs="Times New Roman" w:eastAsia="Times New Roman" w:hAnsi="Times New Roman"/>
          <w:sz w:val="19"/>
          <w:szCs w:val="19"/>
          <w:color w:val="auto"/>
        </w:rPr>
        <w:t>Except as otherwise specified as contemplated by Section 3.01, notice of redemption shall be given in the manner provided for in Section 1.07 not less than 30 nor more than 60 days prior to the Redemption Date, to each Holder of Securities to be redeemed. Failure to give notice in the manner provided in Section 1.07 to the Holder of any Securities designated for redemption as a whole or in part, or any defect in the notice to any such Holder, shall not affect the validity of the proceedings for the redemption of any other Securities or portion thereof.</w:t>
      </w:r>
    </w:p>
    <w:p>
      <w:pPr>
        <w:spacing w:after="0" w:line="1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All notices of redemption shall state:</w:t>
      </w:r>
    </w:p>
    <w:p>
      <w:pPr>
        <w:spacing w:after="0" w:line="148" w:lineRule="exact"/>
        <w:rPr>
          <w:sz w:val="20"/>
          <w:szCs w:val="20"/>
          <w:color w:val="auto"/>
        </w:rPr>
      </w:pPr>
    </w:p>
    <w:p>
      <w:pPr>
        <w:ind w:left="1180" w:hanging="618"/>
        <w:spacing w:after="0"/>
        <w:tabs>
          <w:tab w:leader="none" w:pos="118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Redemption Date,</w:t>
      </w:r>
    </w:p>
    <w:p>
      <w:pPr>
        <w:spacing w:after="0" w:line="159" w:lineRule="exact"/>
        <w:rPr>
          <w:rFonts w:ascii="Times New Roman" w:cs="Times New Roman" w:eastAsia="Times New Roman" w:hAnsi="Times New Roman"/>
          <w:sz w:val="19"/>
          <w:szCs w:val="19"/>
          <w:color w:val="auto"/>
        </w:rPr>
      </w:pPr>
    </w:p>
    <w:p>
      <w:pPr>
        <w:ind w:left="1180" w:hanging="618"/>
        <w:spacing w:after="0"/>
        <w:tabs>
          <w:tab w:leader="none" w:pos="118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Redemption Price and the amount of accrued interest to the Redemption Date payable as provided in Section 11.06, if any,</w:t>
      </w:r>
    </w:p>
    <w:p>
      <w:pPr>
        <w:spacing w:after="0" w:line="148" w:lineRule="exact"/>
        <w:rPr>
          <w:rFonts w:ascii="Times New Roman" w:cs="Times New Roman" w:eastAsia="Times New Roman" w:hAnsi="Times New Roman"/>
          <w:sz w:val="19"/>
          <w:szCs w:val="19"/>
          <w:color w:val="auto"/>
        </w:rPr>
      </w:pPr>
    </w:p>
    <w:p>
      <w:pPr>
        <w:ind w:left="1140" w:hanging="578"/>
        <w:spacing w:after="0" w:line="262" w:lineRule="auto"/>
        <w:tabs>
          <w:tab w:leader="none" w:pos="1182"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less than all the Outstanding Securities of any series are to be redeemed, the identification (and, in the case of partial redemption, the principal amounts) of the particular Securities to be redeemed,</w:t>
      </w:r>
    </w:p>
    <w:p>
      <w:pPr>
        <w:spacing w:after="0" w:line="102" w:lineRule="exact"/>
        <w:rPr>
          <w:rFonts w:ascii="Times New Roman" w:cs="Times New Roman" w:eastAsia="Times New Roman" w:hAnsi="Times New Roman"/>
          <w:sz w:val="19"/>
          <w:szCs w:val="19"/>
          <w:color w:val="auto"/>
        </w:rPr>
      </w:pPr>
    </w:p>
    <w:p>
      <w:pPr>
        <w:jc w:val="both"/>
        <w:ind w:left="1140" w:hanging="578"/>
        <w:spacing w:after="0" w:line="248" w:lineRule="auto"/>
        <w:tabs>
          <w:tab w:leader="none" w:pos="1182"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case any Security is to be redeemed in part only, the notice which relates to such Security shall state that on and after the Redemption Date, upon surrender of such Security, the Holder will receive, without charge, a new Security or Securities of authorized denominations for the principal amount thereof remaining unredeemed,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29" w:name="page130"/>
    <w:bookmarkEnd w:id="129"/>
    <w:p>
      <w:pPr>
        <w:jc w:val="both"/>
        <w:ind w:left="1140" w:right="20" w:hanging="578"/>
        <w:spacing w:after="0" w:line="248" w:lineRule="auto"/>
        <w:tabs>
          <w:tab w:leader="none" w:pos="1182"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on the Redemption Date, the Redemption Price and accrued interest (if any) to the Redemption Date payable as provided in Section 11.06 will become due and payable upon each such Security, or the portion thereof, to be redeemed and, if applicable, that interest thereon will cease to accrue on and after said date,</w:t>
      </w:r>
    </w:p>
    <w:p>
      <w:pPr>
        <w:spacing w:after="0" w:line="115" w:lineRule="exact"/>
        <w:rPr>
          <w:rFonts w:ascii="Times New Roman" w:cs="Times New Roman" w:eastAsia="Times New Roman" w:hAnsi="Times New Roman"/>
          <w:sz w:val="19"/>
          <w:szCs w:val="19"/>
          <w:color w:val="auto"/>
        </w:rPr>
      </w:pPr>
    </w:p>
    <w:p>
      <w:pPr>
        <w:ind w:left="1140" w:hanging="578"/>
        <w:spacing w:after="0" w:line="262" w:lineRule="auto"/>
        <w:tabs>
          <w:tab w:leader="none" w:pos="1182"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Place or Places of Payment where such Securities are to be surrendered for payment of the Redemption Price and accrued interest (if any),</w:t>
      </w:r>
    </w:p>
    <w:p>
      <w:pPr>
        <w:spacing w:after="0" w:line="114" w:lineRule="exact"/>
        <w:rPr>
          <w:rFonts w:ascii="Times New Roman" w:cs="Times New Roman" w:eastAsia="Times New Roman" w:hAnsi="Times New Roman"/>
          <w:sz w:val="19"/>
          <w:szCs w:val="19"/>
          <w:color w:val="auto"/>
        </w:rPr>
      </w:pPr>
    </w:p>
    <w:p>
      <w:pPr>
        <w:ind w:left="1180" w:hanging="618"/>
        <w:spacing w:after="0"/>
        <w:tabs>
          <w:tab w:leader="none" w:pos="118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the redemption is for a sinking fund, if such is the case, and</w:t>
      </w:r>
    </w:p>
    <w:p>
      <w:pPr>
        <w:spacing w:after="0" w:line="148" w:lineRule="exact"/>
        <w:rPr>
          <w:rFonts w:ascii="Times New Roman" w:cs="Times New Roman" w:eastAsia="Times New Roman" w:hAnsi="Times New Roman"/>
          <w:sz w:val="19"/>
          <w:szCs w:val="19"/>
          <w:color w:val="auto"/>
        </w:rPr>
      </w:pPr>
    </w:p>
    <w:p>
      <w:pPr>
        <w:ind w:left="1180" w:hanging="618"/>
        <w:spacing w:after="0"/>
        <w:tabs>
          <w:tab w:leader="none" w:pos="118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applicable, any condition to such redemption.</w:t>
      </w:r>
    </w:p>
    <w:p>
      <w:pPr>
        <w:spacing w:after="0" w:line="148" w:lineRule="exact"/>
        <w:rPr>
          <w:sz w:val="20"/>
          <w:szCs w:val="20"/>
          <w:color w:val="auto"/>
        </w:rPr>
      </w:pPr>
    </w:p>
    <w:p>
      <w:pPr>
        <w:jc w:val="both"/>
        <w:ind w:right="20" w:firstLine="568"/>
        <w:spacing w:after="0" w:line="262" w:lineRule="auto"/>
        <w:rPr>
          <w:sz w:val="20"/>
          <w:szCs w:val="20"/>
          <w:color w:val="auto"/>
        </w:rPr>
      </w:pPr>
      <w:r>
        <w:rPr>
          <w:rFonts w:ascii="Times New Roman" w:cs="Times New Roman" w:eastAsia="Times New Roman" w:hAnsi="Times New Roman"/>
          <w:sz w:val="19"/>
          <w:szCs w:val="19"/>
          <w:color w:val="auto"/>
        </w:rPr>
        <w:t>Notice of redemption of Securities to be redeemed at the election of the Company shall be given by the Company or, at the Company's request, by the Trustees in the name and at the expense of the Company.</w:t>
      </w:r>
    </w:p>
    <w:p>
      <w:pPr>
        <w:spacing w:after="0" w:line="110"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11.05</w:t>
      </w:r>
      <w:r>
        <w:rPr>
          <w:sz w:val="20"/>
          <w:szCs w:val="20"/>
          <w:color w:val="auto"/>
        </w:rPr>
        <w:tab/>
      </w:r>
      <w:r>
        <w:rPr>
          <w:rFonts w:ascii="Times New Roman" w:cs="Times New Roman" w:eastAsia="Times New Roman" w:hAnsi="Times New Roman"/>
          <w:sz w:val="18"/>
          <w:szCs w:val="18"/>
          <w:b w:val="1"/>
          <w:bCs w:val="1"/>
          <w:color w:val="auto"/>
        </w:rPr>
        <w:t>Deposit of Redemption Price</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Prior to any Redemption Date, the Company shall deposit with a Trustee or with a Paying Agent (or, if the Company is acting as its own Paying Agent,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the Redemption Price of, and accrued interest (if any) on, all the Securities which are to be redeemed on that date.</w:t>
      </w:r>
    </w:p>
    <w:p>
      <w:pPr>
        <w:spacing w:after="0" w:line="117"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11.06</w:t>
      </w:r>
      <w:r>
        <w:rPr>
          <w:sz w:val="20"/>
          <w:szCs w:val="20"/>
          <w:color w:val="auto"/>
        </w:rPr>
        <w:tab/>
      </w:r>
      <w:r>
        <w:rPr>
          <w:rFonts w:ascii="Times New Roman" w:cs="Times New Roman" w:eastAsia="Times New Roman" w:hAnsi="Times New Roman"/>
          <w:sz w:val="18"/>
          <w:szCs w:val="18"/>
          <w:b w:val="1"/>
          <w:bCs w:val="1"/>
          <w:color w:val="auto"/>
        </w:rPr>
        <w:t>Securities Payable on Redemption Date</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568"/>
        <w:spacing w:after="0" w:line="237" w:lineRule="auto"/>
        <w:rPr>
          <w:sz w:val="20"/>
          <w:szCs w:val="20"/>
          <w:color w:val="auto"/>
        </w:rPr>
      </w:pPr>
      <w:r>
        <w:rPr>
          <w:rFonts w:ascii="Times New Roman" w:cs="Times New Roman" w:eastAsia="Times New Roman" w:hAnsi="Times New Roman"/>
          <w:sz w:val="19"/>
          <w:szCs w:val="19"/>
          <w:color w:val="auto"/>
        </w:rPr>
        <w:t xml:space="preserve">Notice of redemption having been given as aforesaid, the Securities so to be redeemed shall, on the Redemption Date, become due and payable at the Redemption Price therein specified in the Currency in which the Securities of such series are payable (except as otherwise specified pursuant to Section 3.01 for the Securities of such series and except, if applicable, as provided in Sections 3.12(b), 3.12(d) and 3.12(e)) (together with accrued interest (if any) to the Redemption Date), and from and after such date (unless the Company shall default in the payment of the Redemption Price and accrued interest (if any)) such Securities shall, if the same were interest-bearing, cease to bear interest. Upon surrender of any such Security for redemption in accordance with said notice, such Security shall be paid by the Company at the Redemption Price, together with accrued interest (if any), to the Redemption Date;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installments of interest on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28" w:lineRule="exact"/>
        <w:rPr>
          <w:sz w:val="20"/>
          <w:szCs w:val="20"/>
          <w:color w:val="auto"/>
        </w:rPr>
      </w:pPr>
    </w:p>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If any Security called for redemption shall not be so paid upon surrender thereof for redemption, the principal and premium (if any) shall, until paid, bear interest from the Redemption Date at the rate of interest or Yield to Maturity (in the case of Original Issue Discount Securities) set forth in such Security.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30" w:name="page131"/>
    <w:bookmarkEnd w:id="130"/>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11.07</w:t>
      </w:r>
      <w:r>
        <w:rPr>
          <w:sz w:val="20"/>
          <w:szCs w:val="20"/>
          <w:color w:val="auto"/>
        </w:rPr>
        <w:tab/>
      </w:r>
      <w:r>
        <w:rPr>
          <w:rFonts w:ascii="Times New Roman" w:cs="Times New Roman" w:eastAsia="Times New Roman" w:hAnsi="Times New Roman"/>
          <w:sz w:val="18"/>
          <w:szCs w:val="18"/>
          <w:b w:val="1"/>
          <w:bCs w:val="1"/>
          <w:color w:val="auto"/>
        </w:rPr>
        <w:t>Securities Redeemed in Part</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568"/>
        <w:spacing w:after="0" w:line="239" w:lineRule="auto"/>
        <w:rPr>
          <w:sz w:val="20"/>
          <w:szCs w:val="20"/>
          <w:color w:val="auto"/>
        </w:rPr>
      </w:pPr>
      <w:r>
        <w:rPr>
          <w:rFonts w:ascii="Times New Roman" w:cs="Times New Roman" w:eastAsia="Times New Roman" w:hAnsi="Times New Roman"/>
          <w:sz w:val="19"/>
          <w:szCs w:val="19"/>
          <w:color w:val="auto"/>
        </w:rPr>
        <w:t>Any Security which is to be redeemed only in part (pursuant to the provisions of this Article Eleven or of Article Twelve) shall be surrendered at a Place of Payment therefor (with, if the Company or the Trustees so requires, due endorsement by, or a written instrument of transfer in form satisfactory to the Company and the Trustees duly executed by, the Holder thereof or such Holder's attorney duly authorized in writing), and the Company shall execute, and the applicable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TWELVE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SINKING FUNDS</w:t>
      </w:r>
    </w:p>
    <w:p>
      <w:pPr>
        <w:spacing w:after="0" w:line="124"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12.01</w:t>
      </w:r>
      <w:r>
        <w:rPr>
          <w:sz w:val="20"/>
          <w:szCs w:val="20"/>
          <w:color w:val="auto"/>
        </w:rPr>
        <w:tab/>
      </w:r>
      <w:r>
        <w:rPr>
          <w:rFonts w:ascii="Times New Roman" w:cs="Times New Roman" w:eastAsia="Times New Roman" w:hAnsi="Times New Roman"/>
          <w:sz w:val="19"/>
          <w:szCs w:val="19"/>
          <w:b w:val="1"/>
          <w:bCs w:val="1"/>
          <w:color w:val="auto"/>
        </w:rPr>
        <w:t>Applicability of Article</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jc w:val="both"/>
        <w:ind w:right="20" w:firstLine="568"/>
        <w:spacing w:after="0" w:line="262" w:lineRule="auto"/>
        <w:rPr>
          <w:sz w:val="20"/>
          <w:szCs w:val="20"/>
          <w:color w:val="auto"/>
        </w:rPr>
      </w:pPr>
      <w:r>
        <w:rPr>
          <w:rFonts w:ascii="Times New Roman" w:cs="Times New Roman" w:eastAsia="Times New Roman" w:hAnsi="Times New Roman"/>
          <w:sz w:val="19"/>
          <w:szCs w:val="19"/>
          <w:color w:val="auto"/>
        </w:rPr>
        <w:t>Retirements of Securities of any series pursuant to any sinking fund shall be made in accordance with the terms of such Securities and (except as otherwise specified as contemplated by Section 3.01 for Securities of any series) in accordance with this Article Twelve.</w:t>
      </w:r>
    </w:p>
    <w:p>
      <w:pPr>
        <w:spacing w:after="0" w:line="114" w:lineRule="exact"/>
        <w:rPr>
          <w:sz w:val="20"/>
          <w:szCs w:val="20"/>
          <w:color w:val="auto"/>
        </w:rPr>
      </w:pPr>
    </w:p>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The minimum amount of any sinking fund payment provided for by the terms of Securities of any series is herein referred to as a "</w:t>
      </w:r>
      <w:r>
        <w:rPr>
          <w:rFonts w:ascii="Times New Roman" w:cs="Times New Roman" w:eastAsia="Times New Roman" w:hAnsi="Times New Roman"/>
          <w:sz w:val="19"/>
          <w:szCs w:val="19"/>
          <w:b w:val="1"/>
          <w:bCs w:val="1"/>
          <w:color w:val="auto"/>
        </w:rPr>
        <w:t>mandatory sinking fund payment</w:t>
      </w:r>
      <w:r>
        <w:rPr>
          <w:rFonts w:ascii="Times New Roman" w:cs="Times New Roman" w:eastAsia="Times New Roman" w:hAnsi="Times New Roman"/>
          <w:sz w:val="19"/>
          <w:szCs w:val="19"/>
          <w:color w:val="auto"/>
        </w:rPr>
        <w:t>," and any payment in excess of such minimum amount provided for by the terms of Securities of any series is herein referred to as an "</w:t>
      </w:r>
      <w:r>
        <w:rPr>
          <w:rFonts w:ascii="Times New Roman" w:cs="Times New Roman" w:eastAsia="Times New Roman" w:hAnsi="Times New Roman"/>
          <w:sz w:val="19"/>
          <w:szCs w:val="19"/>
          <w:b w:val="1"/>
          <w:bCs w:val="1"/>
          <w:color w:val="auto"/>
        </w:rPr>
        <w:t>optional sinking fund payment</w:t>
      </w:r>
      <w:r>
        <w:rPr>
          <w:rFonts w:ascii="Times New Roman" w:cs="Times New Roman" w:eastAsia="Times New Roman" w:hAnsi="Times New Roman"/>
          <w:sz w:val="19"/>
          <w:szCs w:val="19"/>
          <w:color w:val="auto"/>
        </w:rPr>
        <w:t>". If provided for by the terms of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17"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12.02</w:t>
      </w:r>
      <w:r>
        <w:rPr>
          <w:sz w:val="20"/>
          <w:szCs w:val="20"/>
          <w:color w:val="auto"/>
        </w:rPr>
        <w:tab/>
      </w:r>
      <w:r>
        <w:rPr>
          <w:rFonts w:ascii="Times New Roman" w:cs="Times New Roman" w:eastAsia="Times New Roman" w:hAnsi="Times New Roman"/>
          <w:sz w:val="19"/>
          <w:szCs w:val="19"/>
          <w:b w:val="1"/>
          <w:bCs w:val="1"/>
          <w:color w:val="auto"/>
        </w:rPr>
        <w:t>Satisfaction of Sinking Fund Payments with Securities</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jc w:val="both"/>
        <w:ind w:firstLine="568"/>
        <w:spacing w:after="0" w:line="252" w:lineRule="auto"/>
        <w:rPr>
          <w:sz w:val="20"/>
          <w:szCs w:val="20"/>
          <w:color w:val="auto"/>
        </w:rPr>
      </w:pPr>
      <w:r>
        <w:rPr>
          <w:rFonts w:ascii="Times New Roman" w:cs="Times New Roman" w:eastAsia="Times New Roman" w:hAnsi="Times New Roman"/>
          <w:sz w:val="18"/>
          <w:szCs w:val="18"/>
          <w:color w:val="auto"/>
        </w:rPr>
        <w:t xml:space="preserve">Subject to Section 12.03, in lieu of making all or any part of any mandatory sinking fund payment with respect to any Securities of a series in cash, the Company may at its option (1) deliver to the Trustees Outstanding Securities of a such series (other than any previously called for redemption) theretofore purchased or otherwise acquired by the Company, and/or (2) receive credit for the principal amount of Securities of such series which have been previously delivered to the Trustees by the Company or redeemed either at the election of the Company pursuant to the terms of such Securities or through the application of permitted optional sinking fund payments pursuant to the terms of such Securities, in each case in satisfaction of all or any part of any mandatory sinking fund payment with respect to the Securities of the same series required to be made pursuant to the terms of such Securities as provided for by the terms of such series;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Securities have not been previously so credited. Such Securities shall be received and credited for such purpose by the Trustees at the Redemption Price specified in such Securities for redemption through operation of the sinking fund and the amount of such mandatory sinking fund payment shall be reduced accordingly.</w:t>
      </w:r>
    </w:p>
    <w:p>
      <w:pPr>
        <w:spacing w:after="0" w:line="121"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12.03</w:t>
      </w:r>
      <w:r>
        <w:rPr>
          <w:sz w:val="20"/>
          <w:szCs w:val="20"/>
          <w:color w:val="auto"/>
        </w:rPr>
        <w:tab/>
      </w:r>
      <w:r>
        <w:rPr>
          <w:rFonts w:ascii="Times New Roman" w:cs="Times New Roman" w:eastAsia="Times New Roman" w:hAnsi="Times New Roman"/>
          <w:sz w:val="18"/>
          <w:szCs w:val="18"/>
          <w:b w:val="1"/>
          <w:bCs w:val="1"/>
          <w:color w:val="auto"/>
        </w:rPr>
        <w:t>Redemption of Securities for Sinking Fund</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right="20" w:firstLine="568"/>
        <w:spacing w:after="0" w:line="238" w:lineRule="auto"/>
        <w:rPr>
          <w:sz w:val="20"/>
          <w:szCs w:val="20"/>
          <w:color w:val="auto"/>
        </w:rPr>
      </w:pPr>
      <w:r>
        <w:rPr>
          <w:rFonts w:ascii="Times New Roman" w:cs="Times New Roman" w:eastAsia="Times New Roman" w:hAnsi="Times New Roman"/>
          <w:sz w:val="19"/>
          <w:szCs w:val="19"/>
          <w:color w:val="auto"/>
        </w:rPr>
        <w:t>Not less than 60 days prior to each sinking fund payment date for any series of Securities, the Company will deliver to the Trustees an Officer's Certificate specifying the amount of the next ensuing sinking fund payment for that series pursuant to the terms of that series, the portion thereof, if any, which is to be satisfied by payment of cash in the Currency in which the Securities of such series are payable (except as otherwise specified pursuant to Section 3.01 for the Securities of such series and except, if applicable, as provided in Sections 3.12(b), 3.12(d) and 3.12(e)) and the portion thereof, if any, which is to be satisfied by delivering or crediting Securities of that series pursuant to Section 12.02 (which Securities will, if not previously delivered, accompany such certificate) and whether the Company intends to exercise its right to make a permitted optional sinking fund payment with respect to such series.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6978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31" w:name="page132"/>
    <w:bookmarkEnd w:id="131"/>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Such certificate shall be irrevocable and upon its delivery the Company shall be obligated to make the cash payment or payments therein referred to, if any, on or before the next succeeding sinking fund payment date. In the case of the failure of the Company to deliver such certificate, the sinking fund payment due on the next succeeding sinking fund payment date for that series shall be paid entirely in cash and shall be sufficient to redeem the principal amount of such Securities subject to a mandatory sinking fund payment without the option to deliver or credit Securities as provided in Section 12.02 and without the right to make any optional sinking fund payment, if any, with respect to such series.</w:t>
      </w:r>
    </w:p>
    <w:p>
      <w:pPr>
        <w:spacing w:after="0" w:line="122" w:lineRule="exact"/>
        <w:rPr>
          <w:sz w:val="20"/>
          <w:szCs w:val="20"/>
          <w:color w:val="auto"/>
        </w:rPr>
      </w:pPr>
    </w:p>
    <w:p>
      <w:pPr>
        <w:jc w:val="both"/>
        <w:ind w:firstLine="568"/>
        <w:spacing w:after="0" w:line="243" w:lineRule="auto"/>
        <w:rPr>
          <w:sz w:val="20"/>
          <w:szCs w:val="20"/>
          <w:color w:val="auto"/>
        </w:rPr>
      </w:pPr>
      <w:r>
        <w:rPr>
          <w:rFonts w:ascii="Times New Roman" w:cs="Times New Roman" w:eastAsia="Times New Roman" w:hAnsi="Times New Roman"/>
          <w:sz w:val="19"/>
          <w:szCs w:val="19"/>
          <w:color w:val="auto"/>
        </w:rPr>
        <w:t>Not more than 60 days before each such sinking fund payment date the Trustees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32" w:lineRule="exact"/>
        <w:rPr>
          <w:sz w:val="20"/>
          <w:szCs w:val="20"/>
          <w:color w:val="auto"/>
        </w:rPr>
      </w:pPr>
    </w:p>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Prior to any sinking fund payment date, the Company shall pay to the Trustees or a Paying Agent (or, if the Company is acting as its own Paying Agent, segregate and hold in trust as provided in Section 10.03) in cash a sum equal to any interest that will accrue to the date fixed for redemption of Securities or portions thereof to be redeemed on such sinking fund payment date pursuant to this 12.03 Section.</w:t>
      </w:r>
    </w:p>
    <w:p>
      <w:pPr>
        <w:spacing w:after="0" w:line="115" w:lineRule="exact"/>
        <w:rPr>
          <w:sz w:val="20"/>
          <w:szCs w:val="20"/>
          <w:color w:val="auto"/>
        </w:rPr>
      </w:pPr>
    </w:p>
    <w:p>
      <w:pPr>
        <w:jc w:val="both"/>
        <w:ind w:firstLine="568"/>
        <w:spacing w:after="0" w:line="238" w:lineRule="auto"/>
        <w:rPr>
          <w:sz w:val="20"/>
          <w:szCs w:val="20"/>
          <w:color w:val="auto"/>
        </w:rPr>
      </w:pPr>
      <w:r>
        <w:rPr>
          <w:rFonts w:ascii="Times New Roman" w:cs="Times New Roman" w:eastAsia="Times New Roman" w:hAnsi="Times New Roman"/>
          <w:sz w:val="19"/>
          <w:szCs w:val="19"/>
          <w:color w:val="auto"/>
        </w:rPr>
        <w:t>Notwithstanding the foregoing, with respect to a sinking fund for any series of Securities, if at any time the amount of cash to be paid into such sinking fund on the next succeeding sinking fund payment date, together with any unused balance of any preceding sinking fund payment or payments for such series, does not exceed in the aggregate $100,000, the Trustees, unless requested by the Company, shall not give the next succeeding notice of the redemption of Securities of such series through the operation of the sinking fund. Any such unused balance of moneys deposited in such sinking fund shall be added to the sinking fund payment for such series to be made in cash on the next succeeding sinking fund payment date or, at the request of the Company, shall be applied at any time or from time to time to the purchase of Securities of such series, by public or private purchase, in the open market or otherwise, at a purchase price for such Securities (excluding accrued interest and brokerage commissions, for which the Trustees or any Paying Agent will be reimbursed by the Company) not in excess of the principal amount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THIRTEEN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REPAYMENT AT OPTION OF HOLDERS</w:t>
      </w:r>
    </w:p>
    <w:p>
      <w:pPr>
        <w:spacing w:after="0" w:line="136"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13.01</w:t>
      </w:r>
      <w:r>
        <w:rPr>
          <w:sz w:val="20"/>
          <w:szCs w:val="20"/>
          <w:color w:val="auto"/>
        </w:rPr>
        <w:tab/>
      </w:r>
      <w:r>
        <w:rPr>
          <w:rFonts w:ascii="Times New Roman" w:cs="Times New Roman" w:eastAsia="Times New Roman" w:hAnsi="Times New Roman"/>
          <w:sz w:val="19"/>
          <w:szCs w:val="19"/>
          <w:b w:val="1"/>
          <w:bCs w:val="1"/>
          <w:color w:val="auto"/>
        </w:rPr>
        <w:t>Applicability of Article</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Repayment of Securities of any series before their Stated Maturity at the option of Holders thereof shall be made in accordance with the terms of such Securities and (except as otherwise specified as contemplated by Section 3.01 for Securities of any series) in accordance with this Article Thirteen.</w:t>
      </w:r>
    </w:p>
    <w:p>
      <w:pPr>
        <w:spacing w:after="0" w:line="111"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13.02</w:t>
      </w:r>
      <w:r>
        <w:rPr>
          <w:sz w:val="20"/>
          <w:szCs w:val="20"/>
          <w:color w:val="auto"/>
        </w:rPr>
        <w:tab/>
      </w:r>
      <w:r>
        <w:rPr>
          <w:rFonts w:ascii="Times New Roman" w:cs="Times New Roman" w:eastAsia="Times New Roman" w:hAnsi="Times New Roman"/>
          <w:sz w:val="18"/>
          <w:szCs w:val="18"/>
          <w:b w:val="1"/>
          <w:bCs w:val="1"/>
          <w:color w:val="auto"/>
        </w:rPr>
        <w:t>Repayment of Securities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568"/>
        <w:spacing w:after="0" w:line="237" w:lineRule="auto"/>
        <w:rPr>
          <w:sz w:val="20"/>
          <w:szCs w:val="20"/>
          <w:color w:val="auto"/>
        </w:rPr>
      </w:pPr>
      <w:r>
        <w:rPr>
          <w:rFonts w:ascii="Times New Roman" w:cs="Times New Roman" w:eastAsia="Times New Roman" w:hAnsi="Times New Roman"/>
          <w:sz w:val="19"/>
          <w:szCs w:val="19"/>
          <w:color w:val="auto"/>
        </w:rPr>
        <w:t>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with respect to such Securities, on or before the Repayment Date it will deposit with a Trustee or with a Paying Agent (or, if the Company is acting as its own Paying Agent,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the principal (or, if so provided by the terms of the Securities of any series, a percentage of the principal) of and (except if the Repayment Date shall be an Interest Payment Date) accrued interest (if any) on, all the Securities or portions thereof, as the case may be, to be repaid on such date.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32" w:name="page133"/>
    <w:bookmarkEnd w:id="132"/>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13.03</w:t>
      </w:r>
      <w:r>
        <w:rPr>
          <w:sz w:val="20"/>
          <w:szCs w:val="20"/>
          <w:color w:val="auto"/>
        </w:rPr>
        <w:tab/>
      </w:r>
      <w:r>
        <w:rPr>
          <w:rFonts w:ascii="Times New Roman" w:cs="Times New Roman" w:eastAsia="Times New Roman" w:hAnsi="Times New Roman"/>
          <w:sz w:val="19"/>
          <w:szCs w:val="19"/>
          <w:b w:val="1"/>
          <w:bCs w:val="1"/>
          <w:color w:val="auto"/>
        </w:rPr>
        <w:t>Exercise of Option</w:t>
      </w:r>
      <w:r>
        <w:rPr>
          <w:rFonts w:ascii="Times New Roman" w:cs="Times New Roman" w:eastAsia="Times New Roman" w:hAnsi="Times New Roman"/>
          <w:sz w:val="19"/>
          <w:szCs w:val="19"/>
          <w:color w:val="auto"/>
        </w:rPr>
        <w:t>.</w:t>
      </w:r>
    </w:p>
    <w:p>
      <w:pPr>
        <w:spacing w:after="0" w:line="153" w:lineRule="exact"/>
        <w:rPr>
          <w:sz w:val="20"/>
          <w:szCs w:val="20"/>
          <w:color w:val="auto"/>
        </w:rPr>
      </w:pPr>
    </w:p>
    <w:p>
      <w:pPr>
        <w:jc w:val="both"/>
        <w:ind w:firstLine="568"/>
        <w:spacing w:after="0" w:line="236" w:lineRule="auto"/>
        <w:rPr>
          <w:sz w:val="20"/>
          <w:szCs w:val="20"/>
          <w:color w:val="auto"/>
        </w:rPr>
      </w:pPr>
      <w:r>
        <w:rPr>
          <w:rFonts w:ascii="Times New Roman" w:cs="Times New Roman" w:eastAsia="Times New Roman" w:hAnsi="Times New Roman"/>
          <w:sz w:val="19"/>
          <w:szCs w:val="19"/>
          <w:color w:val="auto"/>
        </w:rPr>
        <w:t>Securities of any series subject to repayment at the option of the Holders thereof will contain an "Option to Elect Repayment" form on the reverse of such Securities. To be repaid at the option of the Holder,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which the Company shall from time to time notify the Holders of such Securities) not earlier than 45 days nor later than 30 days prior to the Repayment Date.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38"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13.04</w:t>
      </w:r>
      <w:r>
        <w:rPr>
          <w:sz w:val="20"/>
          <w:szCs w:val="20"/>
          <w:color w:val="auto"/>
        </w:rPr>
        <w:tab/>
      </w:r>
      <w:r>
        <w:rPr>
          <w:rFonts w:ascii="Times New Roman" w:cs="Times New Roman" w:eastAsia="Times New Roman" w:hAnsi="Times New Roman"/>
          <w:sz w:val="18"/>
          <w:szCs w:val="18"/>
          <w:b w:val="1"/>
          <w:bCs w:val="1"/>
          <w:color w:val="auto"/>
        </w:rPr>
        <w:t>When Securities Presented for Repayment Become Due and Payable</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37" w:lineRule="auto"/>
        <w:rPr>
          <w:sz w:val="20"/>
          <w:szCs w:val="20"/>
          <w:color w:val="auto"/>
        </w:rPr>
      </w:pPr>
      <w:r>
        <w:rPr>
          <w:rFonts w:ascii="Times New Roman" w:cs="Times New Roman" w:eastAsia="Times New Roman" w:hAnsi="Times New Roman"/>
          <w:sz w:val="19"/>
          <w:szCs w:val="19"/>
          <w:color w:val="auto"/>
        </w:rPr>
        <w:t xml:space="preserve">If Securities of any series providing for repayment at the option of the Holders thereof shall have been surrendered as provided in this Article Thirteen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Upon surrender of any such Security for repayment in accordance with such provisions, the principal amount of such Security so to be repaid shall be paid by the Company, together with accrued interest (if any) to the Repayment Date;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in the case of Securities, installments of interest (if any) whose Stated Maturity is on or prior to the Repayment Date shall be payable to the Holders of such Securities, or one or more Predecessor Securities, registered as such at the close of business on the relevant Record Dates according to their terms and the provisions of Section 3.07.</w:t>
      </w:r>
    </w:p>
    <w:p>
      <w:pPr>
        <w:spacing w:after="0" w:line="128" w:lineRule="exact"/>
        <w:rPr>
          <w:sz w:val="20"/>
          <w:szCs w:val="20"/>
          <w:color w:val="auto"/>
        </w:rPr>
      </w:pPr>
    </w:p>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If any Security surrendered for repayment shall not be so repaid upon surrender thereof for repayment, the principal amount and premium (if any) shall, until paid, bear interest from the Repayment Date at the rate of interest or Yield to Maturity (in the case of Original Issue Discount Securities) set forth in such Security.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33" w:name="page134"/>
    <w:bookmarkEnd w:id="133"/>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13.05</w:t>
      </w:r>
      <w:r>
        <w:rPr>
          <w:sz w:val="20"/>
          <w:szCs w:val="20"/>
          <w:color w:val="auto"/>
        </w:rPr>
        <w:tab/>
      </w:r>
      <w:r>
        <w:rPr>
          <w:rFonts w:ascii="Times New Roman" w:cs="Times New Roman" w:eastAsia="Times New Roman" w:hAnsi="Times New Roman"/>
          <w:sz w:val="19"/>
          <w:szCs w:val="19"/>
          <w:b w:val="1"/>
          <w:bCs w:val="1"/>
          <w:color w:val="auto"/>
        </w:rPr>
        <w:t>Securities Repaid in Part</w:t>
      </w:r>
      <w:r>
        <w:rPr>
          <w:rFonts w:ascii="Times New Roman" w:cs="Times New Roman" w:eastAsia="Times New Roman" w:hAnsi="Times New Roman"/>
          <w:sz w:val="19"/>
          <w:szCs w:val="19"/>
          <w:color w:val="auto"/>
        </w:rPr>
        <w:t>.</w:t>
      </w:r>
    </w:p>
    <w:p>
      <w:pPr>
        <w:spacing w:after="0" w:line="153" w:lineRule="exact"/>
        <w:rPr>
          <w:sz w:val="20"/>
          <w:szCs w:val="20"/>
          <w:color w:val="auto"/>
        </w:rPr>
      </w:pPr>
    </w:p>
    <w:p>
      <w:pPr>
        <w:jc w:val="both"/>
        <w:ind w:firstLine="568"/>
        <w:spacing w:after="0" w:line="243" w:lineRule="auto"/>
        <w:rPr>
          <w:sz w:val="20"/>
          <w:szCs w:val="20"/>
          <w:color w:val="auto"/>
        </w:rPr>
      </w:pPr>
      <w:r>
        <w:rPr>
          <w:rFonts w:ascii="Times New Roman" w:cs="Times New Roman" w:eastAsia="Times New Roman" w:hAnsi="Times New Roman"/>
          <w:sz w:val="19"/>
          <w:szCs w:val="19"/>
          <w:color w:val="auto"/>
        </w:rPr>
        <w:t>Upon surrender of any Security which is to be repaid in part only, the Company shall execute and the applicable Trustee shall authenticate and deliver to the Holder of such Security, without service charge and at the expense of the Company, a new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FOURTEEN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DEFEASANCE AND COVENANT DEFEASANCE</w:t>
      </w:r>
    </w:p>
    <w:p>
      <w:pPr>
        <w:spacing w:after="0" w:line="124"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14.01</w:t>
      </w:r>
      <w:r>
        <w:rPr>
          <w:sz w:val="20"/>
          <w:szCs w:val="20"/>
          <w:color w:val="auto"/>
        </w:rPr>
        <w:tab/>
      </w:r>
      <w:r>
        <w:rPr>
          <w:rFonts w:ascii="Times New Roman" w:cs="Times New Roman" w:eastAsia="Times New Roman" w:hAnsi="Times New Roman"/>
          <w:sz w:val="18"/>
          <w:szCs w:val="18"/>
          <w:b w:val="1"/>
          <w:bCs w:val="1"/>
          <w:color w:val="auto"/>
        </w:rPr>
        <w:t>Company's Option to Effect Defeasance or Covenant Defeasance</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right="20" w:firstLine="568"/>
        <w:spacing w:after="0" w:line="243" w:lineRule="auto"/>
        <w:rPr>
          <w:sz w:val="20"/>
          <w:szCs w:val="20"/>
          <w:color w:val="auto"/>
        </w:rPr>
      </w:pPr>
      <w:r>
        <w:rPr>
          <w:rFonts w:ascii="Times New Roman" w:cs="Times New Roman" w:eastAsia="Times New Roman" w:hAnsi="Times New Roman"/>
          <w:sz w:val="19"/>
          <w:szCs w:val="19"/>
          <w:color w:val="auto"/>
        </w:rPr>
        <w:t>Except as otherwise specified as contemplated by Section 3.01 for Securities of any series, the provisions of this Article Fourteen shall apply to each series of Securities, and the Company may, at its option, effect defeasance of the Securities of or within a series under Section 14.02, or covenant defeasance of or within a series under Section 14.03 in accordance with the terms of such Securities and in accordance with this Article Fourteen.</w:t>
      </w:r>
    </w:p>
    <w:p>
      <w:pPr>
        <w:spacing w:after="0" w:line="128"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14.02</w:t>
      </w:r>
      <w:r>
        <w:rPr>
          <w:sz w:val="20"/>
          <w:szCs w:val="20"/>
          <w:color w:val="auto"/>
        </w:rPr>
        <w:tab/>
      </w:r>
      <w:r>
        <w:rPr>
          <w:rFonts w:ascii="Times New Roman" w:cs="Times New Roman" w:eastAsia="Times New Roman" w:hAnsi="Times New Roman"/>
          <w:sz w:val="18"/>
          <w:szCs w:val="18"/>
          <w:b w:val="1"/>
          <w:bCs w:val="1"/>
          <w:color w:val="auto"/>
        </w:rPr>
        <w:t>Defeasance and Discharge</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36" w:lineRule="auto"/>
        <w:rPr>
          <w:sz w:val="20"/>
          <w:szCs w:val="20"/>
          <w:color w:val="auto"/>
        </w:rPr>
      </w:pPr>
      <w:r>
        <w:rPr>
          <w:rFonts w:ascii="Times New Roman" w:cs="Times New Roman" w:eastAsia="Times New Roman" w:hAnsi="Times New Roman"/>
          <w:sz w:val="19"/>
          <w:szCs w:val="19"/>
          <w:color w:val="auto"/>
        </w:rPr>
        <w:t>Upon the Company's exercise of the above option applicable to this Section 14.02 with respect to any Securities of or within a series, the Company shall be deemed to have been discharged from its obligations with respect to such Securities on the date the conditions set forth in Section 14.04 are satisfied (hereinafter, "</w:t>
      </w:r>
      <w:r>
        <w:rPr>
          <w:rFonts w:ascii="Times New Roman" w:cs="Times New Roman" w:eastAsia="Times New Roman" w:hAnsi="Times New Roman"/>
          <w:sz w:val="19"/>
          <w:szCs w:val="19"/>
          <w:b w:val="1"/>
          <w:bCs w:val="1"/>
          <w:color w:val="auto"/>
        </w:rPr>
        <w:t>defeasance</w:t>
      </w:r>
      <w:r>
        <w:rPr>
          <w:rFonts w:ascii="Times New Roman" w:cs="Times New Roman" w:eastAsia="Times New Roman" w:hAnsi="Times New Roman"/>
          <w:sz w:val="19"/>
          <w:szCs w:val="19"/>
          <w:color w:val="auto"/>
        </w:rPr>
        <w:t>"). For this purpose, such defeasance means that the Company shall be deemed to have paid and discharged the entire indebtedness represented by such Securities, which shall thereafter be deemed to be "Outstanding" only for the purposes of Section 14.05 and the other Sections of this Indenture referred to in (A) and (B) below, and to have satisfied all of its other obligations under such Securities and this Indenture insofar as such Securities are concerned (and the Trustees, at the expense of the Company, shall execute proper instruments acknowledging the same), except for the following which shall survive until otherwise terminated or discharged hereunder: (A) the rights of Holders of such Securities to receive, solely from the trust fund described in Section 14.04 and as more fully set forth in such Section, payments in respect of the principal of, premium (if any) and interest (if any) on such Securities when such payments are due, (B) the Company's obligations with respect to such Securities under Sections 3.05, 3.06, 10.02 and 10.03, (C) the rights, powers, trusts, duties and immunities of the Trustees hereunder and (D) this Article Fourteen. Subject to compliance with this Article Fourteen, the Company may exercise its option under this Section 14.02 notwithstanding the prior exercise of its option under Section 14.03 with respect to such Securities.</w:t>
      </w:r>
    </w:p>
    <w:p>
      <w:pPr>
        <w:spacing w:after="0" w:line="126"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14.03</w:t>
      </w:r>
      <w:r>
        <w:rPr>
          <w:sz w:val="20"/>
          <w:szCs w:val="20"/>
          <w:color w:val="auto"/>
        </w:rPr>
        <w:tab/>
      </w:r>
      <w:r>
        <w:rPr>
          <w:rFonts w:ascii="Times New Roman" w:cs="Times New Roman" w:eastAsia="Times New Roman" w:hAnsi="Times New Roman"/>
          <w:sz w:val="18"/>
          <w:szCs w:val="18"/>
          <w:b w:val="1"/>
          <w:bCs w:val="1"/>
          <w:color w:val="auto"/>
        </w:rPr>
        <w:t>Covenant Defeasance</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568"/>
        <w:spacing w:after="0" w:line="237" w:lineRule="auto"/>
        <w:rPr>
          <w:sz w:val="20"/>
          <w:szCs w:val="20"/>
          <w:color w:val="auto"/>
        </w:rPr>
      </w:pPr>
      <w:r>
        <w:rPr>
          <w:rFonts w:ascii="Times New Roman" w:cs="Times New Roman" w:eastAsia="Times New Roman" w:hAnsi="Times New Roman"/>
          <w:sz w:val="19"/>
          <w:szCs w:val="19"/>
          <w:color w:val="auto"/>
        </w:rPr>
        <w:t>Upon the Company's exercise of the above option applicable to this Section 14.03 with respect to any Securities of or within a series, the Company shall be released from, if specified pursuant to Section 3.01, its obligations under any covenant, with respect to such Securities on and after the date the conditions set forth in Section 14.04 are satisfied (hereinafter, "</w:t>
      </w:r>
      <w:r>
        <w:rPr>
          <w:rFonts w:ascii="Times New Roman" w:cs="Times New Roman" w:eastAsia="Times New Roman" w:hAnsi="Times New Roman"/>
          <w:sz w:val="19"/>
          <w:szCs w:val="19"/>
          <w:b w:val="1"/>
          <w:bCs w:val="1"/>
          <w:color w:val="auto"/>
        </w:rPr>
        <w:t>covenant defeasance</w:t>
      </w:r>
      <w:r>
        <w:rPr>
          <w:rFonts w:ascii="Times New Roman" w:cs="Times New Roman" w:eastAsia="Times New Roman" w:hAnsi="Times New Roman"/>
          <w:sz w:val="19"/>
          <w:szCs w:val="19"/>
          <w:color w:val="auto"/>
        </w:rPr>
        <w:t>"), and such Securities shall thereafter be deemed not to be "Outstanding" for the purposes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such Securities, the Company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 Default or an Event of Default under clauses (4) or (7) of Section 5.01 or otherwise but, except as specified above, the remainder of this Indenture and such Securities shall be unaffected thereby.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34" w:name="page135"/>
    <w:bookmarkEnd w:id="134"/>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14.04</w:t>
      </w:r>
      <w:r>
        <w:rPr>
          <w:sz w:val="20"/>
          <w:szCs w:val="20"/>
          <w:color w:val="auto"/>
        </w:rPr>
        <w:tab/>
      </w:r>
      <w:r>
        <w:rPr>
          <w:rFonts w:ascii="Times New Roman" w:cs="Times New Roman" w:eastAsia="Times New Roman" w:hAnsi="Times New Roman"/>
          <w:sz w:val="18"/>
          <w:szCs w:val="18"/>
          <w:b w:val="1"/>
          <w:bCs w:val="1"/>
          <w:color w:val="auto"/>
        </w:rPr>
        <w:t>Conditions to Defeasance or Covenant Defeasance</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The following shall be the conditions to application of either Section 14.02 or Section 14.03 to any Securities of or within a series:</w:t>
      </w:r>
    </w:p>
    <w:p>
      <w:pPr>
        <w:spacing w:after="0" w:line="160" w:lineRule="exact"/>
        <w:rPr>
          <w:sz w:val="20"/>
          <w:szCs w:val="20"/>
          <w:color w:val="auto"/>
        </w:rPr>
      </w:pPr>
    </w:p>
    <w:p>
      <w:pPr>
        <w:jc w:val="both"/>
        <w:ind w:left="1140" w:hanging="578"/>
        <w:spacing w:after="0" w:line="235" w:lineRule="auto"/>
        <w:tabs>
          <w:tab w:leader="none" w:pos="1182"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shall irrevocably have deposited or caused to be deposited with either Trustee (or another trustee satisfying the requirements of Section 6.08 who shall agree to comply with the provisions of this Article Fourteen applicable to it) as trust funds in trust for the purpose of making the following payments, specifically pledged as security for, and dedicated solely to, the benefit of the Holders of such Securities, (A) an amount (in such Currency in which such Securities are then specified as payable at Stated Maturity), or (B) Government Obligations applicable to such Securities (determined on the basis of the Currency in which such Securities are then specified as payable at Stated Maturity) which through the scheduled payment of principal and interest in respect thereof in accordance with their terms will provide, not later than one day before the due date of any payment of principal of and premium (if any) and interest (if any) under such Securities, money in an amount, or (C) a combination thereof, sufficient, in the opinion of a nationally recognized firm of independent public accountants expressed in a written certification thereof delivered to the Trustees, to pay and discharge, and which shall be applied by the Trustees (or another trustee satisfying the requirements of Section 6.08 who shall agree to comply with the provisions of this Article Fourteen) to pay and discharge, (i) the principal of, premium (if any) and interest (if any) on such Securities on the Stated Maturity (or Redemption Date, if applicable) of such principal of, premium (if any) or installment of interest (if any), (ii) any mandatory sinking fund payments or analogous payments applicable to such Securities on the day on which such payments are due and payable in accordance with the terms of this Indenture and of such Securities, and (iii) all amounts due the Trustees under Section 6.07;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Trustees shall have been irrevocably instructed to apply such money or the proceeds of such Government Obligations to said payments with respect to such Securities. Before such a deposit, the Company may give to the Trustees, in accordance with Section 11.02, a notice of its election to redeem all or any portion of such Securities at a future date in accordance with the terms of such Securities and Article Eleven hereof, which notice shall be irrevocable. Such irrevocable redemption notice, if given, shall be given effect in applying the foregoing.</w:t>
      </w:r>
    </w:p>
    <w:p>
      <w:pPr>
        <w:spacing w:after="0" w:line="133" w:lineRule="exact"/>
        <w:rPr>
          <w:rFonts w:ascii="Times New Roman" w:cs="Times New Roman" w:eastAsia="Times New Roman" w:hAnsi="Times New Roman"/>
          <w:sz w:val="19"/>
          <w:szCs w:val="19"/>
          <w:color w:val="auto"/>
        </w:rPr>
      </w:pPr>
    </w:p>
    <w:p>
      <w:pPr>
        <w:jc w:val="both"/>
        <w:ind w:left="1140" w:hanging="578"/>
        <w:spacing w:after="0" w:line="248" w:lineRule="auto"/>
        <w:tabs>
          <w:tab w:leader="none" w:pos="1182"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with respect to such Securities shall have occurred and be continuing on the date of such deposit or, insofar as clauses (5) and (6) of Section 5.01 are concerned, at any time during the period ending on the 91st day after the date of such deposit (it being understood that this condition shall not be deemed satisfied until the expiration of such period).</w:t>
      </w:r>
    </w:p>
    <w:p>
      <w:pPr>
        <w:spacing w:after="0" w:line="115" w:lineRule="exact"/>
        <w:rPr>
          <w:rFonts w:ascii="Times New Roman" w:cs="Times New Roman" w:eastAsia="Times New Roman" w:hAnsi="Times New Roman"/>
          <w:sz w:val="19"/>
          <w:szCs w:val="19"/>
          <w:color w:val="auto"/>
        </w:rPr>
      </w:pPr>
    </w:p>
    <w:p>
      <w:pPr>
        <w:jc w:val="both"/>
        <w:ind w:left="1140" w:right="20" w:hanging="578"/>
        <w:spacing w:after="0" w:line="248" w:lineRule="auto"/>
        <w:tabs>
          <w:tab w:leader="none" w:pos="1182"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defeasance or covenant defeasance shall not result in a breach or violation of, or constitute a Default or an Event of Default under, this Indenture or any default under any material agreement or instrument to which the Company is a party or by which it is bound.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3">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35" w:name="page136"/>
    <w:bookmarkEnd w:id="135"/>
    <w:p>
      <w:pPr>
        <w:jc w:val="both"/>
        <w:ind w:left="1140" w:hanging="578"/>
        <w:spacing w:after="0" w:line="238" w:lineRule="auto"/>
        <w:tabs>
          <w:tab w:leader="none" w:pos="1182"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 election under Section 14.02, the Company shall have delivered to the Trustees an Opinion of Counsel in the United States stating that (x) the Company has received from, or there has been published by, the Internal Revenue Service a ruling, or (y) since the date of execution of this Indenture, there has been a change in the applicable United States federal income tax law, in either case to the effect that, and based thereon such opinion shall confirm that, the Holders of such Securities will not recognize income, gain or loss for United States federal income tax purposes as a result of such defeasance and will be subject to United States federal income tax on the same amounts, in the same manner and at the same times as would have been the case if such defeasance had not occurred.</w:t>
      </w:r>
    </w:p>
    <w:p>
      <w:pPr>
        <w:spacing w:after="0" w:line="128" w:lineRule="exact"/>
        <w:rPr>
          <w:rFonts w:ascii="Times New Roman" w:cs="Times New Roman" w:eastAsia="Times New Roman" w:hAnsi="Times New Roman"/>
          <w:sz w:val="19"/>
          <w:szCs w:val="19"/>
          <w:color w:val="auto"/>
        </w:rPr>
      </w:pPr>
    </w:p>
    <w:p>
      <w:pPr>
        <w:jc w:val="both"/>
        <w:ind w:left="1140" w:hanging="578"/>
        <w:spacing w:after="0" w:line="243" w:lineRule="auto"/>
        <w:tabs>
          <w:tab w:leader="none" w:pos="1182"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 election under Section 14.03, the Company shall have delivered to the Trustees an Opinion of Counsel in the United States to the effect that the Holders of such Securities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132" w:lineRule="exact"/>
        <w:rPr>
          <w:rFonts w:ascii="Times New Roman" w:cs="Times New Roman" w:eastAsia="Times New Roman" w:hAnsi="Times New Roman"/>
          <w:sz w:val="19"/>
          <w:szCs w:val="19"/>
          <w:color w:val="auto"/>
        </w:rPr>
      </w:pPr>
    </w:p>
    <w:p>
      <w:pPr>
        <w:jc w:val="both"/>
        <w:ind w:left="1140" w:hanging="578"/>
        <w:spacing w:after="0" w:line="239" w:lineRule="auto"/>
        <w:tabs>
          <w:tab w:leader="none" w:pos="1182"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have delivered to the Trustees an Opinion of Counsel in Canada or a ruling from the Canada Revenue Agency to the effect that the Holders of such Securities will not recognize income, gain or loss for Canadian federal, provincial or territorial income tax or other tax purposes as a result of such defeasance or covenant defeasance, as applicable, and will be subject to Canadian federal, provincial or territorial income tax and other tax on the same amounts, in the same manner and at the same times as would have been the case had such defeasance or covenant defeasance, as applicable, not occurred (and for the purposes of such opinion, such Canadian counsel shall assume that Holders of such Securities include Holders who are not resident in Canada).</w:t>
      </w:r>
    </w:p>
    <w:p>
      <w:pPr>
        <w:spacing w:after="0" w:line="125" w:lineRule="exact"/>
        <w:rPr>
          <w:rFonts w:ascii="Times New Roman" w:cs="Times New Roman" w:eastAsia="Times New Roman" w:hAnsi="Times New Roman"/>
          <w:sz w:val="19"/>
          <w:szCs w:val="19"/>
          <w:color w:val="auto"/>
        </w:rPr>
      </w:pPr>
    </w:p>
    <w:p>
      <w:pPr>
        <w:jc w:val="both"/>
        <w:ind w:left="1140" w:right="20" w:hanging="578"/>
        <w:spacing w:after="0" w:line="248" w:lineRule="auto"/>
        <w:tabs>
          <w:tab w:leader="none" w:pos="1182"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is not an "insolvent person" within the meaning of the Bankruptcy and Insolvency Act (Canada) on the date of such deposit or at any time during the period ending on the 91st day after the date of such deposit (it being understood that this condition shall not be deemed satisfied until the expiration of such period).</w:t>
      </w:r>
    </w:p>
    <w:p>
      <w:pPr>
        <w:spacing w:after="0" w:line="115" w:lineRule="exact"/>
        <w:rPr>
          <w:rFonts w:ascii="Times New Roman" w:cs="Times New Roman" w:eastAsia="Times New Roman" w:hAnsi="Times New Roman"/>
          <w:sz w:val="19"/>
          <w:szCs w:val="19"/>
          <w:color w:val="auto"/>
        </w:rPr>
      </w:pPr>
    </w:p>
    <w:p>
      <w:pPr>
        <w:ind w:left="1140" w:hanging="578"/>
        <w:spacing w:after="0" w:line="262" w:lineRule="auto"/>
        <w:tabs>
          <w:tab w:leader="none" w:pos="1182"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provisions of this Section 14.04, such defeasance or covenant defeasance shall be effected in compliance with any additional or substitute terms, conditions or limitations in connection therewith pursuant to Section 3.01.</w:t>
      </w:r>
    </w:p>
    <w:p>
      <w:pPr>
        <w:spacing w:after="0" w:line="114" w:lineRule="exact"/>
        <w:rPr>
          <w:rFonts w:ascii="Times New Roman" w:cs="Times New Roman" w:eastAsia="Times New Roman" w:hAnsi="Times New Roman"/>
          <w:sz w:val="19"/>
          <w:szCs w:val="19"/>
          <w:color w:val="auto"/>
        </w:rPr>
      </w:pPr>
    </w:p>
    <w:p>
      <w:pPr>
        <w:jc w:val="both"/>
        <w:ind w:left="1140" w:hanging="578"/>
        <w:spacing w:after="0" w:line="248" w:lineRule="auto"/>
        <w:tabs>
          <w:tab w:leader="none" w:pos="1182"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have delivered to the Trustees an Officer's Certificate and an Opinion of Counsel, each stating that all conditions precedent provided for, relating to either the defeasance under Section 14.02 or the covenant defeasance under Section 14.03 (as the case may be), have been complied with.</w:t>
      </w:r>
    </w:p>
    <w:p>
      <w:pPr>
        <w:spacing w:after="0" w:line="111"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14.05</w:t>
      </w:r>
      <w:r>
        <w:rPr>
          <w:sz w:val="20"/>
          <w:szCs w:val="20"/>
          <w:color w:val="auto"/>
        </w:rPr>
        <w:tab/>
      </w:r>
      <w:r>
        <w:rPr>
          <w:rFonts w:ascii="Times New Roman" w:cs="Times New Roman" w:eastAsia="Times New Roman" w:hAnsi="Times New Roman"/>
          <w:sz w:val="18"/>
          <w:szCs w:val="18"/>
          <w:b w:val="1"/>
          <w:bCs w:val="1"/>
          <w:color w:val="auto"/>
        </w:rPr>
        <w:t>Deposited Money and Government Obligations to Be Held in Trust; Other Miscellaneous Provisions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firstLine="568"/>
        <w:spacing w:after="0" w:line="238" w:lineRule="auto"/>
        <w:rPr>
          <w:sz w:val="20"/>
          <w:szCs w:val="20"/>
          <w:color w:val="auto"/>
        </w:rPr>
      </w:pPr>
      <w:r>
        <w:rPr>
          <w:rFonts w:ascii="Times New Roman" w:cs="Times New Roman" w:eastAsia="Times New Roman" w:hAnsi="Times New Roman"/>
          <w:sz w:val="19"/>
          <w:szCs w:val="19"/>
          <w:color w:val="auto"/>
        </w:rPr>
        <w:t>Subject to the provisions of the last paragraph of Section 10.03, all money and Government Obligations (or other property as may be provided pursuant to Section 3.01) (including the proceeds thereof) deposited with a Trustee (or another trustee satisfying the requirements of Section 6.08 who shall agree to comply with the provisions of this Article Fourteen) pursuant to Section 14.04 in respect of such Securities shall be held in trust and applied by such Trustee, in accordance with the provisions of such Securities and this Indenture, to the payment, either directly or through any Paying Agent (including the Company acting as its own Paying Agent), to the Holders of such Securities of all sums due and to become due thereon in respect of principal, premium (if any) and interest (if any) on such Securities but such money need not be segregated from other funds except to the extent required by law.</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4">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36" w:name="page137"/>
    <w:bookmarkEnd w:id="136"/>
    <w:p>
      <w:pPr>
        <w:jc w:val="both"/>
        <w:ind w:firstLine="568"/>
        <w:spacing w:after="0" w:line="237" w:lineRule="auto"/>
        <w:rPr>
          <w:sz w:val="20"/>
          <w:szCs w:val="20"/>
          <w:color w:val="auto"/>
        </w:rPr>
      </w:pPr>
      <w:r>
        <w:rPr>
          <w:rFonts w:ascii="Times New Roman" w:cs="Times New Roman" w:eastAsia="Times New Roman" w:hAnsi="Times New Roman"/>
          <w:sz w:val="19"/>
          <w:szCs w:val="19"/>
          <w:color w:val="auto"/>
        </w:rPr>
        <w:t>Unless otherwise specified with respect to any Security pursuant to Section 3.01, if, after a deposit referred to in Section 14.04(1) has been made, (a) the Holder of a Security in respect of which such deposit was made is entitled to, and does, elect pursuant to Section 3.12(b) or the terms of such Security to receive payment in a Currency other than that in which the deposit pursuant to Section 14.04(1) has been made in respect of such Security, or (b) a Conversion Event occurs as contemplated in Section 3.12(d) or 3.12(e) or by the terms of any Security in respect of which the deposit pursuant to Section 14.04(1) has been made, the indebtedness represented by such Security shall be deemed to have been, and will be, fully discharged and satisfied through the payment of the principal of, premium (if any) and interest (if any) on such Security as they become due out of the proceeds yielded by converting (from time to time as specified below in the case of any such election) the amount or other property deposited in respect of such Security into the Currency in which such Security becomes payable as a result of such election or Conversion Event based on the applicable Market Exchange Rate for such Currency in effect on the third Business Day prior to each payment date, except, with respect to a Conversion Event, for such Currency in effect (as nearly as feasible) at the time of the Conversion Event.</w:t>
      </w:r>
    </w:p>
    <w:p>
      <w:pPr>
        <w:spacing w:after="0" w:line="126" w:lineRule="exact"/>
        <w:rPr>
          <w:sz w:val="20"/>
          <w:szCs w:val="20"/>
          <w:color w:val="auto"/>
        </w:rPr>
      </w:pPr>
    </w:p>
    <w:p>
      <w:pPr>
        <w:jc w:val="both"/>
        <w:ind w:right="20" w:firstLine="568"/>
        <w:spacing w:after="0" w:line="248" w:lineRule="auto"/>
        <w:rPr>
          <w:sz w:val="20"/>
          <w:szCs w:val="20"/>
          <w:color w:val="auto"/>
        </w:rPr>
      </w:pPr>
      <w:r>
        <w:rPr>
          <w:rFonts w:ascii="Times New Roman" w:cs="Times New Roman" w:eastAsia="Times New Roman" w:hAnsi="Times New Roman"/>
          <w:sz w:val="19"/>
          <w:szCs w:val="19"/>
          <w:color w:val="auto"/>
        </w:rPr>
        <w:t>The Company shall pay and indemnify such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Securities.</w:t>
      </w:r>
    </w:p>
    <w:p>
      <w:pPr>
        <w:spacing w:after="0" w:line="127" w:lineRule="exact"/>
        <w:rPr>
          <w:sz w:val="20"/>
          <w:szCs w:val="20"/>
          <w:color w:val="auto"/>
        </w:rPr>
      </w:pPr>
    </w:p>
    <w:p>
      <w:pPr>
        <w:jc w:val="both"/>
        <w:ind w:firstLine="568"/>
        <w:spacing w:after="0" w:line="241" w:lineRule="auto"/>
        <w:rPr>
          <w:sz w:val="20"/>
          <w:szCs w:val="20"/>
          <w:color w:val="auto"/>
        </w:rPr>
      </w:pPr>
      <w:r>
        <w:rPr>
          <w:rFonts w:ascii="Times New Roman" w:cs="Times New Roman" w:eastAsia="Times New Roman" w:hAnsi="Times New Roman"/>
          <w:sz w:val="19"/>
          <w:szCs w:val="19"/>
          <w:color w:val="auto"/>
        </w:rPr>
        <w:t>Anything in this Article Fourteen to the contrary notwithstanding, such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such Trustee, are in excess of the amount thereof which would then be required to be deposited to effect an equivalent defeasance or covenant defeasance, as applicable, in accordance with this Article Fourteen.</w:t>
      </w:r>
    </w:p>
    <w:p>
      <w:pPr>
        <w:spacing w:after="0" w:line="117"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19"/>
          <w:szCs w:val="19"/>
          <w:b w:val="1"/>
          <w:bCs w:val="1"/>
          <w:color w:val="auto"/>
        </w:rPr>
        <w:t>SECTION 14.06</w:t>
      </w:r>
      <w:r>
        <w:rPr>
          <w:sz w:val="20"/>
          <w:szCs w:val="20"/>
          <w:color w:val="auto"/>
        </w:rPr>
        <w:tab/>
      </w:r>
      <w:r>
        <w:rPr>
          <w:rFonts w:ascii="Times New Roman" w:cs="Times New Roman" w:eastAsia="Times New Roman" w:hAnsi="Times New Roman"/>
          <w:sz w:val="19"/>
          <w:szCs w:val="19"/>
          <w:b w:val="1"/>
          <w:bCs w:val="1"/>
          <w:color w:val="auto"/>
        </w:rPr>
        <w:t>Reinstatement</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jc w:val="both"/>
        <w:ind w:firstLine="568"/>
        <w:spacing w:after="0" w:line="238" w:lineRule="auto"/>
        <w:rPr>
          <w:sz w:val="20"/>
          <w:szCs w:val="20"/>
          <w:color w:val="auto"/>
        </w:rPr>
      </w:pPr>
      <w:r>
        <w:rPr>
          <w:rFonts w:ascii="Times New Roman" w:cs="Times New Roman" w:eastAsia="Times New Roman" w:hAnsi="Times New Roman"/>
          <w:sz w:val="19"/>
          <w:szCs w:val="19"/>
          <w:color w:val="auto"/>
        </w:rPr>
        <w:t xml:space="preserve">If a Trustee or any Paying Agent is unable to apply any money in accordance with Section 14.05 by reason of any order or judgment of any court or governmental authority enjoining, restraining or otherwise prohibiting such application, then the Company's obligations under this Indenture and such Securities shall be revived and reinstated as though no deposit had occurred pursuant to Section 14.02 or 14.03, as the case may be, until such time as such Trustee or Paying Agent is permitted to apply all such money in accordance with Section 14.05;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if the Company makes any payment of principal of, premium (if any) or interest (if any) on any such Security following the reinstatement of its obligations, the Company shall be subrogated to the rights of the Holders of such Securities to receive such payment from the money held by such Trustee or Paying Agent.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5">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all as of the day and year first above written.</w:t>
      </w:r>
    </w:p>
    <w:p>
      <w:pPr>
        <w:spacing w:after="0" w:line="16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CYBIN INC.</w:t>
      </w:r>
    </w:p>
    <w:p>
      <w:pPr>
        <w:spacing w:after="0" w:line="19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13970</wp:posOffset>
            </wp:positionV>
            <wp:extent cx="332676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6">
                      <a:extLst>
                        <a:ext uri="{28A0092B-C50C-407E-A947-70E740481C1C}"/>
                      </a:extLst>
                    </a:blip>
                    <a:srcRect/>
                    <a:stretch>
                      <a:fillRect/>
                    </a:stretch>
                  </pic:blipFill>
                  <pic:spPr bwMode="auto">
                    <a:xfrm>
                      <a:off x="0" y="0"/>
                      <a:ext cx="3326765" cy="7620"/>
                    </a:xfrm>
                    <a:prstGeom prst="rect">
                      <a:avLst/>
                    </a:prstGeom>
                    <a:noFill/>
                  </pic:spPr>
                </pic:pic>
              </a:graphicData>
            </a:graphic>
          </wp:anchor>
        </w:drawing>
      </w:r>
    </w:p>
    <w:p>
      <w:pPr>
        <w:spacing w:after="0" w:line="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Name:</w:t>
      </w:r>
    </w:p>
    <w:p>
      <w:pPr>
        <w:spacing w:after="0" w:line="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17780</wp:posOffset>
            </wp:positionV>
            <wp:extent cx="3326765"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7">
                      <a:extLst>
                        <a:ext uri="{28A0092B-C50C-407E-A947-70E740481C1C}"/>
                      </a:extLst>
                    </a:blip>
                    <a:srcRect/>
                    <a:stretch>
                      <a:fillRect/>
                    </a:stretch>
                  </pic:blipFill>
                  <pic:spPr bwMode="auto">
                    <a:xfrm>
                      <a:off x="0" y="0"/>
                      <a:ext cx="3326765" cy="7620"/>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-109220</wp:posOffset>
            </wp:positionV>
            <wp:extent cx="332676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8">
                      <a:extLst>
                        <a:ext uri="{28A0092B-C50C-407E-A947-70E740481C1C}"/>
                      </a:extLst>
                    </a:blip>
                    <a:srcRect/>
                    <a:stretch>
                      <a:fillRect/>
                    </a:stretch>
                  </pic:blipFill>
                  <pic:spPr bwMode="auto">
                    <a:xfrm>
                      <a:off x="0" y="0"/>
                      <a:ext cx="3326765" cy="7620"/>
                    </a:xfrm>
                    <a:prstGeom prst="rect">
                      <a:avLst/>
                    </a:prstGeom>
                    <a:noFill/>
                  </pic:spPr>
                </pic:pic>
              </a:graphicData>
            </a:graphic>
          </wp:anchor>
        </w:drawing>
      </w:r>
    </w:p>
    <w:p>
      <w:pPr>
        <w:spacing w:after="0" w:line="19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______________________,</w:t>
      </w:r>
    </w:p>
    <w:p>
      <w:pPr>
        <w:spacing w:after="0" w:line="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as U.S. Trustee</w:t>
      </w:r>
    </w:p>
    <w:p>
      <w:pPr>
        <w:spacing w:after="0" w:line="17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13970</wp:posOffset>
            </wp:positionV>
            <wp:extent cx="3326765"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9">
                      <a:extLst>
                        <a:ext uri="{28A0092B-C50C-407E-A947-70E740481C1C}"/>
                      </a:extLst>
                    </a:blip>
                    <a:srcRect/>
                    <a:stretch>
                      <a:fillRect/>
                    </a:stretch>
                  </pic:blipFill>
                  <pic:spPr bwMode="auto">
                    <a:xfrm>
                      <a:off x="0" y="0"/>
                      <a:ext cx="3326765" cy="7620"/>
                    </a:xfrm>
                    <a:prstGeom prst="rect">
                      <a:avLst/>
                    </a:prstGeom>
                    <a:noFill/>
                  </pic:spPr>
                </pic:pic>
              </a:graphicData>
            </a:graphic>
          </wp:anchor>
        </w:drawing>
      </w:r>
    </w:p>
    <w:p>
      <w:pPr>
        <w:spacing w:after="0" w:line="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Name:</w:t>
      </w:r>
    </w:p>
    <w:p>
      <w:pPr>
        <w:spacing w:after="0" w:line="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17780</wp:posOffset>
            </wp:positionV>
            <wp:extent cx="332676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0">
                      <a:extLst>
                        <a:ext uri="{28A0092B-C50C-407E-A947-70E740481C1C}"/>
                      </a:extLst>
                    </a:blip>
                    <a:srcRect/>
                    <a:stretch>
                      <a:fillRect/>
                    </a:stretch>
                  </pic:blipFill>
                  <pic:spPr bwMode="auto">
                    <a:xfrm>
                      <a:off x="0" y="0"/>
                      <a:ext cx="3326765" cy="7620"/>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-109220</wp:posOffset>
            </wp:positionV>
            <wp:extent cx="332676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1">
                      <a:extLst>
                        <a:ext uri="{28A0092B-C50C-407E-A947-70E740481C1C}"/>
                      </a:extLst>
                    </a:blip>
                    <a:srcRect/>
                    <a:stretch>
                      <a:fillRect/>
                    </a:stretch>
                  </pic:blipFill>
                  <pic:spPr bwMode="auto">
                    <a:xfrm>
                      <a:off x="0" y="0"/>
                      <a:ext cx="3326765" cy="7620"/>
                    </a:xfrm>
                    <a:prstGeom prst="rect">
                      <a:avLst/>
                    </a:prstGeom>
                    <a:noFill/>
                  </pic:spPr>
                </pic:pic>
              </a:graphicData>
            </a:graphic>
          </wp:anchor>
        </w:drawing>
      </w:r>
    </w:p>
    <w:p>
      <w:pPr>
        <w:spacing w:after="0" w:line="19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13970</wp:posOffset>
            </wp:positionV>
            <wp:extent cx="3326765"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2">
                      <a:extLst>
                        <a:ext uri="{28A0092B-C50C-407E-A947-70E740481C1C}"/>
                      </a:extLst>
                    </a:blip>
                    <a:srcRect/>
                    <a:stretch>
                      <a:fillRect/>
                    </a:stretch>
                  </pic:blipFill>
                  <pic:spPr bwMode="auto">
                    <a:xfrm>
                      <a:off x="0" y="0"/>
                      <a:ext cx="3326765" cy="7620"/>
                    </a:xfrm>
                    <a:prstGeom prst="rect">
                      <a:avLst/>
                    </a:prstGeom>
                    <a:noFill/>
                  </pic:spPr>
                </pic:pic>
              </a:graphicData>
            </a:graphic>
          </wp:anchor>
        </w:drawing>
      </w:r>
    </w:p>
    <w:p>
      <w:pPr>
        <w:spacing w:after="0" w:line="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Name:</w:t>
      </w:r>
    </w:p>
    <w:p>
      <w:pPr>
        <w:spacing w:after="0" w:line="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17780</wp:posOffset>
            </wp:positionV>
            <wp:extent cx="332676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3">
                      <a:extLst>
                        <a:ext uri="{28A0092B-C50C-407E-A947-70E740481C1C}"/>
                      </a:extLst>
                    </a:blip>
                    <a:srcRect/>
                    <a:stretch>
                      <a:fillRect/>
                    </a:stretch>
                  </pic:blipFill>
                  <pic:spPr bwMode="auto">
                    <a:xfrm>
                      <a:off x="0" y="0"/>
                      <a:ext cx="3326765" cy="7620"/>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-109220</wp:posOffset>
            </wp:positionV>
            <wp:extent cx="332676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4">
                      <a:extLst>
                        <a:ext uri="{28A0092B-C50C-407E-A947-70E740481C1C}"/>
                      </a:extLst>
                    </a:blip>
                    <a:srcRect/>
                    <a:stretch>
                      <a:fillRect/>
                    </a:stretch>
                  </pic:blipFill>
                  <pic:spPr bwMode="auto">
                    <a:xfrm>
                      <a:off x="0" y="0"/>
                      <a:ext cx="3326765" cy="7620"/>
                    </a:xfrm>
                    <a:prstGeom prst="rect">
                      <a:avLst/>
                    </a:prstGeom>
                    <a:noFill/>
                  </pic:spPr>
                </pic:pic>
              </a:graphicData>
            </a:graphic>
          </wp:anchor>
        </w:drawing>
      </w:r>
    </w:p>
    <w:p>
      <w:pPr>
        <w:spacing w:after="0" w:line="19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______________________,</w:t>
      </w:r>
    </w:p>
    <w:p>
      <w:pPr>
        <w:spacing w:after="0" w:line="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as Canadian Trustee</w:t>
      </w:r>
    </w:p>
    <w:p>
      <w:pPr>
        <w:spacing w:after="0" w:line="17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13970</wp:posOffset>
            </wp:positionV>
            <wp:extent cx="332676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5">
                      <a:extLst>
                        <a:ext uri="{28A0092B-C50C-407E-A947-70E740481C1C}"/>
                      </a:extLst>
                    </a:blip>
                    <a:srcRect/>
                    <a:stretch>
                      <a:fillRect/>
                    </a:stretch>
                  </pic:blipFill>
                  <pic:spPr bwMode="auto">
                    <a:xfrm>
                      <a:off x="0" y="0"/>
                      <a:ext cx="3326765" cy="7620"/>
                    </a:xfrm>
                    <a:prstGeom prst="rect">
                      <a:avLst/>
                    </a:prstGeom>
                    <a:noFill/>
                  </pic:spPr>
                </pic:pic>
              </a:graphicData>
            </a:graphic>
          </wp:anchor>
        </w:drawing>
      </w:r>
    </w:p>
    <w:p>
      <w:pPr>
        <w:spacing w:after="0" w:line="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Name:</w:t>
      </w:r>
    </w:p>
    <w:p>
      <w:pPr>
        <w:spacing w:after="0" w:line="5"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5"/>
          <w:szCs w:val="15"/>
          <w:color w:val="auto"/>
        </w:rPr>
        <w:t>Authorized Signing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-109220</wp:posOffset>
            </wp:positionV>
            <wp:extent cx="332676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6">
                      <a:extLst>
                        <a:ext uri="{28A0092B-C50C-407E-A947-70E740481C1C}"/>
                      </a:extLst>
                    </a:blip>
                    <a:srcRect/>
                    <a:stretch>
                      <a:fillRect/>
                    </a:stretch>
                  </pic:blipFill>
                  <pic:spPr bwMode="auto">
                    <a:xfrm>
                      <a:off x="0" y="0"/>
                      <a:ext cx="3326765" cy="7620"/>
                    </a:xfrm>
                    <a:prstGeom prst="rect">
                      <a:avLst/>
                    </a:prstGeom>
                    <a:noFill/>
                  </pic:spPr>
                </pic:pic>
              </a:graphicData>
            </a:graphic>
          </wp:anchor>
        </w:drawing>
      </w:r>
    </w:p>
    <w:p>
      <w:pPr>
        <w:spacing w:after="0" w:line="18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13970</wp:posOffset>
            </wp:positionV>
            <wp:extent cx="332676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7">
                      <a:extLst>
                        <a:ext uri="{28A0092B-C50C-407E-A947-70E740481C1C}"/>
                      </a:extLst>
                    </a:blip>
                    <a:srcRect/>
                    <a:stretch>
                      <a:fillRect/>
                    </a:stretch>
                  </pic:blipFill>
                  <pic:spPr bwMode="auto">
                    <a:xfrm>
                      <a:off x="0" y="0"/>
                      <a:ext cx="3326765" cy="7620"/>
                    </a:xfrm>
                    <a:prstGeom prst="rect">
                      <a:avLst/>
                    </a:prstGeom>
                    <a:noFill/>
                  </pic:spPr>
                </pic:pic>
              </a:graphicData>
            </a:graphic>
          </wp:anchor>
        </w:drawing>
      </w:r>
    </w:p>
    <w:p>
      <w:pPr>
        <w:spacing w:after="0" w:line="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Name:</w:t>
      </w:r>
    </w:p>
    <w:p>
      <w:pPr>
        <w:spacing w:after="0" w:line="5"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5"/>
          <w:szCs w:val="15"/>
          <w:color w:val="auto"/>
        </w:rPr>
        <w:t>Authorized Signing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-109220</wp:posOffset>
            </wp:positionV>
            <wp:extent cx="3326765"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8">
                      <a:extLst>
                        <a:ext uri="{28A0092B-C50C-407E-A947-70E740481C1C}"/>
                      </a:extLst>
                    </a:blip>
                    <a:srcRect/>
                    <a:stretch>
                      <a:fillRect/>
                    </a:stretch>
                  </pic:blipFill>
                  <pic:spPr bwMode="auto">
                    <a:xfrm>
                      <a:off x="0" y="0"/>
                      <a:ext cx="3326765" cy="7620"/>
                    </a:xfrm>
                    <a:prstGeom prst="rect">
                      <a:avLst/>
                    </a:prstGeom>
                    <a:noFill/>
                  </pic:spPr>
                </pic:pic>
              </a:graphicData>
            </a:graphic>
          </wp:anchor>
        </w:drawing>
      </w:r>
    </w:p>
    <w:p>
      <w:pPr>
        <w:spacing w:after="0" w:line="36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106045</wp:posOffset>
            </wp:positionV>
            <wp:extent cx="716978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9">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0460"/>
          </w:cols>
          <w:pgMar w:left="880" w:top="115" w:right="559" w:bottom="1440" w:gutter="0" w:footer="0" w:header="0"/>
        </w:sectPr>
      </w:pPr>
    </w:p>
    <w:bookmarkStart w:id="138" w:name="page139"/>
    <w:bookmarkEnd w:id="138"/>
    <w:p>
      <w:pPr>
        <w:ind w:left="10100"/>
        <w:spacing w:after="0"/>
        <w:rPr>
          <w:sz w:val="20"/>
          <w:szCs w:val="20"/>
          <w:color w:val="auto"/>
        </w:rPr>
      </w:pPr>
      <w:r>
        <w:rPr>
          <w:rFonts w:ascii="Times New Roman" w:cs="Times New Roman" w:eastAsia="Times New Roman" w:hAnsi="Times New Roman"/>
          <w:sz w:val="19"/>
          <w:szCs w:val="19"/>
          <w:b w:val="1"/>
          <w:bCs w:val="1"/>
          <w:color w:val="auto"/>
        </w:rPr>
        <w:t>EXHIBIT A-1</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FORM OF CERTIFICATE TO BE GIVEN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PERSON ENTITLED TO OBTAIN INTEREST PAYABLE PRIOR</w:t>
      </w:r>
    </w:p>
    <w:p>
      <w:pPr>
        <w:jc w:val="center"/>
        <w:spacing w:after="0"/>
        <w:rPr>
          <w:sz w:val="20"/>
          <w:szCs w:val="20"/>
          <w:color w:val="auto"/>
        </w:rPr>
      </w:pPr>
      <w:r>
        <w:rPr>
          <w:rFonts w:ascii="Times New Roman" w:cs="Times New Roman" w:eastAsia="Times New Roman" w:hAnsi="Times New Roman"/>
          <w:sz w:val="19"/>
          <w:szCs w:val="19"/>
          <w:color w:val="auto"/>
        </w:rPr>
        <w:t>TO THE EXCHANGE DATE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CERTIFICATE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CYBIN INC.</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_____% Notes due _________________</w:t>
      </w:r>
    </w:p>
    <w:p>
      <w:pPr>
        <w:spacing w:after="0" w:line="128" w:lineRule="exact"/>
        <w:rPr>
          <w:sz w:val="20"/>
          <w:szCs w:val="20"/>
          <w:color w:val="auto"/>
        </w:rPr>
      </w:pPr>
    </w:p>
    <w:p>
      <w:pPr>
        <w:jc w:val="both"/>
        <w:ind w:firstLine="568"/>
        <w:spacing w:after="0" w:line="235" w:lineRule="auto"/>
        <w:rPr>
          <w:sz w:val="20"/>
          <w:szCs w:val="20"/>
          <w:color w:val="auto"/>
        </w:rPr>
      </w:pPr>
      <w:r>
        <w:rPr>
          <w:rFonts w:ascii="Times New Roman" w:cs="Times New Roman" w:eastAsia="Times New Roman" w:hAnsi="Times New Roman"/>
          <w:sz w:val="19"/>
          <w:szCs w:val="19"/>
          <w:color w:val="auto"/>
        </w:rPr>
        <w:t>This is to certify that as of the date hereof, and except as set forth below, the above-captioned Securities held by you for our account (i) are owned by any person(s) that is not a citizen or resident of the United States; a corporation or partnership (including any entity treated as a corporation or partnership for United States federal income tax purposes) created or organized in or under the laws of the United States, any state thereof or the District of Columbia unless, in the case of a partnership, United States Treasury Regulations provide otherwise; any estate whose income is subject to United States federal income tax regardless of its source; or a trust if (A) a United States court can exercise primary supervision over the trust's administration and one or more United States persons are authorized to control all substantial decisions of the trust or (B) it was in existence on August 20, 1996 and has a valid election in effect under applicable United States Treasury Regulations to be treated as a United States person ("United States persons(s)"), (ii) are owned by United States person(s) that are (a) foreign branches of United States financial institutions (financial institutions, as defined in United States. United States Treasury Regulation Section 1.165-12(c)(1)(iv)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Cybin inc.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47" w:lineRule="exact"/>
        <w:rPr>
          <w:sz w:val="20"/>
          <w:szCs w:val="20"/>
          <w:color w:val="auto"/>
        </w:rPr>
      </w:pPr>
    </w:p>
    <w:p>
      <w:pPr>
        <w:jc w:val="both"/>
        <w:ind w:right="20" w:firstLine="568"/>
        <w:spacing w:after="0" w:line="262" w:lineRule="auto"/>
        <w:rPr>
          <w:sz w:val="20"/>
          <w:szCs w:val="20"/>
          <w:color w:val="auto"/>
        </w:rPr>
      </w:pPr>
      <w:r>
        <w:rPr>
          <w:rFonts w:ascii="Times New Roman" w:cs="Times New Roman" w:eastAsia="Times New Roman" w:hAnsi="Times New Roman"/>
          <w:sz w:val="19"/>
          <w:szCs w:val="19"/>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02" w:lineRule="exact"/>
        <w:rPr>
          <w:sz w:val="20"/>
          <w:szCs w:val="20"/>
          <w:color w:val="auto"/>
        </w:rPr>
      </w:pPr>
    </w:p>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We undertake to advise you promptly in writing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This certificate excepts and does not relate to U.S. $__________ of such interest in the above-captioned Securities in respect of which we</w:t>
      </w:r>
    </w:p>
    <w:p>
      <w:pPr>
        <w:spacing w:after="0" w:line="14"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9"/>
          <w:szCs w:val="19"/>
          <w:color w:val="auto"/>
        </w:rPr>
        <w:t>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0">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39" w:name="page140"/>
    <w:bookmarkEnd w:id="139"/>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Dated:__________________</w:t>
      </w:r>
    </w:p>
    <w:p>
      <w:pPr>
        <w:spacing w:after="0" w:line="14"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9"/>
          <w:szCs w:val="19"/>
          <w:color w:val="auto"/>
        </w:rPr>
        <w:t>[To be dated no earlier than the 15th day prior to (i) the Exchange Date or (ii) the relevant Interest Payment Date occurring prior to the Exchange Date, as applicable]</w:t>
      </w:r>
    </w:p>
    <w:p>
      <w:pPr>
        <w:spacing w:after="0" w:line="1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[Name of Person Making Certification]</w:t>
      </w:r>
    </w:p>
    <w:p>
      <w:pPr>
        <w:spacing w:after="0" w:line="1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13970</wp:posOffset>
            </wp:positionV>
            <wp:extent cx="332676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1">
                      <a:extLst>
                        <a:ext uri="{28A0092B-C50C-407E-A947-70E740481C1C}"/>
                      </a:extLst>
                    </a:blip>
                    <a:srcRect/>
                    <a:stretch>
                      <a:fillRect/>
                    </a:stretch>
                  </pic:blipFill>
                  <pic:spPr bwMode="auto">
                    <a:xfrm>
                      <a:off x="0" y="0"/>
                      <a:ext cx="3326765" cy="7620"/>
                    </a:xfrm>
                    <a:prstGeom prst="rect">
                      <a:avLst/>
                    </a:prstGeom>
                    <a:noFill/>
                  </pic:spPr>
                </pic:pic>
              </a:graphicData>
            </a:graphic>
          </wp:anchor>
        </w:drawing>
      </w:r>
    </w:p>
    <w:p>
      <w:pPr>
        <w:spacing w:after="0" w:line="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Name:</w:t>
      </w:r>
    </w:p>
    <w:p>
      <w:pPr>
        <w:spacing w:after="0" w:line="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17780</wp:posOffset>
            </wp:positionV>
            <wp:extent cx="3326765"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2">
                      <a:extLst>
                        <a:ext uri="{28A0092B-C50C-407E-A947-70E740481C1C}"/>
                      </a:extLst>
                    </a:blip>
                    <a:srcRect/>
                    <a:stretch>
                      <a:fillRect/>
                    </a:stretch>
                  </pic:blipFill>
                  <pic:spPr bwMode="auto">
                    <a:xfrm>
                      <a:off x="0" y="0"/>
                      <a:ext cx="3326765" cy="7620"/>
                    </a:xfrm>
                    <a:prstGeom prst="rect">
                      <a:avLst/>
                    </a:prstGeom>
                    <a:noFill/>
                  </pic:spPr>
                </pic:pic>
              </a:graphicData>
            </a:graphic>
          </wp:anchor>
        </w:drawing>
        <w:drawing>
          <wp:anchor simplePos="0" relativeHeight="251657728" behindDoc="1" locked="0" layoutInCell="0" allowOverlap="1">
            <wp:simplePos x="0" y="0"/>
            <wp:positionH relativeFrom="column">
              <wp:posOffset>3818890</wp:posOffset>
            </wp:positionH>
            <wp:positionV relativeFrom="paragraph">
              <wp:posOffset>-109220</wp:posOffset>
            </wp:positionV>
            <wp:extent cx="3326765"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3">
                      <a:extLst>
                        <a:ext uri="{28A0092B-C50C-407E-A947-70E740481C1C}"/>
                      </a:extLst>
                    </a:blip>
                    <a:srcRect/>
                    <a:stretch>
                      <a:fillRect/>
                    </a:stretch>
                  </pic:blipFill>
                  <pic:spPr bwMode="auto">
                    <a:xfrm>
                      <a:off x="0" y="0"/>
                      <a:ext cx="3326765" cy="7620"/>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4">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9"/>
          <w:szCs w:val="19"/>
          <w:b w:val="1"/>
          <w:bCs w:val="1"/>
          <w:color w:val="auto"/>
        </w:rPr>
        <w:t>EXHIBIT A-2</w:t>
      </w:r>
    </w:p>
    <w:p>
      <w:pPr>
        <w:spacing w:after="0" w:line="15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FORM OF CERTIFICATE TO BE GIVEN BY THE DEPOSITARY</w:t>
      </w:r>
    </w:p>
    <w:p>
      <w:pPr>
        <w:spacing w:after="0" w:line="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IN CONNECTION WITH THE EXCHANGE OF A PORTION OF A</w:t>
      </w:r>
    </w:p>
    <w:p>
      <w:pPr>
        <w:jc w:val="center"/>
        <w:ind w:right="-4"/>
        <w:spacing w:after="0" w:line="233" w:lineRule="auto"/>
        <w:rPr>
          <w:sz w:val="20"/>
          <w:szCs w:val="20"/>
          <w:color w:val="auto"/>
        </w:rPr>
      </w:pPr>
      <w:r>
        <w:rPr>
          <w:rFonts w:ascii="Times New Roman" w:cs="Times New Roman" w:eastAsia="Times New Roman" w:hAnsi="Times New Roman"/>
          <w:sz w:val="19"/>
          <w:szCs w:val="19"/>
          <w:color w:val="auto"/>
        </w:rPr>
        <w:t>TEMPORARY GLOBAL SECURITY OR TO OBTAIN INTEREST</w:t>
      </w:r>
    </w:p>
    <w:p>
      <w:pPr>
        <w:spacing w:after="0" w:line="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PAYABLE PRIOR TO THE EXCHANGE DATE</w:t>
      </w:r>
    </w:p>
    <w:p>
      <w:pPr>
        <w:spacing w:after="0" w:line="14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CERTIFICATE</w:t>
      </w:r>
    </w:p>
    <w:p>
      <w:pPr>
        <w:spacing w:after="0" w:line="14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CYBIN INC.</w:t>
      </w:r>
    </w:p>
    <w:p>
      <w:pPr>
        <w:spacing w:after="0" w:line="14" w:lineRule="exact"/>
        <w:rPr>
          <w:sz w:val="20"/>
          <w:szCs w:val="20"/>
          <w:color w:val="auto"/>
        </w:rPr>
      </w:pPr>
    </w:p>
    <w:p>
      <w:pPr>
        <w:ind w:left="4085"/>
        <w:spacing w:after="0"/>
        <w:rPr>
          <w:sz w:val="20"/>
          <w:szCs w:val="20"/>
          <w:color w:val="auto"/>
        </w:rPr>
      </w:pPr>
      <w:r>
        <w:rPr>
          <w:rFonts w:ascii="Times New Roman" w:cs="Times New Roman" w:eastAsia="Times New Roman" w:hAnsi="Times New Roman"/>
          <w:sz w:val="19"/>
          <w:szCs w:val="19"/>
          <w:color w:val="auto"/>
        </w:rPr>
        <w:t>_____% Notes due _________________</w:t>
      </w:r>
    </w:p>
    <w:p>
      <w:pPr>
        <w:spacing w:after="0" w:line="128" w:lineRule="exact"/>
        <w:rPr>
          <w:sz w:val="20"/>
          <w:szCs w:val="20"/>
          <w:color w:val="auto"/>
        </w:rPr>
      </w:pPr>
    </w:p>
    <w:p>
      <w:pPr>
        <w:jc w:val="both"/>
        <w:ind w:left="5" w:right="20" w:firstLine="568"/>
        <w:spacing w:after="0" w:line="254" w:lineRule="auto"/>
        <w:rPr>
          <w:sz w:val="20"/>
          <w:szCs w:val="20"/>
          <w:color w:val="auto"/>
        </w:rPr>
      </w:pPr>
      <w:r>
        <w:rPr>
          <w:rFonts w:ascii="Times New Roman" w:cs="Times New Roman" w:eastAsia="Times New Roman" w:hAnsi="Times New Roman"/>
          <w:sz w:val="18"/>
          <w:szCs w:val="18"/>
          <w:color w:val="auto"/>
        </w:rPr>
        <w:t>This is to certify that based solely on written certifications that we have received in writing or by electronic transmission from each of the persons appearing in our records as persons entitled to a portion of the principal amount set forth below (our "Member Organizations") substantially in the form attached hereto, as of the date hereof, U.S. $__________ principal amount of the above-captioned Securities (i) is owned by any</w:t>
      </w:r>
    </w:p>
    <w:p>
      <w:pPr>
        <w:spacing w:after="0" w:line="1" w:lineRule="exact"/>
        <w:rPr>
          <w:sz w:val="20"/>
          <w:szCs w:val="20"/>
          <w:color w:val="auto"/>
        </w:rPr>
      </w:pPr>
    </w:p>
    <w:p>
      <w:pPr>
        <w:jc w:val="both"/>
        <w:ind w:left="5"/>
        <w:spacing w:after="0" w:line="234" w:lineRule="auto"/>
        <w:rPr>
          <w:sz w:val="20"/>
          <w:szCs w:val="20"/>
          <w:color w:val="auto"/>
        </w:rPr>
      </w:pPr>
      <w:r>
        <w:rPr>
          <w:rFonts w:ascii="Times New Roman" w:cs="Times New Roman" w:eastAsia="Times New Roman" w:hAnsi="Times New Roman"/>
          <w:sz w:val="19"/>
          <w:szCs w:val="19"/>
          <w:color w:val="auto"/>
        </w:rPr>
        <w:t>person(s) that is not a citizen or resident of the United States; a corporation or partnership (including any entity treated as a corporation or partnership for United States federal income tax purposes) created or organized in or under the laws of the United States, any state thereof or the District of Columbia unless, in the case of a partnership, United States Treasury Regulations provide otherwise; any estate whose income is subject to United States federal income tax regardless of its source; or a trust if (A) a United States court can exercise primary supervision over the trust's administration and one or more United States persons are authorized to control all substantial decisions of the trust or (B) it was in existence on August 20, 1996 and has a valid election in effect under applicable United States Treasury Regulations to be treated as a United States person ("United States person(s)"), (ii) is owned by United States person(s) that are (a) foreign branches of United States financial institutions (financial institutions, as defined in United States Treasury Regulation Section 1.165-12(c)(1)(iv)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Cybin Inc. or its agent that such financial institution will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 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43" w:lineRule="exact"/>
        <w:rPr>
          <w:sz w:val="20"/>
          <w:szCs w:val="20"/>
          <w:color w:val="auto"/>
        </w:rPr>
      </w:pPr>
    </w:p>
    <w:p>
      <w:pPr>
        <w:jc w:val="both"/>
        <w:ind w:left="5" w:right="20" w:firstLine="568"/>
        <w:spacing w:after="0" w:line="262" w:lineRule="auto"/>
        <w:rPr>
          <w:sz w:val="20"/>
          <w:szCs w:val="20"/>
          <w:color w:val="auto"/>
        </w:rPr>
      </w:pPr>
      <w:r>
        <w:rPr>
          <w:rFonts w:ascii="Times New Roman" w:cs="Times New Roman" w:eastAsia="Times New Roman" w:hAnsi="Times New Roman"/>
          <w:sz w:val="19"/>
          <w:szCs w:val="19"/>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02" w:lineRule="exact"/>
        <w:rPr>
          <w:sz w:val="20"/>
          <w:szCs w:val="20"/>
          <w:color w:val="auto"/>
        </w:rPr>
      </w:pPr>
    </w:p>
    <w:p>
      <w:pPr>
        <w:jc w:val="both"/>
        <w:ind w:left="5" w:right="20" w:firstLine="568"/>
        <w:spacing w:after="0" w:line="244" w:lineRule="auto"/>
        <w:rPr>
          <w:sz w:val="20"/>
          <w:szCs w:val="20"/>
          <w:color w:val="auto"/>
        </w:rPr>
      </w:pPr>
      <w:r>
        <w:rPr>
          <w:rFonts w:ascii="Times New Roman" w:cs="Times New Roman" w:eastAsia="Times New Roman" w:hAnsi="Times New Roman"/>
          <w:sz w:val="19"/>
          <w:szCs w:val="19"/>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w:t>
      </w:r>
    </w:p>
    <w:p>
      <w:pPr>
        <w:spacing w:after="0" w:line="2" w:lineRule="exact"/>
        <w:rPr>
          <w:sz w:val="20"/>
          <w:szCs w:val="20"/>
          <w:color w:val="auto"/>
        </w:rPr>
      </w:pPr>
    </w:p>
    <w:p>
      <w:pPr>
        <w:jc w:val="both"/>
        <w:ind w:left="5" w:hanging="5"/>
        <w:spacing w:after="0" w:line="238" w:lineRule="auto"/>
        <w:tabs>
          <w:tab w:leader="none" w:pos="285"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2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16978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5">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5"/>
          </w:cols>
          <w:pgMar w:left="315" w:top="111" w:right="319" w:bottom="1440" w:gutter="0" w:footer="0" w:header="0"/>
        </w:sectPr>
      </w:pPr>
    </w:p>
    <w:bookmarkStart w:id="141" w:name="page142"/>
    <w:bookmarkEnd w:id="141"/>
    <w:p>
      <w:pPr>
        <w:jc w:val="both"/>
        <w:ind w:firstLine="568"/>
        <w:spacing w:after="0" w:line="248" w:lineRule="auto"/>
        <w:rPr>
          <w:sz w:val="20"/>
          <w:szCs w:val="20"/>
          <w:color w:val="auto"/>
        </w:rPr>
      </w:pPr>
      <w:r>
        <w:rPr>
          <w:rFonts w:ascii="Times New Roman" w:cs="Times New Roman" w:eastAsia="Times New Roman" w:hAnsi="Times New Roman"/>
          <w:sz w:val="19"/>
          <w:szCs w:val="19"/>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be dated as of (i) the Exchange Date or (ii) the relevant Interest Payment Date occurring prior to the Exchange Date, as applicable]</w:t>
      </w:r>
    </w:p>
    <w:p>
      <w:pPr>
        <w:spacing w:after="0" w:line="1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[INSERT NAME OF DEPOSITARY]</w:t>
      </w:r>
    </w:p>
    <w:p>
      <w:pPr>
        <w:spacing w:after="0" w:line="1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13970</wp:posOffset>
            </wp:positionV>
            <wp:extent cx="332676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6">
                      <a:extLst>
                        <a:ext uri="{28A0092B-C50C-407E-A947-70E740481C1C}"/>
                      </a:extLst>
                    </a:blip>
                    <a:srcRect/>
                    <a:stretch>
                      <a:fillRect/>
                    </a:stretch>
                  </pic:blipFill>
                  <pic:spPr bwMode="auto">
                    <a:xfrm>
                      <a:off x="0" y="0"/>
                      <a:ext cx="3326765" cy="7620"/>
                    </a:xfrm>
                    <a:prstGeom prst="rect">
                      <a:avLst/>
                    </a:prstGeom>
                    <a:noFill/>
                  </pic:spPr>
                </pic:pic>
              </a:graphicData>
            </a:graphic>
          </wp:anchor>
        </w:drawing>
      </w:r>
    </w:p>
    <w:p>
      <w:pPr>
        <w:spacing w:after="0" w:line="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Name:</w:t>
      </w:r>
    </w:p>
    <w:p>
      <w:pPr>
        <w:spacing w:after="0" w:line="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17780</wp:posOffset>
            </wp:positionV>
            <wp:extent cx="3326765"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7">
                      <a:extLst>
                        <a:ext uri="{28A0092B-C50C-407E-A947-70E740481C1C}"/>
                      </a:extLst>
                    </a:blip>
                    <a:srcRect/>
                    <a:stretch>
                      <a:fillRect/>
                    </a:stretch>
                  </pic:blipFill>
                  <pic:spPr bwMode="auto">
                    <a:xfrm>
                      <a:off x="0" y="0"/>
                      <a:ext cx="3326765" cy="7620"/>
                    </a:xfrm>
                    <a:prstGeom prst="rect">
                      <a:avLst/>
                    </a:prstGeom>
                    <a:noFill/>
                  </pic:spPr>
                </pic:pic>
              </a:graphicData>
            </a:graphic>
          </wp:anchor>
        </w:drawing>
        <w:drawing>
          <wp:anchor simplePos="0" relativeHeight="251657728" behindDoc="1" locked="0" layoutInCell="0" allowOverlap="1">
            <wp:simplePos x="0" y="0"/>
            <wp:positionH relativeFrom="column">
              <wp:posOffset>3818890</wp:posOffset>
            </wp:positionH>
            <wp:positionV relativeFrom="paragraph">
              <wp:posOffset>-109220</wp:posOffset>
            </wp:positionV>
            <wp:extent cx="332676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8">
                      <a:extLst>
                        <a:ext uri="{28A0092B-C50C-407E-A947-70E740481C1C}"/>
                      </a:extLst>
                    </a:blip>
                    <a:srcRect/>
                    <a:stretch>
                      <a:fillRect/>
                    </a:stretch>
                  </pic:blipFill>
                  <pic:spPr bwMode="auto">
                    <a:xfrm>
                      <a:off x="0" y="0"/>
                      <a:ext cx="3326765" cy="7620"/>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6978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9">
                      <a:extLst>
                        <a:ext uri="{28A0092B-C50C-407E-A947-70E740481C1C}"/>
                      </a:extLst>
                    </a:blip>
                    <a:srcRect/>
                    <a:stretch>
                      <a:fillRect/>
                    </a:stretch>
                  </pic:blipFill>
                  <pic:spPr bwMode="auto">
                    <a:xfrm>
                      <a:off x="0" y="0"/>
                      <a:ext cx="7169785" cy="4254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142" w:name="page143"/>
    <w:bookmarkEnd w:id="142"/>
    <w:p>
      <w:pPr>
        <w:ind w:left="3220"/>
        <w:spacing w:after="0"/>
        <w:rPr>
          <w:sz w:val="20"/>
          <w:szCs w:val="20"/>
          <w:color w:val="auto"/>
        </w:rPr>
      </w:pPr>
      <w:r>
        <w:rPr>
          <w:rFonts w:ascii="Arial" w:cs="Arial" w:eastAsia="Arial" w:hAnsi="Arial"/>
          <w:sz w:val="32"/>
          <w:szCs w:val="32"/>
          <w:b w:val="1"/>
          <w:bCs w:val="1"/>
          <w:color w:val="auto"/>
        </w:rPr>
        <w:t>Calculation of Filing Fee Tables</w:t>
      </w:r>
    </w:p>
    <w:p>
      <w:pPr>
        <w:spacing w:after="0" w:line="188" w:lineRule="exact"/>
        <w:rPr>
          <w:sz w:val="20"/>
          <w:szCs w:val="20"/>
          <w:color w:val="auto"/>
        </w:rPr>
      </w:pPr>
    </w:p>
    <w:p>
      <w:pPr>
        <w:ind w:left="5220"/>
        <w:spacing w:after="0"/>
        <w:rPr>
          <w:sz w:val="20"/>
          <w:szCs w:val="20"/>
          <w:color w:val="auto"/>
        </w:rPr>
      </w:pPr>
      <w:r>
        <w:rPr>
          <w:rFonts w:ascii="Arial" w:cs="Arial" w:eastAsia="Arial" w:hAnsi="Arial"/>
          <w:sz w:val="32"/>
          <w:szCs w:val="32"/>
          <w:b w:val="1"/>
          <w:bCs w:val="1"/>
          <w:color w:val="auto"/>
        </w:rPr>
        <w:t>F-10</w:t>
      </w:r>
    </w:p>
    <w:p>
      <w:pPr>
        <w:spacing w:after="0" w:line="105" w:lineRule="exact"/>
        <w:rPr>
          <w:sz w:val="20"/>
          <w:szCs w:val="20"/>
          <w:color w:val="auto"/>
        </w:rPr>
      </w:pPr>
    </w:p>
    <w:p>
      <w:pPr>
        <w:jc w:val="center"/>
        <w:ind w:right="240"/>
        <w:spacing w:after="0"/>
        <w:rPr>
          <w:sz w:val="20"/>
          <w:szCs w:val="20"/>
          <w:color w:val="auto"/>
        </w:rPr>
      </w:pPr>
      <w:r>
        <w:rPr>
          <w:rFonts w:ascii="Arial" w:cs="Arial" w:eastAsia="Arial" w:hAnsi="Arial"/>
          <w:sz w:val="32"/>
          <w:szCs w:val="32"/>
          <w:b w:val="1"/>
          <w:bCs w:val="1"/>
          <w:color w:val="auto"/>
        </w:rPr>
        <w:t>CYBIN INC.</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00" w:type="dxa"/>
            <w:vAlign w:val="bottom"/>
            <w:gridSpan w:val="2"/>
          </w:tcPr>
          <w:p>
            <w:pPr>
              <w:jc w:val="right"/>
              <w:ind w:right="40"/>
              <w:spacing w:after="0" w:line="219" w:lineRule="exact"/>
              <w:rPr>
                <w:sz w:val="20"/>
                <w:szCs w:val="20"/>
                <w:color w:val="auto"/>
              </w:rPr>
            </w:pPr>
            <w:r>
              <w:rPr>
                <w:rFonts w:ascii="MS PGothic" w:cs="MS PGothic" w:eastAsia="MS PGothic" w:hAnsi="MS PGothic"/>
                <w:sz w:val="19"/>
                <w:szCs w:val="19"/>
                <w:color w:val="auto"/>
                <w:highlight w:val="black"/>
              </w:rPr>
              <w:t>☐</w:t>
            </w:r>
            <w:r>
              <w:rPr>
                <w:rFonts w:ascii="Arial" w:cs="Arial" w:eastAsia="Arial" w:hAnsi="Arial"/>
                <w:sz w:val="19"/>
                <w:szCs w:val="19"/>
                <w:b w:val="1"/>
                <w:bCs w:val="1"/>
                <w:color w:val="auto"/>
              </w:rPr>
              <w:t>Not</w:t>
            </w:r>
          </w:p>
        </w:tc>
        <w:tc>
          <w:tcPr>
            <w:tcW w:w="0" w:type="dxa"/>
            <w:vAlign w:val="bottom"/>
          </w:tcPr>
          <w:p>
            <w:pPr>
              <w:spacing w:after="0"/>
              <w:rPr>
                <w:sz w:val="1"/>
                <w:szCs w:val="1"/>
                <w:color w:val="auto"/>
              </w:rPr>
            </w:pPr>
          </w:p>
        </w:tc>
      </w:tr>
      <w:tr>
        <w:trPr>
          <w:trHeight w:val="268"/>
        </w:trPr>
        <w:tc>
          <w:tcPr>
            <w:tcW w:w="3680" w:type="dxa"/>
            <w:vAlign w:val="bottom"/>
            <w:tcBorders>
              <w:bottom w:val="single" w:sz="8" w:color="auto"/>
            </w:tcBorders>
            <w:gridSpan w:val="8"/>
          </w:tcPr>
          <w:p>
            <w:pPr>
              <w:ind w:left="40"/>
              <w:spacing w:after="0"/>
              <w:rPr>
                <w:sz w:val="20"/>
                <w:szCs w:val="20"/>
                <w:color w:val="auto"/>
              </w:rPr>
            </w:pPr>
            <w:r>
              <w:rPr>
                <w:rFonts w:ascii="Arial" w:cs="Arial" w:eastAsia="Arial" w:hAnsi="Arial"/>
                <w:sz w:val="19"/>
                <w:szCs w:val="19"/>
                <w:b w:val="1"/>
                <w:bCs w:val="1"/>
                <w:color w:val="auto"/>
              </w:rPr>
              <w:t>Table 1: Newly Registered Securities</w:t>
            </w:r>
          </w:p>
        </w:tc>
        <w:tc>
          <w:tcPr>
            <w:tcW w:w="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9"/>
                <w:szCs w:val="19"/>
                <w:b w:val="1"/>
                <w:bCs w:val="1"/>
                <w:color w:val="auto"/>
              </w:rPr>
              <w:t>Applicable</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w w:val="97"/>
              </w:rPr>
              <w:t>Fee</w:t>
            </w:r>
          </w:p>
        </w:tc>
        <w:tc>
          <w:tcPr>
            <w:tcW w:w="40" w:type="dxa"/>
            <w:vAlign w:val="bottom"/>
          </w:tcPr>
          <w:p>
            <w:pPr>
              <w:spacing w:after="0"/>
              <w:rPr>
                <w:sz w:val="19"/>
                <w:szCs w:val="19"/>
                <w:color w:val="auto"/>
              </w:rPr>
            </w:pPr>
          </w:p>
        </w:tc>
        <w:tc>
          <w:tcPr>
            <w:tcW w:w="10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rPr>
              <w:t>Proposed</w:t>
            </w:r>
          </w:p>
        </w:tc>
        <w:tc>
          <w:tcPr>
            <w:tcW w:w="20" w:type="dxa"/>
            <w:vAlign w:val="bottom"/>
          </w:tcPr>
          <w:p>
            <w:pPr>
              <w:spacing w:after="0"/>
              <w:rPr>
                <w:sz w:val="19"/>
                <w:szCs w:val="19"/>
                <w:color w:val="auto"/>
              </w:rPr>
            </w:pPr>
          </w:p>
        </w:tc>
        <w:tc>
          <w:tcPr>
            <w:tcW w:w="154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Maximum</w:t>
            </w: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w w:val="98"/>
              </w:rPr>
              <w:t>Amount of</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40" w:type="dxa"/>
            <w:vAlign w:val="bottom"/>
            <w:tcBorders>
              <w:left w:val="single" w:sz="8" w:color="auto"/>
            </w:tcBorders>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vMerge w:val="restart"/>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w w:val="98"/>
              </w:rPr>
              <w:t>Security</w:t>
            </w:r>
          </w:p>
        </w:tc>
        <w:tc>
          <w:tcPr>
            <w:tcW w:w="40" w:type="dxa"/>
            <w:vAlign w:val="bottom"/>
          </w:tcPr>
          <w:p>
            <w:pPr>
              <w:spacing w:after="0"/>
              <w:rPr>
                <w:sz w:val="9"/>
                <w:szCs w:val="9"/>
                <w:color w:val="auto"/>
              </w:rPr>
            </w:pPr>
          </w:p>
        </w:tc>
        <w:tc>
          <w:tcPr>
            <w:tcW w:w="1420" w:type="dxa"/>
            <w:vAlign w:val="bottom"/>
            <w:vMerge w:val="restart"/>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w w:val="99"/>
              </w:rPr>
              <w:t>Security Class</w:t>
            </w:r>
          </w:p>
        </w:tc>
        <w:tc>
          <w:tcPr>
            <w:tcW w:w="20" w:type="dxa"/>
            <w:vAlign w:val="bottom"/>
          </w:tcPr>
          <w:p>
            <w:pPr>
              <w:spacing w:after="0"/>
              <w:rPr>
                <w:sz w:val="9"/>
                <w:szCs w:val="9"/>
                <w:color w:val="auto"/>
              </w:rPr>
            </w:pPr>
          </w:p>
        </w:tc>
        <w:tc>
          <w:tcPr>
            <w:tcW w:w="1040" w:type="dxa"/>
            <w:vAlign w:val="bottom"/>
            <w:vMerge w:val="restart"/>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w w:val="99"/>
              </w:rPr>
              <w:t>Calculation</w:t>
            </w:r>
          </w:p>
        </w:tc>
        <w:tc>
          <w:tcPr>
            <w:tcW w:w="40" w:type="dxa"/>
            <w:vAlign w:val="bottom"/>
          </w:tcPr>
          <w:p>
            <w:pPr>
              <w:spacing w:after="0"/>
              <w:rPr>
                <w:sz w:val="9"/>
                <w:szCs w:val="9"/>
                <w:color w:val="auto"/>
              </w:rPr>
            </w:pPr>
          </w:p>
        </w:tc>
        <w:tc>
          <w:tcPr>
            <w:tcW w:w="1080" w:type="dxa"/>
            <w:vAlign w:val="bottom"/>
            <w:vMerge w:val="restart"/>
            <w:shd w:val="clear" w:color="auto" w:fill="9ADAF6"/>
          </w:tcPr>
          <w:p>
            <w:pPr>
              <w:jc w:val="right"/>
              <w:ind w:right="85"/>
              <w:spacing w:after="0" w:line="213" w:lineRule="exact"/>
              <w:rPr>
                <w:sz w:val="20"/>
                <w:szCs w:val="20"/>
                <w:color w:val="auto"/>
              </w:rPr>
            </w:pPr>
            <w:r>
              <w:rPr>
                <w:rFonts w:ascii="Arial" w:cs="Arial" w:eastAsia="Arial" w:hAnsi="Arial"/>
                <w:sz w:val="19"/>
                <w:szCs w:val="19"/>
                <w:b w:val="1"/>
                <w:bCs w:val="1"/>
                <w:color w:val="auto"/>
              </w:rPr>
              <w:t>Amount</w:t>
            </w:r>
          </w:p>
        </w:tc>
        <w:tc>
          <w:tcPr>
            <w:tcW w:w="20" w:type="dxa"/>
            <w:vAlign w:val="bottom"/>
          </w:tcPr>
          <w:p>
            <w:pPr>
              <w:spacing w:after="0"/>
              <w:rPr>
                <w:sz w:val="9"/>
                <w:szCs w:val="9"/>
                <w:color w:val="auto"/>
              </w:rPr>
            </w:pPr>
          </w:p>
        </w:tc>
        <w:tc>
          <w:tcPr>
            <w:tcW w:w="1360" w:type="dxa"/>
            <w:vAlign w:val="bottom"/>
            <w:vMerge w:val="restart"/>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rPr>
              <w:t>Maximum</w:t>
            </w:r>
          </w:p>
        </w:tc>
        <w:tc>
          <w:tcPr>
            <w:tcW w:w="20" w:type="dxa"/>
            <w:vAlign w:val="bottom"/>
          </w:tcPr>
          <w:p>
            <w:pPr>
              <w:spacing w:after="0"/>
              <w:rPr>
                <w:sz w:val="9"/>
                <w:szCs w:val="9"/>
                <w:color w:val="auto"/>
              </w:rPr>
            </w:pPr>
          </w:p>
        </w:tc>
        <w:tc>
          <w:tcPr>
            <w:tcW w:w="15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0" w:type="dxa"/>
            <w:vAlign w:val="bottom"/>
            <w:tcBorders>
              <w:left w:val="single" w:sz="8" w:color="auto"/>
            </w:tcBorders>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vMerge w:val="restart"/>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w w:val="99"/>
              </w:rPr>
              <w:t>Aggregate</w:t>
            </w:r>
          </w:p>
        </w:tc>
        <w:tc>
          <w:tcPr>
            <w:tcW w:w="20" w:type="dxa"/>
            <w:vAlign w:val="bottom"/>
          </w:tcPr>
          <w:p>
            <w:pPr>
              <w:spacing w:after="0"/>
              <w:rPr>
                <w:sz w:val="9"/>
                <w:szCs w:val="9"/>
                <w:color w:val="auto"/>
              </w:rPr>
            </w:pPr>
          </w:p>
        </w:tc>
        <w:tc>
          <w:tcPr>
            <w:tcW w:w="920" w:type="dxa"/>
            <w:vAlign w:val="bottom"/>
            <w:vMerge w:val="restart"/>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rPr>
              <w:t>Fee Rate</w:t>
            </w:r>
          </w:p>
        </w:tc>
        <w:tc>
          <w:tcPr>
            <w:tcW w:w="20" w:type="dxa"/>
            <w:vAlign w:val="bottom"/>
          </w:tcPr>
          <w:p>
            <w:pPr>
              <w:spacing w:after="0"/>
              <w:rPr>
                <w:sz w:val="9"/>
                <w:szCs w:val="9"/>
                <w:color w:val="auto"/>
              </w:rPr>
            </w:pPr>
          </w:p>
        </w:tc>
        <w:tc>
          <w:tcPr>
            <w:tcW w:w="1460" w:type="dxa"/>
            <w:vAlign w:val="bottom"/>
            <w:vMerge w:val="restart"/>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w w:val="99"/>
              </w:rPr>
              <w:t>Registration</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0" w:type="dxa"/>
            <w:vAlign w:val="bottom"/>
            <w:tcBorders>
              <w:left w:val="single" w:sz="8" w:color="auto"/>
            </w:tcBorders>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vMerge w:val="restart"/>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w w:val="94"/>
              </w:rPr>
              <w:t>Type</w:t>
            </w:r>
          </w:p>
        </w:tc>
        <w:tc>
          <w:tcPr>
            <w:tcW w:w="40" w:type="dxa"/>
            <w:vAlign w:val="bottom"/>
          </w:tcPr>
          <w:p>
            <w:pPr>
              <w:spacing w:after="0"/>
              <w:rPr>
                <w:sz w:val="9"/>
                <w:szCs w:val="9"/>
                <w:color w:val="auto"/>
              </w:rPr>
            </w:pPr>
          </w:p>
        </w:tc>
        <w:tc>
          <w:tcPr>
            <w:tcW w:w="1420" w:type="dxa"/>
            <w:vAlign w:val="bottom"/>
            <w:vMerge w:val="restart"/>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w w:val="97"/>
              </w:rPr>
              <w:t>Title</w:t>
            </w:r>
          </w:p>
        </w:tc>
        <w:tc>
          <w:tcPr>
            <w:tcW w:w="20" w:type="dxa"/>
            <w:vAlign w:val="bottom"/>
          </w:tcPr>
          <w:p>
            <w:pPr>
              <w:spacing w:after="0"/>
              <w:rPr>
                <w:sz w:val="9"/>
                <w:szCs w:val="9"/>
                <w:color w:val="auto"/>
              </w:rPr>
            </w:pPr>
          </w:p>
        </w:tc>
        <w:tc>
          <w:tcPr>
            <w:tcW w:w="1040" w:type="dxa"/>
            <w:vAlign w:val="bottom"/>
            <w:vMerge w:val="restart"/>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w w:val="97"/>
              </w:rPr>
              <w:t>Rule or</w:t>
            </w:r>
          </w:p>
        </w:tc>
        <w:tc>
          <w:tcPr>
            <w:tcW w:w="40" w:type="dxa"/>
            <w:vAlign w:val="bottom"/>
          </w:tcPr>
          <w:p>
            <w:pPr>
              <w:spacing w:after="0"/>
              <w:rPr>
                <w:sz w:val="9"/>
                <w:szCs w:val="9"/>
                <w:color w:val="auto"/>
              </w:rPr>
            </w:pPr>
          </w:p>
        </w:tc>
        <w:tc>
          <w:tcPr>
            <w:tcW w:w="1080" w:type="dxa"/>
            <w:vAlign w:val="bottom"/>
            <w:vMerge w:val="restart"/>
            <w:shd w:val="clear" w:color="auto" w:fill="9ADAF6"/>
          </w:tcPr>
          <w:p>
            <w:pPr>
              <w:jc w:val="right"/>
              <w:spacing w:after="0" w:line="213" w:lineRule="exact"/>
              <w:rPr>
                <w:sz w:val="20"/>
                <w:szCs w:val="20"/>
                <w:color w:val="auto"/>
              </w:rPr>
            </w:pPr>
            <w:r>
              <w:rPr>
                <w:rFonts w:ascii="Arial" w:cs="Arial" w:eastAsia="Arial" w:hAnsi="Arial"/>
                <w:sz w:val="19"/>
                <w:szCs w:val="19"/>
                <w:b w:val="1"/>
                <w:bCs w:val="1"/>
                <w:color w:val="auto"/>
              </w:rPr>
              <w:t>Registered</w:t>
            </w:r>
          </w:p>
        </w:tc>
        <w:tc>
          <w:tcPr>
            <w:tcW w:w="20" w:type="dxa"/>
            <w:vAlign w:val="bottom"/>
          </w:tcPr>
          <w:p>
            <w:pPr>
              <w:spacing w:after="0"/>
              <w:rPr>
                <w:sz w:val="9"/>
                <w:szCs w:val="9"/>
                <w:color w:val="auto"/>
              </w:rPr>
            </w:pPr>
          </w:p>
        </w:tc>
        <w:tc>
          <w:tcPr>
            <w:tcW w:w="1360" w:type="dxa"/>
            <w:vAlign w:val="bottom"/>
            <w:vMerge w:val="restart"/>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w w:val="98"/>
              </w:rPr>
              <w:t>Offering Price</w:t>
            </w:r>
          </w:p>
        </w:tc>
        <w:tc>
          <w:tcPr>
            <w:tcW w:w="20" w:type="dxa"/>
            <w:vAlign w:val="bottom"/>
          </w:tcPr>
          <w:p>
            <w:pPr>
              <w:spacing w:after="0"/>
              <w:rPr>
                <w:sz w:val="9"/>
                <w:szCs w:val="9"/>
                <w:color w:val="auto"/>
              </w:rPr>
            </w:pPr>
          </w:p>
        </w:tc>
        <w:tc>
          <w:tcPr>
            <w:tcW w:w="15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0" w:type="dxa"/>
            <w:vAlign w:val="bottom"/>
            <w:tcBorders>
              <w:left w:val="single" w:sz="8" w:color="auto"/>
            </w:tcBorders>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Offering Price</w:t>
            </w:r>
          </w:p>
        </w:tc>
        <w:tc>
          <w:tcPr>
            <w:tcW w:w="20" w:type="dxa"/>
            <w:vAlign w:val="bottom"/>
          </w:tcPr>
          <w:p>
            <w:pPr>
              <w:spacing w:after="0"/>
              <w:rPr>
                <w:sz w:val="9"/>
                <w:szCs w:val="9"/>
                <w:color w:val="auto"/>
              </w:rPr>
            </w:pPr>
          </w:p>
        </w:tc>
        <w:tc>
          <w:tcPr>
            <w:tcW w:w="9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Fee</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0" w:type="dxa"/>
            <w:vAlign w:val="bottom"/>
            <w:tcBorders>
              <w:left w:val="single" w:sz="8" w:color="auto"/>
            </w:tcBorders>
          </w:tcPr>
          <w:p>
            <w:pPr>
              <w:spacing w:after="0"/>
              <w:rPr>
                <w:sz w:val="13"/>
                <w:szCs w:val="13"/>
                <w:color w:val="auto"/>
              </w:rPr>
            </w:pPr>
          </w:p>
        </w:tc>
        <w:tc>
          <w:tcPr>
            <w:tcW w:w="10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shd w:val="clear" w:color="auto" w:fill="9ADAF6"/>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w w:val="99"/>
              </w:rPr>
              <w:t>Instruction</w:t>
            </w:r>
          </w:p>
        </w:tc>
        <w:tc>
          <w:tcPr>
            <w:tcW w:w="40" w:type="dxa"/>
            <w:vAlign w:val="bottom"/>
          </w:tcPr>
          <w:p>
            <w:pPr>
              <w:spacing w:after="0"/>
              <w:rPr>
                <w:sz w:val="13"/>
                <w:szCs w:val="13"/>
                <w:color w:val="auto"/>
              </w:rPr>
            </w:pPr>
          </w:p>
        </w:tc>
        <w:tc>
          <w:tcPr>
            <w:tcW w:w="108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w w:val="98"/>
              </w:rPr>
              <w:t>Per Unit</w:t>
            </w:r>
          </w:p>
        </w:tc>
        <w:tc>
          <w:tcPr>
            <w:tcW w:w="20" w:type="dxa"/>
            <w:vAlign w:val="bottom"/>
          </w:tcPr>
          <w:p>
            <w:pPr>
              <w:spacing w:after="0"/>
              <w:rPr>
                <w:sz w:val="13"/>
                <w:szCs w:val="13"/>
                <w:color w:val="auto"/>
              </w:rPr>
            </w:pPr>
          </w:p>
        </w:tc>
        <w:tc>
          <w:tcPr>
            <w:tcW w:w="15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continue"/>
            <w:shd w:val="clear" w:color="auto" w:fill="9ADAF6"/>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0" w:type="dxa"/>
            <w:vAlign w:val="bottom"/>
            <w:tcBorders>
              <w:left w:val="single" w:sz="8" w:color="auto"/>
            </w:tcBorders>
          </w:tcPr>
          <w:p>
            <w:pPr>
              <w:spacing w:after="0"/>
              <w:rPr>
                <w:sz w:val="17"/>
                <w:szCs w:val="17"/>
                <w:color w:val="auto"/>
              </w:rPr>
            </w:pPr>
          </w:p>
        </w:tc>
        <w:tc>
          <w:tcPr>
            <w:tcW w:w="10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shd w:val="clear" w:color="auto" w:fill="E7E7E2"/>
          </w:tcPr>
          <w:p>
            <w:pPr>
              <w:jc w:val="center"/>
              <w:spacing w:after="0" w:line="201" w:lineRule="exact"/>
              <w:rPr>
                <w:sz w:val="20"/>
                <w:szCs w:val="20"/>
                <w:color w:val="auto"/>
              </w:rPr>
            </w:pPr>
            <w:r>
              <w:rPr>
                <w:rFonts w:ascii="Arial" w:cs="Arial" w:eastAsia="Arial" w:hAnsi="Arial"/>
                <w:sz w:val="19"/>
                <w:szCs w:val="19"/>
                <w:color w:val="auto"/>
                <w:w w:val="98"/>
              </w:rPr>
              <w:t>Common</w:t>
            </w: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shd w:val="clear" w:color="auto" w:fill="E7E7E2"/>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shd w:val="clear" w:color="auto" w:fill="E7E7E2"/>
          </w:tcPr>
          <w:p>
            <w:pPr>
              <w:jc w:val="center"/>
              <w:spacing w:after="0" w:line="213" w:lineRule="exact"/>
              <w:rPr>
                <w:sz w:val="20"/>
                <w:szCs w:val="20"/>
                <w:color w:val="auto"/>
              </w:rPr>
            </w:pPr>
            <w:r>
              <w:rPr>
                <w:rFonts w:ascii="Arial" w:cs="Arial" w:eastAsia="Arial" w:hAnsi="Arial"/>
                <w:sz w:val="19"/>
                <w:szCs w:val="19"/>
                <w:color w:val="auto"/>
                <w:w w:val="97"/>
              </w:rPr>
              <w:t>Shares,</w:t>
            </w:r>
          </w:p>
        </w:tc>
        <w:tc>
          <w:tcPr>
            <w:tcW w:w="20" w:type="dxa"/>
            <w:vAlign w:val="bottom"/>
          </w:tcPr>
          <w:p>
            <w:pPr>
              <w:spacing w:after="0"/>
              <w:rPr>
                <w:sz w:val="18"/>
                <w:szCs w:val="18"/>
                <w:color w:val="auto"/>
              </w:rPr>
            </w:pPr>
          </w:p>
        </w:tc>
        <w:tc>
          <w:tcPr>
            <w:tcW w:w="104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40" w:type="dxa"/>
            <w:vAlign w:val="bottom"/>
            <w:tcBorders>
              <w:left w:val="single" w:sz="8" w:color="auto"/>
            </w:tcBorders>
          </w:tcPr>
          <w:p>
            <w:pPr>
              <w:spacing w:after="0"/>
              <w:rPr>
                <w:sz w:val="24"/>
                <w:szCs w:val="24"/>
                <w:color w:val="auto"/>
              </w:rPr>
            </w:pPr>
          </w:p>
        </w:tc>
        <w:tc>
          <w:tcPr>
            <w:tcW w:w="1000" w:type="dxa"/>
            <w:vAlign w:val="bottom"/>
            <w:shd w:val="clear" w:color="auto" w:fill="E7E7E2"/>
          </w:tcPr>
          <w:p>
            <w:pPr>
              <w:jc w:val="center"/>
              <w:spacing w:after="0"/>
              <w:rPr>
                <w:sz w:val="20"/>
                <w:szCs w:val="20"/>
                <w:color w:val="auto"/>
              </w:rPr>
            </w:pPr>
            <w:r>
              <w:rPr>
                <w:rFonts w:ascii="Arial" w:cs="Arial" w:eastAsia="Arial" w:hAnsi="Arial"/>
                <w:sz w:val="19"/>
                <w:szCs w:val="19"/>
                <w:color w:val="auto"/>
              </w:rPr>
              <w:t>Fees to be</w:t>
            </w:r>
          </w:p>
        </w:tc>
        <w:tc>
          <w:tcPr>
            <w:tcW w:w="20" w:type="dxa"/>
            <w:vAlign w:val="bottom"/>
          </w:tcPr>
          <w:p>
            <w:pPr>
              <w:spacing w:after="0"/>
              <w:rPr>
                <w:sz w:val="24"/>
                <w:szCs w:val="24"/>
                <w:color w:val="auto"/>
              </w:rPr>
            </w:pPr>
          </w:p>
        </w:tc>
        <w:tc>
          <w:tcPr>
            <w:tcW w:w="180" w:type="dxa"/>
            <w:vAlign w:val="bottom"/>
            <w:shd w:val="clear" w:color="auto" w:fill="E7E7E2"/>
          </w:tcPr>
          <w:p>
            <w:pPr>
              <w:jc w:val="right"/>
              <w:spacing w:after="0"/>
              <w:rPr>
                <w:sz w:val="20"/>
                <w:szCs w:val="20"/>
                <w:color w:val="auto"/>
              </w:rPr>
            </w:pPr>
            <w:r>
              <w:rPr>
                <w:rFonts w:ascii="Arial" w:cs="Arial" w:eastAsia="Arial" w:hAnsi="Arial"/>
                <w:sz w:val="19"/>
                <w:szCs w:val="19"/>
                <w:color w:val="auto"/>
              </w:rPr>
              <w:t>1</w:t>
            </w:r>
          </w:p>
        </w:tc>
        <w:tc>
          <w:tcPr>
            <w:tcW w:w="20" w:type="dxa"/>
            <w:vAlign w:val="bottom"/>
          </w:tcPr>
          <w:p>
            <w:pPr>
              <w:spacing w:after="0"/>
              <w:rPr>
                <w:sz w:val="24"/>
                <w:szCs w:val="24"/>
                <w:color w:val="auto"/>
              </w:rPr>
            </w:pPr>
          </w:p>
        </w:tc>
        <w:tc>
          <w:tcPr>
            <w:tcW w:w="960" w:type="dxa"/>
            <w:vAlign w:val="bottom"/>
            <w:shd w:val="clear" w:color="auto" w:fill="E7E7E2"/>
          </w:tcPr>
          <w:p>
            <w:pPr>
              <w:jc w:val="center"/>
              <w:spacing w:after="0"/>
              <w:rPr>
                <w:sz w:val="20"/>
                <w:szCs w:val="20"/>
                <w:color w:val="auto"/>
              </w:rPr>
            </w:pPr>
            <w:r>
              <w:rPr>
                <w:rFonts w:ascii="Arial" w:cs="Arial" w:eastAsia="Arial" w:hAnsi="Arial"/>
                <w:sz w:val="19"/>
                <w:szCs w:val="19"/>
                <w:color w:val="auto"/>
              </w:rPr>
              <w:t>Other</w:t>
            </w:r>
          </w:p>
        </w:tc>
        <w:tc>
          <w:tcPr>
            <w:tcW w:w="40" w:type="dxa"/>
            <w:vAlign w:val="bottom"/>
          </w:tcPr>
          <w:p>
            <w:pPr>
              <w:spacing w:after="0"/>
              <w:rPr>
                <w:sz w:val="24"/>
                <w:szCs w:val="24"/>
                <w:color w:val="auto"/>
              </w:rPr>
            </w:pPr>
          </w:p>
        </w:tc>
        <w:tc>
          <w:tcPr>
            <w:tcW w:w="1420" w:type="dxa"/>
            <w:vAlign w:val="bottom"/>
            <w:shd w:val="clear" w:color="auto" w:fill="E7E7E2"/>
          </w:tcPr>
          <w:p>
            <w:pPr>
              <w:jc w:val="center"/>
              <w:spacing w:after="0"/>
              <w:rPr>
                <w:sz w:val="20"/>
                <w:szCs w:val="20"/>
                <w:color w:val="auto"/>
              </w:rPr>
            </w:pPr>
            <w:r>
              <w:rPr>
                <w:rFonts w:ascii="Arial" w:cs="Arial" w:eastAsia="Arial" w:hAnsi="Arial"/>
                <w:sz w:val="19"/>
                <w:szCs w:val="19"/>
                <w:color w:val="auto"/>
                <w:w w:val="99"/>
              </w:rPr>
              <w:t>Warrants, Units,</w:t>
            </w:r>
          </w:p>
        </w:tc>
        <w:tc>
          <w:tcPr>
            <w:tcW w:w="20" w:type="dxa"/>
            <w:vAlign w:val="bottom"/>
          </w:tcPr>
          <w:p>
            <w:pPr>
              <w:spacing w:after="0"/>
              <w:rPr>
                <w:sz w:val="24"/>
                <w:szCs w:val="24"/>
                <w:color w:val="auto"/>
              </w:rPr>
            </w:pPr>
          </w:p>
        </w:tc>
        <w:tc>
          <w:tcPr>
            <w:tcW w:w="1040" w:type="dxa"/>
            <w:vAlign w:val="bottom"/>
            <w:shd w:val="clear" w:color="auto" w:fill="E7E7E2"/>
          </w:tcPr>
          <w:p>
            <w:pPr>
              <w:jc w:val="center"/>
              <w:spacing w:after="0"/>
              <w:rPr>
                <w:sz w:val="20"/>
                <w:szCs w:val="20"/>
                <w:color w:val="auto"/>
              </w:rPr>
            </w:pPr>
            <w:r>
              <w:rPr>
                <w:rFonts w:ascii="Arial" w:cs="Arial" w:eastAsia="Arial" w:hAnsi="Arial"/>
                <w:sz w:val="19"/>
                <w:szCs w:val="19"/>
                <w:color w:val="auto"/>
              </w:rPr>
              <w:t>457(o)</w:t>
            </w:r>
          </w:p>
        </w:tc>
        <w:tc>
          <w:tcPr>
            <w:tcW w:w="40" w:type="dxa"/>
            <w:vAlign w:val="bottom"/>
          </w:tcPr>
          <w:p>
            <w:pPr>
              <w:spacing w:after="0"/>
              <w:rPr>
                <w:sz w:val="24"/>
                <w:szCs w:val="24"/>
                <w:color w:val="auto"/>
              </w:rPr>
            </w:pPr>
          </w:p>
        </w:tc>
        <w:tc>
          <w:tcPr>
            <w:tcW w:w="1080" w:type="dxa"/>
            <w:vAlign w:val="bottom"/>
            <w:shd w:val="clear" w:color="auto" w:fill="E7E7E2"/>
          </w:tcPr>
          <w:p>
            <w:pPr>
              <w:jc w:val="right"/>
              <w:spacing w:after="0"/>
              <w:rPr>
                <w:sz w:val="20"/>
                <w:szCs w:val="20"/>
                <w:color w:val="auto"/>
              </w:rPr>
            </w:pPr>
            <w:r>
              <w:rPr>
                <w:rFonts w:ascii="Arial" w:cs="Arial" w:eastAsia="Arial" w:hAnsi="Arial"/>
                <w:sz w:val="19"/>
                <w:szCs w:val="19"/>
                <w:color w:val="auto"/>
                <w:w w:val="98"/>
              </w:rPr>
              <w:t>656,508,629</w:t>
            </w:r>
          </w:p>
        </w:tc>
        <w:tc>
          <w:tcPr>
            <w:tcW w:w="20" w:type="dxa"/>
            <w:vAlign w:val="bottom"/>
          </w:tcPr>
          <w:p>
            <w:pPr>
              <w:spacing w:after="0"/>
              <w:rPr>
                <w:sz w:val="24"/>
                <w:szCs w:val="24"/>
                <w:color w:val="auto"/>
              </w:rPr>
            </w:pPr>
          </w:p>
        </w:tc>
        <w:tc>
          <w:tcPr>
            <w:tcW w:w="1360" w:type="dxa"/>
            <w:vAlign w:val="bottom"/>
            <w:shd w:val="clear" w:color="auto" w:fill="E7E7E2"/>
          </w:tcPr>
          <w:p>
            <w:pPr>
              <w:jc w:val="right"/>
              <w:spacing w:after="0"/>
              <w:rPr>
                <w:sz w:val="20"/>
                <w:szCs w:val="20"/>
                <w:color w:val="auto"/>
              </w:rPr>
            </w:pPr>
            <w:r>
              <w:rPr>
                <w:rFonts w:ascii="Arial" w:cs="Arial" w:eastAsia="Arial" w:hAnsi="Arial"/>
                <w:sz w:val="19"/>
                <w:szCs w:val="19"/>
                <w:color w:val="auto"/>
              </w:rPr>
              <w:t>$ 1.00</w:t>
            </w:r>
          </w:p>
        </w:tc>
        <w:tc>
          <w:tcPr>
            <w:tcW w:w="20" w:type="dxa"/>
            <w:vAlign w:val="bottom"/>
          </w:tcPr>
          <w:p>
            <w:pPr>
              <w:spacing w:after="0"/>
              <w:rPr>
                <w:sz w:val="24"/>
                <w:szCs w:val="24"/>
                <w:color w:val="auto"/>
              </w:rPr>
            </w:pPr>
          </w:p>
        </w:tc>
        <w:tc>
          <w:tcPr>
            <w:tcW w:w="1540" w:type="dxa"/>
            <w:vAlign w:val="bottom"/>
            <w:shd w:val="clear" w:color="auto" w:fill="E7E7E2"/>
          </w:tcPr>
          <w:p>
            <w:pPr>
              <w:jc w:val="center"/>
              <w:spacing w:after="0"/>
              <w:rPr>
                <w:sz w:val="20"/>
                <w:szCs w:val="20"/>
                <w:color w:val="auto"/>
              </w:rPr>
            </w:pPr>
            <w:r>
              <w:rPr>
                <w:rFonts w:ascii="Arial" w:cs="Arial" w:eastAsia="Arial" w:hAnsi="Arial"/>
                <w:sz w:val="19"/>
                <w:szCs w:val="19"/>
                <w:color w:val="auto"/>
              </w:rPr>
              <w:t>$ 656,508,629.00</w:t>
            </w:r>
          </w:p>
        </w:tc>
        <w:tc>
          <w:tcPr>
            <w:tcW w:w="20" w:type="dxa"/>
            <w:vAlign w:val="bottom"/>
          </w:tcPr>
          <w:p>
            <w:pPr>
              <w:spacing w:after="0"/>
              <w:rPr>
                <w:sz w:val="24"/>
                <w:szCs w:val="24"/>
                <w:color w:val="auto"/>
              </w:rPr>
            </w:pPr>
          </w:p>
        </w:tc>
        <w:tc>
          <w:tcPr>
            <w:tcW w:w="920" w:type="dxa"/>
            <w:vAlign w:val="bottom"/>
            <w:shd w:val="clear" w:color="auto" w:fill="E7E7E2"/>
          </w:tcPr>
          <w:p>
            <w:pPr>
              <w:jc w:val="right"/>
              <w:spacing w:after="0"/>
              <w:rPr>
                <w:sz w:val="20"/>
                <w:szCs w:val="20"/>
                <w:color w:val="auto"/>
              </w:rPr>
            </w:pPr>
            <w:r>
              <w:rPr>
                <w:rFonts w:ascii="Arial" w:cs="Arial" w:eastAsia="Arial" w:hAnsi="Arial"/>
                <w:sz w:val="19"/>
                <w:szCs w:val="19"/>
                <w:color w:val="auto"/>
                <w:w w:val="97"/>
              </w:rPr>
              <w:t>0.0001381</w:t>
            </w:r>
          </w:p>
        </w:tc>
        <w:tc>
          <w:tcPr>
            <w:tcW w:w="20" w:type="dxa"/>
            <w:vAlign w:val="bottom"/>
          </w:tcPr>
          <w:p>
            <w:pPr>
              <w:spacing w:after="0"/>
              <w:rPr>
                <w:sz w:val="24"/>
                <w:szCs w:val="24"/>
                <w:color w:val="auto"/>
              </w:rPr>
            </w:pPr>
          </w:p>
        </w:tc>
        <w:tc>
          <w:tcPr>
            <w:tcW w:w="1460" w:type="dxa"/>
            <w:vAlign w:val="bottom"/>
            <w:shd w:val="clear" w:color="auto" w:fill="E7E7E2"/>
          </w:tcPr>
          <w:p>
            <w:pPr>
              <w:jc w:val="right"/>
              <w:spacing w:after="0"/>
              <w:rPr>
                <w:sz w:val="20"/>
                <w:szCs w:val="20"/>
                <w:color w:val="auto"/>
              </w:rPr>
            </w:pPr>
            <w:r>
              <w:rPr>
                <w:rFonts w:ascii="Arial" w:cs="Arial" w:eastAsia="Arial" w:hAnsi="Arial"/>
                <w:sz w:val="19"/>
                <w:szCs w:val="19"/>
                <w:color w:val="auto"/>
              </w:rPr>
              <w:t>$ 90,663.84</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0" w:type="dxa"/>
            <w:vAlign w:val="bottom"/>
            <w:tcBorders>
              <w:left w:val="single" w:sz="8" w:color="auto"/>
            </w:tcBorders>
          </w:tcPr>
          <w:p>
            <w:pPr>
              <w:spacing w:after="0"/>
              <w:rPr>
                <w:sz w:val="11"/>
                <w:szCs w:val="11"/>
                <w:color w:val="auto"/>
              </w:rPr>
            </w:pPr>
          </w:p>
        </w:tc>
        <w:tc>
          <w:tcPr>
            <w:tcW w:w="1000" w:type="dxa"/>
            <w:vAlign w:val="bottom"/>
            <w:shd w:val="clear" w:color="auto" w:fill="E7E7E2"/>
          </w:tcPr>
          <w:p>
            <w:pPr>
              <w:jc w:val="center"/>
              <w:spacing w:after="0" w:line="130" w:lineRule="exact"/>
              <w:rPr>
                <w:sz w:val="20"/>
                <w:szCs w:val="20"/>
                <w:color w:val="auto"/>
              </w:rPr>
            </w:pPr>
            <w:r>
              <w:rPr>
                <w:rFonts w:ascii="Arial" w:cs="Arial" w:eastAsia="Arial" w:hAnsi="Arial"/>
                <w:sz w:val="15"/>
                <w:szCs w:val="15"/>
                <w:color w:val="auto"/>
              </w:rPr>
              <w:t>Paid</w:t>
            </w:r>
          </w:p>
        </w:tc>
        <w:tc>
          <w:tcPr>
            <w:tcW w:w="20" w:type="dxa"/>
            <w:vAlign w:val="bottom"/>
          </w:tcPr>
          <w:p>
            <w:pPr>
              <w:spacing w:after="0"/>
              <w:rPr>
                <w:sz w:val="11"/>
                <w:szCs w:val="11"/>
                <w:color w:val="auto"/>
              </w:rPr>
            </w:pPr>
          </w:p>
        </w:tc>
        <w:tc>
          <w:tcPr>
            <w:tcW w:w="1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shd w:val="clear" w:color="auto" w:fill="E7E7E2"/>
          </w:tcPr>
          <w:p>
            <w:pPr>
              <w:jc w:val="center"/>
              <w:spacing w:after="0" w:line="130" w:lineRule="exact"/>
              <w:rPr>
                <w:sz w:val="20"/>
                <w:szCs w:val="20"/>
                <w:color w:val="auto"/>
              </w:rPr>
            </w:pPr>
            <w:r>
              <w:rPr>
                <w:rFonts w:ascii="Arial" w:cs="Arial" w:eastAsia="Arial" w:hAnsi="Arial"/>
                <w:sz w:val="15"/>
                <w:szCs w:val="15"/>
                <w:color w:val="auto"/>
              </w:rPr>
              <w:t>Debt Securities</w:t>
            </w: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shd w:val="clear" w:color="auto" w:fill="E7E7E2"/>
          </w:tcPr>
          <w:p>
            <w:pPr>
              <w:jc w:val="center"/>
              <w:spacing w:after="0" w:line="213" w:lineRule="exact"/>
              <w:rPr>
                <w:sz w:val="20"/>
                <w:szCs w:val="20"/>
                <w:color w:val="auto"/>
              </w:rPr>
            </w:pPr>
            <w:r>
              <w:rPr>
                <w:rFonts w:ascii="Arial" w:cs="Arial" w:eastAsia="Arial" w:hAnsi="Arial"/>
                <w:sz w:val="19"/>
                <w:szCs w:val="19"/>
                <w:color w:val="auto"/>
                <w:w w:val="99"/>
              </w:rPr>
              <w:t>Subscription</w:t>
            </w:r>
          </w:p>
        </w:tc>
        <w:tc>
          <w:tcPr>
            <w:tcW w:w="20" w:type="dxa"/>
            <w:vAlign w:val="bottom"/>
          </w:tcPr>
          <w:p>
            <w:pPr>
              <w:spacing w:after="0"/>
              <w:rPr>
                <w:sz w:val="18"/>
                <w:szCs w:val="18"/>
                <w:color w:val="auto"/>
              </w:rPr>
            </w:pPr>
          </w:p>
        </w:tc>
        <w:tc>
          <w:tcPr>
            <w:tcW w:w="104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100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shd w:val="clear" w:color="auto" w:fill="E7E7E2"/>
          </w:tcPr>
          <w:p>
            <w:pPr>
              <w:jc w:val="center"/>
              <w:spacing w:after="0"/>
              <w:rPr>
                <w:sz w:val="20"/>
                <w:szCs w:val="20"/>
                <w:color w:val="auto"/>
              </w:rPr>
            </w:pPr>
            <w:r>
              <w:rPr>
                <w:rFonts w:ascii="Arial" w:cs="Arial" w:eastAsia="Arial" w:hAnsi="Arial"/>
                <w:sz w:val="19"/>
                <w:szCs w:val="19"/>
                <w:color w:val="auto"/>
              </w:rPr>
              <w:t>Receipts</w:t>
            </w:r>
          </w:p>
        </w:tc>
        <w:tc>
          <w:tcPr>
            <w:tcW w:w="20" w:type="dxa"/>
            <w:vAlign w:val="bottom"/>
          </w:tcPr>
          <w:p>
            <w:pPr>
              <w:spacing w:after="0"/>
              <w:rPr>
                <w:sz w:val="21"/>
                <w:szCs w:val="21"/>
                <w:color w:val="auto"/>
              </w:rPr>
            </w:pPr>
          </w:p>
        </w:tc>
        <w:tc>
          <w:tcPr>
            <w:tcW w:w="10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0" w:type="dxa"/>
            <w:vAlign w:val="bottom"/>
            <w:tcBorders>
              <w:left w:val="single" w:sz="8" w:color="auto"/>
            </w:tcBorders>
          </w:tcPr>
          <w:p>
            <w:pPr>
              <w:spacing w:after="0"/>
              <w:rPr>
                <w:sz w:val="17"/>
                <w:szCs w:val="17"/>
                <w:color w:val="auto"/>
              </w:rPr>
            </w:pPr>
          </w:p>
        </w:tc>
        <w:tc>
          <w:tcPr>
            <w:tcW w:w="1000" w:type="dxa"/>
            <w:vAlign w:val="bottom"/>
            <w:shd w:val="clear" w:color="auto" w:fill="E7E7E2"/>
          </w:tcPr>
          <w:p>
            <w:pPr>
              <w:jc w:val="center"/>
              <w:spacing w:after="0" w:line="201" w:lineRule="exact"/>
              <w:rPr>
                <w:sz w:val="20"/>
                <w:szCs w:val="20"/>
                <w:color w:val="auto"/>
              </w:rPr>
            </w:pPr>
            <w:r>
              <w:rPr>
                <w:rFonts w:ascii="Arial" w:cs="Arial" w:eastAsia="Arial" w:hAnsi="Arial"/>
                <w:sz w:val="19"/>
                <w:szCs w:val="19"/>
                <w:color w:val="auto"/>
                <w:w w:val="99"/>
              </w:rPr>
              <w:t>Fees</w:t>
            </w:r>
          </w:p>
        </w:tc>
        <w:tc>
          <w:tcPr>
            <w:tcW w:w="20" w:type="dxa"/>
            <w:vAlign w:val="bottom"/>
          </w:tcPr>
          <w:p>
            <w:pPr>
              <w:spacing w:after="0"/>
              <w:rPr>
                <w:sz w:val="17"/>
                <w:szCs w:val="17"/>
                <w:color w:val="auto"/>
              </w:rPr>
            </w:pPr>
          </w:p>
        </w:tc>
        <w:tc>
          <w:tcPr>
            <w:tcW w:w="1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shd w:val="clear" w:color="auto" w:fill="E7E7E2"/>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000" w:type="dxa"/>
            <w:vAlign w:val="bottom"/>
            <w:shd w:val="clear" w:color="auto" w:fill="E7E7E2"/>
          </w:tcPr>
          <w:p>
            <w:pPr>
              <w:jc w:val="center"/>
              <w:spacing w:after="0" w:line="213" w:lineRule="exact"/>
              <w:rPr>
                <w:sz w:val="20"/>
                <w:szCs w:val="20"/>
                <w:color w:val="auto"/>
              </w:rPr>
            </w:pPr>
            <w:r>
              <w:rPr>
                <w:rFonts w:ascii="Arial" w:cs="Arial" w:eastAsia="Arial" w:hAnsi="Arial"/>
                <w:sz w:val="19"/>
                <w:szCs w:val="19"/>
                <w:color w:val="auto"/>
                <w:w w:val="98"/>
              </w:rPr>
              <w:t>Previously</w:t>
            </w:r>
          </w:p>
        </w:tc>
        <w:tc>
          <w:tcPr>
            <w:tcW w:w="20" w:type="dxa"/>
            <w:vAlign w:val="bottom"/>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1000" w:type="dxa"/>
            <w:vAlign w:val="bottom"/>
            <w:shd w:val="clear" w:color="auto" w:fill="E7E7E2"/>
          </w:tcPr>
          <w:p>
            <w:pPr>
              <w:jc w:val="center"/>
              <w:spacing w:after="0"/>
              <w:rPr>
                <w:sz w:val="20"/>
                <w:szCs w:val="20"/>
                <w:color w:val="auto"/>
              </w:rPr>
            </w:pPr>
            <w:r>
              <w:rPr>
                <w:rFonts w:ascii="Arial" w:cs="Arial" w:eastAsia="Arial" w:hAnsi="Arial"/>
                <w:sz w:val="19"/>
                <w:szCs w:val="19"/>
                <w:color w:val="auto"/>
                <w:w w:val="99"/>
              </w:rPr>
              <w:t>Paid</w:t>
            </w:r>
          </w:p>
        </w:tc>
        <w:tc>
          <w:tcPr>
            <w:tcW w:w="20" w:type="dxa"/>
            <w:vAlign w:val="bottom"/>
          </w:tcPr>
          <w:p>
            <w:pPr>
              <w:spacing w:after="0"/>
              <w:rPr>
                <w:sz w:val="21"/>
                <w:szCs w:val="21"/>
                <w:color w:val="auto"/>
              </w:rPr>
            </w:pPr>
          </w:p>
        </w:tc>
        <w:tc>
          <w:tcPr>
            <w:tcW w:w="1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0" w:type="dxa"/>
            <w:vAlign w:val="bottom"/>
            <w:tcBorders>
              <w:left w:val="single" w:sz="8" w:color="auto"/>
            </w:tcBorders>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60" w:type="dxa"/>
            <w:vAlign w:val="bottom"/>
            <w:gridSpan w:val="3"/>
          </w:tcPr>
          <w:p>
            <w:pPr>
              <w:jc w:val="right"/>
              <w:spacing w:after="0"/>
              <w:rPr>
                <w:sz w:val="20"/>
                <w:szCs w:val="20"/>
                <w:color w:val="auto"/>
              </w:rPr>
            </w:pPr>
            <w:r>
              <w:rPr>
                <w:rFonts w:ascii="Arial" w:cs="Arial" w:eastAsia="Arial" w:hAnsi="Arial"/>
                <w:sz w:val="19"/>
                <w:szCs w:val="19"/>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gridSpan w:val="2"/>
          </w:tcPr>
          <w:p>
            <w:pPr>
              <w:jc w:val="center"/>
              <w:spacing w:after="0"/>
              <w:rPr>
                <w:sz w:val="20"/>
                <w:szCs w:val="20"/>
                <w:color w:val="auto"/>
              </w:rPr>
            </w:pPr>
            <w:r>
              <w:rPr>
                <w:rFonts w:ascii="Arial" w:cs="Arial" w:eastAsia="Arial" w:hAnsi="Arial"/>
                <w:sz w:val="19"/>
                <w:szCs w:val="19"/>
                <w:color w:val="auto"/>
              </w:rPr>
              <w:t>$ 656,508,629.00</w:t>
            </w: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80" w:type="dxa"/>
            <w:vAlign w:val="bottom"/>
            <w:gridSpan w:val="2"/>
          </w:tcPr>
          <w:p>
            <w:pPr>
              <w:jc w:val="right"/>
              <w:spacing w:after="0"/>
              <w:rPr>
                <w:sz w:val="20"/>
                <w:szCs w:val="20"/>
                <w:color w:val="auto"/>
              </w:rPr>
            </w:pPr>
            <w:r>
              <w:rPr>
                <w:rFonts w:ascii="Arial" w:cs="Arial" w:eastAsia="Arial" w:hAnsi="Arial"/>
                <w:sz w:val="19"/>
                <w:szCs w:val="19"/>
                <w:color w:val="auto"/>
              </w:rPr>
              <w:t>$ 90,663.84</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0" w:type="dxa"/>
            <w:vAlign w:val="bottom"/>
            <w:tcBorders>
              <w:left w:val="single" w:sz="8" w:color="auto"/>
            </w:tcBorders>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0" w:type="dxa"/>
            <w:vAlign w:val="bottom"/>
            <w:gridSpan w:val="5"/>
          </w:tcPr>
          <w:p>
            <w:pPr>
              <w:jc w:val="right"/>
              <w:spacing w:after="0"/>
              <w:rPr>
                <w:sz w:val="20"/>
                <w:szCs w:val="20"/>
                <w:color w:val="auto"/>
              </w:rPr>
            </w:pPr>
            <w:r>
              <w:rPr>
                <w:rFonts w:ascii="Arial" w:cs="Arial" w:eastAsia="Arial" w:hAnsi="Arial"/>
                <w:sz w:val="19"/>
                <w:szCs w:val="19"/>
                <w:color w:val="auto"/>
              </w:rPr>
              <w:t>Total Fees Previously Paid:</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80" w:type="dxa"/>
            <w:vAlign w:val="bottom"/>
            <w:gridSpan w:val="2"/>
          </w:tcPr>
          <w:p>
            <w:pPr>
              <w:jc w:val="right"/>
              <w:spacing w:after="0"/>
              <w:rPr>
                <w:sz w:val="20"/>
                <w:szCs w:val="20"/>
                <w:color w:val="auto"/>
              </w:rPr>
            </w:pPr>
            <w:r>
              <w:rPr>
                <w:rFonts w:ascii="Arial" w:cs="Arial" w:eastAsia="Arial" w:hAnsi="Arial"/>
                <w:sz w:val="19"/>
                <w:szCs w:val="19"/>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0" w:type="dxa"/>
            <w:vAlign w:val="bottom"/>
            <w:tcBorders>
              <w:left w:val="single" w:sz="8" w:color="auto"/>
            </w:tcBorders>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60" w:type="dxa"/>
            <w:vAlign w:val="bottom"/>
            <w:gridSpan w:val="3"/>
          </w:tcPr>
          <w:p>
            <w:pPr>
              <w:jc w:val="right"/>
              <w:spacing w:after="0"/>
              <w:rPr>
                <w:sz w:val="20"/>
                <w:szCs w:val="20"/>
                <w:color w:val="auto"/>
              </w:rPr>
            </w:pPr>
            <w:r>
              <w:rPr>
                <w:rFonts w:ascii="Arial" w:cs="Arial" w:eastAsia="Arial" w:hAnsi="Arial"/>
                <w:sz w:val="19"/>
                <w:szCs w:val="19"/>
                <w:color w:val="auto"/>
              </w:rPr>
              <w:t>Total Fee Offsets: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80" w:type="dxa"/>
            <w:vAlign w:val="bottom"/>
            <w:gridSpan w:val="2"/>
          </w:tcPr>
          <w:p>
            <w:pPr>
              <w:jc w:val="right"/>
              <w:spacing w:after="0"/>
              <w:rPr>
                <w:sz w:val="20"/>
                <w:szCs w:val="20"/>
                <w:color w:val="auto"/>
              </w:rPr>
            </w:pPr>
            <w:r>
              <w:rPr>
                <w:rFonts w:ascii="Arial" w:cs="Arial" w:eastAsia="Arial" w:hAnsi="Arial"/>
                <w:sz w:val="19"/>
                <w:szCs w:val="19"/>
                <w:color w:val="auto"/>
              </w:rPr>
              <w:t>$ 22,729.68</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0" w:type="dxa"/>
            <w:vAlign w:val="bottom"/>
            <w:tcBorders>
              <w:left w:val="single" w:sz="8" w:color="auto"/>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Net Fee Due:</w:t>
            </w: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$ 67,934.16</w:t>
            </w:r>
          </w:p>
        </w:tc>
        <w:tc>
          <w:tcPr>
            <w:tcW w:w="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Offering Note</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2"/>
          <w:szCs w:val="12"/>
          <w:color w:val="auto"/>
        </w:rPr>
        <w:t>1</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9"/>
          <w:szCs w:val="19"/>
          <w:color w:val="auto"/>
        </w:rPr>
        <w:t>There are being registered under this Registration Statement such indeterminate number of common shares, warrants, units, debt</w:t>
      </w:r>
    </w:p>
    <w:p>
      <w:pPr>
        <w:spacing w:after="0" w:line="7" w:lineRule="exact"/>
        <w:rPr>
          <w:sz w:val="20"/>
          <w:szCs w:val="20"/>
          <w:color w:val="auto"/>
        </w:rPr>
      </w:pPr>
    </w:p>
    <w:p>
      <w:pPr>
        <w:ind w:left="240"/>
        <w:spacing w:after="0"/>
        <w:rPr>
          <w:sz w:val="20"/>
          <w:szCs w:val="20"/>
          <w:color w:val="auto"/>
        </w:rPr>
      </w:pPr>
      <w:r>
        <w:rPr>
          <w:rFonts w:ascii="Arial" w:cs="Arial" w:eastAsia="Arial" w:hAnsi="Arial"/>
          <w:sz w:val="19"/>
          <w:szCs w:val="19"/>
          <w:color w:val="auto"/>
        </w:rPr>
        <w:t>securities and subscription receipts of the Registrant, and a combination of such securities, separately or as units, as may be sold</w:t>
      </w:r>
    </w:p>
    <w:p>
      <w:pPr>
        <w:ind w:left="240"/>
        <w:spacing w:after="0" w:line="233" w:lineRule="auto"/>
        <w:rPr>
          <w:sz w:val="20"/>
          <w:szCs w:val="20"/>
          <w:color w:val="auto"/>
        </w:rPr>
      </w:pPr>
      <w:r>
        <w:rPr>
          <w:rFonts w:ascii="Arial" w:cs="Arial" w:eastAsia="Arial" w:hAnsi="Arial"/>
          <w:sz w:val="19"/>
          <w:szCs w:val="19"/>
          <w:color w:val="auto"/>
        </w:rPr>
        <w:t>by the Registrant from time to time, which collectively shall have an aggregate initial offering price not to exceed</w:t>
      </w:r>
    </w:p>
    <w:p>
      <w:pPr>
        <w:ind w:left="240"/>
        <w:spacing w:after="0" w:line="234" w:lineRule="auto"/>
        <w:rPr>
          <w:sz w:val="20"/>
          <w:szCs w:val="20"/>
          <w:color w:val="auto"/>
        </w:rPr>
      </w:pPr>
      <w:r>
        <w:rPr>
          <w:rFonts w:ascii="Arial" w:cs="Arial" w:eastAsia="Arial" w:hAnsi="Arial"/>
          <w:sz w:val="19"/>
          <w:szCs w:val="19"/>
          <w:color w:val="auto"/>
        </w:rPr>
        <w:t>US$1,234,209,379.99 (converted from CAD$1,700,000,000 at an exchange rate of US$1.00 = CAD$1.3774, which was the daily</w:t>
      </w:r>
    </w:p>
    <w:p>
      <w:pPr>
        <w:ind w:left="240"/>
        <w:spacing w:after="0" w:line="234" w:lineRule="auto"/>
        <w:rPr>
          <w:sz w:val="20"/>
          <w:szCs w:val="20"/>
          <w:color w:val="auto"/>
        </w:rPr>
      </w:pPr>
      <w:r>
        <w:rPr>
          <w:rFonts w:ascii="Arial" w:cs="Arial" w:eastAsia="Arial" w:hAnsi="Arial"/>
          <w:sz w:val="19"/>
          <w:szCs w:val="19"/>
          <w:color w:val="auto"/>
        </w:rPr>
        <w:t>average exchange rate reported by the Bank of Canada on December 18, 2025). The securities registered hereunder also include</w:t>
      </w:r>
    </w:p>
    <w:p>
      <w:pPr>
        <w:ind w:left="240"/>
        <w:spacing w:after="0" w:line="234" w:lineRule="auto"/>
        <w:rPr>
          <w:sz w:val="20"/>
          <w:szCs w:val="20"/>
          <w:color w:val="auto"/>
        </w:rPr>
      </w:pPr>
      <w:r>
        <w:rPr>
          <w:rFonts w:ascii="Arial" w:cs="Arial" w:eastAsia="Arial" w:hAnsi="Arial"/>
          <w:sz w:val="19"/>
          <w:szCs w:val="19"/>
          <w:color w:val="auto"/>
        </w:rPr>
        <w:t>such indeterminate number of each class of identified securities as may be issued upon conversion, exercise or exchange of any</w:t>
      </w:r>
    </w:p>
    <w:p>
      <w:pPr>
        <w:ind w:left="240"/>
        <w:spacing w:after="0" w:line="234" w:lineRule="auto"/>
        <w:rPr>
          <w:sz w:val="20"/>
          <w:szCs w:val="20"/>
          <w:color w:val="auto"/>
        </w:rPr>
      </w:pPr>
      <w:r>
        <w:rPr>
          <w:rFonts w:ascii="Arial" w:cs="Arial" w:eastAsia="Arial" w:hAnsi="Arial"/>
          <w:sz w:val="19"/>
          <w:szCs w:val="19"/>
          <w:color w:val="auto"/>
        </w:rPr>
        <w:t>other securities that provide for such conversion into, exercise for or exchange into such securities. Separate consideration may or</w:t>
      </w:r>
    </w:p>
    <w:p>
      <w:pPr>
        <w:ind w:left="240"/>
        <w:spacing w:after="0" w:line="234" w:lineRule="auto"/>
        <w:rPr>
          <w:sz w:val="20"/>
          <w:szCs w:val="20"/>
          <w:color w:val="auto"/>
        </w:rPr>
      </w:pPr>
      <w:r>
        <w:rPr>
          <w:rFonts w:ascii="Arial" w:cs="Arial" w:eastAsia="Arial" w:hAnsi="Arial"/>
          <w:sz w:val="19"/>
          <w:szCs w:val="19"/>
          <w:color w:val="auto"/>
        </w:rPr>
        <w:t>may not be received for securities that are issuable on exercise, conversion or exchange of other securities. In addition, pursuant to</w:t>
      </w:r>
    </w:p>
    <w:p>
      <w:pPr>
        <w:ind w:left="240"/>
        <w:spacing w:after="0" w:line="233" w:lineRule="auto"/>
        <w:rPr>
          <w:sz w:val="20"/>
          <w:szCs w:val="20"/>
          <w:color w:val="auto"/>
        </w:rPr>
      </w:pPr>
      <w:r>
        <w:rPr>
          <w:rFonts w:ascii="Arial" w:cs="Arial" w:eastAsia="Arial" w:hAnsi="Arial"/>
          <w:sz w:val="19"/>
          <w:szCs w:val="19"/>
          <w:color w:val="auto"/>
        </w:rPr>
        <w:t>Rule 416 under the Securities Act of 1933, as amended (the "Securities Act"), the common shares being registered hereunder</w:t>
      </w:r>
    </w:p>
    <w:p>
      <w:pPr>
        <w:ind w:left="240"/>
        <w:spacing w:after="0" w:line="234" w:lineRule="auto"/>
        <w:rPr>
          <w:sz w:val="20"/>
          <w:szCs w:val="20"/>
          <w:color w:val="auto"/>
        </w:rPr>
      </w:pPr>
      <w:r>
        <w:rPr>
          <w:rFonts w:ascii="Arial" w:cs="Arial" w:eastAsia="Arial" w:hAnsi="Arial"/>
          <w:sz w:val="19"/>
          <w:szCs w:val="19"/>
          <w:color w:val="auto"/>
        </w:rPr>
        <w:t>include such indeterminate number of common shares as may be issuable with respect to the common shares being registered</w:t>
      </w:r>
    </w:p>
    <w:p>
      <w:pPr>
        <w:ind w:left="240"/>
        <w:spacing w:after="0" w:line="234" w:lineRule="auto"/>
        <w:rPr>
          <w:sz w:val="20"/>
          <w:szCs w:val="20"/>
          <w:color w:val="auto"/>
        </w:rPr>
      </w:pPr>
      <w:r>
        <w:rPr>
          <w:rFonts w:ascii="Arial" w:cs="Arial" w:eastAsia="Arial" w:hAnsi="Arial"/>
          <w:sz w:val="19"/>
          <w:szCs w:val="19"/>
          <w:color w:val="auto"/>
        </w:rPr>
        <w:t>hereunder as a result of stock splits, stock dividends, distributions or similar transactions. The proposed maximum initial offering</w:t>
      </w:r>
    </w:p>
    <w:p>
      <w:pPr>
        <w:ind w:left="240"/>
        <w:spacing w:after="0" w:line="234" w:lineRule="auto"/>
        <w:rPr>
          <w:sz w:val="20"/>
          <w:szCs w:val="20"/>
          <w:color w:val="auto"/>
        </w:rPr>
      </w:pPr>
      <w:r>
        <w:rPr>
          <w:rFonts w:ascii="Arial" w:cs="Arial" w:eastAsia="Arial" w:hAnsi="Arial"/>
          <w:sz w:val="19"/>
          <w:szCs w:val="19"/>
          <w:color w:val="auto"/>
        </w:rPr>
        <w:t>price per security will be determined, from time to time, by the Registrant in connection with the sale of the securities under this</w:t>
      </w:r>
    </w:p>
    <w:p>
      <w:pPr>
        <w:ind w:left="240"/>
        <w:spacing w:after="0"/>
        <w:rPr>
          <w:sz w:val="20"/>
          <w:szCs w:val="20"/>
          <w:color w:val="auto"/>
        </w:rPr>
      </w:pPr>
      <w:r>
        <w:rPr>
          <w:rFonts w:ascii="Arial" w:cs="Arial" w:eastAsia="Arial" w:hAnsi="Arial"/>
          <w:sz w:val="19"/>
          <w:szCs w:val="19"/>
          <w:color w:val="auto"/>
        </w:rPr>
        <w:t>Registration Statement.</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9"/>
          <w:szCs w:val="19"/>
          <w:color w:val="auto"/>
        </w:rPr>
        <w:t>Estimated solely for the purpose of calculating the amount of the registration fee pursuant to Rule 457(o) of the Securities Act.</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9"/>
          <w:szCs w:val="19"/>
          <w:color w:val="auto"/>
        </w:rPr>
        <w:t>This Registration Statement relates to an aggregate of US$1,234,209,379.99 of securities (converted from CAD$1,700,000,000 at</w:t>
      </w:r>
    </w:p>
    <w:p>
      <w:pPr>
        <w:spacing w:after="0" w:line="7" w:lineRule="exact"/>
        <w:rPr>
          <w:sz w:val="20"/>
          <w:szCs w:val="20"/>
          <w:color w:val="auto"/>
        </w:rPr>
      </w:pPr>
    </w:p>
    <w:p>
      <w:pPr>
        <w:ind w:left="240"/>
        <w:spacing w:after="0"/>
        <w:rPr>
          <w:sz w:val="20"/>
          <w:szCs w:val="20"/>
          <w:color w:val="auto"/>
        </w:rPr>
      </w:pPr>
      <w:r>
        <w:rPr>
          <w:rFonts w:ascii="Arial" w:cs="Arial" w:eastAsia="Arial" w:hAnsi="Arial"/>
          <w:sz w:val="19"/>
          <w:szCs w:val="19"/>
          <w:color w:val="auto"/>
        </w:rPr>
        <w:t>an exchange rate of US$1.00 = CAD$1.3774, which was the daily average exchange rate reported by the Bank of Canada on</w:t>
      </w:r>
    </w:p>
    <w:p>
      <w:pPr>
        <w:ind w:left="240"/>
        <w:spacing w:after="0" w:line="233" w:lineRule="auto"/>
        <w:rPr>
          <w:sz w:val="20"/>
          <w:szCs w:val="20"/>
          <w:color w:val="auto"/>
        </w:rPr>
      </w:pPr>
      <w:r>
        <w:rPr>
          <w:rFonts w:ascii="Arial" w:cs="Arial" w:eastAsia="Arial" w:hAnsi="Arial"/>
          <w:sz w:val="19"/>
          <w:szCs w:val="19"/>
          <w:color w:val="auto"/>
        </w:rPr>
        <w:t>December 18, 2025), including, pursuant to Rule 429 under the Securities Act, US$577,700,751.01 (converted from</w:t>
      </w:r>
    </w:p>
    <w:p>
      <w:pPr>
        <w:ind w:left="240"/>
        <w:spacing w:after="0" w:line="234" w:lineRule="auto"/>
        <w:rPr>
          <w:sz w:val="20"/>
          <w:szCs w:val="20"/>
          <w:color w:val="auto"/>
        </w:rPr>
      </w:pPr>
      <w:r>
        <w:rPr>
          <w:rFonts w:ascii="Arial" w:cs="Arial" w:eastAsia="Arial" w:hAnsi="Arial"/>
          <w:sz w:val="19"/>
          <w:szCs w:val="19"/>
          <w:color w:val="auto"/>
        </w:rPr>
        <w:t>CAD$800,000,000 at an exchange rate of US$1.00 = CAD$1.3848, which was the daily average exchange rate reported by the</w:t>
      </w:r>
    </w:p>
    <w:p>
      <w:pPr>
        <w:ind w:left="240"/>
        <w:spacing w:after="0" w:line="234" w:lineRule="auto"/>
        <w:rPr>
          <w:sz w:val="20"/>
          <w:szCs w:val="20"/>
          <w:color w:val="auto"/>
        </w:rPr>
      </w:pPr>
      <w:r>
        <w:rPr>
          <w:rFonts w:ascii="Arial" w:cs="Arial" w:eastAsia="Arial" w:hAnsi="Arial"/>
          <w:sz w:val="19"/>
          <w:szCs w:val="19"/>
          <w:color w:val="auto"/>
        </w:rPr>
        <w:t>Bank of Canada on September 12, 2025) of securities that were previously registered under the Registrant's Registration</w:t>
      </w:r>
    </w:p>
    <w:p>
      <w:pPr>
        <w:ind w:left="240"/>
        <w:spacing w:after="0" w:line="234" w:lineRule="auto"/>
        <w:rPr>
          <w:sz w:val="20"/>
          <w:szCs w:val="20"/>
          <w:color w:val="auto"/>
        </w:rPr>
      </w:pPr>
      <w:r>
        <w:rPr>
          <w:rFonts w:ascii="Arial" w:cs="Arial" w:eastAsia="Arial" w:hAnsi="Arial"/>
          <w:sz w:val="19"/>
          <w:szCs w:val="19"/>
          <w:color w:val="auto"/>
        </w:rPr>
        <w:t>Statement on Form F-10 (File No. 333-289139), initially filed on July 31, 2025, as amended on September 17, 2025 and which</w:t>
      </w:r>
    </w:p>
    <w:p>
      <w:pPr>
        <w:ind w:left="240"/>
        <w:spacing w:after="0"/>
        <w:rPr>
          <w:sz w:val="20"/>
          <w:szCs w:val="20"/>
          <w:color w:val="auto"/>
        </w:rPr>
      </w:pPr>
      <w:r>
        <w:rPr>
          <w:rFonts w:ascii="Arial" w:cs="Arial" w:eastAsia="Arial" w:hAnsi="Arial"/>
          <w:sz w:val="19"/>
          <w:szCs w:val="19"/>
          <w:color w:val="auto"/>
        </w:rPr>
        <w:t>became effective on September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77470</wp:posOffset>
            </wp:positionV>
            <wp:extent cx="7129780" cy="406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0">
                      <a:extLst>
                        <a:ext uri="{28A0092B-C50C-407E-A947-70E740481C1C}"/>
                      </a:extLst>
                    </a:blip>
                    <a:srcRect/>
                    <a:stretch>
                      <a:fillRect/>
                    </a:stretch>
                  </pic:blipFill>
                  <pic:spPr bwMode="auto">
                    <a:xfrm>
                      <a:off x="0" y="0"/>
                      <a:ext cx="7129780" cy="4064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4220" w:type="dxa"/>
            <w:vAlign w:val="bottom"/>
            <w:tcBorders>
              <w:bottom w:val="single" w:sz="8" w:color="auto"/>
            </w:tcBorders>
            <w:gridSpan w:val="12"/>
          </w:tcPr>
          <w:p>
            <w:pPr>
              <w:ind w:left="40"/>
              <w:spacing w:after="0"/>
              <w:rPr>
                <w:sz w:val="20"/>
                <w:szCs w:val="20"/>
                <w:color w:val="auto"/>
              </w:rPr>
            </w:pPr>
            <w:r>
              <w:rPr>
                <w:rFonts w:ascii="Arial" w:cs="Arial" w:eastAsia="Arial" w:hAnsi="Arial"/>
                <w:sz w:val="19"/>
                <w:szCs w:val="19"/>
                <w:b w:val="1"/>
                <w:bCs w:val="1"/>
                <w:color w:val="auto"/>
              </w:rPr>
              <w:t>Table 2: Fee Offset Claims and Sources</w:t>
            </w: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ind w:left="380"/>
              <w:spacing w:after="0" w:line="219" w:lineRule="exact"/>
              <w:rPr>
                <w:sz w:val="20"/>
                <w:szCs w:val="20"/>
                <w:color w:val="auto"/>
              </w:rPr>
            </w:pPr>
            <w:r>
              <w:rPr>
                <w:rFonts w:ascii="MS PGothic" w:cs="MS PGothic" w:eastAsia="MS PGothic" w:hAnsi="MS PGothic"/>
                <w:sz w:val="19"/>
                <w:szCs w:val="19"/>
                <w:color w:val="auto"/>
                <w:highlight w:val="black"/>
              </w:rPr>
              <w:t>☐</w:t>
            </w:r>
            <w:r>
              <w:rPr>
                <w:rFonts w:ascii="Arial" w:cs="Arial" w:eastAsia="Arial" w:hAnsi="Arial"/>
                <w:sz w:val="19"/>
                <w:szCs w:val="19"/>
                <w:b w:val="1"/>
                <w:bCs w:val="1"/>
                <w:color w:val="auto"/>
              </w:rPr>
              <w:t>Not Applicable</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rPr>
              <w:t>Unsold</w:t>
            </w: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w w:val="98"/>
              </w:rPr>
              <w:t>Security</w:t>
            </w:r>
          </w:p>
        </w:tc>
        <w:tc>
          <w:tcPr>
            <w:tcW w:w="20" w:type="dxa"/>
            <w:vAlign w:val="bottom"/>
          </w:tcPr>
          <w:p>
            <w:pPr>
              <w:spacing w:after="0"/>
              <w:rPr>
                <w:sz w:val="18"/>
                <w:szCs w:val="18"/>
                <w:color w:val="auto"/>
              </w:rPr>
            </w:pPr>
          </w:p>
        </w:tc>
        <w:tc>
          <w:tcPr>
            <w:tcW w:w="1040" w:type="dxa"/>
            <w:vAlign w:val="bottom"/>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rPr>
              <w:t>Security</w:t>
            </w:r>
          </w:p>
        </w:tc>
        <w:tc>
          <w:tcPr>
            <w:tcW w:w="20" w:type="dxa"/>
            <w:vAlign w:val="bottom"/>
          </w:tcPr>
          <w:p>
            <w:pPr>
              <w:spacing w:after="0"/>
              <w:rPr>
                <w:sz w:val="18"/>
                <w:szCs w:val="18"/>
                <w:color w:val="auto"/>
              </w:rPr>
            </w:pPr>
          </w:p>
        </w:tc>
        <w:tc>
          <w:tcPr>
            <w:tcW w:w="1040" w:type="dxa"/>
            <w:vAlign w:val="bottom"/>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w w:val="99"/>
              </w:rPr>
              <w:t>Unsold</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w w:val="99"/>
              </w:rPr>
              <w:t>Aggregate</w:t>
            </w: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40" w:type="dxa"/>
            <w:vAlign w:val="bottom"/>
          </w:tcPr>
          <w:p>
            <w:pPr>
              <w:spacing w:after="0"/>
              <w:rPr>
                <w:sz w:val="24"/>
                <w:szCs w:val="24"/>
                <w:color w:val="auto"/>
              </w:rPr>
            </w:pPr>
          </w:p>
        </w:tc>
        <w:tc>
          <w:tcPr>
            <w:tcW w:w="7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w w:val="99"/>
              </w:rPr>
              <w:t>Registrant</w:t>
            </w:r>
          </w:p>
        </w:tc>
        <w:tc>
          <w:tcPr>
            <w:tcW w:w="20" w:type="dxa"/>
            <w:vAlign w:val="bottom"/>
          </w:tcPr>
          <w:p>
            <w:pPr>
              <w:spacing w:after="0"/>
              <w:rPr>
                <w:sz w:val="24"/>
                <w:szCs w:val="24"/>
                <w:color w:val="auto"/>
              </w:rPr>
            </w:pPr>
          </w:p>
        </w:tc>
        <w:tc>
          <w:tcPr>
            <w:tcW w:w="54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w w:val="96"/>
              </w:rPr>
              <w:t>Form</w:t>
            </w:r>
          </w:p>
        </w:tc>
        <w:tc>
          <w:tcPr>
            <w:tcW w:w="20" w:type="dxa"/>
            <w:vAlign w:val="bottom"/>
          </w:tcPr>
          <w:p>
            <w:pPr>
              <w:spacing w:after="0"/>
              <w:rPr>
                <w:sz w:val="24"/>
                <w:szCs w:val="24"/>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File</w:t>
            </w:r>
          </w:p>
        </w:tc>
        <w:tc>
          <w:tcPr>
            <w:tcW w:w="20" w:type="dxa"/>
            <w:vAlign w:val="bottom"/>
          </w:tcPr>
          <w:p>
            <w:pPr>
              <w:spacing w:after="0"/>
              <w:rPr>
                <w:sz w:val="24"/>
                <w:szCs w:val="24"/>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w w:val="96"/>
              </w:rPr>
              <w:t>Initial</w:t>
            </w:r>
          </w:p>
        </w:tc>
        <w:tc>
          <w:tcPr>
            <w:tcW w:w="40" w:type="dxa"/>
            <w:vAlign w:val="bottom"/>
          </w:tcPr>
          <w:p>
            <w:pPr>
              <w:spacing w:after="0"/>
              <w:rPr>
                <w:sz w:val="24"/>
                <w:szCs w:val="24"/>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w w:val="98"/>
              </w:rPr>
              <w:t>Filing</w:t>
            </w:r>
          </w:p>
        </w:tc>
        <w:tc>
          <w:tcPr>
            <w:tcW w:w="20" w:type="dxa"/>
            <w:vAlign w:val="bottom"/>
          </w:tcPr>
          <w:p>
            <w:pPr>
              <w:spacing w:after="0"/>
              <w:rPr>
                <w:sz w:val="24"/>
                <w:szCs w:val="24"/>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w w:val="97"/>
              </w:rPr>
              <w:t>Fee</w:t>
            </w:r>
          </w:p>
        </w:tc>
        <w:tc>
          <w:tcPr>
            <w:tcW w:w="20" w:type="dxa"/>
            <w:vAlign w:val="bottom"/>
          </w:tcPr>
          <w:p>
            <w:pPr>
              <w:spacing w:after="0"/>
              <w:rPr>
                <w:sz w:val="24"/>
                <w:szCs w:val="24"/>
                <w:color w:val="auto"/>
              </w:rPr>
            </w:pPr>
          </w:p>
        </w:tc>
        <w:tc>
          <w:tcPr>
            <w:tcW w:w="104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w w:val="99"/>
              </w:rPr>
              <w:t>Type</w:t>
            </w:r>
          </w:p>
        </w:tc>
        <w:tc>
          <w:tcPr>
            <w:tcW w:w="20" w:type="dxa"/>
            <w:vAlign w:val="bottom"/>
          </w:tcPr>
          <w:p>
            <w:pPr>
              <w:spacing w:after="0"/>
              <w:rPr>
                <w:sz w:val="24"/>
                <w:szCs w:val="24"/>
                <w:color w:val="auto"/>
              </w:rPr>
            </w:pPr>
          </w:p>
        </w:tc>
        <w:tc>
          <w:tcPr>
            <w:tcW w:w="104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rPr>
              <w:t>Title</w:t>
            </w:r>
          </w:p>
        </w:tc>
        <w:tc>
          <w:tcPr>
            <w:tcW w:w="20" w:type="dxa"/>
            <w:vAlign w:val="bottom"/>
          </w:tcPr>
          <w:p>
            <w:pPr>
              <w:spacing w:after="0"/>
              <w:rPr>
                <w:sz w:val="24"/>
                <w:szCs w:val="24"/>
                <w:color w:val="auto"/>
              </w:rPr>
            </w:pPr>
          </w:p>
        </w:tc>
        <w:tc>
          <w:tcPr>
            <w:tcW w:w="104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w w:val="99"/>
              </w:rPr>
              <w:t>Securities</w:t>
            </w:r>
          </w:p>
        </w:tc>
        <w:tc>
          <w:tcPr>
            <w:tcW w:w="20" w:type="dxa"/>
            <w:vAlign w:val="bottom"/>
          </w:tcPr>
          <w:p>
            <w:pPr>
              <w:spacing w:after="0"/>
              <w:rPr>
                <w:sz w:val="24"/>
                <w:szCs w:val="24"/>
                <w:color w:val="auto"/>
              </w:rPr>
            </w:pPr>
          </w:p>
        </w:tc>
        <w:tc>
          <w:tcPr>
            <w:tcW w:w="106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rPr>
              <w:t>Offering</w:t>
            </w:r>
          </w:p>
        </w:tc>
        <w:tc>
          <w:tcPr>
            <w:tcW w:w="20" w:type="dxa"/>
            <w:vAlign w:val="bottom"/>
          </w:tcPr>
          <w:p>
            <w:pPr>
              <w:spacing w:after="0"/>
              <w:rPr>
                <w:sz w:val="24"/>
                <w:szCs w:val="24"/>
                <w:color w:val="auto"/>
              </w:rPr>
            </w:pPr>
          </w:p>
        </w:tc>
        <w:tc>
          <w:tcPr>
            <w:tcW w:w="86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w w:val="99"/>
              </w:rPr>
              <w:t>Fee Paid</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w w:val="99"/>
              </w:rPr>
              <w:t>or Filer</w:t>
            </w:r>
          </w:p>
        </w:tc>
        <w:tc>
          <w:tcPr>
            <w:tcW w:w="20" w:type="dxa"/>
            <w:vAlign w:val="bottom"/>
          </w:tcPr>
          <w:p>
            <w:pPr>
              <w:spacing w:after="0"/>
              <w:rPr>
                <w:sz w:val="11"/>
                <w:szCs w:val="11"/>
                <w:color w:val="auto"/>
              </w:rPr>
            </w:pPr>
          </w:p>
        </w:tc>
        <w:tc>
          <w:tcPr>
            <w:tcW w:w="54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or</w:t>
            </w:r>
          </w:p>
        </w:tc>
        <w:tc>
          <w:tcPr>
            <w:tcW w:w="20" w:type="dxa"/>
            <w:vAlign w:val="bottom"/>
          </w:tcPr>
          <w:p>
            <w:pPr>
              <w:spacing w:after="0"/>
              <w:rPr>
                <w:sz w:val="11"/>
                <w:szCs w:val="11"/>
                <w:color w:val="auto"/>
              </w:rPr>
            </w:pPr>
          </w:p>
        </w:tc>
        <w:tc>
          <w:tcPr>
            <w:tcW w:w="7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1"/>
                <w:szCs w:val="11"/>
                <w:color w:val="auto"/>
              </w:rPr>
            </w:pPr>
          </w:p>
        </w:tc>
        <w:tc>
          <w:tcPr>
            <w:tcW w:w="9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w w:val="98"/>
              </w:rPr>
              <w:t>Offset</w:t>
            </w:r>
          </w:p>
        </w:tc>
        <w:tc>
          <w:tcPr>
            <w:tcW w:w="20" w:type="dxa"/>
            <w:vAlign w:val="bottom"/>
          </w:tcPr>
          <w:p>
            <w:pPr>
              <w:spacing w:after="0"/>
              <w:rPr>
                <w:sz w:val="11"/>
                <w:szCs w:val="11"/>
                <w:color w:val="auto"/>
              </w:rPr>
            </w:pPr>
          </w:p>
        </w:tc>
        <w:tc>
          <w:tcPr>
            <w:tcW w:w="104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Associated</w:t>
            </w:r>
          </w:p>
        </w:tc>
        <w:tc>
          <w:tcPr>
            <w:tcW w:w="20" w:type="dxa"/>
            <w:vAlign w:val="bottom"/>
          </w:tcPr>
          <w:p>
            <w:pPr>
              <w:spacing w:after="0"/>
              <w:rPr>
                <w:sz w:val="11"/>
                <w:szCs w:val="11"/>
                <w:color w:val="auto"/>
              </w:rPr>
            </w:pPr>
          </w:p>
        </w:tc>
        <w:tc>
          <w:tcPr>
            <w:tcW w:w="104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Associated</w:t>
            </w:r>
          </w:p>
        </w:tc>
        <w:tc>
          <w:tcPr>
            <w:tcW w:w="20" w:type="dxa"/>
            <w:vAlign w:val="bottom"/>
          </w:tcPr>
          <w:p>
            <w:pPr>
              <w:spacing w:after="0"/>
              <w:rPr>
                <w:sz w:val="11"/>
                <w:szCs w:val="11"/>
                <w:color w:val="auto"/>
              </w:rPr>
            </w:pPr>
          </w:p>
        </w:tc>
        <w:tc>
          <w:tcPr>
            <w:tcW w:w="104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Associated</w:t>
            </w:r>
          </w:p>
        </w:tc>
        <w:tc>
          <w:tcPr>
            <w:tcW w:w="20" w:type="dxa"/>
            <w:vAlign w:val="bottom"/>
          </w:tcPr>
          <w:p>
            <w:pPr>
              <w:spacing w:after="0"/>
              <w:rPr>
                <w:sz w:val="11"/>
                <w:szCs w:val="11"/>
                <w:color w:val="auto"/>
              </w:rPr>
            </w:pPr>
          </w:p>
        </w:tc>
        <w:tc>
          <w:tcPr>
            <w:tcW w:w="106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Amount</w:t>
            </w:r>
          </w:p>
        </w:tc>
        <w:tc>
          <w:tcPr>
            <w:tcW w:w="20" w:type="dxa"/>
            <w:vAlign w:val="bottom"/>
          </w:tcPr>
          <w:p>
            <w:pPr>
              <w:spacing w:after="0"/>
              <w:rPr>
                <w:sz w:val="11"/>
                <w:szCs w:val="11"/>
                <w:color w:val="auto"/>
              </w:rPr>
            </w:pPr>
          </w:p>
        </w:tc>
        <w:tc>
          <w:tcPr>
            <w:tcW w:w="86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with Fee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vMerge w:val="continue"/>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jc w:val="center"/>
              <w:spacing w:after="0" w:line="189" w:lineRule="exact"/>
              <w:rPr>
                <w:sz w:val="20"/>
                <w:szCs w:val="20"/>
                <w:color w:val="auto"/>
              </w:rPr>
            </w:pPr>
            <w:r>
              <w:rPr>
                <w:rFonts w:ascii="Arial" w:cs="Arial" w:eastAsia="Arial" w:hAnsi="Arial"/>
                <w:sz w:val="19"/>
                <w:szCs w:val="19"/>
                <w:b w:val="1"/>
                <w:bCs w:val="1"/>
                <w:color w:val="auto"/>
                <w:w w:val="98"/>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9"/>
                <w:szCs w:val="19"/>
                <w:b w:val="1"/>
                <w:bCs w:val="1"/>
                <w:color w:val="auto"/>
                <w:w w:val="97"/>
              </w:rPr>
              <w:t>Number</w:t>
            </w:r>
          </w:p>
        </w:tc>
        <w:tc>
          <w:tcPr>
            <w:tcW w:w="20" w:type="dxa"/>
            <w:vAlign w:val="bottom"/>
          </w:tcPr>
          <w:p>
            <w:pPr>
              <w:spacing w:after="0"/>
              <w:rPr>
                <w:sz w:val="16"/>
                <w:szCs w:val="16"/>
                <w:color w:val="auto"/>
              </w:rPr>
            </w:pPr>
          </w:p>
        </w:tc>
        <w:tc>
          <w:tcPr>
            <w:tcW w:w="980" w:type="dxa"/>
            <w:vAlign w:val="bottom"/>
            <w:vMerge w:val="continue"/>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shd w:val="clear" w:color="auto" w:fill="9ADAF6"/>
          </w:tcPr>
          <w:p>
            <w:pPr>
              <w:jc w:val="center"/>
              <w:spacing w:after="0" w:line="189" w:lineRule="exact"/>
              <w:rPr>
                <w:sz w:val="20"/>
                <w:szCs w:val="20"/>
                <w:color w:val="auto"/>
              </w:rPr>
            </w:pPr>
            <w:r>
              <w:rPr>
                <w:rFonts w:ascii="Arial" w:cs="Arial" w:eastAsia="Arial" w:hAnsi="Arial"/>
                <w:sz w:val="19"/>
                <w:szCs w:val="19"/>
                <w:b w:val="1"/>
                <w:bCs w:val="1"/>
                <w:color w:val="auto"/>
                <w:w w:val="97"/>
              </w:rPr>
              <w:t>Date</w:t>
            </w:r>
          </w:p>
        </w:tc>
        <w:tc>
          <w:tcPr>
            <w:tcW w:w="20" w:type="dxa"/>
            <w:vAlign w:val="bottom"/>
          </w:tcPr>
          <w:p>
            <w:pPr>
              <w:spacing w:after="0"/>
              <w:rPr>
                <w:sz w:val="16"/>
                <w:szCs w:val="16"/>
                <w:color w:val="auto"/>
              </w:rPr>
            </w:pPr>
          </w:p>
        </w:tc>
        <w:tc>
          <w:tcPr>
            <w:tcW w:w="880" w:type="dxa"/>
            <w:vAlign w:val="bottom"/>
            <w:vMerge w:val="continue"/>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center"/>
              <w:spacing w:after="0" w:line="189" w:lineRule="exact"/>
              <w:rPr>
                <w:sz w:val="20"/>
                <w:szCs w:val="20"/>
                <w:color w:val="auto"/>
              </w:rPr>
            </w:pPr>
            <w:r>
              <w:rPr>
                <w:rFonts w:ascii="Arial" w:cs="Arial" w:eastAsia="Arial" w:hAnsi="Arial"/>
                <w:sz w:val="19"/>
                <w:szCs w:val="19"/>
                <w:b w:val="1"/>
                <w:bCs w:val="1"/>
                <w:color w:val="auto"/>
                <w:w w:val="99"/>
              </w:rPr>
              <w:t>with Fee</w:t>
            </w:r>
          </w:p>
        </w:tc>
        <w:tc>
          <w:tcPr>
            <w:tcW w:w="20" w:type="dxa"/>
            <w:vAlign w:val="bottom"/>
          </w:tcPr>
          <w:p>
            <w:pPr>
              <w:spacing w:after="0"/>
              <w:rPr>
                <w:sz w:val="16"/>
                <w:szCs w:val="16"/>
                <w:color w:val="auto"/>
              </w:rPr>
            </w:pPr>
          </w:p>
        </w:tc>
        <w:tc>
          <w:tcPr>
            <w:tcW w:w="1040" w:type="dxa"/>
            <w:vAlign w:val="bottom"/>
            <w:shd w:val="clear" w:color="auto" w:fill="9ADAF6"/>
          </w:tcPr>
          <w:p>
            <w:pPr>
              <w:jc w:val="center"/>
              <w:spacing w:after="0" w:line="189" w:lineRule="exact"/>
              <w:rPr>
                <w:sz w:val="20"/>
                <w:szCs w:val="20"/>
                <w:color w:val="auto"/>
              </w:rPr>
            </w:pPr>
            <w:r>
              <w:rPr>
                <w:rFonts w:ascii="Arial" w:cs="Arial" w:eastAsia="Arial" w:hAnsi="Arial"/>
                <w:sz w:val="19"/>
                <w:szCs w:val="19"/>
                <w:b w:val="1"/>
                <w:bCs w:val="1"/>
                <w:color w:val="auto"/>
                <w:w w:val="99"/>
              </w:rPr>
              <w:t>with Fee</w:t>
            </w:r>
          </w:p>
        </w:tc>
        <w:tc>
          <w:tcPr>
            <w:tcW w:w="20" w:type="dxa"/>
            <w:vAlign w:val="bottom"/>
          </w:tcPr>
          <w:p>
            <w:pPr>
              <w:spacing w:after="0"/>
              <w:rPr>
                <w:sz w:val="16"/>
                <w:szCs w:val="16"/>
                <w:color w:val="auto"/>
              </w:rPr>
            </w:pPr>
          </w:p>
        </w:tc>
        <w:tc>
          <w:tcPr>
            <w:tcW w:w="1040" w:type="dxa"/>
            <w:vAlign w:val="bottom"/>
            <w:shd w:val="clear" w:color="auto" w:fill="9ADAF6"/>
          </w:tcPr>
          <w:p>
            <w:pPr>
              <w:jc w:val="center"/>
              <w:spacing w:after="0" w:line="189" w:lineRule="exact"/>
              <w:rPr>
                <w:sz w:val="20"/>
                <w:szCs w:val="20"/>
                <w:color w:val="auto"/>
              </w:rPr>
            </w:pPr>
            <w:r>
              <w:rPr>
                <w:rFonts w:ascii="Arial" w:cs="Arial" w:eastAsia="Arial" w:hAnsi="Arial"/>
                <w:sz w:val="19"/>
                <w:szCs w:val="19"/>
                <w:b w:val="1"/>
                <w:bCs w:val="1"/>
                <w:color w:val="auto"/>
                <w:w w:val="99"/>
              </w:rPr>
              <w:t>with Fee</w:t>
            </w:r>
          </w:p>
        </w:tc>
        <w:tc>
          <w:tcPr>
            <w:tcW w:w="20" w:type="dxa"/>
            <w:vAlign w:val="bottom"/>
          </w:tcPr>
          <w:p>
            <w:pPr>
              <w:spacing w:after="0"/>
              <w:rPr>
                <w:sz w:val="16"/>
                <w:szCs w:val="16"/>
                <w:color w:val="auto"/>
              </w:rPr>
            </w:pPr>
          </w:p>
        </w:tc>
        <w:tc>
          <w:tcPr>
            <w:tcW w:w="1060" w:type="dxa"/>
            <w:vAlign w:val="bottom"/>
            <w:shd w:val="clear" w:color="auto" w:fill="9ADAF6"/>
          </w:tcPr>
          <w:p>
            <w:pPr>
              <w:jc w:val="center"/>
              <w:spacing w:after="0" w:line="189" w:lineRule="exact"/>
              <w:rPr>
                <w:sz w:val="20"/>
                <w:szCs w:val="20"/>
                <w:color w:val="auto"/>
              </w:rPr>
            </w:pPr>
            <w:r>
              <w:rPr>
                <w:rFonts w:ascii="Arial" w:cs="Arial" w:eastAsia="Arial" w:hAnsi="Arial"/>
                <w:sz w:val="19"/>
                <w:szCs w:val="19"/>
                <w:b w:val="1"/>
                <w:bCs w:val="1"/>
                <w:color w:val="auto"/>
              </w:rPr>
              <w:t>Associated</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9" w:lineRule="exact"/>
              <w:rPr>
                <w:sz w:val="20"/>
                <w:szCs w:val="20"/>
                <w:color w:val="auto"/>
              </w:rPr>
            </w:pPr>
            <w:r>
              <w:rPr>
                <w:rFonts w:ascii="Arial" w:cs="Arial" w:eastAsia="Arial" w:hAnsi="Arial"/>
                <w:sz w:val="19"/>
                <w:szCs w:val="19"/>
                <w:b w:val="1"/>
                <w:bCs w:val="1"/>
                <w:color w:val="auto"/>
                <w:w w:val="98"/>
              </w:rPr>
              <w:t>Offset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rPr>
              <w:t>Name</w:t>
            </w:r>
          </w:p>
        </w:tc>
        <w:tc>
          <w:tcPr>
            <w:tcW w:w="20" w:type="dxa"/>
            <w:vAlign w:val="bottom"/>
          </w:tcPr>
          <w:p>
            <w:pPr>
              <w:spacing w:after="0"/>
              <w:rPr>
                <w:sz w:val="18"/>
                <w:szCs w:val="18"/>
                <w:color w:val="auto"/>
              </w:rPr>
            </w:pPr>
          </w:p>
        </w:tc>
        <w:tc>
          <w:tcPr>
            <w:tcW w:w="54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w w:val="94"/>
              </w:rPr>
              <w:t>Type</w:t>
            </w: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w w:val="97"/>
              </w:rPr>
              <w:t>Date</w:t>
            </w:r>
          </w:p>
        </w:tc>
        <w:tc>
          <w:tcPr>
            <w:tcW w:w="4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rPr>
              <w:t>Claimed</w:t>
            </w:r>
          </w:p>
        </w:tc>
        <w:tc>
          <w:tcPr>
            <w:tcW w:w="20" w:type="dxa"/>
            <w:vAlign w:val="bottom"/>
          </w:tcPr>
          <w:p>
            <w:pPr>
              <w:spacing w:after="0"/>
              <w:rPr>
                <w:sz w:val="18"/>
                <w:szCs w:val="18"/>
                <w:color w:val="auto"/>
              </w:rPr>
            </w:pPr>
          </w:p>
        </w:tc>
        <w:tc>
          <w:tcPr>
            <w:tcW w:w="104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Offset</w:t>
            </w:r>
          </w:p>
        </w:tc>
        <w:tc>
          <w:tcPr>
            <w:tcW w:w="20" w:type="dxa"/>
            <w:vAlign w:val="bottom"/>
          </w:tcPr>
          <w:p>
            <w:pPr>
              <w:spacing w:after="0"/>
              <w:rPr>
                <w:sz w:val="18"/>
                <w:szCs w:val="18"/>
                <w:color w:val="auto"/>
              </w:rPr>
            </w:pPr>
          </w:p>
        </w:tc>
        <w:tc>
          <w:tcPr>
            <w:tcW w:w="104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Offset</w:t>
            </w:r>
          </w:p>
        </w:tc>
        <w:tc>
          <w:tcPr>
            <w:tcW w:w="20" w:type="dxa"/>
            <w:vAlign w:val="bottom"/>
          </w:tcPr>
          <w:p>
            <w:pPr>
              <w:spacing w:after="0"/>
              <w:rPr>
                <w:sz w:val="18"/>
                <w:szCs w:val="18"/>
                <w:color w:val="auto"/>
              </w:rPr>
            </w:pPr>
          </w:p>
        </w:tc>
        <w:tc>
          <w:tcPr>
            <w:tcW w:w="104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w w:val="98"/>
              </w:rPr>
              <w:t>Offset</w:t>
            </w:r>
          </w:p>
        </w:tc>
        <w:tc>
          <w:tcPr>
            <w:tcW w:w="20" w:type="dxa"/>
            <w:vAlign w:val="bottom"/>
          </w:tcPr>
          <w:p>
            <w:pPr>
              <w:spacing w:after="0"/>
              <w:rPr>
                <w:sz w:val="18"/>
                <w:szCs w:val="18"/>
                <w:color w:val="auto"/>
              </w:rPr>
            </w:pPr>
          </w:p>
        </w:tc>
        <w:tc>
          <w:tcPr>
            <w:tcW w:w="106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w w:val="97"/>
              </w:rPr>
              <w:t>with Fee</w:t>
            </w:r>
          </w:p>
        </w:tc>
        <w:tc>
          <w:tcPr>
            <w:tcW w:w="20" w:type="dxa"/>
            <w:vAlign w:val="bottom"/>
          </w:tcPr>
          <w:p>
            <w:pPr>
              <w:spacing w:after="0"/>
              <w:rPr>
                <w:sz w:val="18"/>
                <w:szCs w:val="18"/>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w w:val="99"/>
              </w:rPr>
              <w:t>Source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72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vMerge w:val="continue"/>
            <w:shd w:val="clear" w:color="auto" w:fill="9ADAF6"/>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rPr>
              <w:t>Claimed</w:t>
            </w:r>
          </w:p>
        </w:tc>
        <w:tc>
          <w:tcPr>
            <w:tcW w:w="20" w:type="dxa"/>
            <w:vAlign w:val="bottom"/>
          </w:tcPr>
          <w:p>
            <w:pPr>
              <w:spacing w:after="0"/>
              <w:rPr>
                <w:sz w:val="18"/>
                <w:szCs w:val="18"/>
                <w:color w:val="auto"/>
              </w:rPr>
            </w:pPr>
          </w:p>
        </w:tc>
        <w:tc>
          <w:tcPr>
            <w:tcW w:w="1040" w:type="dxa"/>
            <w:vAlign w:val="bottom"/>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w w:val="97"/>
              </w:rPr>
              <w:t>Claimed</w:t>
            </w:r>
          </w:p>
        </w:tc>
        <w:tc>
          <w:tcPr>
            <w:tcW w:w="20" w:type="dxa"/>
            <w:vAlign w:val="bottom"/>
          </w:tcPr>
          <w:p>
            <w:pPr>
              <w:spacing w:after="0"/>
              <w:rPr>
                <w:sz w:val="18"/>
                <w:szCs w:val="18"/>
                <w:color w:val="auto"/>
              </w:rPr>
            </w:pPr>
          </w:p>
        </w:tc>
        <w:tc>
          <w:tcPr>
            <w:tcW w:w="1040" w:type="dxa"/>
            <w:vAlign w:val="bottom"/>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rPr>
              <w:t>Claimed</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w w:val="98"/>
              </w:rPr>
              <w:t>Offset</w:t>
            </w: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rPr>
              <w:t>Claimed</w:t>
            </w:r>
          </w:p>
        </w:tc>
        <w:tc>
          <w:tcPr>
            <w:tcW w:w="20" w:type="dxa"/>
            <w:vAlign w:val="bottom"/>
          </w:tcPr>
          <w:p>
            <w:pPr>
              <w:spacing w:after="0"/>
              <w:rPr>
                <w:sz w:val="21"/>
                <w:szCs w:val="21"/>
                <w:color w:val="auto"/>
              </w:rPr>
            </w:pPr>
          </w:p>
        </w:tc>
        <w:tc>
          <w:tcPr>
            <w:tcW w:w="860" w:type="dxa"/>
            <w:vAlign w:val="bottom"/>
            <w:shd w:val="clear" w:color="auto" w:fill="9ADAF6"/>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5"/>
          </w:tcPr>
          <w:p>
            <w:pPr>
              <w:jc w:val="center"/>
              <w:ind w:right="9"/>
              <w:spacing w:after="0"/>
              <w:rPr>
                <w:sz w:val="20"/>
                <w:szCs w:val="20"/>
                <w:color w:val="auto"/>
              </w:rPr>
            </w:pPr>
            <w:r>
              <w:rPr>
                <w:rFonts w:ascii="Arial" w:cs="Arial" w:eastAsia="Arial" w:hAnsi="Arial"/>
                <w:sz w:val="19"/>
                <w:szCs w:val="19"/>
                <w:b w:val="1"/>
                <w:bCs w:val="1"/>
                <w:color w:val="auto"/>
                <w:w w:val="99"/>
              </w:rPr>
              <w:t>Rules 457(b) and 0-11(a)(2)</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720" w:type="dxa"/>
            <w:vAlign w:val="bottom"/>
            <w:shd w:val="clear" w:color="auto" w:fill="E7E7E2"/>
          </w:tcPr>
          <w:p>
            <w:pPr>
              <w:spacing w:after="0" w:line="207" w:lineRule="exact"/>
              <w:rPr>
                <w:sz w:val="20"/>
                <w:szCs w:val="20"/>
                <w:color w:val="auto"/>
              </w:rPr>
            </w:pPr>
            <w:r>
              <w:rPr>
                <w:rFonts w:ascii="Arial" w:cs="Arial" w:eastAsia="Arial" w:hAnsi="Arial"/>
                <w:sz w:val="19"/>
                <w:szCs w:val="19"/>
                <w:color w:val="auto"/>
              </w:rPr>
              <w:t>Fee</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9"/>
                <w:szCs w:val="19"/>
                <w:color w:val="auto"/>
                <w:w w:val="99"/>
              </w:rPr>
              <w:t>333-</w:t>
            </w: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8"/>
                <w:szCs w:val="18"/>
                <w:color w:val="auto"/>
              </w:rPr>
            </w:pPr>
          </w:p>
        </w:tc>
        <w:tc>
          <w:tcPr>
            <w:tcW w:w="10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9"/>
                <w:szCs w:val="19"/>
                <w:color w:val="auto"/>
              </w:rPr>
              <w:t>Offset</w:t>
            </w:r>
          </w:p>
        </w:tc>
        <w:tc>
          <w:tcPr>
            <w:tcW w:w="20" w:type="dxa"/>
            <w:vAlign w:val="bottom"/>
          </w:tcPr>
          <w:p>
            <w:pPr>
              <w:spacing w:after="0"/>
              <w:rPr>
                <w:sz w:val="9"/>
                <w:szCs w:val="9"/>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9"/>
                <w:szCs w:val="19"/>
                <w:color w:val="auto"/>
                <w:w w:val="94"/>
              </w:rPr>
              <w:t>1</w:t>
            </w: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vMerge w:val="restart"/>
            <w:shd w:val="clear" w:color="auto" w:fill="E7E7E2"/>
          </w:tcPr>
          <w:p>
            <w:pPr>
              <w:jc w:val="center"/>
              <w:spacing w:after="0"/>
              <w:rPr>
                <w:sz w:val="20"/>
                <w:szCs w:val="20"/>
                <w:color w:val="auto"/>
              </w:rPr>
            </w:pPr>
            <w:r>
              <w:rPr>
                <w:rFonts w:ascii="Arial" w:cs="Arial" w:eastAsia="Arial" w:hAnsi="Arial"/>
                <w:sz w:val="19"/>
                <w:szCs w:val="19"/>
                <w:color w:val="auto"/>
                <w:w w:val="97"/>
              </w:rPr>
              <w:t>F-10</w:t>
            </w:r>
          </w:p>
        </w:tc>
        <w:tc>
          <w:tcPr>
            <w:tcW w:w="20" w:type="dxa"/>
            <w:vAlign w:val="bottom"/>
          </w:tcPr>
          <w:p>
            <w:pPr>
              <w:spacing w:after="0"/>
              <w:rPr>
                <w:sz w:val="9"/>
                <w:szCs w:val="9"/>
                <w:color w:val="auto"/>
              </w:rPr>
            </w:pPr>
          </w:p>
        </w:tc>
        <w:tc>
          <w:tcPr>
            <w:tcW w:w="7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restart"/>
            <w:shd w:val="clear" w:color="auto" w:fill="E7E7E2"/>
          </w:tcPr>
          <w:p>
            <w:pPr>
              <w:jc w:val="center"/>
              <w:spacing w:after="0"/>
              <w:rPr>
                <w:sz w:val="20"/>
                <w:szCs w:val="20"/>
                <w:color w:val="auto"/>
              </w:rPr>
            </w:pPr>
            <w:r>
              <w:rPr>
                <w:rFonts w:ascii="Arial" w:cs="Arial" w:eastAsia="Arial" w:hAnsi="Arial"/>
                <w:sz w:val="19"/>
                <w:szCs w:val="19"/>
                <w:color w:val="auto"/>
              </w:rPr>
              <w:t>07/31/2025</w:t>
            </w:r>
          </w:p>
        </w:tc>
        <w:tc>
          <w:tcPr>
            <w:tcW w:w="4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jc w:val="center"/>
              <w:spacing w:after="0" w:line="189" w:lineRule="exact"/>
              <w:rPr>
                <w:sz w:val="20"/>
                <w:szCs w:val="20"/>
                <w:color w:val="auto"/>
              </w:rPr>
            </w:pPr>
            <w:r>
              <w:rPr>
                <w:rFonts w:ascii="Arial" w:cs="Arial" w:eastAsia="Arial" w:hAnsi="Arial"/>
                <w:sz w:val="19"/>
                <w:szCs w:val="19"/>
                <w:color w:val="auto"/>
                <w:w w:val="97"/>
              </w:rPr>
              <w:t>289139</w:t>
            </w:r>
          </w:p>
        </w:tc>
        <w:tc>
          <w:tcPr>
            <w:tcW w:w="20" w:type="dxa"/>
            <w:vAlign w:val="bottom"/>
          </w:tcPr>
          <w:p>
            <w:pPr>
              <w:spacing w:after="0"/>
              <w:rPr>
                <w:sz w:val="16"/>
                <w:szCs w:val="16"/>
                <w:color w:val="auto"/>
              </w:rPr>
            </w:pPr>
          </w:p>
        </w:tc>
        <w:tc>
          <w:tcPr>
            <w:tcW w:w="980" w:type="dxa"/>
            <w:vAlign w:val="bottom"/>
            <w:vMerge w:val="continue"/>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jc w:val="right"/>
              <w:spacing w:after="0" w:line="189" w:lineRule="exact"/>
              <w:rPr>
                <w:sz w:val="20"/>
                <w:szCs w:val="20"/>
                <w:color w:val="auto"/>
              </w:rPr>
            </w:pPr>
            <w:r>
              <w:rPr>
                <w:rFonts w:ascii="Arial" w:cs="Arial" w:eastAsia="Arial" w:hAnsi="Arial"/>
                <w:sz w:val="19"/>
                <w:szCs w:val="19"/>
                <w:color w:val="auto"/>
                <w:w w:val="99"/>
              </w:rPr>
              <w:t>22,729.68</w:t>
            </w: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720" w:type="dxa"/>
            <w:vAlign w:val="bottom"/>
            <w:shd w:val="clear" w:color="auto" w:fill="E7E7E2"/>
          </w:tcPr>
          <w:p>
            <w:pPr>
              <w:spacing w:after="0" w:line="165" w:lineRule="exact"/>
              <w:rPr>
                <w:sz w:val="20"/>
                <w:szCs w:val="20"/>
                <w:color w:val="auto"/>
              </w:rPr>
            </w:pPr>
            <w:r>
              <w:rPr>
                <w:rFonts w:ascii="Arial" w:cs="Arial" w:eastAsia="Arial" w:hAnsi="Arial"/>
                <w:sz w:val="19"/>
                <w:szCs w:val="19"/>
                <w:color w:val="auto"/>
              </w:rPr>
              <w:t>Claims</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0" w:type="dxa"/>
            <w:vAlign w:val="bottom"/>
          </w:tcPr>
          <w:p>
            <w:pPr>
              <w:spacing w:after="0"/>
              <w:rPr>
                <w:sz w:val="17"/>
                <w:szCs w:val="17"/>
                <w:color w:val="auto"/>
              </w:rPr>
            </w:pPr>
          </w:p>
        </w:tc>
        <w:tc>
          <w:tcPr>
            <w:tcW w:w="720" w:type="dxa"/>
            <w:vAlign w:val="bottom"/>
            <w:shd w:val="clear" w:color="auto" w:fill="E7E7E2"/>
          </w:tcPr>
          <w:p>
            <w:pPr>
              <w:spacing w:after="0" w:line="201" w:lineRule="exact"/>
              <w:rPr>
                <w:sz w:val="20"/>
                <w:szCs w:val="20"/>
                <w:color w:val="auto"/>
              </w:rPr>
            </w:pPr>
            <w:r>
              <w:rPr>
                <w:rFonts w:ascii="Arial" w:cs="Arial" w:eastAsia="Arial" w:hAnsi="Arial"/>
                <w:sz w:val="19"/>
                <w:szCs w:val="19"/>
                <w:color w:val="auto"/>
              </w:rPr>
              <w:t>Fee</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9"/>
                <w:szCs w:val="19"/>
                <w:color w:val="auto"/>
                <w:w w:val="99"/>
              </w:rPr>
              <w:t>333-</w:t>
            </w: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9"/>
                <w:szCs w:val="19"/>
                <w:color w:val="auto"/>
              </w:rPr>
              <w:t>Offset</w:t>
            </w: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restart"/>
            <w:shd w:val="clear" w:color="auto" w:fill="E7E7E2"/>
          </w:tcPr>
          <w:p>
            <w:pPr>
              <w:ind w:left="20"/>
              <w:spacing w:after="0"/>
              <w:rPr>
                <w:sz w:val="20"/>
                <w:szCs w:val="20"/>
                <w:color w:val="auto"/>
              </w:rPr>
            </w:pPr>
            <w:r>
              <w:rPr>
                <w:rFonts w:ascii="Arial" w:cs="Arial" w:eastAsia="Arial" w:hAnsi="Arial"/>
                <w:sz w:val="19"/>
                <w:szCs w:val="19"/>
                <w:color w:val="auto"/>
              </w:rPr>
              <w:t>Cybin Inc.</w:t>
            </w:r>
          </w:p>
        </w:tc>
        <w:tc>
          <w:tcPr>
            <w:tcW w:w="20" w:type="dxa"/>
            <w:vAlign w:val="bottom"/>
          </w:tcPr>
          <w:p>
            <w:pPr>
              <w:spacing w:after="0"/>
              <w:rPr>
                <w:sz w:val="9"/>
                <w:szCs w:val="9"/>
                <w:color w:val="auto"/>
              </w:rPr>
            </w:pPr>
          </w:p>
        </w:tc>
        <w:tc>
          <w:tcPr>
            <w:tcW w:w="540" w:type="dxa"/>
            <w:vAlign w:val="bottom"/>
            <w:vMerge w:val="restart"/>
            <w:shd w:val="clear" w:color="auto" w:fill="E7E7E2"/>
          </w:tcPr>
          <w:p>
            <w:pPr>
              <w:jc w:val="center"/>
              <w:spacing w:after="0"/>
              <w:rPr>
                <w:sz w:val="20"/>
                <w:szCs w:val="20"/>
                <w:color w:val="auto"/>
              </w:rPr>
            </w:pPr>
            <w:r>
              <w:rPr>
                <w:rFonts w:ascii="Arial" w:cs="Arial" w:eastAsia="Arial" w:hAnsi="Arial"/>
                <w:sz w:val="19"/>
                <w:szCs w:val="19"/>
                <w:color w:val="auto"/>
                <w:w w:val="97"/>
              </w:rPr>
              <w:t>F-10</w:t>
            </w:r>
          </w:p>
        </w:tc>
        <w:tc>
          <w:tcPr>
            <w:tcW w:w="20" w:type="dxa"/>
            <w:vAlign w:val="bottom"/>
          </w:tcPr>
          <w:p>
            <w:pPr>
              <w:spacing w:after="0"/>
              <w:rPr>
                <w:sz w:val="9"/>
                <w:szCs w:val="9"/>
                <w:color w:val="auto"/>
              </w:rPr>
            </w:pPr>
          </w:p>
        </w:tc>
        <w:tc>
          <w:tcPr>
            <w:tcW w:w="7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vMerge w:val="restart"/>
            <w:shd w:val="clear" w:color="auto" w:fill="E7E7E2"/>
          </w:tcPr>
          <w:p>
            <w:pPr>
              <w:jc w:val="center"/>
              <w:spacing w:after="0"/>
              <w:rPr>
                <w:sz w:val="20"/>
                <w:szCs w:val="20"/>
                <w:color w:val="auto"/>
              </w:rPr>
            </w:pPr>
            <w:r>
              <w:rPr>
                <w:rFonts w:ascii="Arial" w:cs="Arial" w:eastAsia="Arial" w:hAnsi="Arial"/>
                <w:sz w:val="19"/>
                <w:szCs w:val="19"/>
                <w:color w:val="auto"/>
              </w:rPr>
              <w:t>09/17/2025</w:t>
            </w: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vMerge w:val="continue"/>
            <w:shd w:val="clear" w:color="auto" w:fill="E7E7E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jc w:val="center"/>
              <w:spacing w:after="0" w:line="189" w:lineRule="exact"/>
              <w:rPr>
                <w:sz w:val="20"/>
                <w:szCs w:val="20"/>
                <w:color w:val="auto"/>
              </w:rPr>
            </w:pPr>
            <w:r>
              <w:rPr>
                <w:rFonts w:ascii="Arial" w:cs="Arial" w:eastAsia="Arial" w:hAnsi="Arial"/>
                <w:sz w:val="19"/>
                <w:szCs w:val="19"/>
                <w:color w:val="auto"/>
                <w:w w:val="97"/>
              </w:rPr>
              <w:t>289139</w:t>
            </w: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jc w:val="right"/>
              <w:spacing w:after="0" w:line="189" w:lineRule="exact"/>
              <w:rPr>
                <w:sz w:val="20"/>
                <w:szCs w:val="20"/>
                <w:color w:val="auto"/>
              </w:rPr>
            </w:pPr>
            <w:r>
              <w:rPr>
                <w:rFonts w:ascii="Arial" w:cs="Arial" w:eastAsia="Arial" w:hAnsi="Arial"/>
                <w:sz w:val="19"/>
                <w:szCs w:val="19"/>
                <w:color w:val="auto"/>
                <w:w w:val="99"/>
              </w:rPr>
              <w:t>22,729.68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720" w:type="dxa"/>
            <w:vAlign w:val="bottom"/>
            <w:shd w:val="clear" w:color="auto" w:fill="E7E7E2"/>
          </w:tcPr>
          <w:p>
            <w:pPr>
              <w:spacing w:after="0" w:line="165" w:lineRule="exact"/>
              <w:rPr>
                <w:sz w:val="20"/>
                <w:szCs w:val="20"/>
                <w:color w:val="auto"/>
              </w:rPr>
            </w:pPr>
            <w:r>
              <w:rPr>
                <w:rFonts w:ascii="Arial" w:cs="Arial" w:eastAsia="Arial" w:hAnsi="Arial"/>
                <w:sz w:val="19"/>
                <w:szCs w:val="19"/>
                <w:color w:val="auto"/>
              </w:rPr>
              <w:t>Sources</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7195820</wp:posOffset>
            </wp:positionH>
            <wp:positionV relativeFrom="paragraph">
              <wp:posOffset>-2157095</wp:posOffset>
            </wp:positionV>
            <wp:extent cx="5080" cy="25279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1">
                      <a:extLst>
                        <a:ext uri="{28A0092B-C50C-407E-A947-70E740481C1C}"/>
                      </a:extLst>
                    </a:blip>
                    <a:srcRect/>
                    <a:stretch>
                      <a:fillRect/>
                    </a:stretch>
                  </pic:blipFill>
                  <pic:spPr bwMode="auto">
                    <a:xfrm>
                      <a:off x="0" y="0"/>
                      <a:ext cx="5080" cy="25279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-2157095</wp:posOffset>
            </wp:positionV>
            <wp:extent cx="12700" cy="25279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2">
                      <a:extLst>
                        <a:ext uri="{28A0092B-C50C-407E-A947-70E740481C1C}"/>
                      </a:extLst>
                    </a:blip>
                    <a:srcRect/>
                    <a:stretch>
                      <a:fillRect/>
                    </a:stretch>
                  </pic:blipFill>
                  <pic:spPr bwMode="auto">
                    <a:xfrm>
                      <a:off x="0" y="0"/>
                      <a:ext cx="12700" cy="25279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9"/>
          <w:szCs w:val="19"/>
          <w:b w:val="1"/>
          <w:bCs w:val="1"/>
          <w:color w:val="auto"/>
        </w:rPr>
        <w:t>Rule 457(p)</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9"/>
          <w:szCs w:val="19"/>
          <w:color w:val="auto"/>
        </w:rPr>
        <w:t>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-130810</wp:posOffset>
            </wp:positionV>
            <wp:extent cx="7149465" cy="1898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3">
                      <a:extLst>
                        <a:ext uri="{28A0092B-C50C-407E-A947-70E740481C1C}"/>
                      </a:extLst>
                    </a:blip>
                    <a:srcRect/>
                    <a:stretch>
                      <a:fillRect/>
                    </a:stretch>
                  </pic:blipFill>
                  <pic:spPr bwMode="auto">
                    <a:xfrm>
                      <a:off x="0" y="0"/>
                      <a:ext cx="7149465" cy="189865"/>
                    </a:xfrm>
                    <a:prstGeom prst="rect">
                      <a:avLst/>
                    </a:prstGeom>
                    <a:noFill/>
                  </pic:spPr>
                </pic:pic>
              </a:graphicData>
            </a:graphic>
          </wp:anchor>
        </w:drawing>
      </w:r>
    </w:p>
    <w:p>
      <w:pPr>
        <w:sectPr>
          <w:pgSz w:w="11900" w:h="16838" w:orient="portrait"/>
          <w:cols w:equalWidth="0" w:num="1">
            <w:col w:w="11340"/>
          </w:cols>
          <w:pgMar w:left="320" w:top="142" w:right="239" w:bottom="0" w:gutter="0" w:footer="0" w:header="0"/>
        </w:sectPr>
      </w:pPr>
    </w:p>
    <w:bookmarkStart w:id="143" w:name="page144"/>
    <w:bookmarkEnd w:id="143"/>
    <w:p>
      <w:pPr>
        <w:ind w:left="40"/>
        <w:spacing w:after="0"/>
        <w:rPr>
          <w:sz w:val="20"/>
          <w:szCs w:val="20"/>
          <w:color w:val="auto"/>
        </w:rPr>
      </w:pPr>
      <w:r>
        <w:rPr>
          <w:rFonts w:ascii="Arial" w:cs="Arial" w:eastAsia="Arial" w:hAnsi="Arial"/>
          <w:sz w:val="19"/>
          <w:szCs w:val="19"/>
          <w:color w:val="auto"/>
        </w:rPr>
        <w:t>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06615" cy="7385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4">
                      <a:extLst>
                        <a:ext uri="{28A0092B-C50C-407E-A947-70E740481C1C}"/>
                      </a:extLst>
                    </a:blip>
                    <a:srcRect/>
                    <a:stretch>
                      <a:fillRect/>
                    </a:stretch>
                  </pic:blipFill>
                  <pic:spPr bwMode="auto">
                    <a:xfrm>
                      <a:off x="0" y="0"/>
                      <a:ext cx="7206615" cy="7385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9"/>
          <w:szCs w:val="19"/>
          <w:color w:val="auto"/>
        </w:rPr>
        <w:t>Claims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9"/>
          <w:szCs w:val="19"/>
          <w:color w:val="auto"/>
        </w:rPr>
        <w:t>Fee</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9"/>
          <w:szCs w:val="19"/>
          <w:color w:val="auto"/>
        </w:rPr>
        <w:t>Offset</w:t>
      </w:r>
    </w:p>
    <w:p>
      <w:pPr>
        <w:ind w:left="40"/>
        <w:spacing w:after="0"/>
        <w:rPr>
          <w:sz w:val="20"/>
          <w:szCs w:val="20"/>
          <w:color w:val="auto"/>
        </w:rPr>
      </w:pPr>
      <w:r>
        <w:rPr>
          <w:rFonts w:ascii="Arial" w:cs="Arial" w:eastAsia="Arial" w:hAnsi="Arial"/>
          <w:sz w:val="19"/>
          <w:szCs w:val="19"/>
          <w:color w:val="auto"/>
        </w:rPr>
        <w:t>Sources</w: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Explanation of the basis for claimed offset:</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2"/>
          <w:szCs w:val="12"/>
          <w:color w:val="auto"/>
        </w:rPr>
        <w:t>1</w:t>
      </w:r>
    </w:p>
    <w:p>
      <w:pPr>
        <w:spacing w:after="0" w:line="62" w:lineRule="exact"/>
        <w:rPr>
          <w:sz w:val="20"/>
          <w:szCs w:val="20"/>
          <w:color w:val="auto"/>
        </w:rPr>
      </w:pPr>
    </w:p>
    <w:p>
      <w:pPr>
        <w:ind w:left="240" w:right="100"/>
        <w:spacing w:after="0" w:line="238" w:lineRule="auto"/>
        <w:rPr>
          <w:sz w:val="20"/>
          <w:szCs w:val="20"/>
          <w:color w:val="auto"/>
        </w:rPr>
      </w:pPr>
      <w:r>
        <w:rPr>
          <w:rFonts w:ascii="Arial" w:cs="Arial" w:eastAsia="Arial" w:hAnsi="Arial"/>
          <w:sz w:val="19"/>
          <w:szCs w:val="19"/>
          <w:color w:val="auto"/>
        </w:rPr>
        <w:t>The Registrant previously paid US$72,134.24 in filing fees and claimed a fee offset of US$39,041.42 in connection with the registration of US$726,163,677.29 of securities (converted from CAD$1,000,000,000 at an exchange rate of US$1.00 = CAD$1.3771, which was the daily average exchange rate reported by the Bank of Canada on July 29, 2025) pursuant to the Registrant's Registration Statement on Form F-10 filed on July 31, 2025 (File No. 333-289139) ("the July Registration Statement"). Pre-effective Amendment No. 1 to the July Registration Statement was filed on September 17, 2025, which decreased the aggregate initial offering price from US$726,163,677.29 to US$577,700,751.01 (converted from CAD$800,000,000 at an exchange rate of US$1.00 = CAD$1.3848, which was the daily average exchange rate reported by the Bank of Canada on September 12, 2025). Therefore, US$22,729.68 of filing fees remains unutilized and is available for future registration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7129780" cy="406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5">
                      <a:extLst>
                        <a:ext uri="{28A0092B-C50C-407E-A947-70E740481C1C}"/>
                      </a:extLst>
                    </a:blip>
                    <a:srcRect/>
                    <a:stretch>
                      <a:fillRect/>
                    </a:stretch>
                  </pic:blipFill>
                  <pic:spPr bwMode="auto">
                    <a:xfrm>
                      <a:off x="0" y="0"/>
                      <a:ext cx="7129780" cy="4064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4860" w:type="dxa"/>
            <w:vAlign w:val="bottom"/>
            <w:tcBorders>
              <w:bottom w:val="single" w:sz="8" w:color="auto"/>
            </w:tcBorders>
            <w:gridSpan w:val="7"/>
          </w:tcPr>
          <w:p>
            <w:pPr>
              <w:ind w:left="40"/>
              <w:spacing w:after="0"/>
              <w:rPr>
                <w:sz w:val="20"/>
                <w:szCs w:val="20"/>
                <w:color w:val="auto"/>
              </w:rPr>
            </w:pPr>
            <w:r>
              <w:rPr>
                <w:rFonts w:ascii="Arial" w:cs="Arial" w:eastAsia="Arial" w:hAnsi="Arial"/>
                <w:sz w:val="19"/>
                <w:szCs w:val="19"/>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ind w:left="540"/>
              <w:spacing w:after="0" w:line="219" w:lineRule="exact"/>
              <w:rPr>
                <w:sz w:val="20"/>
                <w:szCs w:val="20"/>
                <w:color w:val="auto"/>
              </w:rPr>
            </w:pPr>
            <w:r>
              <w:rPr>
                <w:rFonts w:ascii="MS PGothic" w:cs="MS PGothic" w:eastAsia="MS PGothic" w:hAnsi="MS PGothic"/>
                <w:sz w:val="19"/>
                <w:szCs w:val="19"/>
                <w:color w:val="auto"/>
                <w:highlight w:val="black"/>
                <w:w w:val="98"/>
              </w:rPr>
              <w:t>☑</w:t>
            </w:r>
            <w:r>
              <w:rPr>
                <w:rFonts w:ascii="Arial" w:cs="Arial" w:eastAsia="Arial" w:hAnsi="Arial"/>
                <w:sz w:val="19"/>
                <w:szCs w:val="19"/>
                <w:b w:val="1"/>
                <w:bCs w:val="1"/>
                <w:color w:val="auto"/>
                <w:w w:val="98"/>
              </w:rPr>
              <w:t>Not Applicable</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ind w:left="300"/>
              <w:spacing w:after="0"/>
              <w:rPr>
                <w:sz w:val="20"/>
                <w:szCs w:val="20"/>
                <w:color w:val="auto"/>
              </w:rPr>
            </w:pPr>
            <w:r>
              <w:rPr>
                <w:rFonts w:ascii="Arial" w:cs="Arial" w:eastAsia="Arial" w:hAnsi="Arial"/>
                <w:sz w:val="19"/>
                <w:szCs w:val="19"/>
                <w:b w:val="1"/>
                <w:bCs w:val="1"/>
                <w:color w:val="auto"/>
              </w:rPr>
              <w:t>Amount of</w:t>
            </w:r>
          </w:p>
        </w:tc>
        <w:tc>
          <w:tcPr>
            <w:tcW w:w="20" w:type="dxa"/>
            <w:vAlign w:val="bottom"/>
          </w:tcPr>
          <w:p>
            <w:pPr>
              <w:spacing w:after="0"/>
              <w:rPr>
                <w:sz w:val="19"/>
                <w:szCs w:val="19"/>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w w:val="99"/>
              </w:rPr>
              <w:t>Maximum Aggregate</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Initial</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40" w:type="dxa"/>
            <w:vAlign w:val="bottom"/>
            <w:tcBorders>
              <w:left w:val="single" w:sz="8" w:color="auto"/>
            </w:tcBorders>
          </w:tcPr>
          <w:p>
            <w:pPr>
              <w:spacing w:after="0"/>
              <w:rPr>
                <w:sz w:val="9"/>
                <w:szCs w:val="9"/>
                <w:color w:val="auto"/>
              </w:rPr>
            </w:pPr>
          </w:p>
        </w:tc>
        <w:tc>
          <w:tcPr>
            <w:tcW w:w="42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3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vMerge w:val="restart"/>
            <w:shd w:val="clear" w:color="auto" w:fill="9ADAF6"/>
          </w:tcPr>
          <w:p>
            <w:pPr>
              <w:ind w:left="320"/>
              <w:spacing w:after="0" w:line="213" w:lineRule="exact"/>
              <w:rPr>
                <w:sz w:val="20"/>
                <w:szCs w:val="20"/>
                <w:color w:val="auto"/>
              </w:rPr>
            </w:pPr>
            <w:r>
              <w:rPr>
                <w:rFonts w:ascii="Arial" w:cs="Arial" w:eastAsia="Arial" w:hAnsi="Arial"/>
                <w:sz w:val="19"/>
                <w:szCs w:val="19"/>
                <w:b w:val="1"/>
                <w:bCs w:val="1"/>
                <w:color w:val="auto"/>
              </w:rPr>
              <w:t>Securities</w:t>
            </w:r>
          </w:p>
        </w:tc>
        <w:tc>
          <w:tcPr>
            <w:tcW w:w="20" w:type="dxa"/>
            <w:vAlign w:val="bottom"/>
          </w:tcPr>
          <w:p>
            <w:pPr>
              <w:spacing w:after="0"/>
              <w:rPr>
                <w:sz w:val="9"/>
                <w:szCs w:val="9"/>
                <w:color w:val="auto"/>
              </w:rPr>
            </w:pPr>
          </w:p>
        </w:tc>
        <w:tc>
          <w:tcPr>
            <w:tcW w:w="2020" w:type="dxa"/>
            <w:vAlign w:val="bottom"/>
            <w:vMerge w:val="restart"/>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rPr>
              <w:t>Offering Price of</w:t>
            </w:r>
          </w:p>
        </w:tc>
        <w:tc>
          <w:tcPr>
            <w:tcW w:w="20" w:type="dxa"/>
            <w:vAlign w:val="bottom"/>
          </w:tcPr>
          <w:p>
            <w:pPr>
              <w:spacing w:after="0"/>
              <w:rPr>
                <w:sz w:val="9"/>
                <w:szCs w:val="9"/>
                <w:color w:val="auto"/>
              </w:rPr>
            </w:pPr>
          </w:p>
        </w:tc>
        <w:tc>
          <w:tcPr>
            <w:tcW w:w="660" w:type="dxa"/>
            <w:vAlign w:val="bottom"/>
            <w:vMerge w:val="restart"/>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w w:val="96"/>
              </w:rPr>
              <w:t>Form</w:t>
            </w:r>
          </w:p>
        </w:tc>
        <w:tc>
          <w:tcPr>
            <w:tcW w:w="20" w:type="dxa"/>
            <w:vAlign w:val="bottom"/>
          </w:tcPr>
          <w:p>
            <w:pPr>
              <w:spacing w:after="0"/>
              <w:rPr>
                <w:sz w:val="9"/>
                <w:szCs w:val="9"/>
                <w:color w:val="auto"/>
              </w:rPr>
            </w:pPr>
          </w:p>
        </w:tc>
        <w:tc>
          <w:tcPr>
            <w:tcW w:w="1120" w:type="dxa"/>
            <w:vAlign w:val="bottom"/>
            <w:vMerge w:val="restart"/>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w w:val="97"/>
              </w:rPr>
              <w:t>File</w:t>
            </w:r>
          </w:p>
        </w:tc>
        <w:tc>
          <w:tcPr>
            <w:tcW w:w="20" w:type="dxa"/>
            <w:vAlign w:val="bottom"/>
          </w:tcPr>
          <w:p>
            <w:pPr>
              <w:spacing w:after="0"/>
              <w:rPr>
                <w:sz w:val="9"/>
                <w:szCs w:val="9"/>
                <w:color w:val="auto"/>
              </w:rPr>
            </w:pPr>
          </w:p>
        </w:tc>
        <w:tc>
          <w:tcPr>
            <w:tcW w:w="90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0" w:type="dxa"/>
            <w:vAlign w:val="bottom"/>
            <w:tcBorders>
              <w:left w:val="single" w:sz="8" w:color="auto"/>
            </w:tcBorders>
          </w:tcPr>
          <w:p>
            <w:pPr>
              <w:spacing w:after="0"/>
              <w:rPr>
                <w:sz w:val="9"/>
                <w:szCs w:val="9"/>
                <w:color w:val="auto"/>
              </w:rPr>
            </w:pPr>
          </w:p>
        </w:tc>
        <w:tc>
          <w:tcPr>
            <w:tcW w:w="42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540" w:type="dxa"/>
            <w:vAlign w:val="bottom"/>
            <w:vMerge w:val="restart"/>
            <w:shd w:val="clear" w:color="auto" w:fill="9ADAF6"/>
          </w:tcPr>
          <w:p>
            <w:pPr>
              <w:ind w:left="160"/>
              <w:spacing w:after="0" w:line="213" w:lineRule="exact"/>
              <w:rPr>
                <w:sz w:val="20"/>
                <w:szCs w:val="20"/>
                <w:color w:val="auto"/>
              </w:rPr>
            </w:pPr>
            <w:r>
              <w:rPr>
                <w:rFonts w:ascii="Arial" w:cs="Arial" w:eastAsia="Arial" w:hAnsi="Arial"/>
                <w:sz w:val="19"/>
                <w:szCs w:val="19"/>
                <w:b w:val="1"/>
                <w:bCs w:val="1"/>
                <w:color w:val="auto"/>
              </w:rPr>
              <w:t>Security Type</w:t>
            </w:r>
          </w:p>
        </w:tc>
        <w:tc>
          <w:tcPr>
            <w:tcW w:w="20" w:type="dxa"/>
            <w:vAlign w:val="bottom"/>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360" w:type="dxa"/>
            <w:vAlign w:val="bottom"/>
            <w:vMerge w:val="restart"/>
            <w:shd w:val="clear" w:color="auto" w:fill="9ADAF6"/>
          </w:tcPr>
          <w:p>
            <w:pPr>
              <w:ind w:left="80"/>
              <w:spacing w:after="0" w:line="213" w:lineRule="exact"/>
              <w:rPr>
                <w:sz w:val="20"/>
                <w:szCs w:val="20"/>
                <w:color w:val="auto"/>
              </w:rPr>
            </w:pPr>
            <w:r>
              <w:rPr>
                <w:rFonts w:ascii="Arial" w:cs="Arial" w:eastAsia="Arial" w:hAnsi="Arial"/>
                <w:sz w:val="19"/>
                <w:szCs w:val="19"/>
                <w:b w:val="1"/>
                <w:bCs w:val="1"/>
                <w:color w:val="auto"/>
              </w:rPr>
              <w:t>Security Class Title</w:t>
            </w:r>
          </w:p>
        </w:tc>
        <w:tc>
          <w:tcPr>
            <w:tcW w:w="20" w:type="dxa"/>
            <w:vAlign w:val="bottom"/>
          </w:tcPr>
          <w:p>
            <w:pPr>
              <w:spacing w:after="0"/>
              <w:rPr>
                <w:sz w:val="9"/>
                <w:szCs w:val="9"/>
                <w:color w:val="auto"/>
              </w:rPr>
            </w:pPr>
          </w:p>
        </w:tc>
        <w:tc>
          <w:tcPr>
            <w:tcW w:w="15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0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restart"/>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w w:val="98"/>
              </w:rPr>
              <w:t>Effective</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0" w:type="dxa"/>
            <w:vAlign w:val="bottom"/>
            <w:tcBorders>
              <w:left w:val="single" w:sz="8" w:color="auto"/>
            </w:tcBorders>
          </w:tcPr>
          <w:p>
            <w:pPr>
              <w:spacing w:after="0"/>
              <w:rPr>
                <w:sz w:val="9"/>
                <w:szCs w:val="9"/>
                <w:color w:val="auto"/>
              </w:rPr>
            </w:pPr>
          </w:p>
        </w:tc>
        <w:tc>
          <w:tcPr>
            <w:tcW w:w="42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5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3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vMerge w:val="restart"/>
            <w:shd w:val="clear" w:color="auto" w:fill="9ADAF6"/>
          </w:tcPr>
          <w:p>
            <w:pPr>
              <w:ind w:left="300"/>
              <w:spacing w:after="0" w:line="213" w:lineRule="exact"/>
              <w:rPr>
                <w:sz w:val="20"/>
                <w:szCs w:val="20"/>
                <w:color w:val="auto"/>
              </w:rPr>
            </w:pPr>
            <w:r>
              <w:rPr>
                <w:rFonts w:ascii="Arial" w:cs="Arial" w:eastAsia="Arial" w:hAnsi="Arial"/>
                <w:sz w:val="19"/>
                <w:szCs w:val="19"/>
                <w:b w:val="1"/>
                <w:bCs w:val="1"/>
                <w:color w:val="auto"/>
              </w:rPr>
              <w:t>Previously</w:t>
            </w:r>
          </w:p>
        </w:tc>
        <w:tc>
          <w:tcPr>
            <w:tcW w:w="20" w:type="dxa"/>
            <w:vAlign w:val="bottom"/>
          </w:tcPr>
          <w:p>
            <w:pPr>
              <w:spacing w:after="0"/>
              <w:rPr>
                <w:sz w:val="9"/>
                <w:szCs w:val="9"/>
                <w:color w:val="auto"/>
              </w:rPr>
            </w:pPr>
          </w:p>
        </w:tc>
        <w:tc>
          <w:tcPr>
            <w:tcW w:w="2020" w:type="dxa"/>
            <w:vAlign w:val="bottom"/>
            <w:vMerge w:val="restart"/>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w w:val="98"/>
              </w:rPr>
              <w:t>Securities Previously</w:t>
            </w:r>
          </w:p>
        </w:tc>
        <w:tc>
          <w:tcPr>
            <w:tcW w:w="20" w:type="dxa"/>
            <w:vAlign w:val="bottom"/>
          </w:tcPr>
          <w:p>
            <w:pPr>
              <w:spacing w:after="0"/>
              <w:rPr>
                <w:sz w:val="9"/>
                <w:szCs w:val="9"/>
                <w:color w:val="auto"/>
              </w:rPr>
            </w:pPr>
          </w:p>
        </w:tc>
        <w:tc>
          <w:tcPr>
            <w:tcW w:w="660" w:type="dxa"/>
            <w:vAlign w:val="bottom"/>
            <w:vMerge w:val="restart"/>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w w:val="94"/>
              </w:rPr>
              <w:t>Type</w:t>
            </w:r>
          </w:p>
        </w:tc>
        <w:tc>
          <w:tcPr>
            <w:tcW w:w="20" w:type="dxa"/>
            <w:vAlign w:val="bottom"/>
          </w:tcPr>
          <w:p>
            <w:pPr>
              <w:spacing w:after="0"/>
              <w:rPr>
                <w:sz w:val="9"/>
                <w:szCs w:val="9"/>
                <w:color w:val="auto"/>
              </w:rPr>
            </w:pPr>
          </w:p>
        </w:tc>
        <w:tc>
          <w:tcPr>
            <w:tcW w:w="1120" w:type="dxa"/>
            <w:vAlign w:val="bottom"/>
            <w:vMerge w:val="restart"/>
            <w:shd w:val="clear" w:color="auto" w:fill="9ADAF6"/>
          </w:tcPr>
          <w:p>
            <w:pPr>
              <w:jc w:val="center"/>
              <w:spacing w:after="0" w:line="213"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9"/>
                <w:szCs w:val="9"/>
                <w:color w:val="auto"/>
              </w:rPr>
            </w:pPr>
          </w:p>
        </w:tc>
        <w:tc>
          <w:tcPr>
            <w:tcW w:w="90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0" w:type="dxa"/>
            <w:vAlign w:val="bottom"/>
            <w:tcBorders>
              <w:left w:val="single" w:sz="8" w:color="auto"/>
            </w:tcBorders>
          </w:tcPr>
          <w:p>
            <w:pPr>
              <w:spacing w:after="0"/>
              <w:rPr>
                <w:sz w:val="9"/>
                <w:szCs w:val="9"/>
                <w:color w:val="auto"/>
              </w:rPr>
            </w:pPr>
          </w:p>
        </w:tc>
        <w:tc>
          <w:tcPr>
            <w:tcW w:w="42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3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0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Date</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0" w:type="dxa"/>
            <w:vAlign w:val="bottom"/>
            <w:tcBorders>
              <w:left w:val="single" w:sz="8" w:color="auto"/>
            </w:tcBorders>
          </w:tcPr>
          <w:p>
            <w:pPr>
              <w:spacing w:after="0"/>
              <w:rPr>
                <w:sz w:val="13"/>
                <w:szCs w:val="13"/>
                <w:color w:val="auto"/>
              </w:rPr>
            </w:pPr>
          </w:p>
        </w:tc>
        <w:tc>
          <w:tcPr>
            <w:tcW w:w="420" w:type="dxa"/>
            <w:vAlign w:val="bottom"/>
            <w:shd w:val="clear" w:color="auto" w:fill="9ADAF6"/>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shd w:val="clear" w:color="auto" w:fill="9ADAF6"/>
          </w:tcPr>
          <w:p>
            <w:pPr>
              <w:spacing w:after="0"/>
              <w:rPr>
                <w:sz w:val="13"/>
                <w:szCs w:val="13"/>
                <w:color w:val="auto"/>
              </w:rPr>
            </w:pPr>
          </w:p>
        </w:tc>
        <w:tc>
          <w:tcPr>
            <w:tcW w:w="236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vMerge w:val="restart"/>
            <w:shd w:val="clear" w:color="auto" w:fill="9ADAF6"/>
          </w:tcPr>
          <w:p>
            <w:pPr>
              <w:ind w:left="300"/>
              <w:spacing w:after="0"/>
              <w:rPr>
                <w:sz w:val="20"/>
                <w:szCs w:val="20"/>
                <w:color w:val="auto"/>
              </w:rPr>
            </w:pPr>
            <w:r>
              <w:rPr>
                <w:rFonts w:ascii="Arial" w:cs="Arial" w:eastAsia="Arial" w:hAnsi="Arial"/>
                <w:sz w:val="19"/>
                <w:szCs w:val="19"/>
                <w:b w:val="1"/>
                <w:bCs w:val="1"/>
                <w:color w:val="auto"/>
              </w:rPr>
              <w:t>Registered</w:t>
            </w:r>
          </w:p>
        </w:tc>
        <w:tc>
          <w:tcPr>
            <w:tcW w:w="20" w:type="dxa"/>
            <w:vAlign w:val="bottom"/>
          </w:tcPr>
          <w:p>
            <w:pPr>
              <w:spacing w:after="0"/>
              <w:rPr>
                <w:sz w:val="13"/>
                <w:szCs w:val="13"/>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w w:val="99"/>
              </w:rPr>
              <w:t>Registered</w:t>
            </w:r>
          </w:p>
        </w:tc>
        <w:tc>
          <w:tcPr>
            <w:tcW w:w="20" w:type="dxa"/>
            <w:vAlign w:val="bottom"/>
          </w:tcPr>
          <w:p>
            <w:pPr>
              <w:spacing w:after="0"/>
              <w:rPr>
                <w:sz w:val="13"/>
                <w:szCs w:val="13"/>
                <w:color w:val="auto"/>
              </w:rPr>
            </w:pPr>
          </w:p>
        </w:tc>
        <w:tc>
          <w:tcPr>
            <w:tcW w:w="66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vMerge w:val="continue"/>
            <w:shd w:val="clear" w:color="auto" w:fill="9ADAF6"/>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Borders>
              <w:right w:val="single" w:sz="8" w:color="auto"/>
            </w:tcBorders>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20" w:type="dxa"/>
            <w:vAlign w:val="bottom"/>
            <w:shd w:val="clear" w:color="auto" w:fill="E7E7E2"/>
          </w:tcPr>
          <w:p>
            <w:pPr>
              <w:ind w:left="60"/>
              <w:spacing w:after="0"/>
              <w:rPr>
                <w:sz w:val="20"/>
                <w:szCs w:val="20"/>
                <w:color w:val="auto"/>
              </w:rPr>
            </w:pPr>
            <w:r>
              <w:rPr>
                <w:rFonts w:ascii="Arial" w:cs="Arial" w:eastAsia="Arial" w:hAnsi="Arial"/>
                <w:sz w:val="19"/>
                <w:szCs w:val="19"/>
                <w:color w:val="auto"/>
              </w:rPr>
              <w:t>N/A</w:t>
            </w:r>
          </w:p>
        </w:tc>
        <w:tc>
          <w:tcPr>
            <w:tcW w:w="40" w:type="dxa"/>
            <w:vAlign w:val="bottom"/>
            <w:vMerge w:val="continue"/>
          </w:tcPr>
          <w:p>
            <w:pPr>
              <w:spacing w:after="0"/>
              <w:rPr>
                <w:sz w:val="20"/>
                <w:szCs w:val="20"/>
                <w:color w:val="auto"/>
              </w:rPr>
            </w:pPr>
          </w:p>
        </w:tc>
        <w:tc>
          <w:tcPr>
            <w:tcW w:w="1540" w:type="dxa"/>
            <w:vAlign w:val="bottom"/>
            <w:shd w:val="clear" w:color="auto" w:fill="E7E7E2"/>
          </w:tcPr>
          <w:p>
            <w:pPr>
              <w:spacing w:after="0"/>
              <w:rPr>
                <w:sz w:val="20"/>
                <w:szCs w:val="20"/>
                <w:color w:val="auto"/>
              </w:rPr>
            </w:pPr>
            <w:r>
              <w:rPr>
                <w:rFonts w:ascii="Arial" w:cs="Arial" w:eastAsia="Arial" w:hAnsi="Arial"/>
                <w:sz w:val="19"/>
                <w:szCs w:val="19"/>
                <w:color w:val="auto"/>
              </w:rPr>
              <w:t>N/A</w:t>
            </w:r>
          </w:p>
        </w:tc>
        <w:tc>
          <w:tcPr>
            <w:tcW w:w="20" w:type="dxa"/>
            <w:vAlign w:val="bottom"/>
          </w:tcPr>
          <w:p>
            <w:pPr>
              <w:spacing w:after="0"/>
              <w:rPr>
                <w:sz w:val="20"/>
                <w:szCs w:val="20"/>
                <w:color w:val="auto"/>
              </w:rPr>
            </w:pPr>
          </w:p>
        </w:tc>
        <w:tc>
          <w:tcPr>
            <w:tcW w:w="440" w:type="dxa"/>
            <w:vAlign w:val="bottom"/>
            <w:shd w:val="clear" w:color="auto" w:fill="E7E7E2"/>
          </w:tcPr>
          <w:p>
            <w:pPr>
              <w:ind w:left="20"/>
              <w:spacing w:after="0"/>
              <w:rPr>
                <w:sz w:val="20"/>
                <w:szCs w:val="20"/>
                <w:color w:val="auto"/>
              </w:rPr>
            </w:pPr>
            <w:r>
              <w:rPr>
                <w:rFonts w:ascii="Arial" w:cs="Arial" w:eastAsia="Arial" w:hAnsi="Arial"/>
                <w:sz w:val="19"/>
                <w:szCs w:val="19"/>
                <w:color w:val="auto"/>
              </w:rPr>
              <w:t>N/A</w:t>
            </w:r>
          </w:p>
        </w:tc>
        <w:tc>
          <w:tcPr>
            <w:tcW w:w="2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ind w:left="1240"/>
              <w:spacing w:after="0"/>
              <w:rPr>
                <w:sz w:val="20"/>
                <w:szCs w:val="20"/>
                <w:color w:val="auto"/>
              </w:rPr>
            </w:pPr>
            <w:r>
              <w:rPr>
                <w:rFonts w:ascii="Arial" w:cs="Arial" w:eastAsia="Arial" w:hAnsi="Arial"/>
                <w:sz w:val="19"/>
                <w:szCs w:val="19"/>
                <w:color w:val="auto"/>
                <w:w w:val="94"/>
              </w:rPr>
              <w:t>N/A</w:t>
            </w:r>
          </w:p>
        </w:tc>
        <w:tc>
          <w:tcPr>
            <w:tcW w:w="20" w:type="dxa"/>
            <w:vAlign w:val="bottom"/>
          </w:tcPr>
          <w:p>
            <w:pPr>
              <w:spacing w:after="0"/>
              <w:rPr>
                <w:sz w:val="20"/>
                <w:szCs w:val="20"/>
                <w:color w:val="auto"/>
              </w:rPr>
            </w:pPr>
          </w:p>
        </w:tc>
        <w:tc>
          <w:tcPr>
            <w:tcW w:w="2020" w:type="dxa"/>
            <w:vAlign w:val="bottom"/>
            <w:shd w:val="clear" w:color="auto" w:fill="E7E7E2"/>
          </w:tcPr>
          <w:p>
            <w:pPr>
              <w:ind w:left="1680"/>
              <w:spacing w:after="0"/>
              <w:rPr>
                <w:sz w:val="20"/>
                <w:szCs w:val="20"/>
                <w:color w:val="auto"/>
              </w:rPr>
            </w:pPr>
            <w:r>
              <w:rPr>
                <w:rFonts w:ascii="Arial" w:cs="Arial" w:eastAsia="Arial" w:hAnsi="Arial"/>
                <w:sz w:val="19"/>
                <w:szCs w:val="19"/>
                <w:color w:val="auto"/>
              </w:rPr>
              <w:t>N/A</w:t>
            </w:r>
          </w:p>
        </w:tc>
        <w:tc>
          <w:tcPr>
            <w:tcW w:w="20" w:type="dxa"/>
            <w:vAlign w:val="bottom"/>
          </w:tcPr>
          <w:p>
            <w:pPr>
              <w:spacing w:after="0"/>
              <w:rPr>
                <w:sz w:val="20"/>
                <w:szCs w:val="20"/>
                <w:color w:val="auto"/>
              </w:rPr>
            </w:pPr>
          </w:p>
        </w:tc>
        <w:tc>
          <w:tcPr>
            <w:tcW w:w="660" w:type="dxa"/>
            <w:vAlign w:val="bottom"/>
            <w:shd w:val="clear" w:color="auto" w:fill="E7E7E2"/>
          </w:tcPr>
          <w:p>
            <w:pPr>
              <w:jc w:val="center"/>
              <w:spacing w:after="0"/>
              <w:rPr>
                <w:sz w:val="20"/>
                <w:szCs w:val="20"/>
                <w:color w:val="auto"/>
              </w:rPr>
            </w:pPr>
            <w:r>
              <w:rPr>
                <w:rFonts w:ascii="Arial" w:cs="Arial" w:eastAsia="Arial" w:hAnsi="Arial"/>
                <w:sz w:val="19"/>
                <w:szCs w:val="19"/>
                <w:color w:val="auto"/>
                <w:w w:val="94"/>
              </w:rPr>
              <w:t>N/A</w:t>
            </w:r>
          </w:p>
        </w:tc>
        <w:tc>
          <w:tcPr>
            <w:tcW w:w="20" w:type="dxa"/>
            <w:vAlign w:val="bottom"/>
          </w:tcPr>
          <w:p>
            <w:pPr>
              <w:spacing w:after="0"/>
              <w:rPr>
                <w:sz w:val="20"/>
                <w:szCs w:val="20"/>
                <w:color w:val="auto"/>
              </w:rPr>
            </w:pPr>
          </w:p>
        </w:tc>
        <w:tc>
          <w:tcPr>
            <w:tcW w:w="1120" w:type="dxa"/>
            <w:vAlign w:val="bottom"/>
            <w:shd w:val="clear" w:color="auto" w:fill="E7E7E2"/>
          </w:tcPr>
          <w:p>
            <w:pPr>
              <w:jc w:val="center"/>
              <w:spacing w:after="0"/>
              <w:rPr>
                <w:sz w:val="20"/>
                <w:szCs w:val="20"/>
                <w:color w:val="auto"/>
              </w:rPr>
            </w:pPr>
            <w:r>
              <w:rPr>
                <w:rFonts w:ascii="Arial" w:cs="Arial" w:eastAsia="Arial" w:hAnsi="Arial"/>
                <w:sz w:val="19"/>
                <w:szCs w:val="19"/>
                <w:color w:val="auto"/>
              </w:rPr>
              <w:t>N/A</w:t>
            </w:r>
          </w:p>
        </w:tc>
        <w:tc>
          <w:tcPr>
            <w:tcW w:w="20" w:type="dxa"/>
            <w:vAlign w:val="bottom"/>
          </w:tcPr>
          <w:p>
            <w:pPr>
              <w:spacing w:after="0"/>
              <w:rPr>
                <w:sz w:val="20"/>
                <w:szCs w:val="20"/>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9"/>
                <w:szCs w:val="19"/>
                <w:color w:val="auto"/>
                <w:w w:val="94"/>
              </w:rPr>
              <w:t>N/A</w:t>
            </w:r>
          </w:p>
        </w:tc>
        <w:tc>
          <w:tcPr>
            <w:tcW w:w="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60"/>
      </w:cols>
      <w:pgMar w:left="320" w:top="11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upperLetter"/>
      <w:start w:val="1"/>
    </w:lvl>
  </w:abstractNum>
  <w:abstractNum w:abstractNumId="1">
    <w:nsid w:val="32FFF902"/>
    <w:multiLevelType w:val="hybridMultilevel"/>
    <w:lvl w:ilvl="0">
      <w:lvlJc w:val="left"/>
      <w:lvlText w:val="%1."/>
      <w:numFmt w:val="decimal"/>
      <w:start w:val="3"/>
    </w:lvl>
  </w:abstractNum>
  <w:abstractNum w:abstractNumId="2">
    <w:nsid w:val="684A481A"/>
    <w:multiLevelType w:val="hybridMultilevel"/>
    <w:lvl w:ilvl="0">
      <w:lvlJc w:val="left"/>
      <w:lvlText w:val="1"/>
      <w:numFmt w:val="bullet"/>
      <w:start w:val="1"/>
    </w:lvl>
  </w:abstractNum>
  <w:abstractNum w:abstractNumId="3">
    <w:nsid w:val="579478FE"/>
    <w:multiLevelType w:val="hybridMultilevel"/>
    <w:lvl w:ilvl="0">
      <w:lvlJc w:val="left"/>
      <w:lvlText w:val="%1."/>
      <w:numFmt w:val="decimal"/>
      <w:start w:val="1"/>
    </w:lvl>
  </w:abstractNum>
  <w:abstractNum w:abstractNumId="4">
    <w:nsid w:val="749ABB43"/>
    <w:multiLevelType w:val="hybridMultilevel"/>
    <w:lvl w:ilvl="0">
      <w:lvlJc w:val="left"/>
      <w:lvlText w:val="%1."/>
      <w:numFmt w:val="decimal"/>
      <w:start w:val="2"/>
    </w:lvl>
  </w:abstractNum>
  <w:abstractNum w:abstractNumId="5">
    <w:nsid w:val="3DC240FB"/>
    <w:multiLevelType w:val="hybridMultilevel"/>
    <w:lvl w:ilvl="0">
      <w:lvlJc w:val="left"/>
      <w:lvlText w:val="(%1)"/>
      <w:numFmt w:val="decimal"/>
      <w:start w:val="1"/>
    </w:lvl>
  </w:abstractNum>
  <w:abstractNum w:abstractNumId="6">
    <w:nsid w:val="1BA026FA"/>
    <w:multiLevelType w:val="hybridMultilevel"/>
    <w:lvl w:ilvl="0">
      <w:lvlJc w:val="left"/>
      <w:lvlText w:val="(%1)"/>
      <w:numFmt w:val="decimal"/>
      <w:start w:val="2"/>
    </w:lvl>
  </w:abstractNum>
  <w:abstractNum w:abstractNumId="7">
    <w:nsid w:val="79A1DEAA"/>
    <w:multiLevelType w:val="hybridMultilevel"/>
    <w:lvl w:ilvl="0">
      <w:lvlJc w:val="left"/>
      <w:lvlText w:val="(%1)"/>
      <w:numFmt w:val="decimal"/>
      <w:start w:val="1"/>
    </w:lvl>
  </w:abstractNum>
  <w:abstractNum w:abstractNumId="8">
    <w:nsid w:val="75C6C33A"/>
    <w:multiLevelType w:val="hybridMultilevel"/>
    <w:lvl w:ilvl="0">
      <w:lvlJc w:val="left"/>
      <w:lvlText w:val="(%1)"/>
      <w:numFmt w:val="lowerRoman"/>
      <w:start w:val="3"/>
    </w:lvl>
  </w:abstractNum>
  <w:abstractNum w:abstractNumId="9">
    <w:nsid w:val="12E685FB"/>
    <w:multiLevelType w:val="hybridMultilevel"/>
    <w:lvl w:ilvl="0">
      <w:lvlJc w:val="left"/>
      <w:lvlText w:val="1"/>
      <w:numFmt w:val="bullet"/>
      <w:start w:val="1"/>
    </w:lvl>
  </w:abstractNum>
  <w:abstractNum w:abstractNumId="10">
    <w:nsid w:val="70C6A529"/>
    <w:multiLevelType w:val="hybridMultilevel"/>
    <w:lvl w:ilvl="0">
      <w:lvlJc w:val="left"/>
      <w:lvlText w:val="%1."/>
      <w:numFmt w:val="decimal"/>
      <w:start w:val="1"/>
    </w:lvl>
  </w:abstractNum>
  <w:abstractNum w:abstractNumId="11">
    <w:nsid w:val="520EEDD1"/>
    <w:multiLevelType w:val="hybridMultilevel"/>
    <w:lvl w:ilvl="0">
      <w:lvlJc w:val="left"/>
      <w:lvlText w:val="2"/>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1."/>
      <w:numFmt w:val="decimal"/>
      <w:start w:val="1"/>
    </w:lvl>
  </w:abstractNum>
  <w:abstractNum w:abstractNumId="15">
    <w:nsid w:val="649BB77C"/>
    <w:multiLevelType w:val="hybridMultilevel"/>
    <w:lvl w:ilvl="0">
      <w:lvlJc w:val="left"/>
      <w:lvlText w:val="3"/>
      <w:numFmt w:val="bullet"/>
      <w:start w:val="1"/>
    </w:lvl>
  </w:abstractNum>
  <w:abstractNum w:abstractNumId="16">
    <w:nsid w:val="275AC794"/>
    <w:multiLevelType w:val="hybridMultilevel"/>
    <w:lvl w:ilvl="0">
      <w:lvlJc w:val="left"/>
      <w:lvlText w:val="5"/>
      <w:numFmt w:val="bullet"/>
      <w:start w:val="1"/>
    </w:lvl>
  </w:abstractNum>
  <w:abstractNum w:abstractNumId="17">
    <w:nsid w:val="39386575"/>
    <w:multiLevelType w:val="hybridMultilevel"/>
    <w:lvl w:ilvl="0">
      <w:lvlJc w:val="left"/>
      <w:lvlText w:val="9"/>
      <w:numFmt w:val="bullet"/>
      <w:start w:val="1"/>
    </w:lvl>
  </w:abstractNum>
  <w:abstractNum w:abstractNumId="18">
    <w:nsid w:val="1CF10FD8"/>
    <w:multiLevelType w:val="hybridMultilevel"/>
    <w:lvl w:ilvl="0">
      <w:lvlJc w:val="left"/>
      <w:lvlText w:val="%1"/>
      <w:numFmt w:val="decimal"/>
      <w:start w:val="10"/>
    </w:lvl>
  </w:abstractNum>
  <w:abstractNum w:abstractNumId="19">
    <w:nsid w:val="180115BE"/>
    <w:multiLevelType w:val="hybridMultilevel"/>
    <w:lvl w:ilvl="0">
      <w:lvlJc w:val="left"/>
      <w:lvlText w:val="%1"/>
      <w:numFmt w:val="decimal"/>
      <w:start w:val="11"/>
    </w:lvl>
  </w:abstractNum>
  <w:abstractNum w:abstractNumId="20">
    <w:nsid w:val="235BA861"/>
    <w:multiLevelType w:val="hybridMultilevel"/>
    <w:lvl w:ilvl="0">
      <w:lvlJc w:val="left"/>
      <w:lvlText w:val="%1"/>
      <w:numFmt w:val="upperLetter"/>
      <w:start w:val="35"/>
    </w:lvl>
  </w:abstractNum>
  <w:abstractNum w:abstractNumId="21">
    <w:nsid w:val="47398C89"/>
    <w:multiLevelType w:val="hybridMultilevel"/>
    <w:lvl w:ilvl="0">
      <w:lvlJc w:val="left"/>
      <w:lvlText w:val="%1"/>
      <w:numFmt w:val="decimal"/>
      <w:start w:val="14"/>
    </w:lvl>
  </w:abstractNum>
  <w:abstractNum w:abstractNumId="22">
    <w:nsid w:val="354FE9F9"/>
    <w:multiLevelType w:val="hybridMultilevel"/>
    <w:lvl w:ilvl="0">
      <w:lvlJc w:val="left"/>
      <w:lvlText w:val="(%1)"/>
      <w:numFmt w:val="decimal"/>
      <w:start w:val="1"/>
    </w:lvl>
  </w:abstractNum>
  <w:abstractNum w:abstractNumId="23">
    <w:nsid w:val="15B5AF5C"/>
    <w:multiLevelType w:val="hybridMultilevel"/>
    <w:lvl w:ilvl="0">
      <w:lvlJc w:val="left"/>
      <w:lvlText w:val="(%1)"/>
      <w:numFmt w:val="decimal"/>
      <w:start w:val="1"/>
    </w:lvl>
  </w:abstractNum>
  <w:abstractNum w:abstractNumId="24">
    <w:nsid w:val="741226BB"/>
    <w:multiLevelType w:val="hybridMultilevel"/>
    <w:lvl w:ilvl="0">
      <w:lvlJc w:val="left"/>
      <w:lvlText w:val="(%1)"/>
      <w:numFmt w:val="decimal"/>
      <w:start w:val="7"/>
    </w:lvl>
  </w:abstractNum>
  <w:abstractNum w:abstractNumId="25">
    <w:nsid w:val="D34B6A8"/>
    <w:multiLevelType w:val="hybridMultilevel"/>
    <w:lvl w:ilvl="0">
      <w:lvlJc w:val="left"/>
      <w:lvlText w:val="(%1)"/>
      <w:numFmt w:val="lowerRoman"/>
      <w:start w:val="8"/>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1)"/>
      <w:numFmt w:val="lowerRoman"/>
      <w:start w:val="1"/>
    </w:lvl>
  </w:abstractNum>
  <w:abstractNum w:abstractNumId="29">
    <w:nsid w:val="7E0C57B1"/>
    <w:multiLevelType w:val="hybridMultilevel"/>
    <w:lvl w:ilvl="0">
      <w:lvlJc w:val="left"/>
      <w:lvlText w:val="(%1)"/>
      <w:numFmt w:val="lowerRoman"/>
      <w:start w:val="1"/>
    </w:lvl>
  </w:abstractNum>
  <w:abstractNum w:abstractNumId="30">
    <w:nsid w:val="77AE35EB"/>
    <w:multiLevelType w:val="hybridMultilevel"/>
    <w:lvl w:ilvl="0">
      <w:lvlJc w:val="left"/>
      <w:lvlText w:val="(%1)"/>
      <w:numFmt w:val="decimal"/>
      <w:start w:val="1"/>
    </w:lvl>
  </w:abstractNum>
  <w:abstractNum w:abstractNumId="31">
    <w:nsid w:val="579BE4F1"/>
    <w:multiLevelType w:val="hybridMultilevel"/>
    <w:lvl w:ilvl="0">
      <w:lvlJc w:val="left"/>
      <w:lvlText w:val="(%1)"/>
      <w:numFmt w:val="decimal"/>
      <w:start w:val="7"/>
    </w:lvl>
  </w:abstractNum>
  <w:abstractNum w:abstractNumId="32">
    <w:nsid w:val="310C50B3"/>
    <w:multiLevelType w:val="hybridMultilevel"/>
    <w:lvl w:ilvl="0">
      <w:lvlJc w:val="left"/>
      <w:lvlText w:val="(%1)"/>
      <w:numFmt w:val="decimal"/>
      <w:start w:val="1"/>
    </w:lvl>
  </w:abstractNum>
  <w:abstractNum w:abstractNumId="33">
    <w:nsid w:val="5FF87E05"/>
    <w:multiLevelType w:val="hybridMultilevel"/>
    <w:lvl w:ilvl="0">
      <w:lvlJc w:val="left"/>
      <w:lvlText w:val="(%1)"/>
      <w:numFmt w:val="lowerLetter"/>
      <w:start w:val="1"/>
    </w:lvl>
  </w:abstractNum>
  <w:abstractNum w:abstractNumId="34">
    <w:nsid w:val="2F305DEF"/>
    <w:multiLevelType w:val="hybridMultilevel"/>
    <w:lvl w:ilvl="0">
      <w:lvlJc w:val="left"/>
      <w:lvlText w:val="(%1)"/>
      <w:numFmt w:val="lowerLetter"/>
      <w:start w:val="5"/>
    </w:lvl>
  </w:abstractNum>
  <w:abstractNum w:abstractNumId="35">
    <w:nsid w:val="25A70BF7"/>
    <w:multiLevelType w:val="hybridMultilevel"/>
    <w:lvl w:ilvl="0">
      <w:lvlJc w:val="left"/>
      <w:lvlText w:val="(%1)"/>
      <w:numFmt w:val="decimal"/>
      <w:start w:val="1"/>
    </w:lvl>
  </w:abstractNum>
  <w:abstractNum w:abstractNumId="36">
    <w:nsid w:val="1DBABF00"/>
    <w:multiLevelType w:val="hybridMultilevel"/>
    <w:lvl w:ilvl="0">
      <w:lvlJc w:val="left"/>
      <w:lvlText w:val="(%1)"/>
      <w:numFmt w:val="lowerLetter"/>
      <w:start w:val="1"/>
    </w:lvl>
    <w:lvl w:ilvl="1">
      <w:lvlJc w:val="left"/>
      <w:lvlText w:val="(%2)"/>
      <w:numFmt w:val="lowerLetter"/>
      <w:start w:val="9"/>
    </w:lvl>
  </w:abstractNum>
  <w:abstractNum w:abstractNumId="37">
    <w:nsid w:val="4AD084E9"/>
    <w:multiLevelType w:val="hybridMultilevel"/>
    <w:lvl w:ilvl="0">
      <w:lvlJc w:val="left"/>
      <w:lvlText w:val="%1"/>
      <w:numFmt w:val="lowerLetter"/>
      <w:start w:val="1"/>
    </w:lvl>
    <w:lvl w:ilvl="1">
      <w:lvlJc w:val="left"/>
      <w:lvlText w:val="(%2)"/>
      <w:numFmt w:val="lowerLetter"/>
      <w:start w:val="35"/>
    </w:lvl>
  </w:abstractNum>
  <w:abstractNum w:abstractNumId="38">
    <w:nsid w:val="1F48EAA1"/>
    <w:multiLevelType w:val="hybridMultilevel"/>
    <w:lvl w:ilvl="0">
      <w:lvlJc w:val="left"/>
      <w:lvlText w:val="(%1)"/>
      <w:numFmt w:val="lowerLetter"/>
      <w:start w:val="2"/>
    </w:lvl>
    <w:lvl w:ilvl="1">
      <w:lvlJc w:val="left"/>
      <w:lvlText w:val="%2"/>
      <w:numFmt w:val="lowerLetter"/>
      <w:start w:val="1"/>
    </w:lvl>
  </w:abstractNum>
  <w:abstractNum w:abstractNumId="39">
    <w:nsid w:val="1381823A"/>
    <w:multiLevelType w:val="hybridMultilevel"/>
    <w:lvl w:ilvl="0">
      <w:lvlJc w:val="left"/>
      <w:lvlText w:val="(%1)"/>
      <w:numFmt w:val="decimal"/>
      <w:start w:val="1"/>
    </w:lvl>
  </w:abstractNum>
  <w:abstractNum w:abstractNumId="40">
    <w:nsid w:val="5DB70AE5"/>
    <w:multiLevelType w:val="hybridMultilevel"/>
    <w:lvl w:ilvl="0">
      <w:lvlJc w:val="left"/>
      <w:lvlText w:val="(%1)"/>
      <w:numFmt w:val="decimal"/>
      <w:start w:val="3"/>
    </w:lvl>
  </w:abstractNum>
  <w:abstractNum w:abstractNumId="41">
    <w:nsid w:val="100F8FCA"/>
    <w:multiLevelType w:val="hybridMultilevel"/>
    <w:lvl w:ilvl="0">
      <w:lvlJc w:val="left"/>
      <w:lvlText w:val="(%1)"/>
      <w:numFmt w:val="decimal"/>
      <w:start w:val="11"/>
    </w:lvl>
  </w:abstractNum>
  <w:abstractNum w:abstractNumId="42">
    <w:nsid w:val="6590700B"/>
    <w:multiLevelType w:val="hybridMultilevel"/>
    <w:lvl w:ilvl="0">
      <w:lvlJc w:val="left"/>
      <w:lvlText w:val="(%1)"/>
      <w:numFmt w:val="decimal"/>
      <w:start w:val="21"/>
    </w:lvl>
  </w:abstractNum>
  <w:abstractNum w:abstractNumId="43">
    <w:nsid w:val="15014ACB"/>
    <w:multiLevelType w:val="hybridMultilevel"/>
    <w:lvl w:ilvl="0">
      <w:lvlJc w:val="left"/>
      <w:lvlText w:val="(%1)"/>
      <w:numFmt w:val="lowerLetter"/>
      <w:start w:val="1"/>
    </w:lvl>
  </w:abstractNum>
  <w:abstractNum w:abstractNumId="44">
    <w:nsid w:val="5F5E7FD0"/>
    <w:multiLevelType w:val="hybridMultilevel"/>
    <w:lvl w:ilvl="0">
      <w:lvlJc w:val="left"/>
      <w:lvlText w:val="(%1)"/>
      <w:numFmt w:val="lowerRoman"/>
      <w:start w:val="3"/>
    </w:lvl>
  </w:abstractNum>
  <w:abstractNum w:abstractNumId="45">
    <w:nsid w:val="98A3148"/>
    <w:multiLevelType w:val="hybridMultilevel"/>
    <w:lvl w:ilvl="0">
      <w:lvlJc w:val="left"/>
      <w:lvlText w:val="(%1)"/>
      <w:numFmt w:val="lowerLetter"/>
      <w:start w:val="1"/>
    </w:lvl>
  </w:abstractNum>
  <w:abstractNum w:abstractNumId="46">
    <w:nsid w:val="799D0247"/>
    <w:multiLevelType w:val="hybridMultilevel"/>
    <w:lvl w:ilvl="0">
      <w:lvlJc w:val="left"/>
      <w:lvlText w:val="(%1)"/>
      <w:numFmt w:val="decimal"/>
      <w:start w:val="1"/>
    </w:lvl>
  </w:abstractNum>
  <w:abstractNum w:abstractNumId="47">
    <w:nsid w:val="6B94764"/>
    <w:multiLevelType w:val="hybridMultilevel"/>
    <w:lvl w:ilvl="0">
      <w:lvlJc w:val="left"/>
      <w:lvlText w:val="(%1)"/>
      <w:numFmt w:val="lowerLetter"/>
      <w:start w:val="2"/>
    </w:lvl>
  </w:abstractNum>
  <w:abstractNum w:abstractNumId="48">
    <w:nsid w:val="42C296BD"/>
    <w:multiLevelType w:val="hybridMultilevel"/>
    <w:lvl w:ilvl="0">
      <w:lvlJc w:val="left"/>
      <w:lvlText w:val="(%1)"/>
      <w:numFmt w:val="lowerLetter"/>
      <w:start w:val="1"/>
    </w:lvl>
  </w:abstractNum>
  <w:abstractNum w:abstractNumId="49">
    <w:nsid w:val="168E121F"/>
    <w:multiLevelType w:val="hybridMultilevel"/>
    <w:lvl w:ilvl="0">
      <w:lvlJc w:val="left"/>
      <w:lvlText w:val="(%1)"/>
      <w:numFmt w:val="lowerLetter"/>
      <w:start w:val="4"/>
    </w:lvl>
  </w:abstractNum>
  <w:abstractNum w:abstractNumId="50">
    <w:nsid w:val="1EBA5D23"/>
    <w:multiLevelType w:val="hybridMultilevel"/>
    <w:lvl w:ilvl="0">
      <w:lvlJc w:val="left"/>
      <w:lvlText w:val="(%1)"/>
      <w:numFmt w:val="lowerLetter"/>
      <w:start w:val="1"/>
    </w:lvl>
  </w:abstractNum>
  <w:abstractNum w:abstractNumId="51">
    <w:nsid w:val="661E3F1E"/>
    <w:multiLevelType w:val="hybridMultilevel"/>
    <w:lvl w:ilvl="0">
      <w:lvlJc w:val="left"/>
      <w:lvlText w:val="(%1)"/>
      <w:numFmt w:val="decimal"/>
      <w:start w:val="1"/>
    </w:lvl>
  </w:abstractNum>
  <w:abstractNum w:abstractNumId="52">
    <w:nsid w:val="5DC79EA8"/>
    <w:multiLevelType w:val="hybridMultilevel"/>
    <w:lvl w:ilvl="0">
      <w:lvlJc w:val="left"/>
      <w:lvlText w:val="(%1)"/>
      <w:numFmt w:val="lowerLetter"/>
      <w:start w:val="1"/>
    </w:lvl>
  </w:abstractNum>
  <w:abstractNum w:abstractNumId="53">
    <w:nsid w:val="540A471C"/>
    <w:multiLevelType w:val="hybridMultilevel"/>
    <w:lvl w:ilvl="0">
      <w:lvlJc w:val="left"/>
      <w:lvlText w:val="(%1)"/>
      <w:numFmt w:val="lowerRoman"/>
      <w:start w:val="1"/>
    </w:lvl>
  </w:abstractNum>
  <w:abstractNum w:abstractNumId="54">
    <w:nsid w:val="7BD3EE7B"/>
    <w:multiLevelType w:val="hybridMultilevel"/>
    <w:lvl w:ilvl="0">
      <w:lvlJc w:val="left"/>
      <w:lvlText w:val="(%1)"/>
      <w:numFmt w:val="decimal"/>
      <w:start w:val="2"/>
    </w:lvl>
  </w:abstractNum>
  <w:abstractNum w:abstractNumId="55">
    <w:nsid w:val="51D9C564"/>
    <w:multiLevelType w:val="hybridMultilevel"/>
    <w:lvl w:ilvl="0">
      <w:lvlJc w:val="left"/>
      <w:lvlText w:val="(%1)"/>
      <w:numFmt w:val="decimal"/>
      <w:start w:val="1"/>
    </w:lvl>
  </w:abstractNum>
  <w:abstractNum w:abstractNumId="56">
    <w:nsid w:val="613EFDC5"/>
    <w:multiLevelType w:val="hybridMultilevel"/>
    <w:lvl w:ilvl="0">
      <w:lvlJc w:val="left"/>
      <w:lvlText w:val="(%1)"/>
      <w:numFmt w:val="decimal"/>
      <w:start w:val="1"/>
    </w:lvl>
    <w:lvl w:ilvl="1">
      <w:lvlJc w:val="left"/>
      <w:lvlText w:val="(%2)"/>
      <w:numFmt w:val="lowerLetter"/>
      <w:start w:val="1"/>
    </w:lvl>
  </w:abstractNum>
  <w:abstractNum w:abstractNumId="57">
    <w:nsid w:val="BF72B14"/>
    <w:multiLevelType w:val="hybridMultilevel"/>
    <w:lvl w:ilvl="0">
      <w:lvlJc w:val="left"/>
      <w:lvlText w:val="(%1)"/>
      <w:numFmt w:val="decimal"/>
      <w:start w:val="1"/>
    </w:lvl>
  </w:abstractNum>
  <w:abstractNum w:abstractNumId="58">
    <w:nsid w:val="11447B73"/>
    <w:multiLevelType w:val="hybridMultilevel"/>
    <w:lvl w:ilvl="0">
      <w:lvlJc w:val="left"/>
      <w:lvlText w:val="(%1)"/>
      <w:numFmt w:val="decimal"/>
      <w:start w:val="2"/>
    </w:lvl>
  </w:abstractNum>
  <w:abstractNum w:abstractNumId="59">
    <w:nsid w:val="42963E5A"/>
    <w:multiLevelType w:val="hybridMultilevel"/>
    <w:lvl w:ilvl="0">
      <w:lvlJc w:val="left"/>
      <w:lvlText w:val="(%1)"/>
      <w:numFmt w:val="lowerRoman"/>
      <w:start w:val="1"/>
    </w:lvl>
  </w:abstractNum>
  <w:abstractNum w:abstractNumId="60">
    <w:nsid w:val="A0382C5"/>
    <w:multiLevelType w:val="hybridMultilevel"/>
    <w:lvl w:ilvl="0">
      <w:lvlJc w:val="left"/>
      <w:lvlText w:val="(%1)"/>
      <w:numFmt w:val="decimal"/>
      <w:start w:val="1"/>
    </w:lvl>
  </w:abstractNum>
  <w:abstractNum w:abstractNumId="61">
    <w:nsid w:val="8F2B15E"/>
    <w:multiLevelType w:val="hybridMultilevel"/>
    <w:lvl w:ilvl="0">
      <w:lvlJc w:val="left"/>
      <w:lvlText w:val="(%1)"/>
      <w:numFmt w:val="decimal"/>
      <w:start w:val="3"/>
    </w:lvl>
  </w:abstractNum>
  <w:abstractNum w:abstractNumId="62">
    <w:nsid w:val="1A32234B"/>
    <w:multiLevelType w:val="hybridMultilevel"/>
    <w:lvl w:ilvl="0">
      <w:lvlJc w:val="left"/>
      <w:lvlText w:val="(%1)"/>
      <w:numFmt w:val="decimal"/>
      <w:start w:val="1"/>
    </w:lvl>
  </w:abstractNum>
  <w:abstractNum w:abstractNumId="63">
    <w:nsid w:val="3B0FD379"/>
    <w:multiLevelType w:val="hybridMultilevel"/>
    <w:lvl w:ilvl="0">
      <w:lvlJc w:val="left"/>
      <w:lvlText w:val="(%1)"/>
      <w:numFmt w:val="decimal"/>
      <w:start w:val="1"/>
    </w:lvl>
  </w:abstractNum>
  <w:abstractNum w:abstractNumId="64">
    <w:nsid w:val="68EB2F63"/>
    <w:multiLevelType w:val="hybridMultilevel"/>
    <w:lvl w:ilvl="0">
      <w:lvlJc w:val="left"/>
      <w:lvlText w:val="(%1)"/>
      <w:numFmt w:val="lowerLetter"/>
      <w:start w:val="1"/>
    </w:lvl>
  </w:abstractNum>
  <w:abstractNum w:abstractNumId="65">
    <w:nsid w:val="4962813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6">
    <w:nsid w:val="60B6DF70"/>
    <w:multiLevelType w:val="hybridMultilevel"/>
    <w:lvl w:ilvl="0">
      <w:lvlJc w:val="left"/>
      <w:lvlText w:val="(%1)"/>
      <w:numFmt w:val="lowerLetter"/>
      <w:start w:val="4"/>
    </w:lvl>
  </w:abstractNum>
  <w:abstractNum w:abstractNumId="67">
    <w:nsid w:val="6A5EE64"/>
    <w:multiLevelType w:val="hybridMultilevel"/>
    <w:lvl w:ilvl="0">
      <w:lvlJc w:val="left"/>
      <w:lvlText w:val="(%1)"/>
      <w:numFmt w:val="decimal"/>
      <w:start w:val="1"/>
    </w:lvl>
  </w:abstractNum>
  <w:abstractNum w:abstractNumId="68">
    <w:nsid w:val="14330624"/>
    <w:multiLevelType w:val="hybridMultilevel"/>
    <w:lvl w:ilvl="0">
      <w:lvlJc w:val="left"/>
      <w:lvlText w:val="(%1)"/>
      <w:numFmt w:val="decimal"/>
      <w:start w:val="9"/>
    </w:lvl>
  </w:abstractNum>
  <w:abstractNum w:abstractNumId="69">
    <w:nsid w:val="7FFFCA11"/>
    <w:multiLevelType w:val="hybridMultilevel"/>
    <w:lvl w:ilvl="0">
      <w:lvlJc w:val="left"/>
      <w:lvlText w:val="(%1)"/>
      <w:numFmt w:val="decimal"/>
      <w:start w:val="1"/>
    </w:lvl>
  </w:abstractNum>
  <w:abstractNum w:abstractNumId="70">
    <w:nsid w:val="1A27709E"/>
    <w:multiLevelType w:val="hybridMultilevel"/>
    <w:lvl w:ilvl="0">
      <w:lvlJc w:val="left"/>
      <w:lvlText w:val="(%1)"/>
      <w:numFmt w:val="decimal"/>
      <w:start w:val="3"/>
    </w:lvl>
  </w:abstractNum>
  <w:abstractNum w:abstractNumId="71">
    <w:nsid w:val="71EA1109"/>
    <w:multiLevelType w:val="hybridMultilevel"/>
    <w:lvl w:ilvl="0">
      <w:lvlJc w:val="left"/>
      <w:lvlText w:val="(%1)"/>
      <w:numFmt w:val="decimal"/>
      <w:start w:val="1"/>
    </w:lvl>
  </w:abstractNum>
  <w:abstractNum w:abstractNumId="72">
    <w:nsid w:val="100F59DC"/>
    <w:multiLevelType w:val="hybridMultilevel"/>
    <w:lvl w:ilvl="0">
      <w:lvlJc w:val="left"/>
      <w:lvlText w:val="(%1)"/>
      <w:numFmt w:val="decimal"/>
      <w:start w:val="4"/>
    </w:lvl>
  </w:abstractNum>
  <w:abstractNum w:abstractNumId="73">
    <w:nsid w:val="7FB7E0AA"/>
    <w:multiLevelType w:val="hybridMultilevel"/>
    <w:lvl w:ilvl="0">
      <w:lvlJc w:val="left"/>
      <w:lvlText w:val="(%1)"/>
      <w:numFmt w:val="decimal"/>
      <w:start w:val="1"/>
    </w:lvl>
    <w:lvl w:ilvl="1">
      <w:lvlJc w:val="left"/>
      <w:lvlText w:val="(%2)"/>
      <w:numFmt w:val="lowerRoman"/>
      <w:start w:val="1"/>
    </w:lvl>
  </w:abstractNum>
  <w:abstractNum w:abstractNumId="74">
    <w:nsid w:val="6EB5BD4"/>
    <w:multiLevelType w:val="hybridMultilevel"/>
    <w:lvl w:ilvl="0">
      <w:lvlJc w:val="left"/>
      <w:lvlText w:val="(%1)"/>
      <w:numFmt w:val="decimal"/>
      <w:start w:val="5"/>
    </w:lvl>
  </w:abstractNum>
  <w:abstractNum w:abstractNumId="75">
    <w:nsid w:val="6F6DD9AC"/>
    <w:multiLevelType w:val="hybridMultilevel"/>
    <w:lvl w:ilvl="0">
      <w:lvlJc w:val="left"/>
      <w:lvlText w:val="(%1)"/>
      <w:numFmt w:val="decimal"/>
      <w:start w:val="6"/>
    </w:lvl>
  </w:abstractNum>
  <w:abstractNum w:abstractNumId="76">
    <w:nsid w:val="94211F2"/>
    <w:multiLevelType w:val="hybridMultilevel"/>
    <w:lvl w:ilvl="0">
      <w:lvlJc w:val="left"/>
      <w:lvlText w:val="(%1)"/>
      <w:numFmt w:val="decimal"/>
      <w:start w:val="1"/>
    </w:lvl>
  </w:abstractNum>
  <w:abstractNum w:abstractNumId="77">
    <w:nsid w:val="885E1B"/>
    <w:multiLevelType w:val="hybridMultilevel"/>
    <w:lvl w:ilvl="0">
      <w:lvlJc w:val="left"/>
      <w:lvlText w:val="(%1)"/>
      <w:numFmt w:val="decimal"/>
      <w:start w:val="3"/>
    </w:lvl>
  </w:abstractNum>
  <w:abstractNum w:abstractNumId="78">
    <w:nsid w:val="76272110"/>
    <w:multiLevelType w:val="hybridMultilevel"/>
    <w:lvl w:ilvl="0">
      <w:lvlJc w:val="left"/>
      <w:lvlText w:val="(%1)"/>
      <w:numFmt w:val="lowerRoman"/>
      <w:start w:val="1"/>
    </w:lvl>
  </w:abstractNum>
  <w:abstractNum w:abstractNumId="79">
    <w:nsid w:val="4C04A8AF"/>
    <w:multiLevelType w:val="hybridMultilevel"/>
    <w:lvl w:ilvl="0">
      <w:lvlJc w:val="left"/>
      <w:lvlText w:val="(%1)"/>
      <w:numFmt w:val="lowerRoman"/>
      <w:start w:val="4"/>
    </w:lvl>
  </w:abstractNum>
  <w:abstractNum w:abstractNumId="80">
    <w:nsid w:val="1716703B"/>
    <w:multiLevelType w:val="hybridMultilevel"/>
    <w:lvl w:ilvl="0">
      <w:lvlJc w:val="left"/>
      <w:lvlText w:val="(%1)"/>
      <w:numFmt w:val="decimal"/>
      <w:start w:val="1"/>
    </w:lvl>
  </w:abstractNum>
  <w:abstractNum w:abstractNumId="81">
    <w:nsid w:val="14E17E33"/>
    <w:multiLevelType w:val="hybridMultilevel"/>
    <w:lvl w:ilvl="0">
      <w:lvlJc w:val="left"/>
      <w:lvlText w:val="(%1)"/>
      <w:numFmt w:val="decimal"/>
      <w:start w:val="1"/>
    </w:lvl>
  </w:abstractNum>
  <w:abstractNum w:abstractNumId="82">
    <w:nsid w:val="3222E7CD"/>
    <w:multiLevelType w:val="hybridMultilevel"/>
    <w:lvl w:ilvl="0">
      <w:lvlJc w:val="left"/>
      <w:lvlText w:val="(%1)"/>
      <w:numFmt w:val="decimal"/>
      <w:start w:val="1"/>
    </w:lvl>
  </w:abstractNum>
  <w:abstractNum w:abstractNumId="83">
    <w:nsid w:val="74DE0EE3"/>
    <w:multiLevelType w:val="hybridMultilevel"/>
    <w:lvl w:ilvl="0">
      <w:lvlJc w:val="left"/>
      <w:lvlText w:val="(%1)"/>
      <w:numFmt w:val="decimal"/>
      <w:start w:val="1"/>
    </w:lvl>
  </w:abstractNum>
  <w:abstractNum w:abstractNumId="84">
    <w:nsid w:val="68EBC550"/>
    <w:multiLevelType w:val="hybridMultilevel"/>
    <w:lvl w:ilvl="0">
      <w:lvlJc w:val="left"/>
      <w:lvlText w:val="(%1)"/>
      <w:numFmt w:val="decimal"/>
      <w:start w:val="8"/>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1)"/>
      <w:numFmt w:val="decimal"/>
      <w:start w:val="2"/>
    </w:lvl>
  </w:abstractNum>
  <w:abstractNum w:abstractNumId="87">
    <w:nsid w:val="4A2AC315"/>
    <w:multiLevelType w:val="hybridMultilevel"/>
    <w:lvl w:ilvl="0">
      <w:lvlJc w:val="left"/>
      <w:lvlText w:val="(%1)"/>
      <w:numFmt w:val="decimal"/>
      <w:start w:val="1"/>
    </w:lvl>
  </w:abstractNum>
  <w:abstractNum w:abstractNumId="88">
    <w:nsid w:val="39EE015C"/>
    <w:multiLevelType w:val="hybridMultilevel"/>
    <w:lvl w:ilvl="0">
      <w:lvlJc w:val="left"/>
      <w:lvlText w:val="(%1)"/>
      <w:numFmt w:val="decimal"/>
      <w:start w:val="4"/>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1)"/>
      <w:numFmt w:val="decimal"/>
      <w:start w:val="1"/>
    </w:lvl>
  </w:abstractNum>
  <w:abstractNum w:abstractNumId="91">
    <w:nsid w:val="43F18422"/>
    <w:multiLevelType w:val="hybridMultilevel"/>
    <w:lvl w:ilvl="0">
      <w:lvlJc w:val="left"/>
      <w:lvlText w:val="(%1)"/>
      <w:numFmt w:val="decimal"/>
      <w:start w:val="5"/>
    </w:lvl>
  </w:abstractNum>
  <w:abstractNum w:abstractNumId="92">
    <w:nsid w:val="60EF0119"/>
    <w:multiLevelType w:val="hybridMultilevel"/>
    <w:lvl w:ilvl="0">
      <w:lvlJc w:val="left"/>
      <w:lvlText w:val="(%1)"/>
      <w:numFmt w:val="decimal"/>
      <w:start w:val="1"/>
    </w:lvl>
  </w:abstractNum>
  <w:abstractNum w:abstractNumId="93">
    <w:nsid w:val="26F324BA"/>
    <w:multiLevelType w:val="hybridMultilevel"/>
    <w:lvl w:ilvl="0">
      <w:lvlJc w:val="left"/>
      <w:lvlText w:val="(%1)"/>
      <w:numFmt w:val="decimal"/>
      <w:start w:val="4"/>
    </w:lvl>
  </w:abstractNum>
  <w:abstractNum w:abstractNumId="94">
    <w:nsid w:val="7F01579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8" Type="http://schemas.openxmlformats.org/officeDocument/2006/relationships/image" Target="media/image139.png"/><Relationship Id="rId150" Type="http://schemas.openxmlformats.org/officeDocument/2006/relationships/image" Target="media/image140.png"/><Relationship Id="rId152" Type="http://schemas.openxmlformats.org/officeDocument/2006/relationships/image" Target="media/image141.png"/><Relationship Id="rId154" Type="http://schemas.openxmlformats.org/officeDocument/2006/relationships/image" Target="media/image142.png"/><Relationship Id="rId156" Type="http://schemas.openxmlformats.org/officeDocument/2006/relationships/image" Target="media/image143.png"/><Relationship Id="rId158"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jpeg"/><Relationship Id="rId173" Type="http://schemas.openxmlformats.org/officeDocument/2006/relationships/image" Target="media/image158.jpe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253" Type="http://schemas.openxmlformats.org/officeDocument/2006/relationships/image" Target="media/image238.png"/><Relationship Id="rId254" Type="http://schemas.openxmlformats.org/officeDocument/2006/relationships/image" Target="media/image239.png"/><Relationship Id="rId255" Type="http://schemas.openxmlformats.org/officeDocument/2006/relationships/image" Target="media/image240.png"/><Relationship Id="rId256" Type="http://schemas.openxmlformats.org/officeDocument/2006/relationships/image" Target="media/image241.png"/><Relationship Id="rId257" Type="http://schemas.openxmlformats.org/officeDocument/2006/relationships/image" Target="media/image242.png"/><Relationship Id="rId258" Type="http://schemas.openxmlformats.org/officeDocument/2006/relationships/image" Target="media/image243.png"/><Relationship Id="rId259" Type="http://schemas.openxmlformats.org/officeDocument/2006/relationships/image" Target="media/image244.png"/><Relationship Id="rId260" Type="http://schemas.openxmlformats.org/officeDocument/2006/relationships/image" Target="media/image245.png"/><Relationship Id="rId261" Type="http://schemas.openxmlformats.org/officeDocument/2006/relationships/image" Target="media/image246.png"/><Relationship Id="rId262" Type="http://schemas.openxmlformats.org/officeDocument/2006/relationships/image" Target="media/image247.png"/><Relationship Id="rId263" Type="http://schemas.openxmlformats.org/officeDocument/2006/relationships/image" Target="media/image248.png"/><Relationship Id="rId264" Type="http://schemas.openxmlformats.org/officeDocument/2006/relationships/image" Target="media/image249.png"/><Relationship Id="rId265" Type="http://schemas.openxmlformats.org/officeDocument/2006/relationships/image" Target="media/image250.png"/><Relationship Id="rId266" Type="http://schemas.openxmlformats.org/officeDocument/2006/relationships/image" Target="media/image251.png"/><Relationship Id="rId267" Type="http://schemas.openxmlformats.org/officeDocument/2006/relationships/image" Target="media/image252.png"/><Relationship Id="rId268" Type="http://schemas.openxmlformats.org/officeDocument/2006/relationships/image" Target="media/image253.png"/><Relationship Id="rId269" Type="http://schemas.openxmlformats.org/officeDocument/2006/relationships/image" Target="media/image254.png"/><Relationship Id="rId270" Type="http://schemas.openxmlformats.org/officeDocument/2006/relationships/image" Target="media/image255.png"/><Relationship Id="rId271" Type="http://schemas.openxmlformats.org/officeDocument/2006/relationships/image" Target="media/image256.png"/><Relationship Id="rId272" Type="http://schemas.openxmlformats.org/officeDocument/2006/relationships/image" Target="media/image257.png"/><Relationship Id="rId273" Type="http://schemas.openxmlformats.org/officeDocument/2006/relationships/image" Target="media/image258.png"/><Relationship Id="rId274" Type="http://schemas.openxmlformats.org/officeDocument/2006/relationships/image" Target="media/image259.png"/><Relationship Id="rId275" Type="http://schemas.openxmlformats.org/officeDocument/2006/relationships/image" Target="media/image260.png"/><Relationship Id="rId276" Type="http://schemas.openxmlformats.org/officeDocument/2006/relationships/image" Target="media/image261.png"/><Relationship Id="rId277" Type="http://schemas.openxmlformats.org/officeDocument/2006/relationships/image" Target="media/image262.png"/><Relationship Id="rId278" Type="http://schemas.openxmlformats.org/officeDocument/2006/relationships/image" Target="media/image263.png"/><Relationship Id="rId279" Type="http://schemas.openxmlformats.org/officeDocument/2006/relationships/image" Target="media/image264.png"/><Relationship Id="rId280" Type="http://schemas.openxmlformats.org/officeDocument/2006/relationships/image" Target="media/image265.png"/><Relationship Id="rId281" Type="http://schemas.openxmlformats.org/officeDocument/2006/relationships/image" Target="media/image266.png"/><Relationship Id="rId282" Type="http://schemas.openxmlformats.org/officeDocument/2006/relationships/image" Target="media/image267.png"/><Relationship Id="rId283" Type="http://schemas.openxmlformats.org/officeDocument/2006/relationships/image" Target="media/image268.png"/><Relationship Id="rId284" Type="http://schemas.openxmlformats.org/officeDocument/2006/relationships/image" Target="media/image269.png"/><Relationship Id="rId285" Type="http://schemas.openxmlformats.org/officeDocument/2006/relationships/image" Target="media/image270.png"/><Relationship Id="rId146" Type="http://schemas.openxmlformats.org/officeDocument/2006/relationships/hyperlink" Target="http://www.sec.gov/Archives/edgar/data/1833141/000162828025033606/cybin-annualinformationfor.htm" TargetMode="External"/><Relationship Id="rId147" Type="http://schemas.openxmlformats.org/officeDocument/2006/relationships/hyperlink" Target="http://www.sec.gov/Archives/edgar/data/1833141/000162828025033606/cybn-20250331.htm" TargetMode="External"/><Relationship Id="rId149" Type="http://schemas.openxmlformats.org/officeDocument/2006/relationships/hyperlink" Target="http://www.sec.gov/Archives/edgar/data/1833141/000162828025033606/cybin-mdaxq4x25xmarch31202.htm" TargetMode="External"/><Relationship Id="rId151" Type="http://schemas.openxmlformats.org/officeDocument/2006/relationships/hyperlink" Target="http://www.sec.gov/Archives/edgar/data/1833141/000162828025034717/materialchangereportcybin-.htm" TargetMode="External"/><Relationship Id="rId153" Type="http://schemas.openxmlformats.org/officeDocument/2006/relationships/hyperlink" Target="http://www.sec.gov/Archives/edgar/data/1833141/000162828025036117/agm2025-managementinformat.htm" TargetMode="External"/><Relationship Id="rId155" Type="http://schemas.openxmlformats.org/officeDocument/2006/relationships/hyperlink" Target="http://www.sec.gov/Archives/edgar/data/1833141/000183314125000007/cybin-financialstatementsx.htm" TargetMode="External"/><Relationship Id="rId157" Type="http://schemas.openxmlformats.org/officeDocument/2006/relationships/hyperlink" Target="http://www.sec.gov/Archives/edgar/data/1833141/000183314125000007/cybin-mdaxq1x26.htm" TargetMode="External"/><Relationship Id="rId159" Type="http://schemas.openxmlformats.org/officeDocument/2006/relationships/hyperlink" Target="http://www.sec.gov/Archives/edgar/data/1833141/000106299325015668/exhibit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2025-12-19T15:38:51Z</dcterms:created>
  <dcterms:modified xsi:type="dcterms:W3CDTF">2025-12-19T15:38:51Z</dcterms:modified>
</cp:coreProperties>
</file>